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A229A2">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drawing>
          <wp:inline distT="0" distB="0" distL="114300" distR="114300">
            <wp:extent cx="6112510" cy="8651240"/>
            <wp:effectExtent l="0" t="0" r="2540" b="16510"/>
            <wp:docPr id="1" name="图片 1" descr="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面_01"/>
                    <pic:cNvPicPr>
                      <a:picLocks noChangeAspect="1"/>
                    </pic:cNvPicPr>
                  </pic:nvPicPr>
                  <pic:blipFill>
                    <a:blip r:embed="rId9"/>
                    <a:stretch>
                      <a:fillRect/>
                    </a:stretch>
                  </pic:blipFill>
                  <pic:spPr>
                    <a:xfrm>
                      <a:off x="0" y="0"/>
                      <a:ext cx="6112510" cy="8651240"/>
                    </a:xfrm>
                    <a:prstGeom prst="rect">
                      <a:avLst/>
                    </a:prstGeom>
                  </pic:spPr>
                </pic:pic>
              </a:graphicData>
            </a:graphic>
          </wp:inline>
        </w:drawing>
      </w:r>
      <w:bookmarkStart w:id="254" w:name="_GoBack"/>
      <w:bookmarkEnd w:id="254"/>
    </w:p>
    <w:p w14:paraId="3B7B95F3">
      <w:pPr>
        <w:rPr>
          <w:rFonts w:hint="eastAsia" w:ascii="宋体" w:hAnsi="宋体" w:eastAsia="宋体" w:cs="宋体"/>
          <w:color w:val="auto"/>
          <w:highlight w:val="none"/>
          <w:lang w:val="en-US" w:eastAsia="zh-CN"/>
        </w:rPr>
      </w:pPr>
    </w:p>
    <w:p w14:paraId="235E6B2A">
      <w:pPr>
        <w:pStyle w:val="10"/>
        <w:keepNext w:val="0"/>
        <w:keepLines w:val="0"/>
        <w:pageBreakBefore w:val="0"/>
        <w:widowControl w:val="0"/>
        <w:tabs>
          <w:tab w:val="left" w:pos="4935"/>
        </w:tabs>
        <w:kinsoku/>
        <w:wordWrap w:val="0"/>
        <w:overflowPunct/>
        <w:topLinePunct w:val="0"/>
        <w:autoSpaceDE/>
        <w:autoSpaceDN/>
        <w:bidi w:val="0"/>
        <w:adjustRightInd w:val="0"/>
        <w:snapToGrid w:val="0"/>
        <w:spacing w:line="440" w:lineRule="exact"/>
        <w:jc w:val="center"/>
        <w:textAlignment w:val="auto"/>
        <w:rPr>
          <w:rFonts w:hint="eastAsia" w:ascii="宋体" w:hAnsi="宋体" w:eastAsia="宋体" w:cs="宋体"/>
          <w:b/>
          <w:snapToGrid w:val="0"/>
          <w:color w:val="auto"/>
          <w:kern w:val="0"/>
          <w:sz w:val="32"/>
          <w:szCs w:val="32"/>
          <w:highlight w:val="none"/>
        </w:rPr>
        <w:sectPr>
          <w:headerReference r:id="rId5" w:type="default"/>
          <w:footerReference r:id="rId6" w:type="default"/>
          <w:endnotePr>
            <w:numFmt w:val="decimal"/>
          </w:endnotePr>
          <w:pgSz w:w="11906" w:h="16838"/>
          <w:pgMar w:top="1134" w:right="1134" w:bottom="1134" w:left="1134" w:header="850" w:footer="850" w:gutter="0"/>
          <w:pgBorders>
            <w:top w:val="none" w:sz="0" w:space="0"/>
            <w:left w:val="none" w:sz="0" w:space="0"/>
            <w:bottom w:val="none" w:sz="0" w:space="0"/>
            <w:right w:val="none" w:sz="0" w:space="0"/>
          </w:pgBorders>
          <w:pgNumType w:fmt="decimal" w:start="1"/>
          <w:cols w:space="0" w:num="1"/>
          <w:rtlGutter w:val="0"/>
          <w:docGrid w:linePitch="327" w:charSpace="0"/>
        </w:sectPr>
      </w:pPr>
    </w:p>
    <w:p w14:paraId="425DC1BD">
      <w:pPr>
        <w:pStyle w:val="10"/>
        <w:keepNext w:val="0"/>
        <w:keepLines w:val="0"/>
        <w:pageBreakBefore w:val="0"/>
        <w:widowControl w:val="0"/>
        <w:tabs>
          <w:tab w:val="left" w:pos="4935"/>
        </w:tabs>
        <w:kinsoku/>
        <w:wordWrap w:val="0"/>
        <w:overflowPunct/>
        <w:topLinePunct w:val="0"/>
        <w:autoSpaceDE/>
        <w:autoSpaceDN/>
        <w:bidi w:val="0"/>
        <w:adjustRightInd w:val="0"/>
        <w:snapToGrid w:val="0"/>
        <w:spacing w:line="440" w:lineRule="exact"/>
        <w:jc w:val="center"/>
        <w:textAlignment w:val="auto"/>
        <w:rPr>
          <w:rFonts w:hint="eastAsia" w:ascii="宋体" w:hAnsi="宋体" w:eastAsia="宋体" w:cs="宋体"/>
          <w:snapToGrid w:val="0"/>
          <w:color w:val="auto"/>
          <w:kern w:val="0"/>
          <w:sz w:val="24"/>
          <w:highlight w:val="none"/>
          <w:lang w:val="en-US" w:eastAsia="zh-CN" w:bidi="ar-SA"/>
        </w:rPr>
      </w:pPr>
      <w:r>
        <w:rPr>
          <w:rFonts w:hint="eastAsia" w:ascii="宋体" w:hAnsi="宋体" w:eastAsia="宋体" w:cs="宋体"/>
          <w:b/>
          <w:snapToGrid w:val="0"/>
          <w:color w:val="auto"/>
          <w:kern w:val="0"/>
          <w:sz w:val="32"/>
          <w:szCs w:val="32"/>
          <w:highlight w:val="none"/>
        </w:rPr>
        <w:t>目    录</w:t>
      </w:r>
      <w:bookmarkStart w:id="0" w:name="_Hlt69333523"/>
      <w:bookmarkStart w:id="1" w:name="_Hlt68775471"/>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TOC \o "1-4" \h \z </w:instrText>
      </w:r>
      <w:r>
        <w:rPr>
          <w:rFonts w:hint="eastAsia" w:ascii="宋体" w:hAnsi="宋体" w:eastAsia="宋体" w:cs="宋体"/>
          <w:snapToGrid w:val="0"/>
          <w:color w:val="auto"/>
          <w:kern w:val="0"/>
          <w:highlight w:val="none"/>
        </w:rPr>
        <w:fldChar w:fldCharType="separate"/>
      </w:r>
    </w:p>
    <w:p w14:paraId="0E5A22AE">
      <w:pPr>
        <w:pStyle w:val="13"/>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_Toc27153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szCs w:val="30"/>
          <w:highlight w:val="none"/>
        </w:rPr>
        <w:t>第一章</w:t>
      </w:r>
      <w:r>
        <w:rPr>
          <w:rFonts w:hint="eastAsia" w:ascii="宋体" w:hAnsi="宋体" w:eastAsia="宋体" w:cs="宋体"/>
          <w:snapToGrid w:val="0"/>
          <w:color w:val="auto"/>
          <w:szCs w:val="30"/>
          <w:highlight w:val="none"/>
          <w:lang w:val="en-US" w:eastAsia="zh-CN"/>
        </w:rPr>
        <w:t xml:space="preserve">   </w:t>
      </w:r>
      <w:r>
        <w:rPr>
          <w:rFonts w:hint="eastAsia" w:ascii="宋体" w:hAnsi="宋体" w:eastAsia="宋体" w:cs="宋体"/>
          <w:snapToGrid w:val="0"/>
          <w:color w:val="auto"/>
          <w:szCs w:val="30"/>
          <w:highlight w:val="none"/>
        </w:rPr>
        <w:t>投标人须知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_Toc27153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2D4DD370">
      <w:pPr>
        <w:pStyle w:val="14"/>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_Toc18126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第一节</w:t>
      </w:r>
      <w:r>
        <w:rPr>
          <w:rFonts w:hint="eastAsia" w:ascii="宋体" w:hAnsi="宋体" w:eastAsia="宋体" w:cs="宋体"/>
          <w:snapToGrid w:val="0"/>
          <w:color w:val="auto"/>
          <w:highlight w:val="none"/>
          <w:lang w:val="en-US" w:eastAsia="zh-CN"/>
        </w:rPr>
        <w:t xml:space="preserve">   </w:t>
      </w:r>
      <w:r>
        <w:rPr>
          <w:rFonts w:hint="eastAsia" w:ascii="宋体" w:hAnsi="宋体" w:eastAsia="宋体" w:cs="宋体"/>
          <w:snapToGrid w:val="0"/>
          <w:color w:val="auto"/>
          <w:highlight w:val="none"/>
        </w:rPr>
        <w:t>投标人须知前附表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_Toc18126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2E3CC205">
      <w:pPr>
        <w:pStyle w:val="14"/>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_Toc15823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第二节</w:t>
      </w:r>
      <w:r>
        <w:rPr>
          <w:rFonts w:hint="eastAsia" w:ascii="宋体" w:hAnsi="宋体" w:eastAsia="宋体" w:cs="宋体"/>
          <w:snapToGrid w:val="0"/>
          <w:color w:val="auto"/>
          <w:highlight w:val="none"/>
          <w:lang w:val="en-US" w:eastAsia="zh-CN"/>
        </w:rPr>
        <w:t xml:space="preserve">   </w:t>
      </w:r>
      <w:r>
        <w:rPr>
          <w:rFonts w:hint="eastAsia" w:ascii="宋体" w:hAnsi="宋体" w:eastAsia="宋体" w:cs="宋体"/>
          <w:snapToGrid w:val="0"/>
          <w:color w:val="auto"/>
          <w:highlight w:val="none"/>
        </w:rPr>
        <w:t>重要事项时间地点一览表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_Toc15823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497BFAD5">
      <w:pPr>
        <w:pStyle w:val="14"/>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_Toc21134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第三节</w:t>
      </w:r>
      <w:r>
        <w:rPr>
          <w:rFonts w:hint="eastAsia" w:ascii="宋体" w:hAnsi="宋体" w:eastAsia="宋体" w:cs="宋体"/>
          <w:snapToGrid w:val="0"/>
          <w:color w:val="auto"/>
          <w:highlight w:val="none"/>
          <w:lang w:val="en-US" w:eastAsia="zh-CN"/>
        </w:rPr>
        <w:t xml:space="preserve">   </w:t>
      </w:r>
      <w:r>
        <w:rPr>
          <w:rFonts w:hint="eastAsia" w:ascii="宋体" w:hAnsi="宋体" w:eastAsia="宋体" w:cs="宋体"/>
          <w:snapToGrid w:val="0"/>
          <w:color w:val="auto"/>
          <w:highlight w:val="none"/>
        </w:rPr>
        <w:t>投标人须知正文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_Toc21134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492E5465">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_Toc696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color w:val="auto"/>
          <w:highlight w:val="none"/>
        </w:rPr>
        <w:t>1．</w:t>
      </w:r>
      <w:r>
        <w:rPr>
          <w:rFonts w:hint="eastAsia" w:ascii="宋体" w:hAnsi="宋体" w:eastAsia="宋体" w:cs="宋体"/>
          <w:bCs/>
          <w:color w:val="auto"/>
          <w:highlight w:val="none"/>
          <w:lang w:val="en-US" w:eastAsia="zh-CN"/>
        </w:rPr>
        <w:t>项目</w:t>
      </w:r>
      <w:r>
        <w:rPr>
          <w:rFonts w:hint="eastAsia" w:ascii="宋体" w:hAnsi="宋体" w:eastAsia="宋体" w:cs="宋体"/>
          <w:bCs/>
          <w:color w:val="auto"/>
          <w:highlight w:val="none"/>
        </w:rPr>
        <w:t>概况、招标范围和标段划分、投标费用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_Toc696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36A5AF18">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_Toc21496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color w:val="auto"/>
          <w:highlight w:val="none"/>
          <w:lang w:val="en-US" w:eastAsia="zh-CN"/>
        </w:rPr>
        <w:t xml:space="preserve">2. </w:t>
      </w:r>
      <w:r>
        <w:rPr>
          <w:rFonts w:hint="eastAsia" w:ascii="宋体" w:hAnsi="宋体" w:eastAsia="宋体" w:cs="宋体"/>
          <w:bCs/>
          <w:color w:val="auto"/>
          <w:highlight w:val="none"/>
        </w:rPr>
        <w:t>投标人资格要求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_Toc21496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549B4EED">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_Toc29745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color w:val="auto"/>
          <w:highlight w:val="none"/>
          <w:lang w:val="en-US" w:eastAsia="zh-CN"/>
        </w:rPr>
        <w:t>3．</w:t>
      </w:r>
      <w:r>
        <w:rPr>
          <w:rFonts w:hint="eastAsia" w:ascii="宋体" w:hAnsi="宋体" w:eastAsia="宋体" w:cs="宋体"/>
          <w:bCs/>
          <w:snapToGrid w:val="0"/>
          <w:color w:val="auto"/>
          <w:kern w:val="0"/>
          <w:highlight w:val="none"/>
          <w:lang w:val="en-US" w:eastAsia="zh-CN"/>
        </w:rPr>
        <w:t>获取</w:t>
      </w:r>
      <w:r>
        <w:rPr>
          <w:rFonts w:hint="eastAsia" w:ascii="宋体" w:hAnsi="宋体" w:eastAsia="宋体" w:cs="宋体"/>
          <w:bCs/>
          <w:color w:val="auto"/>
          <w:highlight w:val="none"/>
          <w:lang w:val="en-US" w:eastAsia="zh-CN"/>
        </w:rPr>
        <w:t>招标文件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_Toc29745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3BADBB79">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_Toc27656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color w:val="auto"/>
          <w:highlight w:val="none"/>
          <w:lang w:val="en-US" w:eastAsia="zh-CN"/>
        </w:rPr>
        <w:t>4．工期要求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_Toc27656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5045E701">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_Toc32175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color w:val="auto"/>
          <w:highlight w:val="none"/>
          <w:lang w:val="en-US" w:eastAsia="zh-CN"/>
        </w:rPr>
        <w:t>5．质量标准和材料、机械要求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_Toc32175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62DF571E">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_Toc5412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color w:val="auto"/>
          <w:highlight w:val="none"/>
          <w:lang w:val="en-US" w:eastAsia="zh-CN"/>
        </w:rPr>
        <w:t>6．施工条件及现场踏勘</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_Toc5412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00CBCFA5">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_Toc444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color w:val="auto"/>
          <w:highlight w:val="none"/>
          <w:lang w:val="en-US" w:eastAsia="zh-CN"/>
        </w:rPr>
        <w:t>7．招标文件的提问和答疑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_Toc444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6E575F68">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_Toc6780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color w:val="auto"/>
          <w:highlight w:val="none"/>
          <w:lang w:val="en-US" w:eastAsia="zh-CN"/>
        </w:rPr>
        <w:t>8．招标控制价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_Toc6780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3B7EA119">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_Toc3661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color w:val="auto"/>
          <w:highlight w:val="none"/>
          <w:lang w:val="en-US" w:eastAsia="zh-CN"/>
        </w:rPr>
        <w:t>9．投标报价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_Toc3661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17F95F39">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_Toc11164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10．投标文件的编制要求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_Toc11164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2AFBF7A2">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_Toc4254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trike w:val="0"/>
          <w:snapToGrid w:val="0"/>
          <w:color w:val="auto"/>
          <w:highlight w:val="none"/>
        </w:rPr>
        <w:t>11．电子投标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_Toc4254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25</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48445CC2">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_Toc30009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12．电子投标解密失败及突发情况的补救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_Toc30009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26</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7C395433">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_Toc27958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13．投标文件的提交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_Toc27958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26</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56B1732E">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_Toc12739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14．开标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_Toc12739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27</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7DF23F5C">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_Toc17600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15．评标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_Toc17600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28</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0FE0AA6B">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_Toc30540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16．中标候选人公示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_Toc30540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39</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5BB0DA5E">
      <w:pPr>
        <w:pStyle w:val="14"/>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_Toc13522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color w:val="auto"/>
          <w:highlight w:val="none"/>
        </w:rPr>
        <w:t>第四节</w:t>
      </w:r>
      <w:r>
        <w:rPr>
          <w:rFonts w:hint="eastAsia" w:ascii="宋体" w:hAnsi="宋体" w:eastAsia="宋体" w:cs="宋体"/>
          <w:bCs/>
          <w:color w:val="auto"/>
          <w:highlight w:val="none"/>
          <w:lang w:val="en-US" w:eastAsia="zh-CN"/>
        </w:rPr>
        <w:t xml:space="preserve">   </w:t>
      </w:r>
      <w:r>
        <w:rPr>
          <w:rFonts w:hint="eastAsia" w:ascii="宋体" w:hAnsi="宋体" w:eastAsia="宋体" w:cs="宋体"/>
          <w:bCs/>
          <w:color w:val="auto"/>
          <w:highlight w:val="none"/>
        </w:rPr>
        <w:t>否决投标条件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_Toc13522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40</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7AE2DE3A">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_Toc30132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1．资格评审环节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_Toc30132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40</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1BD7399C">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_Toc7139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2．形式评审环节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_Toc7139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41</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2EAAEB58">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_Toc12102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3．响应性评审环节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_Toc12102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41</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70677286">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_Toc25085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4．其他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_Toc25085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42</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32C5F93E">
      <w:pPr>
        <w:pStyle w:val="13"/>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_Toc18214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szCs w:val="30"/>
          <w:highlight w:val="none"/>
        </w:rPr>
        <w:t>第二章</w:t>
      </w:r>
      <w:r>
        <w:rPr>
          <w:rFonts w:hint="eastAsia" w:ascii="宋体" w:hAnsi="宋体" w:eastAsia="宋体" w:cs="宋体"/>
          <w:snapToGrid w:val="0"/>
          <w:color w:val="auto"/>
          <w:szCs w:val="30"/>
          <w:highlight w:val="none"/>
          <w:lang w:val="en-US" w:eastAsia="zh-CN"/>
        </w:rPr>
        <w:t xml:space="preserve">   </w:t>
      </w:r>
      <w:r>
        <w:rPr>
          <w:rFonts w:hint="eastAsia" w:ascii="宋体" w:hAnsi="宋体" w:eastAsia="宋体" w:cs="宋体"/>
          <w:snapToGrid w:val="0"/>
          <w:color w:val="auto"/>
          <w:szCs w:val="30"/>
          <w:highlight w:val="none"/>
        </w:rPr>
        <w:t>中标人须知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_Toc18214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43</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13875A9D">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_Toc5102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1．中标通知书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_Toc5102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43</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2BCC66A3">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_Toc7231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2．中标结果公示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_Toc7231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43</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14111401">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_Toc19712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3．履约保证</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_Toc19712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43</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4E28AA00">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_Toc23699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snapToGrid w:val="0"/>
          <w:color w:val="auto"/>
          <w:kern w:val="0"/>
          <w:highlight w:val="none"/>
        </w:rPr>
        <w:t>4．合同订立</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_Toc23699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44</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5444CC97">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_Toc2950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5．放弃中标的处理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_Toc2950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45</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47F5D2A1">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_Toc23578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6</w:t>
      </w:r>
      <w:r>
        <w:rPr>
          <w:rFonts w:hint="eastAsia" w:ascii="宋体" w:hAnsi="宋体" w:eastAsia="宋体" w:cs="宋体"/>
          <w:snapToGrid w:val="0"/>
          <w:color w:val="auto"/>
          <w:highlight w:val="none"/>
        </w:rPr>
        <w:t>．</w:t>
      </w:r>
      <w:r>
        <w:rPr>
          <w:rFonts w:hint="eastAsia" w:ascii="宋体" w:hAnsi="宋体" w:eastAsia="宋体" w:cs="宋体"/>
          <w:snapToGrid w:val="0"/>
          <w:color w:val="auto"/>
          <w:highlight w:val="none"/>
          <w:lang w:val="en-US" w:eastAsia="zh-CN"/>
        </w:rPr>
        <w:t>其他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_Toc23578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45</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37E5BBBB">
      <w:pPr>
        <w:pStyle w:val="13"/>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_Toc11968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szCs w:val="30"/>
          <w:highlight w:val="none"/>
        </w:rPr>
        <w:t>第三章</w:t>
      </w:r>
      <w:r>
        <w:rPr>
          <w:rFonts w:hint="eastAsia" w:ascii="宋体" w:hAnsi="宋体" w:eastAsia="宋体" w:cs="宋体"/>
          <w:snapToGrid w:val="0"/>
          <w:color w:val="auto"/>
          <w:szCs w:val="30"/>
          <w:highlight w:val="none"/>
          <w:lang w:val="en-US" w:eastAsia="zh-CN"/>
        </w:rPr>
        <w:t xml:space="preserve">   </w:t>
      </w:r>
      <w:r>
        <w:rPr>
          <w:rFonts w:hint="eastAsia" w:ascii="宋体" w:hAnsi="宋体" w:eastAsia="宋体" w:cs="宋体"/>
          <w:snapToGrid w:val="0"/>
          <w:color w:val="auto"/>
          <w:szCs w:val="30"/>
          <w:highlight w:val="none"/>
        </w:rPr>
        <w:t>拟签订合同的主要条款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_Toc11968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46</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6E9F1A37">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_Toc5017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1．工程承包方式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_Toc5017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46</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096CACAA">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_Toc4320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2．工程结算原则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_Toc4320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46</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3129E38A">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_Toc3851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3．工程付款办法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_Toc3851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52</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5D08B05A">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_Toc1590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4．专用合同条款</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54</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262DA7AB">
      <w:pPr>
        <w:pStyle w:val="13"/>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_Toc4256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color w:val="auto"/>
          <w:highlight w:val="none"/>
        </w:rPr>
        <w:t>第四章</w:t>
      </w:r>
      <w:r>
        <w:rPr>
          <w:rFonts w:hint="eastAsia" w:ascii="宋体" w:hAnsi="宋体" w:eastAsia="宋体" w:cs="宋体"/>
          <w:bCs/>
          <w:color w:val="auto"/>
          <w:highlight w:val="none"/>
          <w:lang w:val="en-US" w:eastAsia="zh-CN"/>
        </w:rPr>
        <w:t xml:space="preserve">   </w:t>
      </w:r>
      <w:r>
        <w:rPr>
          <w:rFonts w:hint="eastAsia" w:ascii="宋体" w:hAnsi="宋体" w:eastAsia="宋体" w:cs="宋体"/>
          <w:bCs/>
          <w:color w:val="auto"/>
          <w:highlight w:val="none"/>
        </w:rPr>
        <w:t>技术要求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_Toc4256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64</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1B090C9C">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_Toc4819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1．房屋建筑工程建设项目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_Toc4819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64</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2D4AA93F">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_Toc5207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2．市政基础设施工程建设项目</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_Toc5207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64</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740366E0">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_Toc29215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3．备查要求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_Toc29215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65</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29232F82">
      <w:pPr>
        <w:pStyle w:val="13"/>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_Toc445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color w:val="auto"/>
          <w:highlight w:val="none"/>
        </w:rPr>
        <w:t>第五章</w:t>
      </w:r>
      <w:r>
        <w:rPr>
          <w:rFonts w:hint="eastAsia" w:ascii="宋体" w:hAnsi="宋体" w:eastAsia="宋体" w:cs="宋体"/>
          <w:bCs/>
          <w:color w:val="auto"/>
          <w:highlight w:val="none"/>
          <w:lang w:val="en-US" w:eastAsia="zh-CN"/>
        </w:rPr>
        <w:t xml:space="preserve">   </w:t>
      </w:r>
      <w:r>
        <w:rPr>
          <w:rFonts w:hint="eastAsia" w:ascii="宋体" w:hAnsi="宋体" w:eastAsia="宋体" w:cs="宋体"/>
          <w:bCs/>
          <w:color w:val="auto"/>
          <w:highlight w:val="none"/>
        </w:rPr>
        <w:t>图纸和招标工程量清单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66</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7F03BC48">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_Toc10290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1．图纸</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_Toc10290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66</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693E56F2">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_Toc1115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2．招标工程量清单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_Toc1115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66</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070B6499">
      <w:pPr>
        <w:pStyle w:val="13"/>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_Toc21237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color w:val="auto"/>
          <w:highlight w:val="none"/>
        </w:rPr>
        <w:t>第六章</w:t>
      </w:r>
      <w:r>
        <w:rPr>
          <w:rFonts w:hint="eastAsia" w:ascii="宋体" w:hAnsi="宋体" w:eastAsia="宋体" w:cs="宋体"/>
          <w:bCs/>
          <w:color w:val="auto"/>
          <w:highlight w:val="none"/>
          <w:lang w:val="en-US" w:eastAsia="zh-CN"/>
        </w:rPr>
        <w:t xml:space="preserve">   </w:t>
      </w:r>
      <w:r>
        <w:rPr>
          <w:rFonts w:hint="eastAsia" w:ascii="宋体" w:hAnsi="宋体" w:eastAsia="宋体" w:cs="宋体"/>
          <w:bCs/>
          <w:color w:val="auto"/>
          <w:highlight w:val="none"/>
        </w:rPr>
        <w:t>投标文件格式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_Toc21237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67</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31DC86CA">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_Toc2262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格式一   封面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_Toc2262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67</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66E86810">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_Toc24920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格式二   投标函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_Toc24920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68</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0EE780D9">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_Toc3024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格式三   各项承诺一览表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_Toc3024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69</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68CCF9BA">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_Toc18717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格式四   授权委托书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_Toc18717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71</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73AADF6D">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_Toc4359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格式五   法定代表人身份证明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_Toc4359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72</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5DEBFB8F">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_Toc22532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格式六   投标人基本情况表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_Toc22532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73</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7EB8AE36">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_Toc3149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格式七   项目经理简历表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_Toc3149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74</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0F3F7C6D">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_Toc25442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格式八   项目经理任职声明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_Toc25442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75</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59F877A0">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_Toc4933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格式九   项目技术负责人简历表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_Toc4933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76</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5AAB2879">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_Toc29032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格式十   项目管理机构组成表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_Toc29032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77</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220F099C">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_Toc9741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格式十一   建造师查询页（有效期+建造师签字）</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_Toc9741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78</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6D400B2D">
      <w:pPr>
        <w:pStyle w:val="10"/>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_Toc4514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lang w:val="en-US" w:eastAsia="zh-CN"/>
        </w:rPr>
        <w:t>格式十二   原件一览表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_Toc4514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80</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41A6D741">
      <w:pPr>
        <w:pStyle w:val="13"/>
        <w:tabs>
          <w:tab w:val="right" w:leader="dot" w:pos="9638"/>
        </w:tabs>
        <w:spacing w:line="240" w:lineRule="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_Toc3649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color w:val="auto"/>
          <w:highlight w:val="none"/>
        </w:rPr>
        <w:t>第七章</w:t>
      </w:r>
      <w:r>
        <w:rPr>
          <w:rFonts w:hint="eastAsia" w:ascii="宋体" w:hAnsi="宋体" w:eastAsia="宋体" w:cs="宋体"/>
          <w:bCs/>
          <w:color w:val="auto"/>
          <w:highlight w:val="none"/>
          <w:lang w:val="en-US" w:eastAsia="zh-CN"/>
        </w:rPr>
        <w:t xml:space="preserve">   </w:t>
      </w:r>
      <w:r>
        <w:rPr>
          <w:rFonts w:hint="eastAsia" w:ascii="宋体" w:hAnsi="宋体" w:eastAsia="宋体" w:cs="宋体"/>
          <w:bCs/>
          <w:color w:val="auto"/>
          <w:highlight w:val="none"/>
        </w:rPr>
        <w:t>建设工程施工合同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_Toc3649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81</w:t>
      </w:r>
      <w:r>
        <w:rPr>
          <w:rFonts w:hint="eastAsia" w:ascii="宋体" w:hAnsi="宋体" w:eastAsia="宋体" w:cs="宋体"/>
          <w:color w:val="auto"/>
          <w:highlight w:val="none"/>
        </w:rPr>
        <w:fldChar w:fldCharType="end"/>
      </w:r>
      <w:r>
        <w:rPr>
          <w:rFonts w:hint="eastAsia" w:ascii="宋体" w:hAnsi="宋体" w:eastAsia="宋体" w:cs="宋体"/>
          <w:snapToGrid w:val="0"/>
          <w:color w:val="auto"/>
          <w:kern w:val="0"/>
          <w:highlight w:val="none"/>
        </w:rPr>
        <w:fldChar w:fldCharType="end"/>
      </w:r>
    </w:p>
    <w:p w14:paraId="28F1EC98">
      <w:pPr>
        <w:rPr>
          <w:rFonts w:hint="eastAsia" w:ascii="宋体" w:hAnsi="宋体" w:eastAsia="宋体" w:cs="宋体"/>
          <w:color w:val="auto"/>
          <w:highlight w:val="none"/>
        </w:rPr>
      </w:pPr>
      <w:r>
        <w:rPr>
          <w:rFonts w:hint="eastAsia" w:ascii="宋体" w:hAnsi="宋体" w:eastAsia="宋体" w:cs="宋体"/>
          <w:color w:val="auto"/>
          <w:highlight w:val="none"/>
        </w:rPr>
        <w:fldChar w:fldCharType="end"/>
      </w:r>
      <w:bookmarkEnd w:id="0"/>
      <w:bookmarkEnd w:id="1"/>
    </w:p>
    <w:p w14:paraId="69FB59AE">
      <w:pPr>
        <w:rPr>
          <w:rFonts w:hint="eastAsia" w:ascii="宋体" w:hAnsi="宋体" w:eastAsia="宋体" w:cs="宋体"/>
          <w:color w:val="auto"/>
          <w:highlight w:val="none"/>
        </w:rPr>
      </w:pPr>
    </w:p>
    <w:p w14:paraId="645A6C34">
      <w:pPr>
        <w:rPr>
          <w:rFonts w:hint="eastAsia" w:ascii="宋体" w:hAnsi="宋体" w:eastAsia="宋体" w:cs="宋体"/>
          <w:color w:val="auto"/>
          <w:highlight w:val="none"/>
        </w:rPr>
      </w:pPr>
    </w:p>
    <w:p w14:paraId="2844533F">
      <w:pPr>
        <w:rPr>
          <w:rFonts w:hint="eastAsia" w:ascii="宋体" w:hAnsi="宋体" w:eastAsia="宋体" w:cs="宋体"/>
          <w:color w:val="auto"/>
          <w:highlight w:val="none"/>
        </w:rPr>
      </w:pPr>
    </w:p>
    <w:p w14:paraId="13F2B973">
      <w:pPr>
        <w:rPr>
          <w:rFonts w:hint="eastAsia" w:ascii="宋体" w:hAnsi="宋体" w:eastAsia="宋体" w:cs="宋体"/>
          <w:color w:val="auto"/>
          <w:highlight w:val="none"/>
        </w:rPr>
      </w:pPr>
    </w:p>
    <w:p w14:paraId="4E3AD536">
      <w:pPr>
        <w:rPr>
          <w:rFonts w:hint="eastAsia" w:ascii="宋体" w:hAnsi="宋体" w:eastAsia="宋体" w:cs="宋体"/>
          <w:color w:val="auto"/>
          <w:highlight w:val="none"/>
        </w:rPr>
      </w:pPr>
    </w:p>
    <w:p w14:paraId="21B107D2">
      <w:pPr>
        <w:rPr>
          <w:rFonts w:hint="eastAsia" w:ascii="宋体" w:hAnsi="宋体" w:eastAsia="宋体" w:cs="宋体"/>
          <w:color w:val="auto"/>
          <w:highlight w:val="none"/>
        </w:rPr>
      </w:pPr>
    </w:p>
    <w:p w14:paraId="02036D98">
      <w:pPr>
        <w:rPr>
          <w:rFonts w:hint="eastAsia" w:ascii="宋体" w:hAnsi="宋体" w:eastAsia="宋体" w:cs="宋体"/>
          <w:color w:val="auto"/>
          <w:highlight w:val="none"/>
        </w:rPr>
      </w:pPr>
    </w:p>
    <w:p w14:paraId="2333E17E">
      <w:pPr>
        <w:rPr>
          <w:rFonts w:hint="eastAsia" w:ascii="宋体" w:hAnsi="宋体" w:eastAsia="宋体" w:cs="宋体"/>
          <w:color w:val="auto"/>
          <w:highlight w:val="none"/>
        </w:rPr>
      </w:pPr>
    </w:p>
    <w:p w14:paraId="39373BDE">
      <w:pPr>
        <w:rPr>
          <w:rFonts w:hint="eastAsia" w:ascii="宋体" w:hAnsi="宋体" w:eastAsia="宋体" w:cs="宋体"/>
          <w:color w:val="auto"/>
          <w:highlight w:val="none"/>
        </w:rPr>
      </w:pPr>
    </w:p>
    <w:p w14:paraId="428CCB77">
      <w:pPr>
        <w:rPr>
          <w:rFonts w:hint="eastAsia" w:ascii="宋体" w:hAnsi="宋体" w:eastAsia="宋体" w:cs="宋体"/>
          <w:color w:val="auto"/>
          <w:highlight w:val="none"/>
        </w:rPr>
      </w:pPr>
    </w:p>
    <w:p w14:paraId="00ABBA73">
      <w:pPr>
        <w:rPr>
          <w:rFonts w:hint="eastAsia" w:ascii="宋体" w:hAnsi="宋体" w:eastAsia="宋体" w:cs="宋体"/>
          <w:color w:val="auto"/>
          <w:highlight w:val="none"/>
        </w:rPr>
      </w:pPr>
    </w:p>
    <w:p w14:paraId="6ED18A91">
      <w:pPr>
        <w:rPr>
          <w:rFonts w:hint="eastAsia" w:ascii="宋体" w:hAnsi="宋体" w:eastAsia="宋体" w:cs="宋体"/>
          <w:color w:val="auto"/>
          <w:highlight w:val="none"/>
        </w:rPr>
      </w:pPr>
    </w:p>
    <w:p w14:paraId="0D10C3F4">
      <w:pPr>
        <w:rPr>
          <w:rFonts w:hint="eastAsia" w:ascii="宋体" w:hAnsi="宋体" w:eastAsia="宋体" w:cs="宋体"/>
          <w:color w:val="auto"/>
          <w:highlight w:val="none"/>
        </w:rPr>
      </w:pPr>
    </w:p>
    <w:p w14:paraId="7706FB68">
      <w:pPr>
        <w:rPr>
          <w:rFonts w:hint="eastAsia" w:ascii="宋体" w:hAnsi="宋体" w:eastAsia="宋体" w:cs="宋体"/>
          <w:color w:val="auto"/>
          <w:highlight w:val="none"/>
        </w:rPr>
      </w:pPr>
    </w:p>
    <w:p w14:paraId="4FE474FA">
      <w:pPr>
        <w:rPr>
          <w:rFonts w:hint="eastAsia" w:ascii="宋体" w:hAnsi="宋体" w:eastAsia="宋体" w:cs="宋体"/>
          <w:color w:val="auto"/>
          <w:highlight w:val="none"/>
        </w:rPr>
      </w:pPr>
    </w:p>
    <w:p w14:paraId="29035802">
      <w:pPr>
        <w:rPr>
          <w:rFonts w:hint="eastAsia" w:ascii="宋体" w:hAnsi="宋体" w:eastAsia="宋体" w:cs="宋体"/>
          <w:color w:val="auto"/>
          <w:highlight w:val="none"/>
        </w:rPr>
      </w:pPr>
    </w:p>
    <w:p w14:paraId="7BA67167">
      <w:pPr>
        <w:rPr>
          <w:rFonts w:hint="eastAsia" w:ascii="宋体" w:hAnsi="宋体" w:eastAsia="宋体" w:cs="宋体"/>
          <w:color w:val="auto"/>
          <w:highlight w:val="none"/>
        </w:rPr>
      </w:pPr>
    </w:p>
    <w:p w14:paraId="38EACD97">
      <w:pPr>
        <w:pStyle w:val="3"/>
        <w:wordWrap w:val="0"/>
        <w:autoSpaceDE/>
        <w:autoSpaceDN/>
        <w:snapToGrid w:val="0"/>
        <w:spacing w:line="240" w:lineRule="auto"/>
        <w:jc w:val="center"/>
        <w:rPr>
          <w:rFonts w:hint="eastAsia" w:ascii="宋体" w:hAnsi="宋体" w:eastAsia="宋体" w:cs="宋体"/>
          <w:b/>
          <w:snapToGrid w:val="0"/>
          <w:color w:val="auto"/>
          <w:sz w:val="30"/>
          <w:szCs w:val="30"/>
          <w:highlight w:val="none"/>
        </w:rPr>
      </w:pPr>
      <w:bookmarkStart w:id="2" w:name="_Hlt122423813"/>
      <w:bookmarkEnd w:id="2"/>
      <w:bookmarkStart w:id="3" w:name="_Hlt66104981"/>
      <w:bookmarkEnd w:id="3"/>
      <w:bookmarkStart w:id="4" w:name="_Hlt66153951"/>
      <w:bookmarkEnd w:id="4"/>
      <w:bookmarkStart w:id="5" w:name="_Toc27153"/>
      <w:bookmarkStart w:id="6" w:name="_Toc476739600"/>
      <w:bookmarkStart w:id="7" w:name="_Toc6177"/>
      <w:bookmarkStart w:id="8" w:name="_Hlt111690251"/>
      <w:r>
        <w:rPr>
          <w:rFonts w:hint="eastAsia" w:ascii="宋体" w:hAnsi="宋体" w:eastAsia="宋体" w:cs="宋体"/>
          <w:b/>
          <w:snapToGrid w:val="0"/>
          <w:color w:val="auto"/>
          <w:sz w:val="30"/>
          <w:szCs w:val="30"/>
          <w:highlight w:val="none"/>
        </w:rPr>
        <w:t>第一章</w:t>
      </w:r>
      <w:r>
        <w:rPr>
          <w:rFonts w:hint="eastAsia" w:ascii="宋体" w:hAnsi="宋体" w:eastAsia="宋体" w:cs="宋体"/>
          <w:b/>
          <w:snapToGrid w:val="0"/>
          <w:color w:val="auto"/>
          <w:sz w:val="30"/>
          <w:szCs w:val="30"/>
          <w:highlight w:val="none"/>
          <w:lang w:val="en-US" w:eastAsia="zh-CN"/>
        </w:rPr>
        <w:t xml:space="preserve">   </w:t>
      </w:r>
      <w:r>
        <w:rPr>
          <w:rFonts w:hint="eastAsia" w:ascii="宋体" w:hAnsi="宋体" w:eastAsia="宋体" w:cs="宋体"/>
          <w:b/>
          <w:snapToGrid w:val="0"/>
          <w:color w:val="auto"/>
          <w:sz w:val="30"/>
          <w:szCs w:val="30"/>
          <w:highlight w:val="none"/>
        </w:rPr>
        <w:t>投标人须知</w:t>
      </w:r>
      <w:bookmarkEnd w:id="5"/>
      <w:bookmarkEnd w:id="6"/>
      <w:bookmarkEnd w:id="7"/>
    </w:p>
    <w:p w14:paraId="44C5E152">
      <w:pPr>
        <w:pStyle w:val="4"/>
        <w:wordWrap w:val="0"/>
        <w:autoSpaceDE/>
        <w:autoSpaceDN/>
        <w:snapToGrid w:val="0"/>
        <w:spacing w:before="260" w:after="260" w:line="240" w:lineRule="auto"/>
        <w:jc w:val="both"/>
        <w:rPr>
          <w:rFonts w:hint="eastAsia" w:ascii="宋体" w:hAnsi="宋体" w:eastAsia="宋体" w:cs="宋体"/>
          <w:b/>
          <w:snapToGrid w:val="0"/>
          <w:color w:val="auto"/>
          <w:highlight w:val="none"/>
        </w:rPr>
      </w:pPr>
      <w:bookmarkStart w:id="9" w:name="_Hlt127175444"/>
      <w:bookmarkEnd w:id="9"/>
      <w:bookmarkStart w:id="10" w:name="_Toc861"/>
      <w:bookmarkStart w:id="11" w:name="_Toc18126"/>
      <w:bookmarkStart w:id="12" w:name="_Hlt120077520"/>
      <w:r>
        <w:rPr>
          <w:rFonts w:hint="eastAsia" w:ascii="宋体" w:hAnsi="宋体" w:eastAsia="宋体" w:cs="宋体"/>
          <w:b/>
          <w:snapToGrid w:val="0"/>
          <w:color w:val="auto"/>
          <w:highlight w:val="none"/>
        </w:rPr>
        <w:t>第一节</w:t>
      </w:r>
      <w:r>
        <w:rPr>
          <w:rFonts w:hint="eastAsia" w:ascii="宋体" w:hAnsi="宋体" w:eastAsia="宋体" w:cs="宋体"/>
          <w:b/>
          <w:snapToGrid w:val="0"/>
          <w:color w:val="auto"/>
          <w:highlight w:val="none"/>
          <w:lang w:val="en-US" w:eastAsia="zh-CN"/>
        </w:rPr>
        <w:t xml:space="preserve">   </w:t>
      </w:r>
      <w:r>
        <w:rPr>
          <w:rFonts w:hint="eastAsia" w:ascii="宋体" w:hAnsi="宋体" w:eastAsia="宋体" w:cs="宋体"/>
          <w:b/>
          <w:snapToGrid w:val="0"/>
          <w:color w:val="auto"/>
          <w:highlight w:val="none"/>
        </w:rPr>
        <w:t>投标人须知前附表</w:t>
      </w:r>
      <w:bookmarkEnd w:id="10"/>
      <w:bookmarkEnd w:id="11"/>
    </w:p>
    <w:tbl>
      <w:tblPr>
        <w:tblStyle w:val="17"/>
        <w:tblW w:w="97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896"/>
        <w:gridCol w:w="7120"/>
      </w:tblGrid>
      <w:tr w14:paraId="7665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5E4BF04F">
            <w:pPr>
              <w:keepNext w:val="0"/>
              <w:keepLines w:val="0"/>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b/>
                <w:bCs/>
                <w:snapToGrid w:val="0"/>
                <w:color w:val="auto"/>
                <w:kern w:val="0"/>
                <w:sz w:val="24"/>
                <w:szCs w:val="24"/>
                <w:highlight w:val="none"/>
                <w:lang w:val="en-US" w:eastAsia="zh-CN" w:bidi="ar-SA"/>
              </w:rPr>
            </w:pPr>
            <w:r>
              <w:rPr>
                <w:rFonts w:hint="eastAsia" w:ascii="宋体" w:hAnsi="宋体" w:eastAsia="宋体" w:cs="宋体"/>
                <w:b/>
                <w:bCs/>
                <w:snapToGrid w:val="0"/>
                <w:color w:val="auto"/>
                <w:kern w:val="0"/>
                <w:sz w:val="24"/>
                <w:szCs w:val="24"/>
                <w:highlight w:val="none"/>
              </w:rPr>
              <w:t>序号</w:t>
            </w:r>
          </w:p>
        </w:tc>
        <w:tc>
          <w:tcPr>
            <w:tcW w:w="1896" w:type="dxa"/>
            <w:shd w:val="clear" w:color="auto" w:fill="auto"/>
            <w:vAlign w:val="center"/>
          </w:tcPr>
          <w:p w14:paraId="05BEA91C">
            <w:pPr>
              <w:keepNext w:val="0"/>
              <w:keepLines w:val="0"/>
              <w:pageBreakBefore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b/>
                <w:bCs/>
                <w:snapToGrid w:val="0"/>
                <w:color w:val="auto"/>
                <w:kern w:val="0"/>
                <w:sz w:val="24"/>
                <w:szCs w:val="24"/>
                <w:highlight w:val="none"/>
                <w:lang w:val="en-US" w:eastAsia="zh-CN" w:bidi="ar-SA"/>
              </w:rPr>
            </w:pPr>
            <w:r>
              <w:rPr>
                <w:rFonts w:hint="eastAsia" w:ascii="宋体" w:hAnsi="宋体" w:eastAsia="宋体" w:cs="宋体"/>
                <w:b/>
                <w:bCs/>
                <w:snapToGrid w:val="0"/>
                <w:color w:val="auto"/>
                <w:kern w:val="0"/>
                <w:sz w:val="24"/>
                <w:szCs w:val="24"/>
                <w:highlight w:val="none"/>
              </w:rPr>
              <w:t>内容</w:t>
            </w:r>
          </w:p>
        </w:tc>
        <w:tc>
          <w:tcPr>
            <w:tcW w:w="7120" w:type="dxa"/>
            <w:shd w:val="clear" w:color="auto" w:fill="auto"/>
            <w:vAlign w:val="center"/>
          </w:tcPr>
          <w:p w14:paraId="78867035">
            <w:pPr>
              <w:keepNext w:val="0"/>
              <w:keepLines w:val="0"/>
              <w:pageBreakBefore w:val="0"/>
              <w:tabs>
                <w:tab w:val="left" w:pos="1180"/>
              </w:tabs>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b/>
                <w:bCs/>
                <w:snapToGrid w:val="0"/>
                <w:color w:val="auto"/>
                <w:kern w:val="0"/>
                <w:sz w:val="24"/>
                <w:szCs w:val="24"/>
                <w:highlight w:val="none"/>
                <w:lang w:val="en-US" w:eastAsia="zh-CN" w:bidi="ar-SA"/>
              </w:rPr>
            </w:pPr>
            <w:r>
              <w:rPr>
                <w:rFonts w:hint="eastAsia" w:ascii="宋体" w:hAnsi="宋体" w:eastAsia="宋体" w:cs="宋体"/>
                <w:b/>
                <w:bCs/>
                <w:snapToGrid w:val="0"/>
                <w:color w:val="auto"/>
                <w:kern w:val="0"/>
                <w:sz w:val="24"/>
                <w:szCs w:val="24"/>
                <w:highlight w:val="none"/>
              </w:rPr>
              <w:t>说明与要求</w:t>
            </w:r>
          </w:p>
        </w:tc>
      </w:tr>
      <w:tr w14:paraId="22C7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288E91D6">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p>
        </w:tc>
        <w:tc>
          <w:tcPr>
            <w:tcW w:w="1896" w:type="dxa"/>
            <w:shd w:val="clear" w:color="auto" w:fill="auto"/>
            <w:vAlign w:val="center"/>
          </w:tcPr>
          <w:p w14:paraId="35F1BC9A">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项目名称</w:t>
            </w:r>
          </w:p>
        </w:tc>
        <w:tc>
          <w:tcPr>
            <w:tcW w:w="7120" w:type="dxa"/>
            <w:shd w:val="clear" w:color="auto" w:fill="auto"/>
            <w:vAlign w:val="center"/>
          </w:tcPr>
          <w:p w14:paraId="6797BC9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Cs w:val="24"/>
                <w:highlight w:val="none"/>
                <w:lang w:eastAsia="zh-CN"/>
              </w:rPr>
              <w:t>广东省韶关市韶关高新技术产业开发区园区配套基础设施建设项目韶关数据中心集群起步区(浈江片区)公共管道及配套设施建设项目施工</w:t>
            </w:r>
          </w:p>
        </w:tc>
      </w:tr>
      <w:tr w14:paraId="08B5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18F1D1E8">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w:t>
            </w:r>
          </w:p>
        </w:tc>
        <w:tc>
          <w:tcPr>
            <w:tcW w:w="1896" w:type="dxa"/>
            <w:shd w:val="clear" w:color="auto" w:fill="auto"/>
            <w:vAlign w:val="center"/>
          </w:tcPr>
          <w:p w14:paraId="5C1B2CB7">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项目业主</w:t>
            </w:r>
          </w:p>
        </w:tc>
        <w:tc>
          <w:tcPr>
            <w:tcW w:w="7120" w:type="dxa"/>
            <w:shd w:val="clear" w:color="auto" w:fill="auto"/>
            <w:vAlign w:val="center"/>
          </w:tcPr>
          <w:p w14:paraId="0E39B76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Cs w:val="24"/>
                <w:highlight w:val="none"/>
                <w:lang w:val="en-US" w:eastAsia="zh-CN"/>
              </w:rPr>
            </w:pPr>
            <w:r>
              <w:rPr>
                <w:rFonts w:hint="eastAsia" w:ascii="宋体" w:hAnsi="宋体" w:eastAsia="宋体" w:cs="宋体"/>
                <w:bCs/>
                <w:snapToGrid w:val="0"/>
                <w:color w:val="auto"/>
                <w:kern w:val="0"/>
                <w:szCs w:val="24"/>
                <w:highlight w:val="none"/>
                <w:lang w:eastAsia="zh-CN"/>
              </w:rPr>
              <w:t>韶关高新技术产业开发区创业服务中心</w:t>
            </w:r>
          </w:p>
        </w:tc>
      </w:tr>
      <w:tr w14:paraId="26DA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55150632">
            <w:pPr>
              <w:keepNext w:val="0"/>
              <w:keepLines w:val="0"/>
              <w:pageBreakBefore w:val="0"/>
              <w:widowControl w:val="0"/>
              <w:kinsoku/>
              <w:wordWrap w:val="0"/>
              <w:overflowPunct/>
              <w:topLinePunct w:val="0"/>
              <w:autoSpaceDE/>
              <w:autoSpaceDN/>
              <w:bidi w:val="0"/>
              <w:adjustRightInd w:val="0"/>
              <w:snapToGrid w:val="0"/>
              <w:spacing w:line="42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3</w:t>
            </w:r>
          </w:p>
        </w:tc>
        <w:tc>
          <w:tcPr>
            <w:tcW w:w="1896" w:type="dxa"/>
            <w:shd w:val="clear" w:color="auto" w:fill="auto"/>
            <w:vAlign w:val="center"/>
          </w:tcPr>
          <w:p w14:paraId="44CE2A81">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项目批准部门及项目批准文号</w:t>
            </w:r>
          </w:p>
        </w:tc>
        <w:tc>
          <w:tcPr>
            <w:tcW w:w="7120" w:type="dxa"/>
            <w:shd w:val="clear" w:color="auto" w:fill="auto"/>
            <w:vAlign w:val="center"/>
          </w:tcPr>
          <w:p w14:paraId="28D9C06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Cs w:val="24"/>
                <w:highlight w:val="none"/>
                <w:lang w:val="en-US" w:eastAsia="zh-CN"/>
              </w:rPr>
            </w:pPr>
            <w:r>
              <w:rPr>
                <w:rFonts w:hint="eastAsia" w:ascii="宋体" w:hAnsi="宋体" w:eastAsia="宋体" w:cs="宋体"/>
                <w:bCs/>
                <w:snapToGrid w:val="0"/>
                <w:color w:val="auto"/>
                <w:kern w:val="0"/>
                <w:szCs w:val="24"/>
                <w:highlight w:val="none"/>
                <w:lang w:val="en-US" w:eastAsia="zh-CN"/>
              </w:rPr>
              <w:t>韶关高新技术产业开发区管理委员会</w:t>
            </w:r>
          </w:p>
          <w:p w14:paraId="5F2C285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Cs w:val="24"/>
                <w:highlight w:val="none"/>
                <w:lang w:val="en-US" w:eastAsia="zh-CN"/>
              </w:rPr>
            </w:pPr>
            <w:r>
              <w:rPr>
                <w:rFonts w:hint="eastAsia" w:ascii="宋体" w:hAnsi="宋体" w:eastAsia="宋体" w:cs="宋体"/>
                <w:bCs/>
                <w:snapToGrid w:val="0"/>
                <w:color w:val="auto"/>
                <w:kern w:val="0"/>
                <w:szCs w:val="24"/>
                <w:highlight w:val="none"/>
                <w:lang w:val="en-US" w:eastAsia="zh-CN"/>
              </w:rPr>
              <w:t>韶高新批字〔2022〕10号</w:t>
            </w:r>
          </w:p>
        </w:tc>
      </w:tr>
      <w:tr w14:paraId="386F1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69D1E0D1">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4</w:t>
            </w:r>
          </w:p>
        </w:tc>
        <w:tc>
          <w:tcPr>
            <w:tcW w:w="1896" w:type="dxa"/>
            <w:shd w:val="clear" w:color="auto" w:fill="auto"/>
            <w:vAlign w:val="center"/>
          </w:tcPr>
          <w:p w14:paraId="307962A1">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建设地点</w:t>
            </w:r>
          </w:p>
        </w:tc>
        <w:tc>
          <w:tcPr>
            <w:tcW w:w="7120" w:type="dxa"/>
            <w:shd w:val="clear" w:color="auto" w:fill="auto"/>
            <w:vAlign w:val="center"/>
          </w:tcPr>
          <w:p w14:paraId="4586441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Cs w:val="24"/>
                <w:highlight w:val="none"/>
                <w:lang w:val="en-US" w:eastAsia="zh-CN"/>
              </w:rPr>
            </w:pPr>
            <w:r>
              <w:rPr>
                <w:rFonts w:hint="eastAsia" w:ascii="宋体" w:hAnsi="宋体" w:eastAsia="宋体" w:cs="宋体"/>
                <w:bCs/>
                <w:snapToGrid w:val="0"/>
                <w:color w:val="auto"/>
                <w:kern w:val="0"/>
                <w:szCs w:val="24"/>
                <w:highlight w:val="none"/>
                <w:lang w:val="en-US" w:eastAsia="zh-CN"/>
              </w:rPr>
              <w:t>韶关高新区浈江产业园</w:t>
            </w:r>
          </w:p>
        </w:tc>
      </w:tr>
      <w:tr w14:paraId="519F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67130ACA">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5</w:t>
            </w:r>
          </w:p>
        </w:tc>
        <w:tc>
          <w:tcPr>
            <w:tcW w:w="1896" w:type="dxa"/>
            <w:shd w:val="clear" w:color="auto" w:fill="auto"/>
            <w:vAlign w:val="center"/>
          </w:tcPr>
          <w:p w14:paraId="4FE47C06">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项目代码</w:t>
            </w:r>
          </w:p>
        </w:tc>
        <w:tc>
          <w:tcPr>
            <w:tcW w:w="7120" w:type="dxa"/>
            <w:shd w:val="clear" w:color="auto" w:fill="auto"/>
            <w:vAlign w:val="center"/>
          </w:tcPr>
          <w:p w14:paraId="1886FB0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Cs w:val="24"/>
                <w:highlight w:val="none"/>
                <w:lang w:val="en-US" w:eastAsia="zh-CN"/>
              </w:rPr>
            </w:pPr>
            <w:r>
              <w:rPr>
                <w:rFonts w:hint="eastAsia" w:ascii="宋体" w:hAnsi="宋体" w:eastAsia="宋体" w:cs="宋体"/>
                <w:bCs/>
                <w:snapToGrid w:val="0"/>
                <w:color w:val="auto"/>
                <w:kern w:val="0"/>
                <w:szCs w:val="24"/>
                <w:highlight w:val="none"/>
                <w:lang w:val="en-US" w:eastAsia="zh-CN"/>
              </w:rPr>
              <w:t>2209-440200-04-01-487589</w:t>
            </w:r>
          </w:p>
        </w:tc>
      </w:tr>
      <w:tr w14:paraId="1FD7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5A77F8BF">
            <w:pPr>
              <w:keepNext w:val="0"/>
              <w:keepLines w:val="0"/>
              <w:pageBreakBefore w:val="0"/>
              <w:widowControl w:val="0"/>
              <w:kinsoku/>
              <w:wordWrap w:val="0"/>
              <w:overflowPunct/>
              <w:topLinePunct w:val="0"/>
              <w:autoSpaceDE/>
              <w:autoSpaceDN/>
              <w:bidi w:val="0"/>
              <w:adjustRightInd w:val="0"/>
              <w:snapToGrid w:val="0"/>
              <w:spacing w:line="42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6</w:t>
            </w:r>
          </w:p>
        </w:tc>
        <w:tc>
          <w:tcPr>
            <w:tcW w:w="1896" w:type="dxa"/>
            <w:shd w:val="clear" w:color="auto" w:fill="auto"/>
            <w:vAlign w:val="center"/>
          </w:tcPr>
          <w:p w14:paraId="274DB9A8">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680F8CDF">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及落实情况</w:t>
            </w:r>
          </w:p>
        </w:tc>
        <w:tc>
          <w:tcPr>
            <w:tcW w:w="7120" w:type="dxa"/>
            <w:shd w:val="clear" w:color="auto" w:fill="auto"/>
            <w:vAlign w:val="center"/>
          </w:tcPr>
          <w:p w14:paraId="482AEDE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Cs w:val="24"/>
                <w:highlight w:val="none"/>
                <w:lang w:val="en-US" w:eastAsia="zh-CN"/>
              </w:rPr>
            </w:pPr>
            <w:r>
              <w:rPr>
                <w:rFonts w:hint="eastAsia" w:ascii="宋体" w:hAnsi="宋体" w:eastAsia="宋体" w:cs="宋体"/>
                <w:bCs/>
                <w:snapToGrid w:val="0"/>
                <w:color w:val="auto"/>
                <w:kern w:val="0"/>
                <w:szCs w:val="24"/>
                <w:highlight w:val="none"/>
                <w:lang w:val="en-US" w:eastAsia="zh-CN"/>
              </w:rPr>
              <w:t>财政性资金、申请地方政府专项债券予以解决；100%。</w:t>
            </w:r>
          </w:p>
        </w:tc>
      </w:tr>
      <w:tr w14:paraId="3795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71935F83">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7</w:t>
            </w:r>
          </w:p>
        </w:tc>
        <w:tc>
          <w:tcPr>
            <w:tcW w:w="1896" w:type="dxa"/>
            <w:shd w:val="clear" w:color="auto" w:fill="auto"/>
            <w:vAlign w:val="center"/>
          </w:tcPr>
          <w:p w14:paraId="1FC56097">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招标人</w:t>
            </w:r>
          </w:p>
        </w:tc>
        <w:tc>
          <w:tcPr>
            <w:tcW w:w="7120" w:type="dxa"/>
            <w:shd w:val="clear" w:color="auto" w:fill="auto"/>
            <w:vAlign w:val="center"/>
          </w:tcPr>
          <w:p w14:paraId="056E1C0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Cs w:val="24"/>
                <w:highlight w:val="none"/>
                <w:lang w:val="en-US" w:eastAsia="zh-CN"/>
              </w:rPr>
            </w:pPr>
            <w:r>
              <w:rPr>
                <w:rFonts w:hint="eastAsia" w:ascii="宋体" w:hAnsi="宋体" w:eastAsia="宋体" w:cs="宋体"/>
                <w:bCs/>
                <w:snapToGrid w:val="0"/>
                <w:color w:val="auto"/>
                <w:kern w:val="0"/>
                <w:szCs w:val="24"/>
                <w:highlight w:val="none"/>
                <w:lang w:eastAsia="zh-CN"/>
              </w:rPr>
              <w:t>韶关工业园投资建设有限公司</w:t>
            </w:r>
          </w:p>
        </w:tc>
      </w:tr>
      <w:tr w14:paraId="452B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0E3F8C2D">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8</w:t>
            </w:r>
          </w:p>
        </w:tc>
        <w:tc>
          <w:tcPr>
            <w:tcW w:w="1896" w:type="dxa"/>
            <w:shd w:val="clear" w:color="auto" w:fill="auto"/>
            <w:vAlign w:val="center"/>
          </w:tcPr>
          <w:p w14:paraId="4AAA3877">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招标代理机构</w:t>
            </w:r>
          </w:p>
        </w:tc>
        <w:tc>
          <w:tcPr>
            <w:tcW w:w="7120" w:type="dxa"/>
            <w:shd w:val="clear" w:color="auto" w:fill="auto"/>
            <w:vAlign w:val="center"/>
          </w:tcPr>
          <w:p w14:paraId="7462D7F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Cs w:val="24"/>
                <w:highlight w:val="none"/>
                <w:lang w:val="en-US" w:eastAsia="zh-CN"/>
              </w:rPr>
            </w:pPr>
            <w:r>
              <w:rPr>
                <w:rFonts w:hint="eastAsia" w:ascii="宋体" w:hAnsi="宋体" w:eastAsia="宋体" w:cs="宋体"/>
                <w:bCs/>
                <w:snapToGrid w:val="0"/>
                <w:color w:val="auto"/>
                <w:kern w:val="0"/>
                <w:szCs w:val="24"/>
                <w:highlight w:val="none"/>
                <w:lang w:eastAsia="zh-CN"/>
              </w:rPr>
              <w:t>广东明正项目管理有限公司</w:t>
            </w:r>
          </w:p>
        </w:tc>
      </w:tr>
      <w:tr w14:paraId="5836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02BAAED6">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9</w:t>
            </w:r>
          </w:p>
        </w:tc>
        <w:tc>
          <w:tcPr>
            <w:tcW w:w="1896" w:type="dxa"/>
            <w:shd w:val="clear" w:color="auto" w:fill="auto"/>
            <w:vAlign w:val="center"/>
          </w:tcPr>
          <w:p w14:paraId="253032C3">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勘察</w:t>
            </w:r>
            <w:r>
              <w:rPr>
                <w:rFonts w:hint="eastAsia" w:ascii="宋体" w:hAnsi="宋体" w:eastAsia="宋体" w:cs="宋体"/>
                <w:snapToGrid w:val="0"/>
                <w:color w:val="auto"/>
                <w:kern w:val="0"/>
                <w:sz w:val="24"/>
                <w:szCs w:val="24"/>
                <w:highlight w:val="none"/>
              </w:rPr>
              <w:t>设计单位</w:t>
            </w:r>
          </w:p>
        </w:tc>
        <w:tc>
          <w:tcPr>
            <w:tcW w:w="7120" w:type="dxa"/>
            <w:shd w:val="clear" w:color="auto" w:fill="auto"/>
            <w:vAlign w:val="center"/>
          </w:tcPr>
          <w:p w14:paraId="4BB8943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韶关市擎能设计有限公司</w:t>
            </w:r>
          </w:p>
        </w:tc>
      </w:tr>
      <w:tr w14:paraId="4B4E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6738305E">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10</w:t>
            </w:r>
          </w:p>
        </w:tc>
        <w:tc>
          <w:tcPr>
            <w:tcW w:w="1896" w:type="dxa"/>
            <w:shd w:val="clear" w:color="auto" w:fill="auto"/>
            <w:vAlign w:val="center"/>
          </w:tcPr>
          <w:p w14:paraId="621F53CC">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造价咨询单位</w:t>
            </w:r>
          </w:p>
        </w:tc>
        <w:tc>
          <w:tcPr>
            <w:tcW w:w="7120" w:type="dxa"/>
            <w:shd w:val="clear" w:color="auto" w:fill="auto"/>
            <w:vAlign w:val="center"/>
          </w:tcPr>
          <w:p w14:paraId="5748F30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□非全过程造价咨询     ☑全过程造价咨询</w:t>
            </w:r>
          </w:p>
        </w:tc>
      </w:tr>
      <w:tr w14:paraId="4E22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75B43457">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11</w:t>
            </w:r>
          </w:p>
        </w:tc>
        <w:tc>
          <w:tcPr>
            <w:tcW w:w="1896" w:type="dxa"/>
            <w:shd w:val="clear" w:color="auto" w:fill="auto"/>
            <w:vAlign w:val="center"/>
          </w:tcPr>
          <w:p w14:paraId="1E7188BA">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监理单位</w:t>
            </w:r>
          </w:p>
        </w:tc>
        <w:tc>
          <w:tcPr>
            <w:tcW w:w="7120" w:type="dxa"/>
            <w:shd w:val="clear" w:color="auto" w:fill="auto"/>
            <w:vAlign w:val="center"/>
          </w:tcPr>
          <w:p w14:paraId="30D06F3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□已确定监理单位       ☑未确定监理单位</w:t>
            </w:r>
          </w:p>
        </w:tc>
      </w:tr>
      <w:tr w14:paraId="0BEA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49F50F11">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12</w:t>
            </w:r>
          </w:p>
        </w:tc>
        <w:tc>
          <w:tcPr>
            <w:tcW w:w="1896" w:type="dxa"/>
            <w:shd w:val="clear" w:color="auto" w:fill="auto"/>
            <w:vAlign w:val="center"/>
          </w:tcPr>
          <w:p w14:paraId="7949B8E4">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建设内容和规模</w:t>
            </w:r>
          </w:p>
        </w:tc>
        <w:tc>
          <w:tcPr>
            <w:tcW w:w="7120" w:type="dxa"/>
            <w:shd w:val="clear" w:color="auto" w:fill="auto"/>
            <w:vAlign w:val="center"/>
          </w:tcPr>
          <w:p w14:paraId="40EBB39F">
            <w:pPr>
              <w:keepNext w:val="0"/>
              <w:keepLines w:val="0"/>
              <w:widowControl/>
              <w:numPr>
                <w:ilvl w:val="0"/>
                <w:numId w:val="0"/>
              </w:numPr>
              <w:suppressLineNumbers w:val="0"/>
              <w:ind w:left="0" w:leftChars="0" w:firstLine="480" w:firstLineChars="200"/>
              <w:jc w:val="left"/>
              <w:rPr>
                <w:rFonts w:hint="eastAsia" w:ascii="宋体" w:hAnsi="宋体" w:eastAsia="宋体" w:cs="宋体"/>
                <w:color w:val="auto"/>
                <w:kern w:val="2"/>
                <w:sz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rPr>
              <w:t>本项目位于高新区浈江片区，主要建设内容包括项目新建220千伏输电工程总长度量约为3.483km，其中从220kV智良站～腾讯站，新建电缆路径全长约2.57km；从220kV数据2站-腾讯站，新建电缆路径长约0.913km。工程建设包括沿线路面破除和修复、施工便道建设、电缆沟、浅槽、工作井、电缆埋管、电缆廊道、廊道工作井、电缆顶管、地基处理等。</w:t>
            </w:r>
          </w:p>
        </w:tc>
      </w:tr>
      <w:tr w14:paraId="1E7A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63E5FCA9">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13</w:t>
            </w:r>
          </w:p>
        </w:tc>
        <w:tc>
          <w:tcPr>
            <w:tcW w:w="1896" w:type="dxa"/>
            <w:shd w:val="clear" w:color="auto" w:fill="auto"/>
            <w:vAlign w:val="center"/>
          </w:tcPr>
          <w:p w14:paraId="10A48EB8">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rPr>
              <w:t>项目总投资</w:t>
            </w:r>
          </w:p>
        </w:tc>
        <w:tc>
          <w:tcPr>
            <w:tcW w:w="7120" w:type="dxa"/>
            <w:shd w:val="clear" w:color="auto" w:fill="auto"/>
            <w:vAlign w:val="center"/>
          </w:tcPr>
          <w:p w14:paraId="7BFAAA30">
            <w:pPr>
              <w:keepNext w:val="0"/>
              <w:keepLines w:val="0"/>
              <w:pageBreakBefore w:val="0"/>
              <w:widowControl/>
              <w:suppressLineNumbers w:val="0"/>
              <w:kinsoku/>
              <w:overflowPunct/>
              <w:topLinePunct w:val="0"/>
              <w:autoSpaceDE/>
              <w:autoSpaceDN/>
              <w:bidi w:val="0"/>
              <w:spacing w:line="360" w:lineRule="auto"/>
              <w:ind w:firstLine="480" w:firstLineChars="200"/>
              <w:jc w:val="left"/>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项目概算投资额</w:t>
            </w:r>
            <w:r>
              <w:rPr>
                <w:rFonts w:hint="eastAsia" w:ascii="宋体" w:hAnsi="宋体" w:eastAsia="宋体" w:cs="宋体"/>
                <w:color w:val="auto"/>
                <w:szCs w:val="22"/>
                <w:highlight w:val="none"/>
                <w:lang w:val="en-US" w:eastAsia="zh-CN"/>
              </w:rPr>
              <w:t>2711.50万元，其中暂定预算建安费1458.24万元。</w:t>
            </w:r>
          </w:p>
        </w:tc>
      </w:tr>
      <w:tr w14:paraId="0025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2366B09C">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14</w:t>
            </w:r>
          </w:p>
        </w:tc>
        <w:tc>
          <w:tcPr>
            <w:tcW w:w="1896" w:type="dxa"/>
            <w:shd w:val="clear" w:color="auto" w:fill="auto"/>
            <w:vAlign w:val="center"/>
          </w:tcPr>
          <w:p w14:paraId="3D986E6B">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招标范围</w:t>
            </w:r>
          </w:p>
        </w:tc>
        <w:tc>
          <w:tcPr>
            <w:tcW w:w="7120" w:type="dxa"/>
            <w:shd w:val="clear" w:color="auto" w:fill="auto"/>
            <w:vAlign w:val="center"/>
          </w:tcPr>
          <w:p w14:paraId="03C0B1A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eastAsia="zh-CN"/>
              </w:rPr>
              <w:t>按审查合格的施工图纸及工程量清单内容施工。</w:t>
            </w:r>
          </w:p>
        </w:tc>
      </w:tr>
      <w:tr w14:paraId="66A9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3627D3B3">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15</w:t>
            </w:r>
          </w:p>
        </w:tc>
        <w:tc>
          <w:tcPr>
            <w:tcW w:w="1896" w:type="dxa"/>
            <w:shd w:val="clear" w:color="auto" w:fill="auto"/>
            <w:vAlign w:val="center"/>
          </w:tcPr>
          <w:p w14:paraId="0161549B">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标段划分</w:t>
            </w:r>
          </w:p>
        </w:tc>
        <w:tc>
          <w:tcPr>
            <w:tcW w:w="7120" w:type="dxa"/>
            <w:shd w:val="clear" w:color="auto" w:fill="auto"/>
            <w:vAlign w:val="center"/>
          </w:tcPr>
          <w:p w14:paraId="16BD9DA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本招标项目不划分标段。</w:t>
            </w:r>
          </w:p>
        </w:tc>
      </w:tr>
      <w:tr w14:paraId="5FC3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3EFAE6D5">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16</w:t>
            </w:r>
          </w:p>
        </w:tc>
        <w:tc>
          <w:tcPr>
            <w:tcW w:w="1896" w:type="dxa"/>
            <w:shd w:val="clear" w:color="auto" w:fill="auto"/>
            <w:vAlign w:val="center"/>
          </w:tcPr>
          <w:p w14:paraId="0DFBABAC">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工期</w:t>
            </w:r>
          </w:p>
        </w:tc>
        <w:tc>
          <w:tcPr>
            <w:tcW w:w="7120" w:type="dxa"/>
            <w:shd w:val="clear" w:color="auto" w:fill="auto"/>
            <w:vAlign w:val="center"/>
          </w:tcPr>
          <w:p w14:paraId="3D59D50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w:t>
            </w:r>
            <w:r>
              <w:rPr>
                <w:rFonts w:hint="eastAsia" w:ascii="宋体" w:hAnsi="宋体" w:eastAsia="宋体" w:cs="宋体"/>
                <w:color w:val="auto"/>
                <w:szCs w:val="22"/>
                <w:highlight w:val="none"/>
                <w:lang w:val="en-US" w:eastAsia="zh-CN"/>
              </w:rPr>
              <w:t>招标项目招标工期为</w:t>
            </w:r>
            <w:r>
              <w:rPr>
                <w:rFonts w:hint="eastAsia" w:ascii="宋体" w:hAnsi="宋体" w:eastAsia="宋体" w:cs="宋体"/>
                <w:color w:val="auto"/>
                <w:sz w:val="24"/>
                <w:szCs w:val="24"/>
                <w:highlight w:val="none"/>
                <w:u w:val="single"/>
                <w:lang w:val="en-US" w:eastAsia="zh-CN"/>
              </w:rPr>
              <w:t>120</w:t>
            </w:r>
            <w:r>
              <w:rPr>
                <w:rFonts w:hint="eastAsia" w:ascii="宋体" w:hAnsi="宋体" w:eastAsia="宋体" w:cs="宋体"/>
                <w:color w:val="auto"/>
                <w:sz w:val="24"/>
                <w:szCs w:val="24"/>
                <w:highlight w:val="none"/>
                <w:lang w:val="en-US" w:eastAsia="zh-CN"/>
              </w:rPr>
              <w:t>个日历天。具体如下：</w:t>
            </w:r>
          </w:p>
          <w:p w14:paraId="1A9CB52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☑总工期：</w:t>
            </w:r>
            <w:r>
              <w:rPr>
                <w:rFonts w:hint="eastAsia" w:ascii="宋体" w:hAnsi="宋体" w:eastAsia="宋体" w:cs="宋体"/>
                <w:color w:val="auto"/>
                <w:sz w:val="24"/>
                <w:szCs w:val="24"/>
                <w:highlight w:val="none"/>
                <w:u w:val="single"/>
                <w:lang w:val="en-US" w:eastAsia="zh-CN"/>
              </w:rPr>
              <w:t>120</w:t>
            </w:r>
            <w:r>
              <w:rPr>
                <w:rFonts w:hint="eastAsia" w:ascii="宋体" w:hAnsi="宋体" w:eastAsia="宋体" w:cs="宋体"/>
                <w:color w:val="auto"/>
                <w:sz w:val="24"/>
                <w:szCs w:val="24"/>
                <w:highlight w:val="none"/>
                <w:lang w:val="en-US" w:eastAsia="zh-CN"/>
              </w:rPr>
              <w:t>天（日历天）。</w:t>
            </w:r>
          </w:p>
          <w:p w14:paraId="0FA34E3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□计划开工日期：</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年</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日（具体开工日期以合同为准）</w:t>
            </w:r>
          </w:p>
          <w:p w14:paraId="1E7E39B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□计划竣工日期：</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年</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日</w:t>
            </w:r>
          </w:p>
          <w:p w14:paraId="6D2B864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□除上述总工期外，发包人还要求以下阶段工期：</w:t>
            </w:r>
            <w:r>
              <w:rPr>
                <w:rFonts w:hint="eastAsia" w:ascii="宋体" w:hAnsi="宋体" w:eastAsia="宋体" w:cs="宋体"/>
                <w:color w:val="auto"/>
                <w:sz w:val="24"/>
                <w:szCs w:val="24"/>
                <w:highlight w:val="none"/>
                <w:u w:val="single"/>
                <w:lang w:val="en-US" w:eastAsia="zh-CN"/>
              </w:rPr>
              <w:t xml:space="preserve">  /   </w:t>
            </w:r>
          </w:p>
        </w:tc>
      </w:tr>
      <w:tr w14:paraId="0BD7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5B2E2A5F">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7</w:t>
            </w:r>
          </w:p>
        </w:tc>
        <w:tc>
          <w:tcPr>
            <w:tcW w:w="1896" w:type="dxa"/>
            <w:shd w:val="clear" w:color="auto" w:fill="auto"/>
            <w:vAlign w:val="center"/>
          </w:tcPr>
          <w:p w14:paraId="5A7A8D6A">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质量标准</w:t>
            </w:r>
          </w:p>
        </w:tc>
        <w:tc>
          <w:tcPr>
            <w:tcW w:w="7120" w:type="dxa"/>
            <w:shd w:val="clear" w:color="auto" w:fill="auto"/>
            <w:vAlign w:val="center"/>
          </w:tcPr>
          <w:p w14:paraId="080D382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 w:val="24"/>
                <w:szCs w:val="24"/>
                <w:highlight w:val="none"/>
                <w:u w:val="single"/>
                <w:lang w:eastAsia="zh-CN"/>
              </w:rPr>
            </w:pPr>
            <w:r>
              <w:rPr>
                <w:rFonts w:hint="eastAsia" w:ascii="宋体" w:hAnsi="宋体" w:eastAsia="宋体" w:cs="宋体"/>
                <w:bCs/>
                <w:snapToGrid w:val="0"/>
                <w:color w:val="auto"/>
                <w:kern w:val="0"/>
                <w:sz w:val="24"/>
                <w:szCs w:val="24"/>
                <w:highlight w:val="none"/>
                <w:lang w:eastAsia="zh-CN"/>
              </w:rPr>
              <w:t>☑质量目标：</w:t>
            </w:r>
            <w:r>
              <w:rPr>
                <w:rFonts w:hint="eastAsia" w:ascii="宋体" w:hAnsi="宋体" w:eastAsia="宋体" w:cs="宋体"/>
                <w:bCs/>
                <w:snapToGrid w:val="0"/>
                <w:color w:val="auto"/>
                <w:kern w:val="0"/>
                <w:sz w:val="24"/>
                <w:szCs w:val="24"/>
                <w:highlight w:val="none"/>
                <w:u w:val="single"/>
                <w:lang w:eastAsia="zh-CN"/>
              </w:rPr>
              <w:t>合格</w:t>
            </w:r>
          </w:p>
          <w:p w14:paraId="23CCA8A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bCs/>
                <w:snapToGrid w:val="0"/>
                <w:color w:val="auto"/>
                <w:kern w:val="0"/>
                <w:sz w:val="24"/>
                <w:szCs w:val="24"/>
                <w:highlight w:val="none"/>
                <w:lang w:eastAsia="zh-CN"/>
              </w:rPr>
              <w:t>☑质量标准：</w:t>
            </w:r>
            <w:r>
              <w:rPr>
                <w:rFonts w:hint="eastAsia" w:ascii="宋体" w:hAnsi="宋体" w:eastAsia="宋体" w:cs="宋体"/>
                <w:bCs/>
                <w:snapToGrid w:val="0"/>
                <w:color w:val="auto"/>
                <w:kern w:val="0"/>
                <w:sz w:val="24"/>
                <w:szCs w:val="24"/>
                <w:highlight w:val="none"/>
                <w:u w:val="single"/>
                <w:lang w:eastAsia="zh-CN"/>
              </w:rPr>
              <w:t>符合现行国家有关工程施工质量验收规范和标准的要求</w:t>
            </w:r>
            <w:r>
              <w:rPr>
                <w:rFonts w:hint="eastAsia" w:ascii="宋体" w:hAnsi="宋体" w:eastAsia="宋体" w:cs="宋体"/>
                <w:bCs/>
                <w:snapToGrid w:val="0"/>
                <w:color w:val="auto"/>
                <w:kern w:val="0"/>
                <w:sz w:val="24"/>
                <w:szCs w:val="24"/>
                <w:highlight w:val="none"/>
                <w:u w:val="none"/>
                <w:lang w:eastAsia="zh-CN"/>
              </w:rPr>
              <w:t>。</w:t>
            </w:r>
          </w:p>
          <w:p w14:paraId="100E2C6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 w:val="24"/>
                <w:szCs w:val="24"/>
                <w:highlight w:val="none"/>
                <w:u w:val="single"/>
                <w:lang w:eastAsia="zh-CN"/>
              </w:rPr>
            </w:pPr>
            <w:r>
              <w:rPr>
                <w:rFonts w:hint="eastAsia" w:ascii="宋体" w:hAnsi="宋体" w:eastAsia="宋体" w:cs="宋体"/>
                <w:bCs/>
                <w:snapToGrid w:val="0"/>
                <w:color w:val="auto"/>
                <w:kern w:val="0"/>
                <w:sz w:val="24"/>
                <w:szCs w:val="24"/>
                <w:highlight w:val="none"/>
                <w:lang w:eastAsia="zh-CN"/>
              </w:rPr>
              <w:t>□优质工程要求：</w:t>
            </w:r>
            <w:r>
              <w:rPr>
                <w:rFonts w:hint="eastAsia" w:ascii="宋体" w:hAnsi="宋体" w:eastAsia="宋体" w:cs="宋体"/>
                <w:bCs/>
                <w:snapToGrid w:val="0"/>
                <w:color w:val="auto"/>
                <w:kern w:val="0"/>
                <w:sz w:val="24"/>
                <w:szCs w:val="24"/>
                <w:highlight w:val="none"/>
                <w:u w:val="single"/>
                <w:lang w:eastAsia="zh-CN"/>
              </w:rPr>
              <w:t>无</w:t>
            </w:r>
          </w:p>
          <w:p w14:paraId="138DE02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eastAsia="zh-CN"/>
              </w:rPr>
              <w:t>工程优质费：☑无</w:t>
            </w:r>
            <w:r>
              <w:rPr>
                <w:rFonts w:hint="eastAsia" w:ascii="宋体" w:hAnsi="宋体" w:eastAsia="宋体" w:cs="宋体"/>
                <w:bCs/>
                <w:snapToGrid w:val="0"/>
                <w:color w:val="auto"/>
                <w:kern w:val="0"/>
                <w:sz w:val="24"/>
                <w:szCs w:val="24"/>
                <w:highlight w:val="none"/>
                <w:lang w:val="en-US" w:eastAsia="zh-CN"/>
              </w:rPr>
              <w:t xml:space="preserve">   </w:t>
            </w:r>
            <w:r>
              <w:rPr>
                <w:rFonts w:hint="eastAsia" w:ascii="宋体" w:hAnsi="宋体" w:eastAsia="宋体" w:cs="宋体"/>
                <w:bCs/>
                <w:snapToGrid w:val="0"/>
                <w:color w:val="auto"/>
                <w:kern w:val="0"/>
                <w:sz w:val="24"/>
                <w:szCs w:val="24"/>
                <w:highlight w:val="none"/>
                <w:lang w:eastAsia="zh-CN"/>
              </w:rPr>
              <w:t>□有：</w:t>
            </w:r>
            <w:r>
              <w:rPr>
                <w:rFonts w:hint="eastAsia" w:ascii="宋体" w:hAnsi="宋体" w:eastAsia="宋体" w:cs="宋体"/>
                <w:bCs/>
                <w:snapToGrid w:val="0"/>
                <w:color w:val="auto"/>
                <w:kern w:val="0"/>
                <w:sz w:val="24"/>
                <w:szCs w:val="24"/>
                <w:highlight w:val="none"/>
                <w:u w:val="single"/>
                <w:lang w:val="en-US" w:eastAsia="zh-CN"/>
              </w:rPr>
              <w:t xml:space="preserve">   </w:t>
            </w:r>
          </w:p>
        </w:tc>
      </w:tr>
      <w:tr w14:paraId="4747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3D6C6384">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18</w:t>
            </w:r>
          </w:p>
        </w:tc>
        <w:tc>
          <w:tcPr>
            <w:tcW w:w="1896" w:type="dxa"/>
            <w:shd w:val="clear" w:color="auto" w:fill="auto"/>
            <w:vAlign w:val="center"/>
          </w:tcPr>
          <w:p w14:paraId="221AE082">
            <w:pPr>
              <w:keepNext w:val="0"/>
              <w:keepLines w:val="0"/>
              <w:pageBreakBefore w:val="0"/>
              <w:widowControl/>
              <w:suppressLineNumbers w:val="0"/>
              <w:kinsoku/>
              <w:overflowPunct/>
              <w:topLinePunct w:val="0"/>
              <w:autoSpaceDE/>
              <w:autoSpaceDN/>
              <w:bidi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合同类型</w:t>
            </w:r>
          </w:p>
        </w:tc>
        <w:tc>
          <w:tcPr>
            <w:tcW w:w="7120" w:type="dxa"/>
            <w:shd w:val="clear" w:color="auto" w:fill="auto"/>
            <w:vAlign w:val="center"/>
          </w:tcPr>
          <w:p w14:paraId="1CF6F1A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bCs/>
                <w:snapToGrid w:val="0"/>
                <w:color w:val="auto"/>
                <w:kern w:val="0"/>
                <w:sz w:val="24"/>
                <w:szCs w:val="24"/>
                <w:highlight w:val="none"/>
                <w:lang w:eastAsia="zh-CN"/>
              </w:rPr>
              <w:t>☑单价合同：发承包双方约定以工程量清单及其综合单价进行合同价款计算、调整和确认的建设工程施工合同。</w:t>
            </w:r>
          </w:p>
          <w:p w14:paraId="5C1E27C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0A11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14:paraId="48930763">
            <w:pPr>
              <w:rPr>
                <w:rFonts w:hint="eastAsia" w:ascii="宋体" w:hAnsi="宋体" w:eastAsia="宋体" w:cs="宋体"/>
                <w:color w:val="auto"/>
                <w:highlight w:val="none"/>
                <w:vertAlign w:val="baseline"/>
              </w:rPr>
            </w:pPr>
          </w:p>
        </w:tc>
        <w:tc>
          <w:tcPr>
            <w:tcW w:w="1896" w:type="dxa"/>
            <w:vAlign w:val="center"/>
          </w:tcPr>
          <w:p w14:paraId="43430BBE">
            <w:pPr>
              <w:rPr>
                <w:rFonts w:hint="eastAsia" w:ascii="宋体" w:hAnsi="宋体" w:eastAsia="宋体" w:cs="宋体"/>
                <w:color w:val="auto"/>
                <w:highlight w:val="none"/>
                <w:vertAlign w:val="baseline"/>
              </w:rPr>
            </w:pPr>
          </w:p>
        </w:tc>
        <w:tc>
          <w:tcPr>
            <w:tcW w:w="7120" w:type="dxa"/>
            <w:shd w:val="clear" w:color="auto" w:fill="auto"/>
            <w:vAlign w:val="center"/>
          </w:tcPr>
          <w:p w14:paraId="1267B8C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bCs/>
                <w:snapToGrid w:val="0"/>
                <w:color w:val="auto"/>
                <w:kern w:val="0"/>
                <w:sz w:val="24"/>
                <w:szCs w:val="24"/>
                <w:highlight w:val="none"/>
                <w:lang w:eastAsia="zh-CN"/>
              </w:rPr>
              <w:t>□总价合同：发承包双方约定以施工图及其预算和有关条件进行合同价款计算、调整和确认的建设工程施工合同。</w:t>
            </w:r>
          </w:p>
          <w:p w14:paraId="707C39A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15F0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5A687328">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9</w:t>
            </w:r>
          </w:p>
        </w:tc>
        <w:tc>
          <w:tcPr>
            <w:tcW w:w="1896" w:type="dxa"/>
            <w:shd w:val="clear" w:color="auto" w:fill="auto"/>
            <w:vAlign w:val="center"/>
          </w:tcPr>
          <w:p w14:paraId="4156D535">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房屋建筑工程</w:t>
            </w:r>
          </w:p>
          <w:p w14:paraId="612B0E28">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绿色建筑标准</w:t>
            </w:r>
          </w:p>
        </w:tc>
        <w:tc>
          <w:tcPr>
            <w:tcW w:w="7120" w:type="dxa"/>
            <w:shd w:val="clear" w:color="auto" w:fill="auto"/>
            <w:vAlign w:val="center"/>
          </w:tcPr>
          <w:p w14:paraId="104F588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iCs/>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本招标项目</w:t>
            </w:r>
            <w:r>
              <w:rPr>
                <w:rFonts w:hint="eastAsia" w:ascii="宋体" w:hAnsi="宋体" w:eastAsia="宋体" w:cs="宋体"/>
                <w:snapToGrid w:val="0"/>
                <w:color w:val="auto"/>
                <w:kern w:val="0"/>
                <w:sz w:val="24"/>
                <w:szCs w:val="24"/>
                <w:highlight w:val="none"/>
                <w:u w:val="single"/>
                <w:lang w:eastAsia="zh-CN"/>
              </w:rPr>
              <w:t>不纳入</w:t>
            </w:r>
            <w:r>
              <w:rPr>
                <w:rFonts w:hint="eastAsia" w:ascii="宋体" w:hAnsi="宋体" w:eastAsia="宋体" w:cs="宋体"/>
                <w:snapToGrid w:val="0"/>
                <w:color w:val="auto"/>
                <w:kern w:val="0"/>
                <w:sz w:val="24"/>
                <w:szCs w:val="24"/>
                <w:highlight w:val="none"/>
                <w:lang w:eastAsia="zh-CN"/>
              </w:rPr>
              <w:t>绿色建设实施范围。</w:t>
            </w:r>
          </w:p>
        </w:tc>
      </w:tr>
      <w:tr w14:paraId="75C6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72C3D4F9">
            <w:pPr>
              <w:keepNext w:val="0"/>
              <w:keepLines w:val="0"/>
              <w:pageBreakBefore w:val="0"/>
              <w:widowControl w:val="0"/>
              <w:kinsoku/>
              <w:wordWrap w:val="0"/>
              <w:overflowPunct/>
              <w:topLinePunct w:val="0"/>
              <w:autoSpaceDE/>
              <w:autoSpaceDN/>
              <w:bidi w:val="0"/>
              <w:adjustRightInd w:val="0"/>
              <w:snapToGrid w:val="0"/>
              <w:spacing w:before="0" w:after="0" w:line="500" w:lineRule="exact"/>
              <w:ind w:left="0" w:leftChars="0" w:right="0" w:rightChars="0" w:firstLine="0" w:firstLineChars="0"/>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lang w:val="en-US" w:eastAsia="zh-CN"/>
              </w:rPr>
              <w:t>19.1</w:t>
            </w:r>
          </w:p>
        </w:tc>
        <w:tc>
          <w:tcPr>
            <w:tcW w:w="1896" w:type="dxa"/>
            <w:shd w:val="clear" w:color="auto" w:fill="auto"/>
            <w:vAlign w:val="center"/>
          </w:tcPr>
          <w:p w14:paraId="7F69FD73">
            <w:pPr>
              <w:keepNext w:val="0"/>
              <w:keepLines w:val="0"/>
              <w:pageBreakBefore w:val="0"/>
              <w:widowControl w:val="0"/>
              <w:kinsoku/>
              <w:wordWrap w:val="0"/>
              <w:overflowPunct/>
              <w:topLinePunct w:val="0"/>
              <w:autoSpaceDE/>
              <w:autoSpaceDN/>
              <w:bidi w:val="0"/>
              <w:adjustRightInd w:val="0"/>
              <w:snapToGrid w:val="0"/>
              <w:spacing w:before="0" w:after="0" w:line="50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aps w:val="0"/>
                <w:smallCaps w:val="0"/>
                <w:strike w:val="0"/>
                <w:dstrike w:val="0"/>
                <w:snapToGrid w:val="0"/>
                <w:color w:val="auto"/>
                <w:spacing w:val="0"/>
                <w:kern w:val="0"/>
                <w:sz w:val="24"/>
                <w:szCs w:val="24"/>
                <w:highlight w:val="none"/>
                <w:lang w:eastAsia="zh-CN"/>
              </w:rPr>
              <w:t>装配式建筑标准</w:t>
            </w:r>
          </w:p>
        </w:tc>
        <w:tc>
          <w:tcPr>
            <w:tcW w:w="7120" w:type="dxa"/>
            <w:shd w:val="clear" w:color="auto" w:fill="auto"/>
            <w:vAlign w:val="center"/>
          </w:tcPr>
          <w:p w14:paraId="5AA9D0D2">
            <w:pPr>
              <w:keepNext w:val="0"/>
              <w:keepLines w:val="0"/>
              <w:pageBreakBefore w:val="0"/>
              <w:widowControl w:val="0"/>
              <w:numPr>
                <w:ilvl w:val="0"/>
                <w:numId w:val="0"/>
              </w:numPr>
              <w:kinsoku/>
              <w:wordWrap w:val="0"/>
              <w:overflowPunct/>
              <w:topLinePunct w:val="0"/>
              <w:autoSpaceDE/>
              <w:autoSpaceDN/>
              <w:bidi w:val="0"/>
              <w:adjustRightInd w:val="0"/>
              <w:snapToGrid w:val="0"/>
              <w:spacing w:before="0" w:after="0" w:line="360" w:lineRule="auto"/>
              <w:ind w:left="0" w:leftChars="0" w:right="0" w:rightChars="0" w:firstLine="480" w:firstLineChars="200"/>
              <w:textAlignment w:val="auto"/>
              <w:outlineLvl w:val="9"/>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本</w:t>
            </w:r>
            <w:r>
              <w:rPr>
                <w:rFonts w:hint="eastAsia" w:ascii="宋体" w:hAnsi="宋体" w:eastAsia="宋体" w:cs="宋体"/>
                <w:snapToGrid w:val="0"/>
                <w:color w:val="auto"/>
                <w:kern w:val="0"/>
                <w:sz w:val="24"/>
                <w:szCs w:val="24"/>
                <w:highlight w:val="none"/>
                <w:lang w:eastAsia="zh-CN"/>
              </w:rPr>
              <w:t>招标项目</w:t>
            </w:r>
            <w:r>
              <w:rPr>
                <w:rFonts w:hint="eastAsia" w:ascii="宋体" w:hAnsi="宋体" w:eastAsia="宋体" w:cs="宋体"/>
                <w:snapToGrid w:val="0"/>
                <w:color w:val="auto"/>
                <w:kern w:val="0"/>
                <w:sz w:val="24"/>
                <w:szCs w:val="24"/>
                <w:highlight w:val="none"/>
                <w:u w:val="single"/>
                <w:lang w:val="en-US" w:eastAsia="zh-CN"/>
              </w:rPr>
              <w:t>不</w:t>
            </w:r>
            <w:r>
              <w:rPr>
                <w:rFonts w:hint="eastAsia" w:ascii="宋体" w:hAnsi="宋体" w:eastAsia="宋体" w:cs="宋体"/>
                <w:snapToGrid w:val="0"/>
                <w:color w:val="auto"/>
                <w:kern w:val="0"/>
                <w:sz w:val="24"/>
                <w:szCs w:val="24"/>
                <w:highlight w:val="none"/>
                <w:u w:val="single"/>
                <w:lang w:eastAsia="zh-CN"/>
              </w:rPr>
              <w:t>纳入</w:t>
            </w:r>
            <w:r>
              <w:rPr>
                <w:rFonts w:hint="eastAsia" w:ascii="宋体" w:hAnsi="宋体" w:eastAsia="宋体" w:cs="宋体"/>
                <w:snapToGrid w:val="0"/>
                <w:color w:val="auto"/>
                <w:kern w:val="0"/>
                <w:sz w:val="24"/>
                <w:szCs w:val="24"/>
                <w:highlight w:val="none"/>
                <w:lang w:eastAsia="zh-CN"/>
              </w:rPr>
              <w:t>装配式建造建设实施范围。</w:t>
            </w:r>
          </w:p>
        </w:tc>
      </w:tr>
      <w:tr w14:paraId="3D76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3D098ABE">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20</w:t>
            </w:r>
          </w:p>
        </w:tc>
        <w:tc>
          <w:tcPr>
            <w:tcW w:w="1896" w:type="dxa"/>
            <w:shd w:val="clear" w:color="auto" w:fill="auto"/>
            <w:vAlign w:val="center"/>
          </w:tcPr>
          <w:p w14:paraId="67486246">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发包人提供材料</w:t>
            </w:r>
          </w:p>
          <w:p w14:paraId="31F1C20D">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b w:val="0"/>
                <w:bCs w:val="0"/>
                <w:strike/>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rPr>
              <w:t>和工程设备</w:t>
            </w:r>
          </w:p>
        </w:tc>
        <w:tc>
          <w:tcPr>
            <w:tcW w:w="7120" w:type="dxa"/>
            <w:shd w:val="clear" w:color="auto" w:fill="auto"/>
            <w:vAlign w:val="center"/>
          </w:tcPr>
          <w:p w14:paraId="09F3FB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rPr>
              <w:t>发包人提供材料和工程设备：☑无    □有：</w:t>
            </w:r>
            <w:r>
              <w:rPr>
                <w:rFonts w:hint="eastAsia" w:ascii="宋体" w:hAnsi="宋体" w:eastAsia="宋体" w:cs="宋体"/>
                <w:b w:val="0"/>
                <w:bCs w:val="0"/>
                <w:snapToGrid w:val="0"/>
                <w:color w:val="auto"/>
                <w:kern w:val="0"/>
                <w:sz w:val="24"/>
                <w:szCs w:val="24"/>
                <w:highlight w:val="none"/>
                <w:u w:val="single" w:color="auto"/>
                <w:lang w:val="en-US" w:eastAsia="zh-CN"/>
              </w:rPr>
              <w:t xml:space="preserve"> </w:t>
            </w:r>
            <w:r>
              <w:rPr>
                <w:rFonts w:hint="eastAsia" w:ascii="宋体" w:hAnsi="宋体" w:eastAsia="宋体" w:cs="宋体"/>
                <w:color w:val="auto"/>
                <w:sz w:val="24"/>
                <w:szCs w:val="24"/>
                <w:highlight w:val="none"/>
                <w:u w:val="single" w:color="auto"/>
                <w:lang w:val="en-US" w:eastAsia="zh-CN"/>
              </w:rPr>
              <w:t>/</w:t>
            </w:r>
            <w:r>
              <w:rPr>
                <w:rFonts w:hint="eastAsia" w:ascii="宋体" w:hAnsi="宋体" w:eastAsia="宋体" w:cs="宋体"/>
                <w:b w:val="0"/>
                <w:bCs w:val="0"/>
                <w:snapToGrid w:val="0"/>
                <w:color w:val="auto"/>
                <w:kern w:val="0"/>
                <w:sz w:val="24"/>
                <w:szCs w:val="24"/>
                <w:highlight w:val="none"/>
                <w:u w:val="single" w:color="auto"/>
                <w:lang w:val="en-US" w:eastAsia="zh-CN"/>
              </w:rPr>
              <w:t xml:space="preserve"> </w:t>
            </w:r>
          </w:p>
        </w:tc>
      </w:tr>
      <w:tr w14:paraId="20D2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6AFCE879">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21</w:t>
            </w:r>
          </w:p>
        </w:tc>
        <w:tc>
          <w:tcPr>
            <w:tcW w:w="1896" w:type="dxa"/>
            <w:shd w:val="clear" w:color="auto" w:fill="auto"/>
            <w:vAlign w:val="center"/>
          </w:tcPr>
          <w:p w14:paraId="3B163352">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承包人提供材料</w:t>
            </w:r>
          </w:p>
          <w:p w14:paraId="3D8D525D">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rPr>
              <w:t>和工程设备</w:t>
            </w:r>
          </w:p>
        </w:tc>
        <w:tc>
          <w:tcPr>
            <w:tcW w:w="7120" w:type="dxa"/>
            <w:shd w:val="clear" w:color="auto" w:fill="auto"/>
            <w:vAlign w:val="center"/>
          </w:tcPr>
          <w:p w14:paraId="2F655E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50E260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rPr>
              <w:t>□其它说明：鼓励承包人积极采购环保产品进行施工。</w:t>
            </w:r>
          </w:p>
        </w:tc>
      </w:tr>
      <w:tr w14:paraId="3C82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145BC7D2">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22</w:t>
            </w:r>
          </w:p>
        </w:tc>
        <w:tc>
          <w:tcPr>
            <w:tcW w:w="1896" w:type="dxa"/>
            <w:shd w:val="clear" w:color="auto" w:fill="auto"/>
            <w:vAlign w:val="center"/>
          </w:tcPr>
          <w:p w14:paraId="6308A7AF">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rPr>
              <w:t>招标控制价</w:t>
            </w:r>
          </w:p>
        </w:tc>
        <w:tc>
          <w:tcPr>
            <w:tcW w:w="7120" w:type="dxa"/>
            <w:shd w:val="clear" w:color="auto" w:fill="auto"/>
            <w:vAlign w:val="center"/>
          </w:tcPr>
          <w:p w14:paraId="6FF505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rPr>
              <w:t>本工程招标控制价、招标工程量清单、图纸在投标截止时间前15天以补充公告的形式在广东省招标投标监管网（http://zbtb.gd.gov.cn/login）、全国公共资源交易平台（广东省·韶关市）（https://ygp.gdzwfw.gov.cn/ggzy-portal/#/440200/index）网站公布，各投标人可在上述网站上自行下载。</w:t>
            </w:r>
          </w:p>
        </w:tc>
      </w:tr>
      <w:tr w14:paraId="1CF3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62E665BA">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23</w:t>
            </w:r>
          </w:p>
        </w:tc>
        <w:tc>
          <w:tcPr>
            <w:tcW w:w="1896" w:type="dxa"/>
            <w:shd w:val="clear" w:color="auto" w:fill="auto"/>
            <w:vAlign w:val="center"/>
          </w:tcPr>
          <w:p w14:paraId="1B0D883E">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rPr>
              <w:t>投标人的投标报价</w:t>
            </w:r>
          </w:p>
        </w:tc>
        <w:tc>
          <w:tcPr>
            <w:tcW w:w="7120" w:type="dxa"/>
            <w:shd w:val="clear" w:color="auto" w:fill="auto"/>
            <w:vAlign w:val="center"/>
          </w:tcPr>
          <w:p w14:paraId="08B7EF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招标控制价。</w:t>
            </w:r>
          </w:p>
          <w:p w14:paraId="6062D2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b w:val="0"/>
                <w:bCs w:val="0"/>
                <w:snapToGrid w:val="0"/>
                <w:color w:val="auto"/>
                <w:kern w:val="0"/>
                <w:sz w:val="24"/>
                <w:szCs w:val="24"/>
                <w:highlight w:val="none"/>
                <w:lang w:val="en-US" w:eastAsia="zh-CN"/>
              </w:rPr>
              <w:t>投标报价方式：☑工程量清单报价   □其他：</w:t>
            </w:r>
            <w:r>
              <w:rPr>
                <w:rFonts w:hint="eastAsia" w:ascii="宋体" w:hAnsi="宋体" w:eastAsia="宋体" w:cs="宋体"/>
                <w:color w:val="auto"/>
                <w:sz w:val="24"/>
                <w:szCs w:val="24"/>
                <w:highlight w:val="none"/>
                <w:u w:val="single"/>
                <w:lang w:val="en-US" w:eastAsia="zh-CN"/>
              </w:rPr>
              <w:t>/</w:t>
            </w:r>
          </w:p>
          <w:p w14:paraId="0990E4D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b w:val="0"/>
                <w:bCs w:val="0"/>
                <w:snapToGrid w:val="0"/>
                <w:color w:val="auto"/>
                <w:kern w:val="0"/>
                <w:sz w:val="24"/>
                <w:szCs w:val="24"/>
                <w:highlight w:val="none"/>
                <w:u w:val="single"/>
                <w:lang w:val="en-US" w:eastAsia="zh-CN"/>
              </w:rPr>
            </w:pPr>
            <w:r>
              <w:rPr>
                <w:rFonts w:hint="eastAsia" w:ascii="宋体" w:hAnsi="宋体" w:eastAsia="宋体" w:cs="宋体"/>
                <w:b w:val="0"/>
                <w:bCs w:val="0"/>
                <w:snapToGrid w:val="0"/>
                <w:color w:val="auto"/>
                <w:kern w:val="0"/>
                <w:sz w:val="24"/>
                <w:szCs w:val="24"/>
                <w:highlight w:val="none"/>
                <w:lang w:val="en-US" w:eastAsia="zh-CN"/>
              </w:rPr>
              <w:t>招标控制价：本工程招标控制价、招标工程量清单、图纸在投标截止时间前15天以补充公告的形式在广东省招标投标监管网（http://zbtb.gd.gov.cn/login）、全国公共资源交易平台（广东省·韶关市）（https://ygp.gdzwfw.gov.cn/ggzy-portal/#/440200/index）网站公布，各投标人可在上述网站上自行下载。</w:t>
            </w:r>
          </w:p>
          <w:p w14:paraId="038A1D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rPr>
              <w:t>投标报价时，应按《广东省建设工程计价依据(2024)》规定的费率报价，若招标工程量清单明确说明不计算预算包干费或另外确定预算包干费费率的，则按招标工程量清单报价。</w:t>
            </w:r>
          </w:p>
        </w:tc>
      </w:tr>
      <w:tr w14:paraId="734F2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71A0E3E3">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24</w:t>
            </w:r>
          </w:p>
        </w:tc>
        <w:tc>
          <w:tcPr>
            <w:tcW w:w="1896" w:type="dxa"/>
            <w:shd w:val="clear" w:color="auto" w:fill="auto"/>
            <w:vAlign w:val="center"/>
          </w:tcPr>
          <w:p w14:paraId="5A2C47E5">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rPr>
              <w:t>投标报价风险</w:t>
            </w:r>
          </w:p>
        </w:tc>
        <w:tc>
          <w:tcPr>
            <w:tcW w:w="7120" w:type="dxa"/>
            <w:shd w:val="clear" w:color="auto" w:fill="auto"/>
            <w:vAlign w:val="center"/>
          </w:tcPr>
          <w:p w14:paraId="0148FB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☑投标人依据招标文件约定自行考虑风险因素，一旦中标，投标报价（合同价）除合同另有约定外将不因市场变化而调整。</w:t>
            </w:r>
          </w:p>
          <w:p w14:paraId="2C4110C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☑投标报价中应包括工程量清单项目所发生的人工费、材料费、机具费、管理费、利润、措施项目费、其它项目费、税金、暂列金额、暂估价以及所有风险、责任等各项费用。</w:t>
            </w:r>
          </w:p>
          <w:p w14:paraId="1D4D75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☑人工费、材料费、机具费、管理费、利润、措施项目费（不含安全生产措施费）投标人漏报或不报，招标人视为有关费用已包括在工程量清单项目的其它单价及合价中不予另外增加。</w:t>
            </w:r>
          </w:p>
          <w:p w14:paraId="639BF3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☑措施项目中的安全生产措施费，必须按国家、省级、市级（即工程所在地）行业建设主管部门的规定计算，不得作为竞争性费用。</w:t>
            </w:r>
          </w:p>
          <w:p w14:paraId="418ABD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☑投标人应按照招标文件提供的工程量清单逐项填写单价和合价，投标人未填写的项目，招标人将视为此项费用已包括在工程量清单项目的其它单价及合价中不予另外增加。</w:t>
            </w:r>
          </w:p>
          <w:p w14:paraId="2C8D43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投标人应按《广东省建设工程计价依据(2024)》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019333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☑招标人向投标人提供的有关施工现场资料及数据，是招标人现有的能使投标人利用的资料，招标人对投标人据此作出的推论及理解概不负责。</w:t>
            </w:r>
          </w:p>
          <w:p w14:paraId="2A0D04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59AE5EC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rPr>
              <w:t>☑错漏项的认定。中标人已标价工程量清单中，任一清单项目未填报价格或价格为零的，招标人将视为此项费用已包括在工程量清单项目的其它单价及合价中不予另外增加。</w:t>
            </w:r>
          </w:p>
        </w:tc>
      </w:tr>
      <w:tr w14:paraId="14A1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78874030">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25</w:t>
            </w:r>
          </w:p>
        </w:tc>
        <w:tc>
          <w:tcPr>
            <w:tcW w:w="1896" w:type="dxa"/>
            <w:shd w:val="clear" w:color="auto" w:fill="auto"/>
            <w:vAlign w:val="center"/>
          </w:tcPr>
          <w:p w14:paraId="0160946D">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rPr>
              <w:t>投标费用</w:t>
            </w:r>
          </w:p>
        </w:tc>
        <w:tc>
          <w:tcPr>
            <w:tcW w:w="7120" w:type="dxa"/>
            <w:shd w:val="clear" w:color="auto" w:fill="auto"/>
            <w:vAlign w:val="center"/>
          </w:tcPr>
          <w:p w14:paraId="0EB3E9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rPr>
              <w:t>投标人自行承担编制与递交投标文件的一切费用。</w:t>
            </w:r>
          </w:p>
        </w:tc>
      </w:tr>
      <w:tr w14:paraId="2F7C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6C31A4A4">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26</w:t>
            </w:r>
          </w:p>
        </w:tc>
        <w:tc>
          <w:tcPr>
            <w:tcW w:w="1896" w:type="dxa"/>
            <w:shd w:val="clear" w:color="auto" w:fill="auto"/>
            <w:vAlign w:val="center"/>
          </w:tcPr>
          <w:p w14:paraId="1B1C55C4">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投标人资格要求</w:t>
            </w:r>
          </w:p>
        </w:tc>
        <w:tc>
          <w:tcPr>
            <w:tcW w:w="7120" w:type="dxa"/>
            <w:shd w:val="clear" w:color="auto" w:fill="auto"/>
            <w:vAlign w:val="center"/>
          </w:tcPr>
          <w:p w14:paraId="1BDF81F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1.本次招标不接受联合体投标。</w:t>
            </w:r>
          </w:p>
          <w:p w14:paraId="50FF07C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2．资质要求</w:t>
            </w:r>
          </w:p>
          <w:p w14:paraId="436D30E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2.1投标人须具备独立法人资格，按国家法律经营。</w:t>
            </w:r>
          </w:p>
          <w:p w14:paraId="7312BDC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2.2投标人须持有建设行政主管部门颁发的企业资质证书及安全生产许可证。</w:t>
            </w:r>
          </w:p>
          <w:p w14:paraId="2251A41C">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2.3投标人须具备以下资质：市政公用工程施工总承包叁级以上（含叁级）资质。</w:t>
            </w:r>
          </w:p>
          <w:p w14:paraId="0E70452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2.4</w:t>
            </w:r>
            <w:r>
              <w:rPr>
                <w:rFonts w:hint="eastAsia" w:ascii="宋体" w:hAnsi="宋体" w:eastAsia="宋体" w:cs="宋体"/>
                <w:snapToGrid w:val="0"/>
                <w:color w:val="auto"/>
                <w:kern w:val="0"/>
                <w:sz w:val="24"/>
                <w:szCs w:val="24"/>
                <w:highlight w:val="none"/>
                <w:lang w:val="en-US" w:eastAsia="zh-CN"/>
              </w:rPr>
              <w:t>投标人的企业相关证书到期的，均按该证书的发证机构相关行业主管部门最新文件执行（如自动顺延或资质延续有关事项的通知），投标人必须将相关文件（经核准延续的资质证书或提供了延续申请的相关证明材料，如“三库一平台”提交申请截图、申请回执等）附在该证书后面中，证明在开标日继续有效。</w:t>
            </w:r>
          </w:p>
          <w:p w14:paraId="46B360E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3．相关人员要求</w:t>
            </w:r>
          </w:p>
          <w:p w14:paraId="66833A5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3.1</w:t>
            </w:r>
            <w:r>
              <w:rPr>
                <w:rFonts w:hint="eastAsia" w:ascii="宋体" w:hAnsi="宋体" w:eastAsia="宋体" w:cs="宋体"/>
                <w:caps w:val="0"/>
                <w:smallCaps w:val="0"/>
                <w:snapToGrid w:val="0"/>
                <w:color w:val="auto"/>
                <w:spacing w:val="0"/>
                <w:kern w:val="0"/>
                <w:sz w:val="24"/>
                <w:szCs w:val="24"/>
                <w:highlight w:val="none"/>
                <w:lang w:val="en-US" w:eastAsia="zh-CN" w:bidi="ar-SA"/>
              </w:rPr>
              <w:t>拟派项目经理须具备</w:t>
            </w:r>
            <w:r>
              <w:rPr>
                <w:rFonts w:hint="eastAsia" w:ascii="宋体" w:hAnsi="宋体" w:eastAsia="宋体" w:cs="宋体"/>
                <w:caps w:val="0"/>
                <w:smallCaps w:val="0"/>
                <w:snapToGrid w:val="0"/>
                <w:color w:val="auto"/>
                <w:spacing w:val="0"/>
                <w:kern w:val="0"/>
                <w:sz w:val="24"/>
                <w:szCs w:val="24"/>
                <w:highlight w:val="none"/>
                <w:u w:val="none"/>
                <w:lang w:val="en-US" w:eastAsia="zh-CN" w:bidi="ar-SA"/>
              </w:rPr>
              <w:t>市政公用工程专业</w:t>
            </w:r>
            <w:r>
              <w:rPr>
                <w:rFonts w:hint="eastAsia" w:ascii="宋体" w:hAnsi="宋体" w:eastAsia="宋体" w:cs="宋体"/>
                <w:color w:val="auto"/>
                <w:sz w:val="24"/>
                <w:szCs w:val="24"/>
                <w:highlight w:val="none"/>
              </w:rPr>
              <w:t>一级或二级</w:t>
            </w:r>
            <w:r>
              <w:rPr>
                <w:rFonts w:hint="eastAsia" w:ascii="宋体" w:hAnsi="宋体" w:eastAsia="宋体" w:cs="宋体"/>
                <w:caps w:val="0"/>
                <w:smallCaps w:val="0"/>
                <w:snapToGrid w:val="0"/>
                <w:color w:val="auto"/>
                <w:spacing w:val="0"/>
                <w:kern w:val="0"/>
                <w:sz w:val="24"/>
                <w:szCs w:val="24"/>
                <w:highlight w:val="none"/>
                <w:u w:val="none"/>
                <w:lang w:val="en-US" w:eastAsia="zh-CN" w:bidi="ar-SA"/>
              </w:rPr>
              <w:t>注册建造师，应持有住建部门印发的在使用有效期内的有效电子注册证书（根据广东省住房和城乡建设厅（粤建市函〔2023〕469号）文件精神，二级注册建造师可随注册企业在全国范围内执业）；同时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14:paraId="07E0AE2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3.2拟派项目技术负责人须具备</w:t>
            </w:r>
            <w:r>
              <w:rPr>
                <w:rFonts w:hint="eastAsia" w:ascii="宋体" w:hAnsi="宋体" w:eastAsia="宋体" w:cs="宋体"/>
                <w:snapToGrid w:val="0"/>
                <w:color w:val="auto"/>
                <w:kern w:val="0"/>
                <w:sz w:val="24"/>
                <w:szCs w:val="24"/>
                <w:highlight w:val="none"/>
                <w:lang w:eastAsia="zh-CN"/>
              </w:rPr>
              <w:t>中级</w:t>
            </w:r>
            <w:r>
              <w:rPr>
                <w:rFonts w:hint="eastAsia" w:ascii="宋体" w:hAnsi="宋体" w:eastAsia="宋体" w:cs="宋体"/>
                <w:snapToGrid w:val="0"/>
                <w:color w:val="auto"/>
                <w:kern w:val="0"/>
                <w:sz w:val="24"/>
                <w:szCs w:val="24"/>
                <w:highlight w:val="none"/>
              </w:rPr>
              <w:t>以上（含</w:t>
            </w:r>
            <w:r>
              <w:rPr>
                <w:rFonts w:hint="eastAsia" w:ascii="宋体" w:hAnsi="宋体" w:eastAsia="宋体" w:cs="宋体"/>
                <w:snapToGrid w:val="0"/>
                <w:color w:val="auto"/>
                <w:kern w:val="0"/>
                <w:sz w:val="24"/>
                <w:szCs w:val="24"/>
                <w:highlight w:val="none"/>
                <w:lang w:eastAsia="zh-CN"/>
              </w:rPr>
              <w:t>中级</w:t>
            </w:r>
            <w:r>
              <w:rPr>
                <w:rFonts w:hint="eastAsia" w:ascii="宋体" w:hAnsi="宋体" w:eastAsia="宋体" w:cs="宋体"/>
                <w:snapToGrid w:val="0"/>
                <w:color w:val="auto"/>
                <w:kern w:val="0"/>
                <w:sz w:val="24"/>
                <w:szCs w:val="24"/>
                <w:highlight w:val="none"/>
              </w:rPr>
              <w:t>）技术职称。</w:t>
            </w:r>
          </w:p>
          <w:p w14:paraId="7CC33F3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3.3拟派专职安全生产管理人员须具备有效安全生产考核合格证明（C证，安全生产考核合格证书或“广东省建筑施工企业管理人员安全生产考核系统”考核合格信息打印页），且不少于</w:t>
            </w:r>
            <w:r>
              <w:rPr>
                <w:rFonts w:hint="eastAsia" w:ascii="宋体" w:hAnsi="宋体" w:eastAsia="宋体" w:cs="宋体"/>
                <w:snapToGrid w:val="0"/>
                <w:color w:val="auto"/>
                <w:kern w:val="0"/>
                <w:sz w:val="24"/>
                <w:szCs w:val="24"/>
                <w:highlight w:val="none"/>
                <w:u w:val="single"/>
                <w:lang w:val="en-US" w:eastAsia="zh-CN"/>
              </w:rPr>
              <w:t>1</w:t>
            </w:r>
            <w:r>
              <w:rPr>
                <w:rFonts w:hint="eastAsia" w:ascii="宋体" w:hAnsi="宋体" w:eastAsia="宋体" w:cs="宋体"/>
                <w:snapToGrid w:val="0"/>
                <w:color w:val="auto"/>
                <w:kern w:val="0"/>
                <w:sz w:val="24"/>
                <w:szCs w:val="24"/>
                <w:highlight w:val="none"/>
              </w:rPr>
              <w:t>人。</w:t>
            </w:r>
          </w:p>
          <w:p w14:paraId="656CB9D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3.4投标人与其拟派往本项目管理机构的所有人员之间必须具备合法、唯一的劳动聘用关系。拟派人员中具备注册执业资格的，其注册单位须与投标人保持一致。</w:t>
            </w:r>
          </w:p>
          <w:p w14:paraId="2AD652F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4．禁止投标条款：</w:t>
            </w:r>
          </w:p>
          <w:p w14:paraId="2EAD496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4.1投标人不得存在下列情形之一：</w:t>
            </w:r>
          </w:p>
          <w:p w14:paraId="0493CBFE">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40DA9DDE">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6F353F33">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699DDFF8">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4986F1A4">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（5）为本招标项目的监理人；</w:t>
            </w:r>
          </w:p>
          <w:p w14:paraId="3475C076">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7C6B4D9B">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（7）为本招标项目的招标代理机构；</w:t>
            </w:r>
          </w:p>
          <w:p w14:paraId="2175081B">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03AA6879">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69A7FE10">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11E7F2C5">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0B7CB142">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135A1DFF">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1644550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r>
              <w:rPr>
                <w:rFonts w:hint="eastAsia" w:ascii="宋体" w:hAnsi="宋体" w:eastAsia="宋体" w:cs="宋体"/>
                <w:caps w:val="0"/>
                <w:smallCaps w:val="0"/>
                <w:snapToGrid w:val="0"/>
                <w:color w:val="auto"/>
                <w:spacing w:val="0"/>
                <w:kern w:val="0"/>
                <w:sz w:val="24"/>
                <w:szCs w:val="24"/>
                <w:highlight w:val="none"/>
                <w:lang w:val="en-US" w:eastAsia="zh-CN"/>
              </w:rPr>
              <w:t>在最近三年内发生重大工程质量或安全问题（以相关行业主管部门的行政处罚决定或司法机关出具的有关法律文书为准）；</w:t>
            </w:r>
          </w:p>
          <w:p w14:paraId="6801C39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（15）被“信用中国”网站（https://www.creditchina.gov.cn）发布的《法人和非法人组织公共信用信息报告》列为</w:t>
            </w:r>
            <w:r>
              <w:rPr>
                <w:rFonts w:hint="eastAsia" w:ascii="宋体" w:hAnsi="宋体" w:eastAsia="宋体" w:cs="宋体"/>
                <w:snapToGrid w:val="0"/>
                <w:color w:val="auto"/>
                <w:kern w:val="0"/>
                <w:sz w:val="24"/>
                <w:szCs w:val="24"/>
                <w:highlight w:val="none"/>
                <w:lang w:val="en-US" w:eastAsia="zh-CN"/>
              </w:rPr>
              <w:t>严重失信主体名单</w:t>
            </w:r>
            <w:r>
              <w:rPr>
                <w:rFonts w:hint="eastAsia" w:ascii="宋体" w:hAnsi="宋体" w:eastAsia="宋体" w:cs="宋体"/>
                <w:snapToGrid w:val="0"/>
                <w:color w:val="auto"/>
                <w:kern w:val="0"/>
                <w:sz w:val="24"/>
                <w:szCs w:val="24"/>
                <w:highlight w:val="none"/>
              </w:rPr>
              <w:t>的。</w:t>
            </w:r>
          </w:p>
          <w:p w14:paraId="14E3A9F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4.2招标人拒绝以下名单中的单位参加本次投标：</w:t>
            </w:r>
          </w:p>
          <w:tbl>
            <w:tblPr>
              <w:tblStyle w:val="16"/>
              <w:tblW w:w="0" w:type="auto"/>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3268"/>
              <w:gridCol w:w="2900"/>
            </w:tblGrid>
            <w:tr w14:paraId="675D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17" w:type="dxa"/>
                  <w:noWrap w:val="0"/>
                  <w:vAlign w:val="center"/>
                </w:tcPr>
                <w:p w14:paraId="749CE4FD">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序</w:t>
                  </w:r>
                  <w:r>
                    <w:rPr>
                      <w:rFonts w:hint="eastAsia" w:ascii="宋体" w:hAnsi="宋体" w:eastAsia="宋体" w:cs="宋体"/>
                      <w:snapToGrid w:val="0"/>
                      <w:color w:val="auto"/>
                      <w:kern w:val="0"/>
                      <w:sz w:val="24"/>
                      <w:szCs w:val="24"/>
                      <w:highlight w:val="none"/>
                    </w:rPr>
                    <w:t>号</w:t>
                  </w:r>
                </w:p>
              </w:tc>
              <w:tc>
                <w:tcPr>
                  <w:tcW w:w="3268" w:type="dxa"/>
                  <w:noWrap w:val="0"/>
                  <w:vAlign w:val="center"/>
                </w:tcPr>
                <w:p w14:paraId="25F433CE">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2900" w:type="dxa"/>
                  <w:noWrap w:val="0"/>
                  <w:vAlign w:val="center"/>
                </w:tcPr>
                <w:p w14:paraId="6BF7C39D">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4E46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17" w:type="dxa"/>
                  <w:noWrap w:val="0"/>
                  <w:vAlign w:val="center"/>
                </w:tcPr>
                <w:p w14:paraId="4374D843">
                  <w:pPr>
                    <w:pStyle w:val="21"/>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w:t>
                  </w:r>
                </w:p>
              </w:tc>
              <w:tc>
                <w:tcPr>
                  <w:tcW w:w="3268" w:type="dxa"/>
                  <w:noWrap w:val="0"/>
                  <w:vAlign w:val="center"/>
                </w:tcPr>
                <w:p w14:paraId="2F1EC7A9">
                  <w:pPr>
                    <w:pStyle w:val="21"/>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韶关高新技术产业开发区创业服务中心</w:t>
                  </w:r>
                </w:p>
              </w:tc>
              <w:tc>
                <w:tcPr>
                  <w:tcW w:w="2900" w:type="dxa"/>
                  <w:noWrap w:val="0"/>
                  <w:vAlign w:val="center"/>
                </w:tcPr>
                <w:p w14:paraId="14C9FFD5">
                  <w:pPr>
                    <w:pStyle w:val="21"/>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为本项目的项目业主</w:t>
                  </w:r>
                </w:p>
              </w:tc>
            </w:tr>
            <w:tr w14:paraId="5D7E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17" w:type="dxa"/>
                  <w:noWrap w:val="0"/>
                  <w:vAlign w:val="center"/>
                </w:tcPr>
                <w:p w14:paraId="091EAE00">
                  <w:pPr>
                    <w:pStyle w:val="21"/>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2</w:t>
                  </w:r>
                </w:p>
              </w:tc>
              <w:tc>
                <w:tcPr>
                  <w:tcW w:w="3268" w:type="dxa"/>
                  <w:noWrap w:val="0"/>
                  <w:vAlign w:val="center"/>
                </w:tcPr>
                <w:p w14:paraId="415FB2E2">
                  <w:pPr>
                    <w:pStyle w:val="21"/>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韶关工业园投资建设有限公司</w:t>
                  </w:r>
                </w:p>
              </w:tc>
              <w:tc>
                <w:tcPr>
                  <w:tcW w:w="2900" w:type="dxa"/>
                  <w:noWrap w:val="0"/>
                  <w:vAlign w:val="center"/>
                </w:tcPr>
                <w:p w14:paraId="22E28D98">
                  <w:pPr>
                    <w:pStyle w:val="21"/>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为本项目的招标人</w:t>
                  </w:r>
                </w:p>
              </w:tc>
            </w:tr>
            <w:tr w14:paraId="0638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17" w:type="dxa"/>
                  <w:noWrap w:val="0"/>
                  <w:vAlign w:val="center"/>
                </w:tcPr>
                <w:p w14:paraId="0B590477">
                  <w:pPr>
                    <w:pStyle w:val="21"/>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3</w:t>
                  </w:r>
                </w:p>
              </w:tc>
              <w:tc>
                <w:tcPr>
                  <w:tcW w:w="3268" w:type="dxa"/>
                  <w:noWrap w:val="0"/>
                  <w:vAlign w:val="center"/>
                </w:tcPr>
                <w:p w14:paraId="0F43FD32">
                  <w:pPr>
                    <w:keepNext w:val="0"/>
                    <w:keepLines w:val="0"/>
                    <w:pageBreakBefore w:val="0"/>
                    <w:widowControl w:val="0"/>
                    <w:kinsoku/>
                    <w:wordWrap w:val="0"/>
                    <w:overflowPunct/>
                    <w:topLinePunct w:val="0"/>
                    <w:autoSpaceDE/>
                    <w:autoSpaceDN/>
                    <w:bidi w:val="0"/>
                    <w:adjustRightInd w:val="0"/>
                    <w:snapToGrid w:val="0"/>
                    <w:spacing w:line="240" w:lineRule="auto"/>
                    <w:jc w:val="both"/>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广东明正项目管理有限公司</w:t>
                  </w:r>
                </w:p>
              </w:tc>
              <w:tc>
                <w:tcPr>
                  <w:tcW w:w="2900" w:type="dxa"/>
                  <w:noWrap w:val="0"/>
                  <w:vAlign w:val="center"/>
                </w:tcPr>
                <w:p w14:paraId="64F68E17">
                  <w:pPr>
                    <w:pStyle w:val="21"/>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为本项目的招标代理机构</w:t>
                  </w:r>
                </w:p>
              </w:tc>
            </w:tr>
            <w:tr w14:paraId="15A6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17" w:type="dxa"/>
                  <w:noWrap w:val="0"/>
                  <w:vAlign w:val="center"/>
                </w:tcPr>
                <w:p w14:paraId="64E2016F">
                  <w:pPr>
                    <w:pStyle w:val="21"/>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4</w:t>
                  </w:r>
                </w:p>
              </w:tc>
              <w:tc>
                <w:tcPr>
                  <w:tcW w:w="3268" w:type="dxa"/>
                  <w:noWrap w:val="0"/>
                  <w:vAlign w:val="center"/>
                </w:tcPr>
                <w:p w14:paraId="7016C762">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韶关市擎能设计有限公司</w:t>
                  </w:r>
                </w:p>
              </w:tc>
              <w:tc>
                <w:tcPr>
                  <w:tcW w:w="2900" w:type="dxa"/>
                  <w:noWrap w:val="0"/>
                  <w:vAlign w:val="center"/>
                </w:tcPr>
                <w:p w14:paraId="7E3B440A">
                  <w:pPr>
                    <w:pStyle w:val="21"/>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为本项目的勘察设计单位</w:t>
                  </w:r>
                </w:p>
              </w:tc>
            </w:tr>
            <w:tr w14:paraId="13B6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17" w:type="dxa"/>
                  <w:noWrap w:val="0"/>
                  <w:vAlign w:val="center"/>
                </w:tcPr>
                <w:p w14:paraId="5EDBC82B">
                  <w:pPr>
                    <w:pStyle w:val="21"/>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5</w:t>
                  </w:r>
                </w:p>
              </w:tc>
              <w:tc>
                <w:tcPr>
                  <w:tcW w:w="3268" w:type="dxa"/>
                  <w:noWrap w:val="0"/>
                  <w:vAlign w:val="center"/>
                </w:tcPr>
                <w:p w14:paraId="55B77EB1">
                  <w:pPr>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韶关市新辉项目管理有限公司</w:t>
                  </w:r>
                </w:p>
              </w:tc>
              <w:tc>
                <w:tcPr>
                  <w:tcW w:w="2900" w:type="dxa"/>
                  <w:noWrap w:val="0"/>
                  <w:vAlign w:val="center"/>
                </w:tcPr>
                <w:p w14:paraId="4DCF5782">
                  <w:pPr>
                    <w:pStyle w:val="21"/>
                    <w:keepNext w:val="0"/>
                    <w:keepLines w:val="0"/>
                    <w:pageBreakBefore w:val="0"/>
                    <w:widowControl w:val="0"/>
                    <w:kinsoku/>
                    <w:wordWrap w:val="0"/>
                    <w:overflowPunct/>
                    <w:topLinePunct w:val="0"/>
                    <w:autoSpaceDE/>
                    <w:autoSpaceDN/>
                    <w:bidi w:val="0"/>
                    <w:adjustRightInd w:val="0"/>
                    <w:snapToGrid w:val="0"/>
                    <w:spacing w:line="240" w:lineRule="auto"/>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为本项目的全过程造价咨询单位</w:t>
                  </w:r>
                </w:p>
              </w:tc>
            </w:tr>
          </w:tbl>
          <w:p w14:paraId="0AF9D6E7">
            <w:pPr>
              <w:pStyle w:val="21"/>
              <w:keepNext w:val="0"/>
              <w:keepLines w:val="0"/>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5.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418F2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601BF106">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27</w:t>
            </w:r>
          </w:p>
        </w:tc>
        <w:tc>
          <w:tcPr>
            <w:tcW w:w="1896" w:type="dxa"/>
            <w:shd w:val="clear" w:color="auto" w:fill="auto"/>
            <w:vAlign w:val="center"/>
          </w:tcPr>
          <w:p w14:paraId="0107869B">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投标有效期</w:t>
            </w:r>
          </w:p>
        </w:tc>
        <w:tc>
          <w:tcPr>
            <w:tcW w:w="7120" w:type="dxa"/>
            <w:shd w:val="clear" w:color="auto" w:fill="auto"/>
            <w:vAlign w:val="center"/>
          </w:tcPr>
          <w:p w14:paraId="35310E38">
            <w:pPr>
              <w:keepNext w:val="0"/>
              <w:keepLines w:val="0"/>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本次招标的投标有效期为</w:t>
            </w:r>
            <w:r>
              <w:rPr>
                <w:rFonts w:hint="eastAsia" w:ascii="宋体" w:hAnsi="宋体" w:eastAsia="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个日历天。</w:t>
            </w:r>
          </w:p>
        </w:tc>
      </w:tr>
      <w:tr w14:paraId="6F2E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57E7CF55">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28</w:t>
            </w:r>
          </w:p>
        </w:tc>
        <w:tc>
          <w:tcPr>
            <w:tcW w:w="1896" w:type="dxa"/>
            <w:shd w:val="clear" w:color="auto" w:fill="auto"/>
            <w:vAlign w:val="center"/>
          </w:tcPr>
          <w:p w14:paraId="2CE9A068">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投标文件组成</w:t>
            </w:r>
          </w:p>
        </w:tc>
        <w:tc>
          <w:tcPr>
            <w:tcW w:w="7120" w:type="dxa"/>
            <w:shd w:val="clear" w:color="auto" w:fill="auto"/>
            <w:vAlign w:val="center"/>
          </w:tcPr>
          <w:p w14:paraId="3BD5F35E">
            <w:pPr>
              <w:keepNext w:val="0"/>
              <w:keepLines w:val="0"/>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投标文件包括商务标书、经济标书、施工组织设计三个分册。</w:t>
            </w:r>
          </w:p>
        </w:tc>
      </w:tr>
      <w:tr w14:paraId="5EB0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615EE22D">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29</w:t>
            </w:r>
          </w:p>
        </w:tc>
        <w:tc>
          <w:tcPr>
            <w:tcW w:w="1896" w:type="dxa"/>
            <w:shd w:val="clear" w:color="auto" w:fill="auto"/>
            <w:vAlign w:val="center"/>
          </w:tcPr>
          <w:p w14:paraId="7F6D5C8D">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37148549">
            <w:pPr>
              <w:keepNext w:val="0"/>
              <w:keepLines w:val="0"/>
              <w:pageBreakBefore w:val="0"/>
              <w:widowControl w:val="0"/>
              <w:kinsoku/>
              <w:wordWrap w:val="0"/>
              <w:overflowPunct/>
              <w:topLinePunct w:val="0"/>
              <w:autoSpaceDE/>
              <w:autoSpaceDN/>
              <w:bidi w:val="0"/>
              <w:adjustRightInd w:val="0"/>
              <w:snapToGrid w:val="0"/>
              <w:spacing w:line="46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评审方式</w:t>
            </w:r>
          </w:p>
        </w:tc>
        <w:tc>
          <w:tcPr>
            <w:tcW w:w="7120" w:type="dxa"/>
            <w:shd w:val="clear" w:color="auto" w:fill="auto"/>
            <w:vAlign w:val="center"/>
          </w:tcPr>
          <w:p w14:paraId="74737FB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不采用</w:t>
            </w:r>
            <w:r>
              <w:rPr>
                <w:rFonts w:hint="eastAsia" w:ascii="宋体" w:hAnsi="宋体" w:eastAsia="宋体" w:cs="宋体"/>
                <w:snapToGrid w:val="0"/>
                <w:color w:val="auto"/>
                <w:kern w:val="0"/>
                <w:sz w:val="24"/>
                <w:szCs w:val="24"/>
                <w:highlight w:val="none"/>
              </w:rPr>
              <w:t>“暗标”方式进行评审。</w:t>
            </w:r>
          </w:p>
        </w:tc>
      </w:tr>
      <w:tr w14:paraId="6133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4BC1901E">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30</w:t>
            </w:r>
          </w:p>
        </w:tc>
        <w:tc>
          <w:tcPr>
            <w:tcW w:w="1896" w:type="dxa"/>
            <w:shd w:val="clear" w:color="auto" w:fill="auto"/>
            <w:vAlign w:val="center"/>
          </w:tcPr>
          <w:p w14:paraId="11F049A7">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评标委员会</w:t>
            </w:r>
          </w:p>
        </w:tc>
        <w:tc>
          <w:tcPr>
            <w:tcW w:w="7120" w:type="dxa"/>
            <w:shd w:val="clear" w:color="auto" w:fill="auto"/>
            <w:vAlign w:val="center"/>
          </w:tcPr>
          <w:p w14:paraId="33A9F60B">
            <w:pPr>
              <w:keepNext w:val="0"/>
              <w:keepLines w:val="0"/>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u w:val="none" w:color="auto"/>
              </w:rPr>
              <w:t>评标委员会由</w:t>
            </w:r>
            <w:r>
              <w:rPr>
                <w:rFonts w:hint="eastAsia" w:ascii="宋体" w:hAnsi="宋体" w:eastAsia="宋体" w:cs="宋体"/>
                <w:caps w:val="0"/>
                <w:smallCaps w:val="0"/>
                <w:snapToGrid w:val="0"/>
                <w:color w:val="auto"/>
                <w:spacing w:val="0"/>
                <w:kern w:val="0"/>
                <w:sz w:val="24"/>
                <w:szCs w:val="24"/>
                <w:highlight w:val="none"/>
                <w:u w:val="none" w:color="auto"/>
                <w:lang w:val="en-US" w:eastAsia="zh-CN"/>
              </w:rPr>
              <w:t>5</w:t>
            </w:r>
            <w:r>
              <w:rPr>
                <w:rFonts w:hint="eastAsia" w:ascii="宋体" w:hAnsi="宋体" w:eastAsia="宋体" w:cs="宋体"/>
                <w:caps w:val="0"/>
                <w:smallCaps w:val="0"/>
                <w:snapToGrid w:val="0"/>
                <w:color w:val="auto"/>
                <w:spacing w:val="0"/>
                <w:kern w:val="0"/>
                <w:sz w:val="24"/>
                <w:szCs w:val="24"/>
                <w:highlight w:val="none"/>
                <w:u w:val="none" w:color="auto"/>
              </w:rPr>
              <w:t>人组成，其中招标人代表</w:t>
            </w:r>
            <w:r>
              <w:rPr>
                <w:rFonts w:hint="eastAsia" w:ascii="宋体" w:hAnsi="宋体" w:eastAsia="宋体" w:cs="宋体"/>
                <w:caps w:val="0"/>
                <w:smallCaps w:val="0"/>
                <w:snapToGrid w:val="0"/>
                <w:color w:val="auto"/>
                <w:spacing w:val="0"/>
                <w:kern w:val="0"/>
                <w:sz w:val="24"/>
                <w:szCs w:val="24"/>
                <w:highlight w:val="none"/>
                <w:u w:val="none" w:color="auto"/>
                <w:lang w:val="en-US" w:eastAsia="zh-CN"/>
              </w:rPr>
              <w:t>0</w:t>
            </w:r>
            <w:r>
              <w:rPr>
                <w:rFonts w:hint="eastAsia" w:ascii="宋体" w:hAnsi="宋体" w:eastAsia="宋体" w:cs="宋体"/>
                <w:caps w:val="0"/>
                <w:smallCaps w:val="0"/>
                <w:snapToGrid w:val="0"/>
                <w:color w:val="auto"/>
                <w:spacing w:val="0"/>
                <w:kern w:val="0"/>
                <w:sz w:val="24"/>
                <w:szCs w:val="24"/>
                <w:highlight w:val="none"/>
                <w:u w:val="none" w:color="auto"/>
              </w:rPr>
              <w:t>人，专家</w:t>
            </w:r>
            <w:r>
              <w:rPr>
                <w:rFonts w:hint="eastAsia" w:ascii="宋体" w:hAnsi="宋体" w:eastAsia="宋体" w:cs="宋体"/>
                <w:caps w:val="0"/>
                <w:smallCaps w:val="0"/>
                <w:snapToGrid w:val="0"/>
                <w:color w:val="auto"/>
                <w:spacing w:val="0"/>
                <w:kern w:val="0"/>
                <w:sz w:val="24"/>
                <w:szCs w:val="24"/>
                <w:highlight w:val="none"/>
                <w:u w:val="none" w:color="auto"/>
                <w:lang w:val="en-US" w:eastAsia="zh-CN"/>
              </w:rPr>
              <w:t>5</w:t>
            </w:r>
            <w:r>
              <w:rPr>
                <w:rFonts w:hint="eastAsia" w:ascii="宋体" w:hAnsi="宋体" w:eastAsia="宋体" w:cs="宋体"/>
                <w:caps w:val="0"/>
                <w:smallCaps w:val="0"/>
                <w:snapToGrid w:val="0"/>
                <w:color w:val="auto"/>
                <w:spacing w:val="0"/>
                <w:kern w:val="0"/>
                <w:sz w:val="24"/>
                <w:szCs w:val="24"/>
                <w:highlight w:val="none"/>
                <w:u w:val="none" w:color="auto"/>
              </w:rPr>
              <w:t>人。专家从广东省综合评标评审专家库</w:t>
            </w:r>
            <w:r>
              <w:rPr>
                <w:rFonts w:hint="eastAsia" w:ascii="宋体" w:hAnsi="宋体" w:eastAsia="宋体" w:cs="宋体"/>
                <w:caps w:val="0"/>
                <w:smallCaps w:val="0"/>
                <w:snapToGrid w:val="0"/>
                <w:color w:val="auto"/>
                <w:spacing w:val="0"/>
                <w:kern w:val="0"/>
                <w:sz w:val="24"/>
                <w:szCs w:val="24"/>
                <w:highlight w:val="none"/>
                <w:u w:val="single" w:color="auto"/>
              </w:rPr>
              <w:t>（韶关</w:t>
            </w:r>
            <w:r>
              <w:rPr>
                <w:rFonts w:hint="eastAsia" w:ascii="宋体" w:hAnsi="宋体" w:eastAsia="宋体" w:cs="宋体"/>
                <w:caps w:val="0"/>
                <w:smallCaps w:val="0"/>
                <w:snapToGrid w:val="0"/>
                <w:color w:val="auto"/>
                <w:spacing w:val="0"/>
                <w:kern w:val="0"/>
                <w:sz w:val="24"/>
                <w:szCs w:val="24"/>
                <w:highlight w:val="none"/>
                <w:u w:val="single" w:color="auto"/>
                <w:lang w:val="en-US" w:eastAsia="zh-CN"/>
              </w:rPr>
              <w:t>区域</w:t>
            </w:r>
            <w:r>
              <w:rPr>
                <w:rFonts w:hint="eastAsia" w:ascii="宋体" w:hAnsi="宋体" w:eastAsia="宋体" w:cs="宋体"/>
                <w:caps w:val="0"/>
                <w:smallCaps w:val="0"/>
                <w:snapToGrid w:val="0"/>
                <w:color w:val="auto"/>
                <w:spacing w:val="0"/>
                <w:kern w:val="0"/>
                <w:sz w:val="24"/>
                <w:szCs w:val="24"/>
                <w:highlight w:val="none"/>
                <w:u w:val="single" w:color="auto"/>
              </w:rPr>
              <w:t>）</w:t>
            </w:r>
            <w:r>
              <w:rPr>
                <w:rFonts w:hint="eastAsia" w:ascii="宋体" w:hAnsi="宋体" w:eastAsia="宋体" w:cs="宋体"/>
                <w:caps w:val="0"/>
                <w:smallCaps w:val="0"/>
                <w:snapToGrid w:val="0"/>
                <w:color w:val="auto"/>
                <w:spacing w:val="0"/>
                <w:kern w:val="0"/>
                <w:sz w:val="24"/>
                <w:szCs w:val="24"/>
                <w:highlight w:val="none"/>
                <w:u w:val="none" w:color="auto"/>
              </w:rPr>
              <w:t>中随机抽取，其中技术类专家</w:t>
            </w:r>
            <w:r>
              <w:rPr>
                <w:rFonts w:hint="eastAsia" w:ascii="宋体" w:hAnsi="宋体" w:eastAsia="宋体" w:cs="宋体"/>
                <w:caps w:val="0"/>
                <w:smallCaps w:val="0"/>
                <w:snapToGrid w:val="0"/>
                <w:color w:val="auto"/>
                <w:spacing w:val="0"/>
                <w:kern w:val="0"/>
                <w:sz w:val="24"/>
                <w:szCs w:val="24"/>
                <w:highlight w:val="none"/>
                <w:u w:val="none" w:color="auto"/>
                <w:lang w:val="en-US" w:eastAsia="zh-CN"/>
              </w:rPr>
              <w:t>3</w:t>
            </w:r>
            <w:r>
              <w:rPr>
                <w:rFonts w:hint="eastAsia" w:ascii="宋体" w:hAnsi="宋体" w:eastAsia="宋体" w:cs="宋体"/>
                <w:caps w:val="0"/>
                <w:smallCaps w:val="0"/>
                <w:snapToGrid w:val="0"/>
                <w:color w:val="auto"/>
                <w:spacing w:val="0"/>
                <w:kern w:val="0"/>
                <w:sz w:val="24"/>
                <w:szCs w:val="24"/>
                <w:highlight w:val="none"/>
                <w:u w:val="none" w:color="auto"/>
              </w:rPr>
              <w:t>人，经济类专家</w:t>
            </w:r>
            <w:r>
              <w:rPr>
                <w:rFonts w:hint="eastAsia" w:ascii="宋体" w:hAnsi="宋体" w:eastAsia="宋体" w:cs="宋体"/>
                <w:caps w:val="0"/>
                <w:smallCaps w:val="0"/>
                <w:snapToGrid w:val="0"/>
                <w:color w:val="auto"/>
                <w:spacing w:val="0"/>
                <w:kern w:val="0"/>
                <w:sz w:val="24"/>
                <w:szCs w:val="24"/>
                <w:highlight w:val="none"/>
                <w:u w:val="none" w:color="auto"/>
                <w:lang w:val="en-US" w:eastAsia="zh-CN"/>
              </w:rPr>
              <w:t>2</w:t>
            </w:r>
            <w:r>
              <w:rPr>
                <w:rFonts w:hint="eastAsia" w:ascii="宋体" w:hAnsi="宋体" w:eastAsia="宋体" w:cs="宋体"/>
                <w:caps w:val="0"/>
                <w:smallCaps w:val="0"/>
                <w:snapToGrid w:val="0"/>
                <w:color w:val="auto"/>
                <w:spacing w:val="0"/>
                <w:kern w:val="0"/>
                <w:sz w:val="24"/>
                <w:szCs w:val="24"/>
                <w:highlight w:val="none"/>
                <w:u w:val="none" w:color="auto"/>
              </w:rPr>
              <w:t>人。</w:t>
            </w:r>
          </w:p>
        </w:tc>
      </w:tr>
      <w:tr w14:paraId="07FF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3A1EC9CB">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31</w:t>
            </w:r>
          </w:p>
        </w:tc>
        <w:tc>
          <w:tcPr>
            <w:tcW w:w="1896" w:type="dxa"/>
            <w:shd w:val="clear" w:color="auto" w:fill="auto"/>
            <w:vAlign w:val="center"/>
          </w:tcPr>
          <w:p w14:paraId="142D6927">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评标方法</w:t>
            </w:r>
          </w:p>
        </w:tc>
        <w:tc>
          <w:tcPr>
            <w:tcW w:w="7120" w:type="dxa"/>
            <w:shd w:val="clear" w:color="auto" w:fill="auto"/>
            <w:vAlign w:val="center"/>
          </w:tcPr>
          <w:p w14:paraId="019EDC6F">
            <w:pPr>
              <w:keepNext w:val="0"/>
              <w:keepLines w:val="0"/>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 xml:space="preserve">    □A＋B值评标法</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rPr>
              <w:t xml:space="preserve"> □经评审的最低投标价法</w:t>
            </w: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综合评估法</w:t>
            </w:r>
          </w:p>
        </w:tc>
      </w:tr>
      <w:tr w14:paraId="7754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6FC6B7F4">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32</w:t>
            </w:r>
          </w:p>
        </w:tc>
        <w:tc>
          <w:tcPr>
            <w:tcW w:w="1896" w:type="dxa"/>
            <w:shd w:val="clear" w:color="auto" w:fill="auto"/>
            <w:vAlign w:val="center"/>
          </w:tcPr>
          <w:p w14:paraId="05551213">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招标文件要求提交的用于评审的证书、证件、证明原件</w:t>
            </w:r>
            <w:r>
              <w:rPr>
                <w:rFonts w:hint="eastAsia" w:ascii="宋体" w:hAnsi="宋体" w:eastAsia="宋体" w:cs="宋体"/>
                <w:b/>
                <w:bCs/>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lang w:val="en-US" w:eastAsia="zh-CN"/>
              </w:rPr>
              <w:t>如有</w:t>
            </w:r>
            <w:r>
              <w:rPr>
                <w:rFonts w:hint="eastAsia" w:ascii="宋体" w:hAnsi="宋体" w:eastAsia="宋体" w:cs="宋体"/>
                <w:b/>
                <w:bCs/>
                <w:snapToGrid w:val="0"/>
                <w:color w:val="auto"/>
                <w:kern w:val="0"/>
                <w:sz w:val="24"/>
                <w:szCs w:val="24"/>
                <w:highlight w:val="none"/>
                <w:lang w:eastAsia="zh-CN"/>
              </w:rPr>
              <w:t>）</w:t>
            </w:r>
          </w:p>
        </w:tc>
        <w:tc>
          <w:tcPr>
            <w:tcW w:w="7120" w:type="dxa"/>
            <w:shd w:val="clear" w:color="auto" w:fill="auto"/>
            <w:vAlign w:val="center"/>
          </w:tcPr>
          <w:p w14:paraId="24957781">
            <w:pPr>
              <w:keepNext w:val="0"/>
              <w:keepLines w:val="0"/>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投标人提交用于评审的证书、证件、证明原件的，应自行准备两张“原件一览表”(详见格式十</w:t>
            </w: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投标人须自行填写，表格可扩展)，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评标结束后，招标代理机构将退回投标人的原件。若投标人未按要求提交相应证明材料原件或投标文件中证明材料的彩色扫描件与原件不一致，评审时相应证明材料不予认可。</w:t>
            </w:r>
          </w:p>
        </w:tc>
      </w:tr>
      <w:tr w14:paraId="57C6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4F647C03">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33</w:t>
            </w:r>
          </w:p>
        </w:tc>
        <w:tc>
          <w:tcPr>
            <w:tcW w:w="1896" w:type="dxa"/>
            <w:shd w:val="clear" w:color="auto" w:fill="auto"/>
            <w:vAlign w:val="center"/>
          </w:tcPr>
          <w:p w14:paraId="0EFBFE44">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49263933">
            <w:pPr>
              <w:keepNext w:val="0"/>
              <w:keepLines w:val="0"/>
              <w:pageBreakBefore w:val="0"/>
              <w:widowControl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120" w:type="dxa"/>
            <w:shd w:val="clear" w:color="auto" w:fill="auto"/>
            <w:vAlign w:val="center"/>
          </w:tcPr>
          <w:p w14:paraId="14036A60">
            <w:pPr>
              <w:keepNext w:val="0"/>
              <w:keepLines w:val="0"/>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val="en-US" w:eastAsia="zh-CN"/>
              </w:rPr>
              <w:t>单位名称：韶关工业园投资建设有限公司</w:t>
            </w:r>
          </w:p>
          <w:p w14:paraId="76840160">
            <w:pPr>
              <w:keepNext w:val="0"/>
              <w:keepLines w:val="0"/>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val="en-US" w:eastAsia="zh-CN"/>
              </w:rPr>
              <w:t>办公地址：韶关市武江区沐溪大道168莞韶大厦B320室</w:t>
            </w:r>
          </w:p>
          <w:p w14:paraId="634F2578">
            <w:pPr>
              <w:keepNext w:val="0"/>
              <w:keepLines w:val="0"/>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val="en-US" w:eastAsia="zh-CN"/>
              </w:rPr>
              <w:t>联系人（部门）：黄工</w:t>
            </w:r>
          </w:p>
          <w:p w14:paraId="0D5F0F52">
            <w:pPr>
              <w:keepNext w:val="0"/>
              <w:keepLines w:val="0"/>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Cs w:val="24"/>
                <w:highlight w:val="none"/>
                <w:lang w:val="en-US" w:eastAsia="zh-CN"/>
              </w:rPr>
              <w:t>联系电话：0751-8707060</w:t>
            </w:r>
          </w:p>
        </w:tc>
      </w:tr>
      <w:tr w14:paraId="5597B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15DCA0A6">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34</w:t>
            </w:r>
          </w:p>
        </w:tc>
        <w:tc>
          <w:tcPr>
            <w:tcW w:w="1896" w:type="dxa"/>
            <w:shd w:val="clear" w:color="auto" w:fill="auto"/>
            <w:vAlign w:val="center"/>
          </w:tcPr>
          <w:p w14:paraId="7DAA2EAD">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3854043F">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120" w:type="dxa"/>
            <w:shd w:val="clear" w:color="auto" w:fill="auto"/>
            <w:vAlign w:val="center"/>
          </w:tcPr>
          <w:p w14:paraId="09F8E32C">
            <w:pPr>
              <w:keepNext w:val="0"/>
              <w:keepLines w:val="0"/>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val="en-US" w:eastAsia="zh-CN"/>
              </w:rPr>
              <w:t>单位名称：广东明正项目管理有限公司</w:t>
            </w:r>
          </w:p>
          <w:p w14:paraId="0B1BBB94">
            <w:pPr>
              <w:keepNext w:val="0"/>
              <w:keepLines w:val="0"/>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val="en-US" w:eastAsia="zh-CN"/>
              </w:rPr>
              <w:t>办公地址：韶关市武江区惠民北路428号7楼</w:t>
            </w:r>
          </w:p>
          <w:p w14:paraId="252B9AD8">
            <w:pPr>
              <w:keepNext w:val="0"/>
              <w:keepLines w:val="0"/>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val="en-US" w:eastAsia="zh-CN"/>
              </w:rPr>
              <w:t>联系人：杨工、潘工</w:t>
            </w:r>
          </w:p>
          <w:p w14:paraId="51F25C05">
            <w:pPr>
              <w:keepNext w:val="0"/>
              <w:keepLines w:val="0"/>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Cs w:val="24"/>
                <w:highlight w:val="none"/>
                <w:lang w:val="en-US" w:eastAsia="zh-CN"/>
              </w:rPr>
              <w:t>联系电话：0751-8606998</w:t>
            </w:r>
          </w:p>
        </w:tc>
      </w:tr>
      <w:tr w14:paraId="0199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5E814DBD">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35</w:t>
            </w:r>
          </w:p>
        </w:tc>
        <w:tc>
          <w:tcPr>
            <w:tcW w:w="1896" w:type="dxa"/>
            <w:shd w:val="clear" w:color="auto" w:fill="auto"/>
            <w:vAlign w:val="center"/>
          </w:tcPr>
          <w:p w14:paraId="156045B4">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2C4CDA73">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120" w:type="dxa"/>
            <w:shd w:val="clear" w:color="auto" w:fill="auto"/>
            <w:vAlign w:val="center"/>
          </w:tcPr>
          <w:p w14:paraId="699465A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单位名称：韶关市公共资源交易中心</w:t>
            </w:r>
          </w:p>
          <w:p w14:paraId="0968B01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办公地址：广东省韶关市武江区西联镇</w:t>
            </w:r>
          </w:p>
          <w:p w14:paraId="05ABCF2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联系人（部门）：工程交易部</w:t>
            </w:r>
          </w:p>
          <w:p w14:paraId="2799669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联系电话：0751-8633071、0751-8633211</w:t>
            </w:r>
          </w:p>
        </w:tc>
      </w:tr>
      <w:tr w14:paraId="6306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shd w:val="clear" w:color="auto" w:fill="auto"/>
            <w:vAlign w:val="center"/>
          </w:tcPr>
          <w:p w14:paraId="3F1C9DE7">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36</w:t>
            </w:r>
          </w:p>
        </w:tc>
        <w:tc>
          <w:tcPr>
            <w:tcW w:w="1896" w:type="dxa"/>
            <w:shd w:val="clear" w:color="auto" w:fill="auto"/>
            <w:vAlign w:val="center"/>
          </w:tcPr>
          <w:p w14:paraId="548EEBD4">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7CC65A88">
            <w:pPr>
              <w:keepNext w:val="0"/>
              <w:keepLines w:val="0"/>
              <w:pageBreakBefore w:val="0"/>
              <w:kinsoku/>
              <w:wordWrap w:val="0"/>
              <w:overflowPunct/>
              <w:topLinePunct w:val="0"/>
              <w:autoSpaceDE/>
              <w:autoSpaceDN/>
              <w:bidi w:val="0"/>
              <w:adjustRightInd w:val="0"/>
              <w:snapToGrid w:val="0"/>
              <w:spacing w:line="5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120" w:type="dxa"/>
            <w:shd w:val="clear" w:color="auto" w:fill="auto"/>
            <w:vAlign w:val="center"/>
          </w:tcPr>
          <w:p w14:paraId="5291FD4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单位名称：韶关高新技术产业开发区管理委员会</w:t>
            </w:r>
          </w:p>
          <w:p w14:paraId="3CCB01C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办公地址：</w:t>
            </w:r>
            <w:r>
              <w:rPr>
                <w:rStyle w:val="20"/>
                <w:rFonts w:hint="eastAsia" w:ascii="宋体" w:hAnsi="宋体" w:eastAsia="宋体" w:cs="宋体"/>
                <w:color w:val="auto"/>
                <w:kern w:val="0"/>
                <w:highlight w:val="none"/>
              </w:rPr>
              <w:t>韶关市武江区粤港澳大湾区数据应用产业园E栋</w:t>
            </w:r>
          </w:p>
          <w:p w14:paraId="326593A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联系人(部门)：自然资源和建设局</w:t>
            </w:r>
          </w:p>
          <w:p w14:paraId="7C174668">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联系电话：0751-8175926</w:t>
            </w:r>
          </w:p>
        </w:tc>
      </w:tr>
    </w:tbl>
    <w:p w14:paraId="46AB107F">
      <w:pPr>
        <w:rPr>
          <w:rFonts w:hint="eastAsia" w:ascii="宋体" w:hAnsi="宋体" w:eastAsia="宋体" w:cs="宋体"/>
          <w:color w:val="auto"/>
          <w:highlight w:val="none"/>
        </w:rPr>
      </w:pPr>
    </w:p>
    <w:p w14:paraId="32E04C62">
      <w:pPr>
        <w:rPr>
          <w:rFonts w:hint="eastAsia" w:ascii="宋体" w:hAnsi="宋体" w:eastAsia="宋体" w:cs="宋体"/>
          <w:color w:val="auto"/>
          <w:highlight w:val="none"/>
        </w:rPr>
      </w:pPr>
    </w:p>
    <w:p w14:paraId="3B2C98DA">
      <w:pPr>
        <w:rPr>
          <w:rFonts w:hint="eastAsia" w:ascii="宋体" w:hAnsi="宋体" w:eastAsia="宋体" w:cs="宋体"/>
          <w:color w:val="auto"/>
          <w:highlight w:val="none"/>
        </w:rPr>
      </w:pPr>
    </w:p>
    <w:p w14:paraId="07382F91">
      <w:pPr>
        <w:rPr>
          <w:rFonts w:hint="eastAsia" w:ascii="宋体" w:hAnsi="宋体" w:eastAsia="宋体" w:cs="宋体"/>
          <w:color w:val="auto"/>
          <w:highlight w:val="none"/>
        </w:rPr>
      </w:pPr>
    </w:p>
    <w:p w14:paraId="4AD8A5AB">
      <w:pPr>
        <w:rPr>
          <w:rFonts w:hint="eastAsia" w:ascii="宋体" w:hAnsi="宋体" w:eastAsia="宋体" w:cs="宋体"/>
          <w:color w:val="auto"/>
          <w:highlight w:val="none"/>
        </w:rPr>
      </w:pPr>
    </w:p>
    <w:p w14:paraId="00221FA7">
      <w:pPr>
        <w:rPr>
          <w:rFonts w:hint="eastAsia" w:ascii="宋体" w:hAnsi="宋体" w:eastAsia="宋体" w:cs="宋体"/>
          <w:color w:val="auto"/>
          <w:highlight w:val="none"/>
        </w:rPr>
      </w:pPr>
    </w:p>
    <w:p w14:paraId="588F20FD">
      <w:pPr>
        <w:rPr>
          <w:rFonts w:hint="eastAsia" w:ascii="宋体" w:hAnsi="宋体" w:eastAsia="宋体" w:cs="宋体"/>
          <w:color w:val="auto"/>
          <w:highlight w:val="none"/>
        </w:rPr>
      </w:pPr>
    </w:p>
    <w:p w14:paraId="501501C7">
      <w:pPr>
        <w:rPr>
          <w:rFonts w:hint="eastAsia" w:ascii="宋体" w:hAnsi="宋体" w:eastAsia="宋体" w:cs="宋体"/>
          <w:color w:val="auto"/>
          <w:highlight w:val="none"/>
        </w:rPr>
      </w:pPr>
    </w:p>
    <w:p w14:paraId="1A2C7852">
      <w:pPr>
        <w:rPr>
          <w:rFonts w:hint="eastAsia" w:ascii="宋体" w:hAnsi="宋体" w:eastAsia="宋体" w:cs="宋体"/>
          <w:color w:val="auto"/>
          <w:highlight w:val="none"/>
        </w:rPr>
      </w:pPr>
    </w:p>
    <w:p w14:paraId="56BEE44E">
      <w:pPr>
        <w:rPr>
          <w:rFonts w:hint="eastAsia" w:ascii="宋体" w:hAnsi="宋体" w:eastAsia="宋体" w:cs="宋体"/>
          <w:color w:val="auto"/>
          <w:highlight w:val="none"/>
        </w:rPr>
      </w:pPr>
    </w:p>
    <w:p w14:paraId="357E2E20">
      <w:pPr>
        <w:rPr>
          <w:rFonts w:hint="eastAsia" w:ascii="宋体" w:hAnsi="宋体" w:eastAsia="宋体" w:cs="宋体"/>
          <w:color w:val="auto"/>
          <w:highlight w:val="none"/>
        </w:rPr>
      </w:pPr>
    </w:p>
    <w:p w14:paraId="4CFBB37C">
      <w:pPr>
        <w:rPr>
          <w:rFonts w:hint="eastAsia" w:ascii="宋体" w:hAnsi="宋体" w:eastAsia="宋体" w:cs="宋体"/>
          <w:color w:val="auto"/>
          <w:highlight w:val="none"/>
        </w:rPr>
      </w:pPr>
    </w:p>
    <w:p w14:paraId="24C4D1A0">
      <w:pPr>
        <w:rPr>
          <w:rFonts w:hint="eastAsia" w:ascii="宋体" w:hAnsi="宋体" w:eastAsia="宋体" w:cs="宋体"/>
          <w:color w:val="auto"/>
          <w:highlight w:val="none"/>
        </w:rPr>
      </w:pPr>
    </w:p>
    <w:p w14:paraId="5D1D86B2">
      <w:pPr>
        <w:rPr>
          <w:rFonts w:hint="eastAsia" w:ascii="宋体" w:hAnsi="宋体" w:eastAsia="宋体" w:cs="宋体"/>
          <w:color w:val="auto"/>
          <w:highlight w:val="none"/>
        </w:rPr>
      </w:pPr>
    </w:p>
    <w:p w14:paraId="22B0EC74">
      <w:pPr>
        <w:rPr>
          <w:rFonts w:hint="eastAsia" w:ascii="宋体" w:hAnsi="宋体" w:eastAsia="宋体" w:cs="宋体"/>
          <w:color w:val="auto"/>
          <w:highlight w:val="none"/>
        </w:rPr>
      </w:pPr>
    </w:p>
    <w:p w14:paraId="5B3466AE">
      <w:pPr>
        <w:rPr>
          <w:rFonts w:hint="eastAsia" w:ascii="宋体" w:hAnsi="宋体" w:eastAsia="宋体" w:cs="宋体"/>
          <w:color w:val="auto"/>
          <w:highlight w:val="none"/>
        </w:rPr>
      </w:pPr>
    </w:p>
    <w:p w14:paraId="7C31A2F2">
      <w:pPr>
        <w:rPr>
          <w:rFonts w:hint="eastAsia" w:ascii="宋体" w:hAnsi="宋体" w:eastAsia="宋体" w:cs="宋体"/>
          <w:color w:val="auto"/>
          <w:highlight w:val="none"/>
        </w:rPr>
      </w:pPr>
    </w:p>
    <w:p w14:paraId="47B10C18">
      <w:pPr>
        <w:rPr>
          <w:rFonts w:hint="eastAsia" w:ascii="宋体" w:hAnsi="宋体" w:eastAsia="宋体" w:cs="宋体"/>
          <w:color w:val="auto"/>
          <w:highlight w:val="none"/>
        </w:rPr>
      </w:pPr>
    </w:p>
    <w:p w14:paraId="6DC45298">
      <w:pPr>
        <w:rPr>
          <w:rFonts w:hint="eastAsia" w:ascii="宋体" w:hAnsi="宋体" w:eastAsia="宋体" w:cs="宋体"/>
          <w:color w:val="auto"/>
          <w:highlight w:val="none"/>
        </w:rPr>
      </w:pPr>
    </w:p>
    <w:p w14:paraId="4E13826C">
      <w:pPr>
        <w:rPr>
          <w:rFonts w:hint="eastAsia" w:ascii="宋体" w:hAnsi="宋体" w:eastAsia="宋体" w:cs="宋体"/>
          <w:color w:val="auto"/>
          <w:highlight w:val="none"/>
        </w:rPr>
      </w:pPr>
    </w:p>
    <w:p w14:paraId="0BB7773D">
      <w:pPr>
        <w:rPr>
          <w:rFonts w:hint="eastAsia" w:ascii="宋体" w:hAnsi="宋体" w:eastAsia="宋体" w:cs="宋体"/>
          <w:color w:val="auto"/>
          <w:highlight w:val="none"/>
        </w:rPr>
      </w:pPr>
    </w:p>
    <w:p w14:paraId="74B883D8">
      <w:pPr>
        <w:rPr>
          <w:rFonts w:hint="eastAsia" w:ascii="宋体" w:hAnsi="宋体" w:eastAsia="宋体" w:cs="宋体"/>
          <w:color w:val="auto"/>
          <w:highlight w:val="none"/>
        </w:rPr>
      </w:pPr>
    </w:p>
    <w:bookmarkEnd w:id="12"/>
    <w:p w14:paraId="5B8E2D61">
      <w:pPr>
        <w:pStyle w:val="4"/>
        <w:wordWrap w:val="0"/>
        <w:autoSpaceDE/>
        <w:autoSpaceDN/>
        <w:snapToGrid w:val="0"/>
        <w:spacing w:after="260" w:line="440" w:lineRule="exact"/>
        <w:jc w:val="both"/>
        <w:rPr>
          <w:rFonts w:hint="eastAsia" w:ascii="宋体" w:hAnsi="宋体" w:eastAsia="宋体" w:cs="宋体"/>
          <w:b/>
          <w:snapToGrid w:val="0"/>
          <w:color w:val="auto"/>
          <w:highlight w:val="none"/>
        </w:rPr>
      </w:pPr>
      <w:bookmarkStart w:id="13" w:name="_Toc15968"/>
      <w:bookmarkStart w:id="14" w:name="_Toc15823"/>
      <w:r>
        <w:rPr>
          <w:rFonts w:hint="eastAsia" w:ascii="宋体" w:hAnsi="宋体" w:eastAsia="宋体" w:cs="宋体"/>
          <w:b/>
          <w:snapToGrid w:val="0"/>
          <w:color w:val="auto"/>
          <w:highlight w:val="none"/>
        </w:rPr>
        <w:t>第二节</w:t>
      </w:r>
      <w:r>
        <w:rPr>
          <w:rFonts w:hint="eastAsia" w:ascii="宋体" w:hAnsi="宋体" w:eastAsia="宋体" w:cs="宋体"/>
          <w:b/>
          <w:snapToGrid w:val="0"/>
          <w:color w:val="auto"/>
          <w:highlight w:val="none"/>
          <w:lang w:val="en-US" w:eastAsia="zh-CN"/>
        </w:rPr>
        <w:t xml:space="preserve">   </w:t>
      </w:r>
      <w:r>
        <w:rPr>
          <w:rFonts w:hint="eastAsia" w:ascii="宋体" w:hAnsi="宋体" w:eastAsia="宋体" w:cs="宋体"/>
          <w:b/>
          <w:snapToGrid w:val="0"/>
          <w:color w:val="auto"/>
          <w:highlight w:val="none"/>
        </w:rPr>
        <w:t>重要事项时间地点一览表</w:t>
      </w:r>
      <w:bookmarkEnd w:id="13"/>
      <w:bookmarkEnd w:id="14"/>
    </w:p>
    <w:tbl>
      <w:tblPr>
        <w:tblStyle w:val="16"/>
        <w:tblW w:w="9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660"/>
        <w:gridCol w:w="1470"/>
        <w:gridCol w:w="7466"/>
      </w:tblGrid>
      <w:tr w14:paraId="0E71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4" w:hRule="atLeast"/>
          <w:jc w:val="center"/>
        </w:trPr>
        <w:tc>
          <w:tcPr>
            <w:tcW w:w="660" w:type="dxa"/>
            <w:shd w:val="clear" w:color="auto" w:fill="FFFFFF"/>
            <w:noWrap w:val="0"/>
            <w:vAlign w:val="center"/>
          </w:tcPr>
          <w:p w14:paraId="59904028">
            <w:pPr>
              <w:pStyle w:val="21"/>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1</w:t>
            </w:r>
          </w:p>
        </w:tc>
        <w:tc>
          <w:tcPr>
            <w:tcW w:w="1470" w:type="dxa"/>
            <w:shd w:val="clear" w:color="auto" w:fill="FFFFFF"/>
            <w:noWrap w:val="0"/>
            <w:vAlign w:val="center"/>
          </w:tcPr>
          <w:p w14:paraId="3EFB7E27">
            <w:pPr>
              <w:pStyle w:val="2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招标公告</w:t>
            </w:r>
          </w:p>
          <w:p w14:paraId="657BB49D">
            <w:pPr>
              <w:pStyle w:val="21"/>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发布时间</w:t>
            </w:r>
          </w:p>
        </w:tc>
        <w:tc>
          <w:tcPr>
            <w:tcW w:w="7466" w:type="dxa"/>
            <w:shd w:val="clear" w:color="auto" w:fill="FFFFFF"/>
            <w:noWrap w:val="0"/>
            <w:vAlign w:val="center"/>
          </w:tcPr>
          <w:p w14:paraId="39BB4382">
            <w:pPr>
              <w:pStyle w:val="21"/>
              <w:wordWrap w:val="0"/>
              <w:adjustRightInd w:val="0"/>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u w:val="none"/>
                <w:lang w:val="en-US" w:eastAsia="zh-CN"/>
              </w:rPr>
              <w:t>2025</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10</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17</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szCs w:val="24"/>
                <w:highlight w:val="none"/>
                <w:u w:val="none"/>
                <w:lang w:val="en-US" w:eastAsia="zh-CN"/>
              </w:rPr>
              <w:t>17</w:t>
            </w:r>
            <w:r>
              <w:rPr>
                <w:rFonts w:hint="eastAsia" w:ascii="宋体" w:hAnsi="宋体" w:eastAsia="宋体" w:cs="宋体"/>
                <w:snapToGrid w:val="0"/>
                <w:color w:val="auto"/>
                <w:kern w:val="0"/>
                <w:sz w:val="24"/>
                <w:szCs w:val="24"/>
                <w:highlight w:val="none"/>
                <w:u w:val="none"/>
              </w:rPr>
              <w:t>时</w:t>
            </w:r>
            <w:r>
              <w:rPr>
                <w:rFonts w:hint="eastAsia" w:ascii="宋体" w:hAnsi="宋体" w:eastAsia="宋体" w:cs="宋体"/>
                <w:snapToGrid w:val="0"/>
                <w:color w:val="auto"/>
                <w:kern w:val="0"/>
                <w:sz w:val="24"/>
                <w:szCs w:val="24"/>
                <w:highlight w:val="none"/>
                <w:u w:val="none"/>
                <w:lang w:val="en-US" w:eastAsia="zh-CN"/>
              </w:rPr>
              <w:t>00</w:t>
            </w:r>
            <w:r>
              <w:rPr>
                <w:rFonts w:hint="eastAsia" w:ascii="宋体" w:hAnsi="宋体" w:eastAsia="宋体" w:cs="宋体"/>
                <w:snapToGrid w:val="0"/>
                <w:color w:val="auto"/>
                <w:kern w:val="0"/>
                <w:sz w:val="24"/>
                <w:szCs w:val="24"/>
                <w:highlight w:val="none"/>
              </w:rPr>
              <w:t>分</w:t>
            </w:r>
          </w:p>
        </w:tc>
      </w:tr>
      <w:tr w14:paraId="1105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60" w:type="dxa"/>
            <w:shd w:val="clear" w:color="auto" w:fill="FFFFFF"/>
            <w:noWrap w:val="0"/>
            <w:vAlign w:val="center"/>
          </w:tcPr>
          <w:p w14:paraId="72893DF9">
            <w:pPr>
              <w:pStyle w:val="21"/>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2</w:t>
            </w:r>
          </w:p>
        </w:tc>
        <w:tc>
          <w:tcPr>
            <w:tcW w:w="1470" w:type="dxa"/>
            <w:shd w:val="clear" w:color="auto" w:fill="FFFFFF"/>
            <w:noWrap w:val="0"/>
            <w:vAlign w:val="center"/>
          </w:tcPr>
          <w:p w14:paraId="74732487">
            <w:pPr>
              <w:pStyle w:val="2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w:t>
            </w:r>
          </w:p>
          <w:p w14:paraId="043D607C">
            <w:pPr>
              <w:pStyle w:val="21"/>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截止时间</w:t>
            </w:r>
          </w:p>
        </w:tc>
        <w:tc>
          <w:tcPr>
            <w:tcW w:w="7466" w:type="dxa"/>
            <w:shd w:val="clear" w:color="auto" w:fill="FFFFFF"/>
            <w:noWrap w:val="0"/>
            <w:vAlign w:val="center"/>
          </w:tcPr>
          <w:p w14:paraId="5616E274">
            <w:pPr>
              <w:pStyle w:val="21"/>
              <w:wordWrap w:val="0"/>
              <w:adjustRightInd w:val="0"/>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u w:val="none"/>
                <w:lang w:val="en-US" w:eastAsia="zh-CN"/>
              </w:rPr>
              <w:t>2025</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11</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szCs w:val="24"/>
                <w:highlight w:val="none"/>
                <w:u w:val="none"/>
                <w:lang w:val="en-US" w:eastAsia="zh-CN"/>
              </w:rPr>
              <w:t>09</w:t>
            </w:r>
            <w:r>
              <w:rPr>
                <w:rFonts w:hint="eastAsia" w:ascii="宋体" w:hAnsi="宋体" w:eastAsia="宋体" w:cs="宋体"/>
                <w:snapToGrid w:val="0"/>
                <w:color w:val="auto"/>
                <w:kern w:val="0"/>
                <w:sz w:val="24"/>
                <w:szCs w:val="24"/>
                <w:highlight w:val="none"/>
                <w:u w:val="none"/>
              </w:rPr>
              <w:t>时</w:t>
            </w:r>
            <w:r>
              <w:rPr>
                <w:rFonts w:hint="eastAsia" w:ascii="宋体" w:hAnsi="宋体" w:eastAsia="宋体" w:cs="宋体"/>
                <w:snapToGrid w:val="0"/>
                <w:color w:val="auto"/>
                <w:kern w:val="0"/>
                <w:sz w:val="24"/>
                <w:szCs w:val="24"/>
                <w:highlight w:val="none"/>
                <w:u w:val="none"/>
                <w:lang w:val="en-US" w:eastAsia="zh-CN"/>
              </w:rPr>
              <w:t>30</w:t>
            </w:r>
            <w:r>
              <w:rPr>
                <w:rFonts w:hint="eastAsia" w:ascii="宋体" w:hAnsi="宋体" w:eastAsia="宋体" w:cs="宋体"/>
                <w:snapToGrid w:val="0"/>
                <w:color w:val="auto"/>
                <w:kern w:val="0"/>
                <w:sz w:val="24"/>
                <w:szCs w:val="24"/>
                <w:highlight w:val="none"/>
              </w:rPr>
              <w:t>分</w:t>
            </w:r>
          </w:p>
        </w:tc>
      </w:tr>
      <w:tr w14:paraId="038F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60" w:type="dxa"/>
            <w:shd w:val="clear" w:color="auto" w:fill="FFFFFF"/>
            <w:noWrap w:val="0"/>
            <w:vAlign w:val="center"/>
          </w:tcPr>
          <w:p w14:paraId="25D8126D">
            <w:pPr>
              <w:pStyle w:val="21"/>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w:t>
            </w:r>
          </w:p>
        </w:tc>
        <w:tc>
          <w:tcPr>
            <w:tcW w:w="1470" w:type="dxa"/>
            <w:shd w:val="clear" w:color="auto" w:fill="FFFFFF"/>
            <w:noWrap w:val="0"/>
            <w:vAlign w:val="center"/>
          </w:tcPr>
          <w:p w14:paraId="06190F53">
            <w:pPr>
              <w:pStyle w:val="2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网上提问</w:t>
            </w:r>
          </w:p>
          <w:p w14:paraId="00D6D972">
            <w:pPr>
              <w:pStyle w:val="21"/>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截止时间</w:t>
            </w:r>
          </w:p>
        </w:tc>
        <w:tc>
          <w:tcPr>
            <w:tcW w:w="7466" w:type="dxa"/>
            <w:shd w:val="clear" w:color="auto" w:fill="FFFFFF"/>
            <w:noWrap w:val="0"/>
            <w:vAlign w:val="center"/>
          </w:tcPr>
          <w:p w14:paraId="5A98A752">
            <w:pPr>
              <w:rPr>
                <w:rFonts w:hint="eastAsia" w:ascii="宋体" w:hAnsi="宋体" w:eastAsia="宋体" w:cs="宋体"/>
              </w:rPr>
            </w:pPr>
            <w:r>
              <w:rPr>
                <w:rFonts w:hint="eastAsia" w:ascii="宋体" w:hAnsi="宋体" w:eastAsia="宋体" w:cs="宋体"/>
                <w:lang w:val="en-US" w:eastAsia="zh-CN"/>
              </w:rPr>
              <w:t>2025年10月28日16时00分</w:t>
            </w:r>
          </w:p>
        </w:tc>
      </w:tr>
      <w:tr w14:paraId="6FC2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660" w:type="dxa"/>
            <w:shd w:val="clear" w:color="auto" w:fill="FFFFFF"/>
            <w:noWrap w:val="0"/>
            <w:vAlign w:val="center"/>
          </w:tcPr>
          <w:p w14:paraId="27EFB274">
            <w:pPr>
              <w:pStyle w:val="21"/>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4</w:t>
            </w:r>
          </w:p>
        </w:tc>
        <w:tc>
          <w:tcPr>
            <w:tcW w:w="1470" w:type="dxa"/>
            <w:shd w:val="clear" w:color="auto" w:fill="FFFFFF"/>
            <w:noWrap w:val="0"/>
            <w:vAlign w:val="center"/>
          </w:tcPr>
          <w:p w14:paraId="4E4EBDBB">
            <w:pPr>
              <w:pStyle w:val="2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网上答疑</w:t>
            </w:r>
          </w:p>
          <w:p w14:paraId="41ABD8F1">
            <w:pPr>
              <w:pStyle w:val="21"/>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时间</w:t>
            </w:r>
          </w:p>
        </w:tc>
        <w:tc>
          <w:tcPr>
            <w:tcW w:w="7466" w:type="dxa"/>
            <w:shd w:val="clear" w:color="auto" w:fill="FFFFFF"/>
            <w:noWrap w:val="0"/>
            <w:vAlign w:val="center"/>
          </w:tcPr>
          <w:p w14:paraId="7322FE6A">
            <w:pPr>
              <w:rPr>
                <w:rFonts w:hint="eastAsia" w:ascii="宋体" w:hAnsi="宋体" w:eastAsia="宋体" w:cs="宋体"/>
              </w:rPr>
            </w:pPr>
            <w:r>
              <w:rPr>
                <w:rFonts w:hint="eastAsia" w:ascii="宋体" w:hAnsi="宋体" w:eastAsia="宋体" w:cs="宋体"/>
                <w:lang w:val="en-US" w:eastAsia="zh-CN"/>
              </w:rPr>
              <w:t>2025年10月28日16时30分至2025年10月31日16时00分</w:t>
            </w:r>
          </w:p>
        </w:tc>
      </w:tr>
      <w:tr w14:paraId="5F73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20" w:hRule="atLeast"/>
          <w:jc w:val="center"/>
        </w:trPr>
        <w:tc>
          <w:tcPr>
            <w:tcW w:w="660" w:type="dxa"/>
            <w:shd w:val="clear" w:color="auto" w:fill="FFFFFF"/>
            <w:noWrap w:val="0"/>
            <w:vAlign w:val="center"/>
          </w:tcPr>
          <w:p w14:paraId="4FF5DAFA">
            <w:pPr>
              <w:pStyle w:val="21"/>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5</w:t>
            </w:r>
          </w:p>
        </w:tc>
        <w:tc>
          <w:tcPr>
            <w:tcW w:w="1470" w:type="dxa"/>
            <w:shd w:val="clear" w:color="auto" w:fill="FFFFFF"/>
            <w:noWrap w:val="0"/>
            <w:vAlign w:val="center"/>
          </w:tcPr>
          <w:p w14:paraId="73068EC0">
            <w:pPr>
              <w:pStyle w:val="21"/>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投标保证缴</w:t>
            </w:r>
          </w:p>
          <w:p w14:paraId="0C7219A5">
            <w:pPr>
              <w:pStyle w:val="21"/>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纳截止时间</w:t>
            </w:r>
          </w:p>
        </w:tc>
        <w:tc>
          <w:tcPr>
            <w:tcW w:w="7466" w:type="dxa"/>
            <w:shd w:val="clear" w:color="auto" w:fill="FFFFFF"/>
            <w:noWrap w:val="0"/>
            <w:vAlign w:val="center"/>
          </w:tcPr>
          <w:p w14:paraId="72F6C2F0">
            <w:pPr>
              <w:pStyle w:val="21"/>
              <w:wordWrap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投标保证金到账截止时间：</w:t>
            </w:r>
            <w:r>
              <w:rPr>
                <w:rFonts w:hint="eastAsia" w:ascii="宋体" w:hAnsi="宋体" w:eastAsia="宋体" w:cs="宋体"/>
                <w:snapToGrid w:val="0"/>
                <w:color w:val="auto"/>
                <w:kern w:val="0"/>
                <w:sz w:val="24"/>
                <w:szCs w:val="24"/>
                <w:highlight w:val="none"/>
                <w:u w:val="none"/>
                <w:lang w:val="en-US" w:eastAsia="zh-CN"/>
              </w:rPr>
              <w:t>2025</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11</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06</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highlight w:val="none"/>
                <w:lang w:val="en-US" w:eastAsia="zh-CN"/>
              </w:rPr>
              <w:t>09时30分</w:t>
            </w:r>
          </w:p>
          <w:p w14:paraId="4A2B188C">
            <w:pPr>
              <w:pStyle w:val="21"/>
              <w:wordWrap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投标保证担保上传截止时间：</w:t>
            </w:r>
            <w:r>
              <w:rPr>
                <w:rFonts w:hint="eastAsia" w:ascii="宋体" w:hAnsi="宋体" w:eastAsia="宋体" w:cs="宋体"/>
                <w:snapToGrid w:val="0"/>
                <w:color w:val="auto"/>
                <w:kern w:val="0"/>
                <w:sz w:val="24"/>
                <w:szCs w:val="24"/>
                <w:highlight w:val="none"/>
                <w:u w:val="none"/>
                <w:lang w:val="en-US" w:eastAsia="zh-CN"/>
              </w:rPr>
              <w:t>2025</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11</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06</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highlight w:val="none"/>
                <w:lang w:val="en-US" w:eastAsia="zh-CN"/>
              </w:rPr>
              <w:t>09时30分</w:t>
            </w:r>
          </w:p>
          <w:p w14:paraId="59877151">
            <w:pPr>
              <w:pStyle w:val="21"/>
              <w:wordWrap w:val="0"/>
              <w:adjustRightInd w:val="0"/>
              <w:snapToGrid w:val="0"/>
              <w:spacing w:line="360" w:lineRule="auto"/>
              <w:ind w:firstLine="240" w:firstLineChars="100"/>
              <w:rPr>
                <w:rFonts w:hint="eastAsia" w:ascii="宋体" w:hAnsi="宋体" w:eastAsia="宋体" w:cs="宋体"/>
                <w:color w:val="auto"/>
                <w:sz w:val="24"/>
                <w:szCs w:val="24"/>
                <w:highlight w:val="none"/>
                <w:lang w:eastAsia="zh-CN"/>
              </w:rPr>
            </w:pPr>
            <w:r>
              <w:rPr>
                <w:rFonts w:hint="eastAsia" w:ascii="宋体" w:hAnsi="宋体" w:eastAsia="宋体" w:cs="宋体"/>
                <w:snapToGrid w:val="0"/>
                <w:color w:val="auto"/>
                <w:kern w:val="0"/>
                <w:sz w:val="24"/>
                <w:szCs w:val="24"/>
                <w:highlight w:val="none"/>
                <w:u w:val="none"/>
              </w:rPr>
              <w:t>投标保证保险投保截止时间：</w:t>
            </w:r>
            <w:r>
              <w:rPr>
                <w:rFonts w:hint="eastAsia" w:ascii="宋体" w:hAnsi="宋体" w:eastAsia="宋体" w:cs="宋体"/>
                <w:snapToGrid w:val="0"/>
                <w:color w:val="auto"/>
                <w:kern w:val="0"/>
                <w:sz w:val="24"/>
                <w:szCs w:val="24"/>
                <w:highlight w:val="none"/>
                <w:u w:val="none"/>
                <w:lang w:val="en-US" w:eastAsia="zh-CN"/>
              </w:rPr>
              <w:t>2025</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11</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06</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highlight w:val="none"/>
                <w:lang w:val="en-US" w:eastAsia="zh-CN"/>
              </w:rPr>
              <w:t>09时30分</w:t>
            </w:r>
          </w:p>
        </w:tc>
      </w:tr>
      <w:tr w14:paraId="535E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50" w:hRule="atLeast"/>
          <w:jc w:val="center"/>
        </w:trPr>
        <w:tc>
          <w:tcPr>
            <w:tcW w:w="660" w:type="dxa"/>
            <w:shd w:val="clear" w:color="auto" w:fill="FFFFFF"/>
            <w:noWrap w:val="0"/>
            <w:vAlign w:val="center"/>
          </w:tcPr>
          <w:p w14:paraId="0F645212">
            <w:pPr>
              <w:pStyle w:val="21"/>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6</w:t>
            </w:r>
          </w:p>
        </w:tc>
        <w:tc>
          <w:tcPr>
            <w:tcW w:w="1470" w:type="dxa"/>
            <w:shd w:val="clear" w:color="auto" w:fill="FFFFFF"/>
            <w:noWrap w:val="0"/>
            <w:vAlign w:val="center"/>
          </w:tcPr>
          <w:p w14:paraId="73E3B01B">
            <w:pPr>
              <w:pStyle w:val="21"/>
              <w:wordWrap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rPr>
              <w:t>电子投标</w:t>
            </w:r>
          </w:p>
          <w:p w14:paraId="636DFDF7">
            <w:pPr>
              <w:pStyle w:val="21"/>
              <w:wordWrap w:val="0"/>
              <w:adjustRightInd w:val="0"/>
              <w:snapToGrid w:val="0"/>
              <w:spacing w:line="360" w:lineRule="auto"/>
              <w:ind w:firstLine="240" w:firstLineChars="100"/>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highlight w:val="none"/>
                <w:lang w:val="en-US" w:eastAsia="zh-CN"/>
              </w:rPr>
              <w:t>截止时间</w:t>
            </w:r>
          </w:p>
        </w:tc>
        <w:tc>
          <w:tcPr>
            <w:tcW w:w="7466" w:type="dxa"/>
            <w:shd w:val="clear" w:color="auto" w:fill="FFFFFF"/>
            <w:noWrap w:val="0"/>
            <w:vAlign w:val="center"/>
          </w:tcPr>
          <w:p w14:paraId="396AD9B1">
            <w:pPr>
              <w:pStyle w:val="21"/>
              <w:wordWrap w:val="0"/>
              <w:adjustRightInd w:val="0"/>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u w:val="none"/>
                <w:lang w:val="en-US" w:eastAsia="zh-CN"/>
              </w:rPr>
              <w:t>2025</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11</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szCs w:val="24"/>
                <w:highlight w:val="none"/>
                <w:u w:val="none"/>
                <w:lang w:val="en-US" w:eastAsia="zh-CN"/>
              </w:rPr>
              <w:t>09</w:t>
            </w:r>
            <w:r>
              <w:rPr>
                <w:rFonts w:hint="eastAsia" w:ascii="宋体" w:hAnsi="宋体" w:eastAsia="宋体" w:cs="宋体"/>
                <w:snapToGrid w:val="0"/>
                <w:color w:val="auto"/>
                <w:kern w:val="0"/>
                <w:sz w:val="24"/>
                <w:szCs w:val="24"/>
                <w:highlight w:val="none"/>
                <w:u w:val="none"/>
              </w:rPr>
              <w:t>时</w:t>
            </w:r>
            <w:r>
              <w:rPr>
                <w:rFonts w:hint="eastAsia" w:ascii="宋体" w:hAnsi="宋体" w:eastAsia="宋体" w:cs="宋体"/>
                <w:snapToGrid w:val="0"/>
                <w:color w:val="auto"/>
                <w:kern w:val="0"/>
                <w:sz w:val="24"/>
                <w:szCs w:val="24"/>
                <w:highlight w:val="none"/>
                <w:u w:val="none"/>
                <w:lang w:val="en-US" w:eastAsia="zh-CN"/>
              </w:rPr>
              <w:t>30</w:t>
            </w:r>
            <w:r>
              <w:rPr>
                <w:rFonts w:hint="eastAsia" w:ascii="宋体" w:hAnsi="宋体" w:eastAsia="宋体" w:cs="宋体"/>
                <w:snapToGrid w:val="0"/>
                <w:color w:val="auto"/>
                <w:kern w:val="0"/>
                <w:sz w:val="24"/>
                <w:szCs w:val="24"/>
                <w:highlight w:val="none"/>
              </w:rPr>
              <w:t>分</w:t>
            </w:r>
          </w:p>
        </w:tc>
      </w:tr>
      <w:tr w14:paraId="7F51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77" w:hRule="atLeast"/>
          <w:jc w:val="center"/>
        </w:trPr>
        <w:tc>
          <w:tcPr>
            <w:tcW w:w="660" w:type="dxa"/>
            <w:shd w:val="clear" w:color="auto" w:fill="FFFFFF"/>
            <w:noWrap w:val="0"/>
            <w:vAlign w:val="center"/>
          </w:tcPr>
          <w:p w14:paraId="6491100B">
            <w:pPr>
              <w:pStyle w:val="21"/>
              <w:wordWrap w:val="0"/>
              <w:adjustRightInd w:val="0"/>
              <w:snapToGrid w:val="0"/>
              <w:spacing w:line="36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7</w:t>
            </w:r>
          </w:p>
        </w:tc>
        <w:tc>
          <w:tcPr>
            <w:tcW w:w="1470" w:type="dxa"/>
            <w:shd w:val="clear" w:color="auto" w:fill="FFFFFF"/>
            <w:noWrap w:val="0"/>
            <w:vAlign w:val="center"/>
          </w:tcPr>
          <w:p w14:paraId="4461ABE1">
            <w:pPr>
              <w:pStyle w:val="21"/>
              <w:wordWrap w:val="0"/>
              <w:adjustRightInd w:val="0"/>
              <w:snapToGrid w:val="0"/>
              <w:spacing w:line="36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投标相关资料（如有）递交时间</w:t>
            </w:r>
          </w:p>
        </w:tc>
        <w:tc>
          <w:tcPr>
            <w:tcW w:w="7466" w:type="dxa"/>
            <w:shd w:val="clear" w:color="auto" w:fill="FFFFFF"/>
            <w:noWrap w:val="0"/>
            <w:vAlign w:val="center"/>
          </w:tcPr>
          <w:p w14:paraId="7D1B3626">
            <w:pPr>
              <w:pStyle w:val="21"/>
              <w:wordWrap w:val="0"/>
              <w:adjustRightInd w:val="0"/>
              <w:snapToGrid w:val="0"/>
              <w:spacing w:line="360" w:lineRule="auto"/>
              <w:jc w:val="left"/>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u w:val="none"/>
                <w:lang w:val="en-US" w:eastAsia="zh-CN"/>
              </w:rPr>
              <w:t>2025</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11</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highlight w:val="none"/>
                <w:lang w:val="en-US" w:eastAsia="zh-CN"/>
              </w:rPr>
              <w:t>09时00分</w:t>
            </w:r>
            <w:r>
              <w:rPr>
                <w:rFonts w:hint="eastAsia" w:ascii="宋体" w:hAnsi="宋体" w:eastAsia="宋体" w:cs="宋体"/>
                <w:snapToGrid w:val="0"/>
                <w:color w:val="auto"/>
                <w:kern w:val="0"/>
                <w:sz w:val="24"/>
                <w:szCs w:val="24"/>
                <w:highlight w:val="none"/>
                <w:u w:val="none"/>
              </w:rPr>
              <w:t>至</w:t>
            </w:r>
            <w:r>
              <w:rPr>
                <w:rFonts w:hint="eastAsia" w:ascii="宋体" w:hAnsi="宋体" w:eastAsia="宋体" w:cs="宋体"/>
                <w:snapToGrid w:val="0"/>
                <w:color w:val="auto"/>
                <w:kern w:val="0"/>
                <w:sz w:val="24"/>
                <w:szCs w:val="24"/>
                <w:highlight w:val="none"/>
                <w:u w:val="none"/>
                <w:lang w:val="en-US" w:eastAsia="zh-CN"/>
              </w:rPr>
              <w:t>2025</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11</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szCs w:val="24"/>
                <w:highlight w:val="none"/>
                <w:u w:val="none"/>
                <w:lang w:val="en-US" w:eastAsia="zh-CN"/>
              </w:rPr>
              <w:t>09</w:t>
            </w:r>
            <w:r>
              <w:rPr>
                <w:rFonts w:hint="eastAsia" w:ascii="宋体" w:hAnsi="宋体" w:eastAsia="宋体" w:cs="宋体"/>
                <w:snapToGrid w:val="0"/>
                <w:color w:val="auto"/>
                <w:kern w:val="0"/>
                <w:sz w:val="24"/>
                <w:szCs w:val="24"/>
                <w:highlight w:val="none"/>
                <w:u w:val="none"/>
              </w:rPr>
              <w:t>时</w:t>
            </w:r>
            <w:r>
              <w:rPr>
                <w:rFonts w:hint="eastAsia" w:ascii="宋体" w:hAnsi="宋体" w:eastAsia="宋体" w:cs="宋体"/>
                <w:snapToGrid w:val="0"/>
                <w:color w:val="auto"/>
                <w:kern w:val="0"/>
                <w:sz w:val="24"/>
                <w:szCs w:val="24"/>
                <w:highlight w:val="none"/>
                <w:u w:val="none"/>
                <w:lang w:val="en-US" w:eastAsia="zh-CN"/>
              </w:rPr>
              <w:t>30</w:t>
            </w:r>
            <w:r>
              <w:rPr>
                <w:rFonts w:hint="eastAsia" w:ascii="宋体" w:hAnsi="宋体" w:eastAsia="宋体" w:cs="宋体"/>
                <w:snapToGrid w:val="0"/>
                <w:color w:val="auto"/>
                <w:kern w:val="0"/>
                <w:sz w:val="24"/>
                <w:szCs w:val="24"/>
                <w:highlight w:val="none"/>
              </w:rPr>
              <w:t>分</w:t>
            </w:r>
          </w:p>
        </w:tc>
      </w:tr>
      <w:tr w14:paraId="2A981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77" w:hRule="atLeast"/>
          <w:jc w:val="center"/>
        </w:trPr>
        <w:tc>
          <w:tcPr>
            <w:tcW w:w="660" w:type="dxa"/>
            <w:shd w:val="clear" w:color="auto" w:fill="FFFFFF"/>
            <w:noWrap w:val="0"/>
            <w:vAlign w:val="center"/>
          </w:tcPr>
          <w:p w14:paraId="423C92AB">
            <w:pPr>
              <w:pStyle w:val="21"/>
              <w:wordWrap w:val="0"/>
              <w:adjustRightInd w:val="0"/>
              <w:snapToGrid w:val="0"/>
              <w:spacing w:line="36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8</w:t>
            </w:r>
          </w:p>
        </w:tc>
        <w:tc>
          <w:tcPr>
            <w:tcW w:w="1470" w:type="dxa"/>
            <w:shd w:val="clear" w:color="auto" w:fill="FFFFFF"/>
            <w:noWrap w:val="0"/>
            <w:vAlign w:val="center"/>
          </w:tcPr>
          <w:p w14:paraId="6B56FBB1">
            <w:pPr>
              <w:pStyle w:val="21"/>
              <w:wordWrap w:val="0"/>
              <w:adjustRightInd w:val="0"/>
              <w:snapToGrid w:val="0"/>
              <w:spacing w:line="36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投标相关资料（如有）递交地点</w:t>
            </w:r>
          </w:p>
        </w:tc>
        <w:tc>
          <w:tcPr>
            <w:tcW w:w="7466" w:type="dxa"/>
            <w:shd w:val="clear" w:color="auto" w:fill="FFFFFF"/>
            <w:noWrap w:val="0"/>
            <w:vAlign w:val="center"/>
          </w:tcPr>
          <w:p w14:paraId="32145602">
            <w:pPr>
              <w:pStyle w:val="15"/>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u w:val="none"/>
                <w:lang w:eastAsia="zh-CN"/>
              </w:rPr>
            </w:pPr>
            <w:r>
              <w:rPr>
                <w:rFonts w:hint="eastAsia" w:ascii="宋体" w:hAnsi="宋体" w:eastAsia="宋体" w:cs="宋体"/>
                <w:snapToGrid w:val="0"/>
                <w:color w:val="auto"/>
                <w:kern w:val="0"/>
                <w:sz w:val="24"/>
                <w:szCs w:val="24"/>
                <w:highlight w:val="none"/>
                <w:u w:val="none"/>
                <w:lang w:eastAsia="zh-CN"/>
              </w:rPr>
              <w:t>递交</w:t>
            </w:r>
            <w:r>
              <w:rPr>
                <w:rFonts w:hint="eastAsia" w:ascii="宋体" w:hAnsi="宋体" w:eastAsia="宋体" w:cs="宋体"/>
                <w:snapToGrid w:val="0"/>
                <w:color w:val="auto"/>
                <w:kern w:val="0"/>
                <w:sz w:val="24"/>
                <w:szCs w:val="24"/>
                <w:highlight w:val="none"/>
                <w:u w:val="none"/>
              </w:rPr>
              <w:t>场所：</w:t>
            </w:r>
            <w:r>
              <w:rPr>
                <w:rFonts w:hint="eastAsia" w:ascii="宋体" w:hAnsi="宋体" w:eastAsia="宋体" w:cs="宋体"/>
                <w:snapToGrid w:val="0"/>
                <w:color w:val="auto"/>
                <w:kern w:val="0"/>
                <w:sz w:val="24"/>
                <w:szCs w:val="24"/>
                <w:highlight w:val="none"/>
                <w:u w:val="none"/>
                <w:lang w:val="en-US" w:eastAsia="zh-CN"/>
              </w:rPr>
              <w:t>韶关市公共资源交易中心</w:t>
            </w:r>
          </w:p>
          <w:p w14:paraId="16A01A11">
            <w:pPr>
              <w:pStyle w:val="22"/>
              <w:widowControl w:val="0"/>
              <w:wordWrap w:val="0"/>
              <w:snapToGrid w:val="0"/>
              <w:spacing w:before="0" w:beforeAutospacing="0" w:after="0" w:afterAutospacing="0" w:line="360" w:lineRule="auto"/>
              <w:ind w:firstLine="240" w:firstLineChars="100"/>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u w:val="none"/>
              </w:rPr>
              <w:t>地址：</w:t>
            </w:r>
            <w:r>
              <w:rPr>
                <w:rFonts w:hint="eastAsia" w:ascii="宋体" w:hAnsi="宋体" w:eastAsia="宋体" w:cs="宋体"/>
                <w:snapToGrid w:val="0"/>
                <w:color w:val="auto"/>
                <w:kern w:val="0"/>
                <w:sz w:val="24"/>
                <w:szCs w:val="24"/>
                <w:highlight w:val="none"/>
              </w:rPr>
              <w:t>广东省韶关市武江区西联镇</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具体房间号以当日现场通知为准</w:t>
            </w:r>
            <w:r>
              <w:rPr>
                <w:rFonts w:hint="eastAsia" w:ascii="宋体" w:hAnsi="宋体" w:eastAsia="宋体" w:cs="宋体"/>
                <w:snapToGrid w:val="0"/>
                <w:color w:val="auto"/>
                <w:kern w:val="0"/>
                <w:sz w:val="24"/>
                <w:szCs w:val="24"/>
                <w:highlight w:val="none"/>
                <w:lang w:eastAsia="zh-CN"/>
              </w:rPr>
              <w:t>。</w:t>
            </w:r>
          </w:p>
        </w:tc>
      </w:tr>
      <w:tr w14:paraId="0E9B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37" w:hRule="atLeast"/>
          <w:jc w:val="center"/>
        </w:trPr>
        <w:tc>
          <w:tcPr>
            <w:tcW w:w="660" w:type="dxa"/>
            <w:shd w:val="clear" w:color="auto" w:fill="FFFFFF"/>
            <w:noWrap w:val="0"/>
            <w:vAlign w:val="center"/>
          </w:tcPr>
          <w:p w14:paraId="7750FE7D">
            <w:pPr>
              <w:pStyle w:val="21"/>
              <w:wordWrap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highlight w:val="none"/>
              </w:rPr>
              <w:t>9</w:t>
            </w:r>
          </w:p>
        </w:tc>
        <w:tc>
          <w:tcPr>
            <w:tcW w:w="1470" w:type="dxa"/>
            <w:shd w:val="clear" w:color="auto" w:fill="FFFFFF"/>
            <w:noWrap w:val="0"/>
            <w:vAlign w:val="center"/>
          </w:tcPr>
          <w:p w14:paraId="12BA2CD3">
            <w:pPr>
              <w:pStyle w:val="21"/>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highlight w:val="none"/>
              </w:rPr>
              <w:t>开标时间</w:t>
            </w:r>
          </w:p>
        </w:tc>
        <w:tc>
          <w:tcPr>
            <w:tcW w:w="7466" w:type="dxa"/>
            <w:shd w:val="clear" w:color="auto" w:fill="FFFFFF"/>
            <w:noWrap w:val="0"/>
            <w:vAlign w:val="center"/>
          </w:tcPr>
          <w:p w14:paraId="48902736">
            <w:pPr>
              <w:pStyle w:val="21"/>
              <w:wordWrap w:val="0"/>
              <w:adjustRightInd w:val="0"/>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u w:val="none"/>
                <w:lang w:val="en-US" w:eastAsia="zh-CN"/>
              </w:rPr>
              <w:t>2025</w:t>
            </w:r>
            <w:r>
              <w:rPr>
                <w:rFonts w:hint="eastAsia" w:ascii="宋体" w:hAnsi="宋体" w:eastAsia="宋体" w:cs="宋体"/>
                <w:snapToGrid w:val="0"/>
                <w:color w:val="auto"/>
                <w:kern w:val="0"/>
                <w:sz w:val="24"/>
                <w:szCs w:val="24"/>
                <w:highlight w:val="none"/>
                <w:u w:val="none"/>
              </w:rPr>
              <w:t>年</w:t>
            </w:r>
            <w:r>
              <w:rPr>
                <w:rFonts w:hint="eastAsia" w:ascii="宋体" w:hAnsi="宋体" w:eastAsia="宋体" w:cs="宋体"/>
                <w:snapToGrid w:val="0"/>
                <w:color w:val="auto"/>
                <w:kern w:val="0"/>
                <w:sz w:val="24"/>
                <w:szCs w:val="24"/>
                <w:highlight w:val="none"/>
                <w:u w:val="none"/>
                <w:lang w:val="en-US" w:eastAsia="zh-CN"/>
              </w:rPr>
              <w:t>11</w:t>
            </w:r>
            <w:r>
              <w:rPr>
                <w:rFonts w:hint="eastAsia" w:ascii="宋体" w:hAnsi="宋体" w:eastAsia="宋体" w:cs="宋体"/>
                <w:snapToGrid w:val="0"/>
                <w:color w:val="auto"/>
                <w:kern w:val="0"/>
                <w:sz w:val="24"/>
                <w:szCs w:val="24"/>
                <w:highlight w:val="none"/>
                <w:u w:val="none"/>
              </w:rPr>
              <w:t>月</w:t>
            </w:r>
            <w:r>
              <w:rPr>
                <w:rFonts w:hint="eastAsia" w:ascii="宋体" w:hAnsi="宋体" w:eastAsia="宋体" w:cs="宋体"/>
                <w:snapToGrid w:val="0"/>
                <w:color w:val="auto"/>
                <w:kern w:val="0"/>
                <w:sz w:val="24"/>
                <w:szCs w:val="24"/>
                <w:highlight w:val="none"/>
                <w:u w:val="none"/>
                <w:lang w:val="en-US" w:eastAsia="zh-CN"/>
              </w:rPr>
              <w:t>07</w:t>
            </w:r>
            <w:r>
              <w:rPr>
                <w:rFonts w:hint="eastAsia" w:ascii="宋体" w:hAnsi="宋体" w:eastAsia="宋体" w:cs="宋体"/>
                <w:snapToGrid w:val="0"/>
                <w:color w:val="auto"/>
                <w:kern w:val="0"/>
                <w:sz w:val="24"/>
                <w:szCs w:val="24"/>
                <w:highlight w:val="none"/>
                <w:u w:val="none"/>
              </w:rPr>
              <w:t>日</w:t>
            </w:r>
            <w:r>
              <w:rPr>
                <w:rFonts w:hint="eastAsia" w:ascii="宋体" w:hAnsi="宋体" w:eastAsia="宋体" w:cs="宋体"/>
                <w:snapToGrid w:val="0"/>
                <w:color w:val="auto"/>
                <w:kern w:val="0"/>
                <w:sz w:val="24"/>
                <w:szCs w:val="24"/>
                <w:highlight w:val="none"/>
                <w:u w:val="none"/>
                <w:lang w:val="en-US" w:eastAsia="zh-CN"/>
              </w:rPr>
              <w:t>09</w:t>
            </w:r>
            <w:r>
              <w:rPr>
                <w:rFonts w:hint="eastAsia" w:ascii="宋体" w:hAnsi="宋体" w:eastAsia="宋体" w:cs="宋体"/>
                <w:snapToGrid w:val="0"/>
                <w:color w:val="auto"/>
                <w:kern w:val="0"/>
                <w:sz w:val="24"/>
                <w:szCs w:val="24"/>
                <w:highlight w:val="none"/>
                <w:u w:val="none"/>
              </w:rPr>
              <w:t>时</w:t>
            </w:r>
            <w:r>
              <w:rPr>
                <w:rFonts w:hint="eastAsia" w:ascii="宋体" w:hAnsi="宋体" w:eastAsia="宋体" w:cs="宋体"/>
                <w:snapToGrid w:val="0"/>
                <w:color w:val="auto"/>
                <w:kern w:val="0"/>
                <w:sz w:val="24"/>
                <w:szCs w:val="24"/>
                <w:highlight w:val="none"/>
                <w:u w:val="none"/>
                <w:lang w:val="en-US" w:eastAsia="zh-CN"/>
              </w:rPr>
              <w:t>30</w:t>
            </w:r>
            <w:r>
              <w:rPr>
                <w:rFonts w:hint="eastAsia" w:ascii="宋体" w:hAnsi="宋体" w:eastAsia="宋体" w:cs="宋体"/>
                <w:snapToGrid w:val="0"/>
                <w:color w:val="auto"/>
                <w:kern w:val="0"/>
                <w:sz w:val="24"/>
                <w:szCs w:val="24"/>
                <w:highlight w:val="none"/>
              </w:rPr>
              <w:t>分</w:t>
            </w:r>
          </w:p>
        </w:tc>
      </w:tr>
      <w:tr w14:paraId="59A5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77" w:hRule="atLeast"/>
          <w:jc w:val="center"/>
        </w:trPr>
        <w:tc>
          <w:tcPr>
            <w:tcW w:w="660" w:type="dxa"/>
            <w:shd w:val="clear" w:color="auto" w:fill="FFFFFF"/>
            <w:noWrap w:val="0"/>
            <w:vAlign w:val="center"/>
          </w:tcPr>
          <w:p w14:paraId="79F814CF">
            <w:pPr>
              <w:pStyle w:val="21"/>
              <w:wordWrap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rPr>
              <w:t>10</w:t>
            </w:r>
          </w:p>
        </w:tc>
        <w:tc>
          <w:tcPr>
            <w:tcW w:w="1470" w:type="dxa"/>
            <w:shd w:val="clear" w:color="auto" w:fill="FFFFFF"/>
            <w:noWrap w:val="0"/>
            <w:vAlign w:val="center"/>
          </w:tcPr>
          <w:p w14:paraId="46C289A7">
            <w:pPr>
              <w:pStyle w:val="21"/>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开标地点</w:t>
            </w:r>
          </w:p>
        </w:tc>
        <w:tc>
          <w:tcPr>
            <w:tcW w:w="7466" w:type="dxa"/>
            <w:shd w:val="clear" w:color="auto" w:fill="FFFFFF"/>
            <w:noWrap w:val="0"/>
            <w:vAlign w:val="center"/>
          </w:tcPr>
          <w:p w14:paraId="0151B396">
            <w:pPr>
              <w:pStyle w:val="15"/>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开标场所：</w:t>
            </w:r>
            <w:r>
              <w:rPr>
                <w:rFonts w:hint="eastAsia" w:ascii="宋体" w:hAnsi="宋体" w:eastAsia="宋体" w:cs="宋体"/>
                <w:snapToGrid w:val="0"/>
                <w:color w:val="auto"/>
                <w:kern w:val="0"/>
                <w:sz w:val="24"/>
                <w:szCs w:val="24"/>
                <w:highlight w:val="none"/>
                <w:lang w:val="en-US" w:eastAsia="zh-CN"/>
              </w:rPr>
              <w:t>韶关市公共资源交易中心</w:t>
            </w:r>
          </w:p>
          <w:p w14:paraId="6569B27E">
            <w:pPr>
              <w:pStyle w:val="22"/>
              <w:widowControl w:val="0"/>
              <w:wordWrap w:val="0"/>
              <w:snapToGrid w:val="0"/>
              <w:spacing w:before="0" w:beforeAutospacing="0" w:after="0" w:afterAutospacing="0"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地址：广东省韶关市武江区西联镇</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具体房间号以当日现场通知为准。</w:t>
            </w:r>
          </w:p>
        </w:tc>
      </w:tr>
      <w:tr w14:paraId="382D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77" w:hRule="atLeast"/>
          <w:jc w:val="center"/>
        </w:trPr>
        <w:tc>
          <w:tcPr>
            <w:tcW w:w="660" w:type="dxa"/>
            <w:shd w:val="clear" w:color="auto" w:fill="FFFFFF"/>
            <w:noWrap w:val="0"/>
            <w:vAlign w:val="center"/>
          </w:tcPr>
          <w:p w14:paraId="3C3B1290">
            <w:pPr>
              <w:pStyle w:val="21"/>
              <w:wordWrap w:val="0"/>
              <w:adjustRightInd w:val="0"/>
              <w:snapToGrid w:val="0"/>
              <w:spacing w:line="360" w:lineRule="auto"/>
              <w:jc w:val="center"/>
              <w:rPr>
                <w:rFonts w:hint="eastAsia" w:ascii="宋体" w:hAnsi="宋体" w:eastAsia="宋体" w:cs="宋体"/>
                <w:i w:val="0"/>
                <w:caps w:val="0"/>
                <w:color w:val="auto"/>
                <w:spacing w:val="0"/>
                <w:sz w:val="24"/>
                <w:szCs w:val="24"/>
                <w:highlight w:val="none"/>
                <w:lang w:val="en-US"/>
              </w:rPr>
            </w:pPr>
            <w:r>
              <w:rPr>
                <w:rFonts w:hint="eastAsia" w:ascii="宋体" w:hAnsi="宋体" w:eastAsia="宋体" w:cs="宋体"/>
                <w:snapToGrid w:val="0"/>
                <w:color w:val="auto"/>
                <w:kern w:val="0"/>
                <w:sz w:val="24"/>
                <w:szCs w:val="24"/>
                <w:highlight w:val="none"/>
              </w:rPr>
              <w:t>11</w:t>
            </w:r>
          </w:p>
        </w:tc>
        <w:tc>
          <w:tcPr>
            <w:tcW w:w="1470" w:type="dxa"/>
            <w:shd w:val="clear" w:color="auto" w:fill="FFFFFF"/>
            <w:noWrap w:val="0"/>
            <w:vAlign w:val="center"/>
          </w:tcPr>
          <w:p w14:paraId="78F74AE7">
            <w:pPr>
              <w:pStyle w:val="21"/>
              <w:wordWrap w:val="0"/>
              <w:adjustRightInd w:val="0"/>
              <w:snapToGrid w:val="0"/>
              <w:spacing w:line="360" w:lineRule="auto"/>
              <w:jc w:val="center"/>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其他</w:t>
            </w:r>
          </w:p>
        </w:tc>
        <w:tc>
          <w:tcPr>
            <w:tcW w:w="7466" w:type="dxa"/>
            <w:shd w:val="clear" w:color="auto" w:fill="FFFFFF"/>
            <w:noWrap w:val="0"/>
            <w:vAlign w:val="center"/>
          </w:tcPr>
          <w:p w14:paraId="2962EFCB">
            <w:pPr>
              <w:pStyle w:val="15"/>
              <w:wordWrap w:val="0"/>
              <w:adjustRightInd w:val="0"/>
              <w:snapToGrid w:val="0"/>
              <w:spacing w:line="360" w:lineRule="auto"/>
              <w:ind w:firstLine="240" w:firstLineChars="100"/>
              <w:jc w:val="left"/>
              <w:rPr>
                <w:rFonts w:hint="eastAsia" w:ascii="宋体" w:hAnsi="宋体" w:eastAsia="宋体" w:cs="宋体"/>
                <w:i w:val="0"/>
                <w:caps w:val="0"/>
                <w:color w:val="auto"/>
                <w:spacing w:val="0"/>
                <w:kern w:val="0"/>
                <w:sz w:val="24"/>
                <w:szCs w:val="24"/>
                <w:highlight w:val="none"/>
                <w:lang w:val="en-US" w:eastAsia="zh-CN" w:bidi="ar-SA"/>
              </w:rPr>
            </w:pPr>
            <w:r>
              <w:rPr>
                <w:rFonts w:hint="eastAsia" w:ascii="宋体" w:hAnsi="宋体" w:eastAsia="宋体" w:cs="宋体"/>
                <w:color w:val="auto"/>
                <w:sz w:val="24"/>
                <w:szCs w:val="24"/>
                <w:highlight w:val="none"/>
                <w:shd w:val="clear" w:color="auto" w:fill="FFFFFF"/>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5DD3A622">
      <w:pPr>
        <w:rPr>
          <w:rFonts w:hint="eastAsia" w:ascii="宋体" w:hAnsi="宋体" w:eastAsia="宋体" w:cs="宋体"/>
          <w:color w:val="auto"/>
          <w:highlight w:val="none"/>
        </w:rPr>
      </w:pPr>
    </w:p>
    <w:p w14:paraId="7D8B66DC">
      <w:pPr>
        <w:rPr>
          <w:rFonts w:hint="eastAsia" w:ascii="宋体" w:hAnsi="宋体" w:eastAsia="宋体" w:cs="宋体"/>
          <w:color w:val="auto"/>
          <w:highlight w:val="none"/>
        </w:rPr>
      </w:pPr>
    </w:p>
    <w:p w14:paraId="4352AE46">
      <w:pPr>
        <w:rPr>
          <w:rFonts w:hint="eastAsia" w:ascii="宋体" w:hAnsi="宋体" w:eastAsia="宋体" w:cs="宋体"/>
          <w:color w:val="auto"/>
          <w:highlight w:val="none"/>
        </w:rPr>
      </w:pPr>
    </w:p>
    <w:p w14:paraId="119C0C9A">
      <w:pPr>
        <w:pStyle w:val="4"/>
        <w:wordWrap w:val="0"/>
        <w:autoSpaceDE/>
        <w:autoSpaceDN/>
        <w:snapToGrid w:val="0"/>
        <w:spacing w:after="260" w:line="240" w:lineRule="auto"/>
        <w:jc w:val="both"/>
        <w:rPr>
          <w:rFonts w:hint="eastAsia" w:ascii="宋体" w:hAnsi="宋体" w:eastAsia="宋体" w:cs="宋体"/>
          <w:b/>
          <w:snapToGrid w:val="0"/>
          <w:color w:val="auto"/>
          <w:highlight w:val="none"/>
        </w:rPr>
      </w:pPr>
      <w:bookmarkStart w:id="15" w:name="_Hlt87793819"/>
      <w:bookmarkEnd w:id="15"/>
      <w:bookmarkStart w:id="16" w:name="_Toc21134"/>
      <w:bookmarkStart w:id="17" w:name="_Toc3747"/>
      <w:bookmarkStart w:id="18" w:name="_Hlt69698705"/>
      <w:bookmarkStart w:id="19" w:name="_Hlt69698754"/>
      <w:r>
        <w:rPr>
          <w:rFonts w:hint="eastAsia" w:ascii="宋体" w:hAnsi="宋体" w:eastAsia="宋体" w:cs="宋体"/>
          <w:b/>
          <w:snapToGrid w:val="0"/>
          <w:color w:val="auto"/>
          <w:highlight w:val="none"/>
        </w:rPr>
        <w:t>第三节</w:t>
      </w:r>
      <w:r>
        <w:rPr>
          <w:rFonts w:hint="eastAsia" w:ascii="宋体" w:hAnsi="宋体" w:eastAsia="宋体" w:cs="宋体"/>
          <w:b/>
          <w:snapToGrid w:val="0"/>
          <w:color w:val="auto"/>
          <w:highlight w:val="none"/>
          <w:lang w:val="en-US" w:eastAsia="zh-CN"/>
        </w:rPr>
        <w:t xml:space="preserve">   </w:t>
      </w:r>
      <w:r>
        <w:rPr>
          <w:rFonts w:hint="eastAsia" w:ascii="宋体" w:hAnsi="宋体" w:eastAsia="宋体" w:cs="宋体"/>
          <w:b/>
          <w:snapToGrid w:val="0"/>
          <w:color w:val="auto"/>
          <w:highlight w:val="none"/>
        </w:rPr>
        <w:t>投标人须知</w:t>
      </w:r>
      <w:bookmarkStart w:id="20" w:name="_Hlt69669159"/>
      <w:bookmarkEnd w:id="20"/>
      <w:r>
        <w:rPr>
          <w:rFonts w:hint="eastAsia" w:ascii="宋体" w:hAnsi="宋体" w:eastAsia="宋体" w:cs="宋体"/>
          <w:b/>
          <w:snapToGrid w:val="0"/>
          <w:color w:val="auto"/>
          <w:highlight w:val="none"/>
        </w:rPr>
        <w:t>正文</w:t>
      </w:r>
      <w:bookmarkEnd w:id="16"/>
      <w:bookmarkEnd w:id="17"/>
      <w:bookmarkEnd w:id="18"/>
      <w:bookmarkEnd w:id="19"/>
    </w:p>
    <w:p w14:paraId="701B0EFD">
      <w:pPr>
        <w:keepNext w:val="0"/>
        <w:keepLines w:val="0"/>
        <w:pageBreakBefore w:val="0"/>
        <w:widowControl w:val="0"/>
        <w:kinsoku/>
        <w:wordWrap w:val="0"/>
        <w:overflowPunct/>
        <w:topLinePunct w:val="0"/>
        <w:autoSpaceDE/>
        <w:autoSpaceDN/>
        <w:bidi w:val="0"/>
        <w:adjustRightInd w:val="0"/>
        <w:snapToGrid w:val="0"/>
        <w:spacing w:before="165" w:beforeLines="50" w:line="360" w:lineRule="auto"/>
        <w:ind w:firstLine="480" w:firstLineChars="200"/>
        <w:textAlignment w:val="auto"/>
        <w:rPr>
          <w:rFonts w:hint="eastAsia" w:ascii="宋体" w:hAnsi="宋体" w:eastAsia="宋体" w:cs="宋体"/>
          <w:b/>
          <w:bCs/>
          <w:snapToGrid w:val="0"/>
          <w:color w:val="auto"/>
          <w:kern w:val="0"/>
          <w:sz w:val="24"/>
          <w:highlight w:val="none"/>
        </w:rPr>
      </w:pPr>
      <w:r>
        <w:rPr>
          <w:rFonts w:hint="eastAsia" w:ascii="宋体" w:hAnsi="宋体" w:eastAsia="宋体" w:cs="宋体"/>
          <w:snapToGrid w:val="0"/>
          <w:color w:val="auto"/>
          <w:kern w:val="0"/>
          <w:highlight w:val="none"/>
          <w:u w:val="single"/>
          <w:lang w:val="en-US" w:eastAsia="zh-CN"/>
        </w:rPr>
        <w:t>广东省韶关市韶关高新技术产业开发区园区配套基础设施建设项目</w:t>
      </w:r>
      <w:r>
        <w:rPr>
          <w:rFonts w:hint="eastAsia" w:ascii="宋体" w:hAnsi="宋体" w:eastAsia="宋体" w:cs="宋体"/>
          <w:snapToGrid w:val="0"/>
          <w:color w:val="auto"/>
          <w:kern w:val="0"/>
          <w:highlight w:val="none"/>
        </w:rPr>
        <w:t>经</w:t>
      </w:r>
      <w:r>
        <w:rPr>
          <w:rFonts w:hint="eastAsia" w:ascii="宋体" w:hAnsi="宋体" w:eastAsia="宋体" w:cs="宋体"/>
          <w:snapToGrid w:val="0"/>
          <w:color w:val="auto"/>
          <w:kern w:val="0"/>
          <w:sz w:val="24"/>
          <w:szCs w:val="24"/>
          <w:highlight w:val="none"/>
          <w:u w:val="single"/>
          <w:lang w:eastAsia="zh-CN"/>
        </w:rPr>
        <w:t>韶关高新技术产业开发区管理委员会</w:t>
      </w:r>
      <w:r>
        <w:rPr>
          <w:rFonts w:hint="eastAsia" w:ascii="宋体" w:hAnsi="宋体" w:eastAsia="宋体" w:cs="宋体"/>
          <w:snapToGrid w:val="0"/>
          <w:color w:val="auto"/>
          <w:kern w:val="0"/>
          <w:sz w:val="24"/>
          <w:szCs w:val="24"/>
          <w:highlight w:val="none"/>
        </w:rPr>
        <w:t>以</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u w:val="single"/>
          <w:lang w:eastAsia="zh-CN"/>
        </w:rPr>
        <w:t>关于广东省韶关市韶关高新技术产业开发区园区配套基础设施建设项目可行性研究报告的批复</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u w:val="single"/>
          <w:lang w:eastAsia="zh-CN"/>
        </w:rPr>
        <w:t>韶高</w:t>
      </w:r>
      <w:r>
        <w:rPr>
          <w:rFonts w:hint="eastAsia" w:ascii="宋体" w:hAnsi="宋体" w:eastAsia="宋体" w:cs="宋体"/>
          <w:snapToGrid w:val="0"/>
          <w:color w:val="auto"/>
          <w:kern w:val="0"/>
          <w:sz w:val="24"/>
          <w:szCs w:val="24"/>
          <w:highlight w:val="none"/>
          <w:u w:val="single"/>
          <w:lang w:val="en-US" w:eastAsia="zh-CN"/>
        </w:rPr>
        <w:t>新批字〔2022〕10号</w:t>
      </w:r>
      <w:r>
        <w:rPr>
          <w:rFonts w:hint="eastAsia" w:ascii="宋体" w:hAnsi="宋体" w:eastAsia="宋体" w:cs="宋体"/>
          <w:snapToGrid w:val="0"/>
          <w:color w:val="auto"/>
          <w:kern w:val="0"/>
          <w:sz w:val="24"/>
          <w:szCs w:val="24"/>
          <w:highlight w:val="none"/>
        </w:rPr>
        <w:t>批准建设，项目代码为</w:t>
      </w:r>
      <w:r>
        <w:rPr>
          <w:rFonts w:hint="eastAsia" w:ascii="宋体" w:hAnsi="宋体" w:eastAsia="宋体" w:cs="宋体"/>
          <w:snapToGrid w:val="0"/>
          <w:color w:val="auto"/>
          <w:kern w:val="0"/>
          <w:sz w:val="24"/>
          <w:szCs w:val="24"/>
          <w:highlight w:val="none"/>
          <w:u w:val="single"/>
          <w:lang w:val="en-US" w:eastAsia="zh-CN"/>
        </w:rPr>
        <w:t>2209-440200-04-01-487589</w:t>
      </w:r>
      <w:r>
        <w:rPr>
          <w:rFonts w:hint="eastAsia" w:ascii="宋体" w:hAnsi="宋体" w:eastAsia="宋体" w:cs="宋体"/>
          <w:snapToGrid w:val="0"/>
          <w:color w:val="auto"/>
          <w:kern w:val="0"/>
          <w:highlight w:val="none"/>
        </w:rPr>
        <w:t>。本项目业主为</w:t>
      </w:r>
      <w:r>
        <w:rPr>
          <w:rFonts w:hint="eastAsia" w:ascii="宋体" w:hAnsi="宋体" w:eastAsia="宋体" w:cs="宋体"/>
          <w:snapToGrid w:val="0"/>
          <w:color w:val="auto"/>
          <w:kern w:val="0"/>
          <w:highlight w:val="none"/>
          <w:u w:val="single"/>
          <w:lang w:eastAsia="zh-CN"/>
        </w:rPr>
        <w:t>韶关高新技术产业开发区创业服务中心</w:t>
      </w:r>
      <w:r>
        <w:rPr>
          <w:rFonts w:hint="eastAsia" w:ascii="宋体" w:hAnsi="宋体" w:eastAsia="宋体" w:cs="宋体"/>
          <w:snapToGrid w:val="0"/>
          <w:color w:val="auto"/>
          <w:kern w:val="0"/>
          <w:highlight w:val="none"/>
        </w:rPr>
        <w:t>，建设资金来自</w:t>
      </w:r>
      <w:r>
        <w:rPr>
          <w:rFonts w:hint="eastAsia" w:ascii="宋体" w:hAnsi="宋体" w:eastAsia="宋体" w:cs="宋体"/>
          <w:snapToGrid w:val="0"/>
          <w:color w:val="auto"/>
          <w:kern w:val="0"/>
          <w:highlight w:val="none"/>
          <w:u w:val="single"/>
          <w:lang w:val="en-US" w:eastAsia="zh-CN"/>
        </w:rPr>
        <w:t>财政性资金、申请地方政府专项债券予以解决</w:t>
      </w:r>
      <w:r>
        <w:rPr>
          <w:rFonts w:hint="eastAsia" w:ascii="宋体" w:hAnsi="宋体" w:eastAsia="宋体" w:cs="宋体"/>
          <w:snapToGrid w:val="0"/>
          <w:color w:val="auto"/>
          <w:kern w:val="0"/>
          <w:highlight w:val="none"/>
        </w:rPr>
        <w:t>，出资比例为</w:t>
      </w:r>
      <w:r>
        <w:rPr>
          <w:rFonts w:hint="eastAsia" w:ascii="宋体" w:hAnsi="宋体" w:eastAsia="宋体" w:cs="宋体"/>
          <w:snapToGrid w:val="0"/>
          <w:color w:val="auto"/>
          <w:kern w:val="0"/>
          <w:highlight w:val="none"/>
          <w:u w:val="single"/>
          <w:lang w:val="en-US" w:eastAsia="zh-CN"/>
        </w:rPr>
        <w:t>100%</w:t>
      </w:r>
      <w:r>
        <w:rPr>
          <w:rFonts w:hint="eastAsia" w:ascii="宋体" w:hAnsi="宋体" w:eastAsia="宋体" w:cs="宋体"/>
          <w:snapToGrid w:val="0"/>
          <w:color w:val="auto"/>
          <w:kern w:val="0"/>
          <w:highlight w:val="none"/>
        </w:rPr>
        <w:t>，招标人为</w:t>
      </w:r>
      <w:r>
        <w:rPr>
          <w:rFonts w:hint="eastAsia" w:ascii="宋体" w:hAnsi="宋体" w:eastAsia="宋体" w:cs="宋体"/>
          <w:snapToGrid w:val="0"/>
          <w:color w:val="auto"/>
          <w:kern w:val="0"/>
          <w:highlight w:val="none"/>
          <w:u w:val="single"/>
          <w:lang w:eastAsia="zh-CN"/>
        </w:rPr>
        <w:t>韶关工业园投资建设有限公司</w:t>
      </w:r>
      <w:r>
        <w:rPr>
          <w:rFonts w:hint="eastAsia" w:ascii="宋体" w:hAnsi="宋体" w:eastAsia="宋体" w:cs="宋体"/>
          <w:snapToGrid w:val="0"/>
          <w:color w:val="auto"/>
          <w:kern w:val="0"/>
          <w:highlight w:val="none"/>
        </w:rPr>
        <w:t>，招标代理机构为</w:t>
      </w:r>
      <w:r>
        <w:rPr>
          <w:rFonts w:hint="eastAsia" w:ascii="宋体" w:hAnsi="宋体" w:eastAsia="宋体" w:cs="宋体"/>
          <w:snapToGrid w:val="0"/>
          <w:color w:val="auto"/>
          <w:kern w:val="0"/>
          <w:highlight w:val="none"/>
          <w:u w:val="single"/>
          <w:lang w:eastAsia="zh-CN"/>
        </w:rPr>
        <w:t>广东明正项目管理有限公司</w:t>
      </w:r>
      <w:r>
        <w:rPr>
          <w:rFonts w:hint="eastAsia" w:ascii="宋体" w:hAnsi="宋体" w:eastAsia="宋体" w:cs="宋体"/>
          <w:snapToGrid w:val="0"/>
          <w:color w:val="auto"/>
          <w:kern w:val="0"/>
          <w:highlight w:val="none"/>
        </w:rPr>
        <w:t>。项目已具备招标条件，现对该项目的</w:t>
      </w:r>
      <w:r>
        <w:rPr>
          <w:rFonts w:hint="eastAsia" w:ascii="宋体" w:hAnsi="宋体" w:eastAsia="宋体" w:cs="宋体"/>
          <w:snapToGrid w:val="0"/>
          <w:color w:val="auto"/>
          <w:kern w:val="0"/>
          <w:highlight w:val="none"/>
          <w:u w:val="single"/>
          <w:lang w:val="en-US" w:eastAsia="zh-CN"/>
        </w:rPr>
        <w:t>韶关数据中心集群起步区(浈江片区)公共管道及配套设施建设项目施工</w:t>
      </w:r>
      <w:r>
        <w:rPr>
          <w:rFonts w:hint="eastAsia" w:ascii="宋体" w:hAnsi="宋体" w:eastAsia="宋体" w:cs="宋体"/>
          <w:snapToGrid w:val="0"/>
          <w:color w:val="auto"/>
          <w:kern w:val="0"/>
          <w:highlight w:val="none"/>
        </w:rPr>
        <w:t>进行公开招标。</w:t>
      </w:r>
      <w:bookmarkStart w:id="21" w:name="_Hlt78795222"/>
      <w:bookmarkEnd w:id="21"/>
      <w:bookmarkStart w:id="22" w:name="_Hlt74474735"/>
      <w:bookmarkEnd w:id="22"/>
      <w:bookmarkStart w:id="23" w:name="_Hlt119991399"/>
      <w:bookmarkEnd w:id="23"/>
      <w:bookmarkStart w:id="24" w:name="_Hlt109358474"/>
      <w:bookmarkEnd w:id="24"/>
      <w:bookmarkStart w:id="25" w:name="_Hlt87948285"/>
      <w:bookmarkEnd w:id="25"/>
    </w:p>
    <w:p w14:paraId="70C7E517">
      <w:pPr>
        <w:pStyle w:val="5"/>
        <w:keepNext/>
        <w:keepLines/>
        <w:pageBreakBefore w:val="0"/>
        <w:widowControl/>
        <w:kinsoku/>
        <w:wordWrap/>
        <w:overflowPunct/>
        <w:topLinePunct w:val="0"/>
        <w:autoSpaceDE/>
        <w:autoSpaceDN/>
        <w:bidi w:val="0"/>
        <w:adjustRightInd/>
        <w:snapToGrid/>
        <w:spacing w:before="240" w:line="360" w:lineRule="auto"/>
        <w:ind w:firstLine="420"/>
        <w:jc w:val="both"/>
        <w:textAlignment w:val="auto"/>
        <w:outlineLvl w:val="2"/>
        <w:rPr>
          <w:rFonts w:hint="eastAsia" w:ascii="宋体" w:hAnsi="宋体" w:eastAsia="宋体" w:cs="宋体"/>
          <w:b/>
          <w:bCs/>
          <w:color w:val="auto"/>
          <w:highlight w:val="none"/>
        </w:rPr>
      </w:pPr>
      <w:bookmarkStart w:id="26" w:name="_Toc696"/>
      <w:r>
        <w:rPr>
          <w:rFonts w:hint="eastAsia" w:ascii="宋体" w:hAnsi="宋体" w:eastAsia="宋体" w:cs="宋体"/>
          <w:b/>
          <w:bCs/>
          <w:color w:val="auto"/>
          <w:highlight w:val="none"/>
        </w:rPr>
        <w:t>1．</w:t>
      </w:r>
      <w:r>
        <w:rPr>
          <w:rFonts w:hint="eastAsia" w:ascii="宋体" w:hAnsi="宋体" w:eastAsia="宋体" w:cs="宋体"/>
          <w:b/>
          <w:bCs/>
          <w:color w:val="auto"/>
          <w:highlight w:val="none"/>
          <w:lang w:val="en-US" w:eastAsia="zh-CN"/>
        </w:rPr>
        <w:t>项目</w:t>
      </w:r>
      <w:r>
        <w:rPr>
          <w:rFonts w:hint="eastAsia" w:ascii="宋体" w:hAnsi="宋体" w:eastAsia="宋体" w:cs="宋体"/>
          <w:b/>
          <w:bCs/>
          <w:color w:val="auto"/>
          <w:highlight w:val="none"/>
        </w:rPr>
        <w:t>概况、招标范围和标段划分、投标费用</w:t>
      </w:r>
      <w:bookmarkEnd w:id="26"/>
    </w:p>
    <w:p w14:paraId="6B552ACE">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both"/>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1.1</w:t>
      </w:r>
      <w:r>
        <w:rPr>
          <w:rFonts w:hint="eastAsia" w:ascii="宋体" w:hAnsi="宋体" w:eastAsia="宋体" w:cs="宋体"/>
          <w:snapToGrid w:val="0"/>
          <w:color w:val="auto"/>
          <w:kern w:val="0"/>
          <w:sz w:val="24"/>
          <w:highlight w:val="none"/>
          <w:lang w:val="en-US" w:eastAsia="zh-CN"/>
        </w:rPr>
        <w:t>项目</w:t>
      </w:r>
      <w:r>
        <w:rPr>
          <w:rFonts w:hint="eastAsia" w:ascii="宋体" w:hAnsi="宋体" w:eastAsia="宋体" w:cs="宋体"/>
          <w:snapToGrid w:val="0"/>
          <w:color w:val="auto"/>
          <w:kern w:val="0"/>
          <w:sz w:val="24"/>
          <w:highlight w:val="none"/>
        </w:rPr>
        <w:t>概况</w:t>
      </w:r>
    </w:p>
    <w:p w14:paraId="17E3E155">
      <w:pPr>
        <w:pStyle w:val="21"/>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480" w:firstLineChars="200"/>
        <w:jc w:val="both"/>
        <w:textAlignment w:val="auto"/>
        <w:rPr>
          <w:rStyle w:val="20"/>
          <w:rFonts w:hint="eastAsia" w:ascii="宋体" w:hAnsi="宋体" w:eastAsia="宋体" w:cs="宋体"/>
          <w:color w:val="auto"/>
          <w:kern w:val="0"/>
          <w:sz w:val="24"/>
          <w:szCs w:val="24"/>
          <w:highlight w:val="none"/>
          <w:u w:val="single"/>
          <w:lang w:val="en-US" w:eastAsia="zh-CN"/>
        </w:rPr>
      </w:pPr>
      <w:r>
        <w:rPr>
          <w:rStyle w:val="20"/>
          <w:rFonts w:hint="eastAsia" w:ascii="宋体" w:hAnsi="宋体" w:eastAsia="宋体" w:cs="宋体"/>
          <w:color w:val="auto"/>
          <w:kern w:val="0"/>
          <w:sz w:val="24"/>
          <w:szCs w:val="24"/>
          <w:highlight w:val="none"/>
          <w:u w:val="none"/>
          <w:lang w:val="en-US" w:eastAsia="zh-CN"/>
        </w:rPr>
        <w:t>1.1.1建设地点：</w:t>
      </w:r>
      <w:r>
        <w:rPr>
          <w:rStyle w:val="20"/>
          <w:rFonts w:hint="eastAsia" w:ascii="宋体" w:hAnsi="宋体" w:eastAsia="宋体" w:cs="宋体"/>
          <w:color w:val="auto"/>
          <w:kern w:val="0"/>
          <w:sz w:val="24"/>
          <w:szCs w:val="24"/>
          <w:highlight w:val="none"/>
          <w:u w:val="single"/>
          <w:lang w:val="en-US" w:eastAsia="zh-CN"/>
        </w:rPr>
        <w:t>韶关高新区浈江产业园。</w:t>
      </w:r>
    </w:p>
    <w:p w14:paraId="4C240253">
      <w:pPr>
        <w:pStyle w:val="21"/>
        <w:keepNext w:val="0"/>
        <w:keepLines w:val="0"/>
        <w:pageBreakBefore w:val="0"/>
        <w:widowControl w:val="0"/>
        <w:kinsoku/>
        <w:wordWrap w:val="0"/>
        <w:overflowPunct/>
        <w:topLinePunct w:val="0"/>
        <w:autoSpaceDE/>
        <w:autoSpaceDN/>
        <w:bidi w:val="0"/>
        <w:adjustRightInd w:val="0"/>
        <w:snapToGrid w:val="0"/>
        <w:spacing w:line="360" w:lineRule="auto"/>
        <w:ind w:left="0" w:leftChars="0" w:firstLine="480" w:firstLineChars="200"/>
        <w:jc w:val="both"/>
        <w:textAlignment w:val="auto"/>
        <w:rPr>
          <w:rStyle w:val="20"/>
          <w:rFonts w:hint="eastAsia" w:ascii="宋体" w:hAnsi="宋体" w:eastAsia="宋体" w:cs="宋体"/>
          <w:color w:val="auto"/>
          <w:kern w:val="0"/>
          <w:sz w:val="24"/>
          <w:szCs w:val="24"/>
          <w:highlight w:val="none"/>
          <w:u w:val="single"/>
          <w:lang w:val="en-US" w:eastAsia="zh-CN"/>
        </w:rPr>
      </w:pPr>
      <w:r>
        <w:rPr>
          <w:rStyle w:val="20"/>
          <w:rFonts w:hint="eastAsia" w:ascii="宋体" w:hAnsi="宋体" w:eastAsia="宋体" w:cs="宋体"/>
          <w:color w:val="auto"/>
          <w:kern w:val="0"/>
          <w:sz w:val="24"/>
          <w:szCs w:val="24"/>
          <w:highlight w:val="none"/>
          <w:u w:val="none"/>
          <w:lang w:val="en-US" w:eastAsia="zh-CN"/>
        </w:rPr>
        <w:t>1.1.2建设内容和规模：本</w:t>
      </w:r>
      <w:r>
        <w:rPr>
          <w:rStyle w:val="20"/>
          <w:rFonts w:hint="eastAsia" w:ascii="宋体" w:hAnsi="宋体" w:eastAsia="宋体" w:cs="宋体"/>
          <w:color w:val="auto"/>
          <w:kern w:val="0"/>
          <w:sz w:val="24"/>
          <w:szCs w:val="24"/>
          <w:highlight w:val="none"/>
          <w:u w:val="single"/>
          <w:lang w:val="en-US" w:eastAsia="zh-CN"/>
        </w:rPr>
        <w:t>项目位于高新区浈江片区，主要建设内容包括项目新建220千伏输电工程总长度量约为3.483km，其中从220kV智良站～腾讯站，新建电缆路径全长约2.57km；从220kV数据2站-腾讯站，新建电缆路径长约0.913km。工程建设包括沿线路面破除和修复、施工便道建设、电缆沟、浅槽、工作井、电缆埋管、电缆廊道、廊道工作井、电缆顶管、地基处理等。</w:t>
      </w:r>
    </w:p>
    <w:p w14:paraId="65B7B1F0">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snapToGrid w:val="0"/>
          <w:color w:val="auto"/>
          <w:kern w:val="0"/>
          <w:sz w:val="24"/>
          <w:highlight w:val="none"/>
        </w:rPr>
        <w:t>1.1.3</w:t>
      </w:r>
      <w:r>
        <w:rPr>
          <w:rFonts w:hint="eastAsia" w:ascii="宋体" w:hAnsi="宋体" w:eastAsia="宋体" w:cs="宋体"/>
          <w:snapToGrid w:val="0"/>
          <w:color w:val="auto"/>
          <w:kern w:val="0"/>
          <w:sz w:val="24"/>
          <w:highlight w:val="none"/>
        </w:rPr>
        <w:t>项目总投</w:t>
      </w:r>
      <w:r>
        <w:rPr>
          <w:rFonts w:hint="eastAsia" w:ascii="宋体" w:hAnsi="宋体" w:eastAsia="宋体" w:cs="宋体"/>
          <w:snapToGrid w:val="0"/>
          <w:color w:val="auto"/>
          <w:kern w:val="0"/>
          <w:sz w:val="24"/>
          <w:szCs w:val="24"/>
          <w:highlight w:val="none"/>
        </w:rPr>
        <w:t>资：</w:t>
      </w:r>
      <w:r>
        <w:rPr>
          <w:rFonts w:hint="eastAsia" w:ascii="宋体" w:hAnsi="宋体" w:eastAsia="宋体" w:cs="宋体"/>
          <w:color w:val="auto"/>
          <w:sz w:val="24"/>
          <w:szCs w:val="24"/>
          <w:highlight w:val="none"/>
          <w:lang w:val="en-US" w:eastAsia="zh-CN"/>
        </w:rPr>
        <w:t>项目概算投资额2711.50万元，其中暂定预算建安费1458.24万元。</w:t>
      </w:r>
    </w:p>
    <w:p w14:paraId="0F342005">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both"/>
        <w:textAlignment w:val="auto"/>
        <w:rPr>
          <w:rFonts w:hint="eastAsia" w:ascii="宋体" w:hAnsi="宋体" w:eastAsia="宋体" w:cs="宋体"/>
          <w:b/>
          <w:bCs/>
          <w:snapToGrid w:val="0"/>
          <w:color w:val="auto"/>
          <w:kern w:val="0"/>
          <w:sz w:val="24"/>
          <w:highlight w:val="none"/>
        </w:rPr>
      </w:pPr>
      <w:r>
        <w:rPr>
          <w:rFonts w:hint="eastAsia" w:ascii="宋体" w:hAnsi="宋体" w:eastAsia="宋体" w:cs="宋体"/>
          <w:b/>
          <w:bCs/>
          <w:snapToGrid w:val="0"/>
          <w:color w:val="auto"/>
          <w:kern w:val="0"/>
          <w:sz w:val="24"/>
          <w:highlight w:val="none"/>
        </w:rPr>
        <w:t>1.2</w:t>
      </w:r>
      <w:r>
        <w:rPr>
          <w:rFonts w:hint="eastAsia" w:ascii="宋体" w:hAnsi="宋体" w:eastAsia="宋体" w:cs="宋体"/>
          <w:snapToGrid w:val="0"/>
          <w:color w:val="auto"/>
          <w:kern w:val="0"/>
          <w:sz w:val="24"/>
          <w:highlight w:val="none"/>
        </w:rPr>
        <w:t>招标范围和标段划分</w:t>
      </w:r>
    </w:p>
    <w:p w14:paraId="5C4F468C">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both"/>
        <w:textAlignment w:val="auto"/>
        <w:rPr>
          <w:rFonts w:hint="eastAsia" w:ascii="宋体" w:hAnsi="宋体" w:eastAsia="宋体" w:cs="宋体"/>
          <w:snapToGrid w:val="0"/>
          <w:color w:val="auto"/>
          <w:kern w:val="0"/>
          <w:sz w:val="24"/>
          <w:highlight w:val="none"/>
          <w:u w:val="none"/>
          <w:lang w:val="en-US" w:eastAsia="zh-CN"/>
        </w:rPr>
      </w:pPr>
      <w:r>
        <w:rPr>
          <w:rFonts w:hint="eastAsia" w:ascii="宋体" w:hAnsi="宋体" w:eastAsia="宋体" w:cs="宋体"/>
          <w:b/>
          <w:bCs/>
          <w:snapToGrid w:val="0"/>
          <w:color w:val="auto"/>
          <w:kern w:val="0"/>
          <w:sz w:val="24"/>
          <w:highlight w:val="none"/>
        </w:rPr>
        <w:t>1.2.1</w:t>
      </w:r>
      <w:r>
        <w:rPr>
          <w:rFonts w:hint="eastAsia" w:ascii="宋体" w:hAnsi="宋体" w:eastAsia="宋体" w:cs="宋体"/>
          <w:snapToGrid w:val="0"/>
          <w:color w:val="auto"/>
          <w:kern w:val="0"/>
          <w:sz w:val="24"/>
          <w:highlight w:val="none"/>
        </w:rPr>
        <w:t>招标范围：</w:t>
      </w:r>
      <w:r>
        <w:rPr>
          <w:rFonts w:hint="eastAsia" w:ascii="宋体" w:hAnsi="宋体" w:eastAsia="宋体" w:cs="宋体"/>
          <w:snapToGrid w:val="0"/>
          <w:color w:val="auto"/>
          <w:kern w:val="0"/>
          <w:sz w:val="24"/>
          <w:highlight w:val="none"/>
          <w:u w:val="none"/>
          <w:lang w:val="en-US" w:eastAsia="zh-CN"/>
        </w:rPr>
        <w:t>按审查合格的施工图纸及工程量清单内容。</w:t>
      </w:r>
    </w:p>
    <w:p w14:paraId="2AC57F08">
      <w:pPr>
        <w:keepNext w:val="0"/>
        <w:keepLines w:val="0"/>
        <w:pageBreakBefore w:val="0"/>
        <w:widowControl w:val="0"/>
        <w:kinsoku/>
        <w:wordWrap w:val="0"/>
        <w:overflowPunct/>
        <w:topLinePunct w:val="0"/>
        <w:autoSpaceDE/>
        <w:autoSpaceDN/>
        <w:bidi w:val="0"/>
        <w:snapToGrid w:val="0"/>
        <w:spacing w:line="360" w:lineRule="auto"/>
        <w:ind w:firstLine="480"/>
        <w:jc w:val="both"/>
        <w:textAlignment w:val="auto"/>
        <w:outlineLvl w:val="9"/>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b/>
          <w:bCs/>
          <w:snapToGrid w:val="0"/>
          <w:color w:val="auto"/>
          <w:highlight w:val="none"/>
        </w:rPr>
        <w:t>1.2.2</w:t>
      </w:r>
      <w:r>
        <w:rPr>
          <w:rFonts w:hint="eastAsia" w:ascii="宋体" w:hAnsi="宋体" w:eastAsia="宋体" w:cs="宋体"/>
          <w:snapToGrid w:val="0"/>
          <w:color w:val="auto"/>
          <w:kern w:val="0"/>
          <w:sz w:val="24"/>
          <w:szCs w:val="24"/>
          <w:highlight w:val="none"/>
          <w:lang w:val="en-US" w:eastAsia="zh-CN" w:bidi="ar-SA"/>
        </w:rPr>
        <w:t>标段划分：本招标项目不划分标段。</w:t>
      </w:r>
    </w:p>
    <w:p w14:paraId="41FDB3C1">
      <w:pPr>
        <w:keepNext w:val="0"/>
        <w:keepLines w:val="0"/>
        <w:pageBreakBefore w:val="0"/>
        <w:widowControl w:val="0"/>
        <w:tabs>
          <w:tab w:val="left" w:pos="7020"/>
        </w:tabs>
        <w:kinsoku/>
        <w:wordWrap w:val="0"/>
        <w:overflowPunct/>
        <w:topLinePunct w:val="0"/>
        <w:autoSpaceDE/>
        <w:autoSpaceDN/>
        <w:bidi w:val="0"/>
        <w:adjustRightInd w:val="0"/>
        <w:snapToGrid w:val="0"/>
        <w:spacing w:line="360" w:lineRule="auto"/>
        <w:ind w:firstLine="482" w:firstLineChars="200"/>
        <w:jc w:val="both"/>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1.3</w:t>
      </w:r>
      <w:r>
        <w:rPr>
          <w:rFonts w:hint="eastAsia" w:ascii="宋体" w:hAnsi="宋体" w:eastAsia="宋体" w:cs="宋体"/>
          <w:snapToGrid w:val="0"/>
          <w:color w:val="auto"/>
          <w:kern w:val="0"/>
          <w:szCs w:val="24"/>
          <w:highlight w:val="none"/>
        </w:rPr>
        <w:t>投标费用</w:t>
      </w:r>
      <w:r>
        <w:rPr>
          <w:rFonts w:hint="eastAsia" w:ascii="宋体" w:hAnsi="宋体" w:eastAsia="宋体" w:cs="宋体"/>
          <w:snapToGrid w:val="0"/>
          <w:color w:val="auto"/>
          <w:kern w:val="0"/>
          <w:highlight w:val="none"/>
        </w:rPr>
        <w:t>：投标人应承担所有准备和参加投标的相关费用，不论投标结果如何，招标人均无义务和责任承担这些费用。</w:t>
      </w:r>
    </w:p>
    <w:p w14:paraId="72A5963E">
      <w:pPr>
        <w:keepNext w:val="0"/>
        <w:keepLines w:val="0"/>
        <w:pageBreakBefore w:val="0"/>
        <w:widowControl w:val="0"/>
        <w:tabs>
          <w:tab w:val="left" w:pos="7020"/>
        </w:tabs>
        <w:kinsoku/>
        <w:wordWrap w:val="0"/>
        <w:overflowPunct/>
        <w:topLinePunct w:val="0"/>
        <w:autoSpaceDE/>
        <w:autoSpaceDN/>
        <w:bidi w:val="0"/>
        <w:adjustRightInd w:val="0"/>
        <w:snapToGrid w:val="0"/>
        <w:spacing w:line="360" w:lineRule="auto"/>
        <w:ind w:firstLine="482" w:firstLineChars="200"/>
        <w:jc w:val="both"/>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1.4</w:t>
      </w:r>
      <w:r>
        <w:rPr>
          <w:rFonts w:hint="eastAsia" w:ascii="宋体" w:hAnsi="宋体" w:eastAsia="宋体" w:cs="宋体"/>
          <w:snapToGrid w:val="0"/>
          <w:color w:val="auto"/>
          <w:kern w:val="0"/>
          <w:highlight w:val="none"/>
        </w:rPr>
        <w:t>招标代理费用：</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由招标人支付</w:t>
      </w:r>
      <w:r>
        <w:rPr>
          <w:rFonts w:hint="eastAsia" w:ascii="宋体" w:hAnsi="宋体" w:eastAsia="宋体" w:cs="宋体"/>
          <w:snapToGrid w:val="0"/>
          <w:color w:val="auto"/>
          <w:kern w:val="0"/>
          <w:highlight w:val="none"/>
          <w:lang w:val="en-US" w:eastAsia="zh-CN"/>
        </w:rPr>
        <w:t xml:space="preserve">     </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由中标人支付。</w:t>
      </w:r>
    </w:p>
    <w:p w14:paraId="3541DD89">
      <w:pPr>
        <w:pStyle w:val="5"/>
        <w:keepNext/>
        <w:keepLines/>
        <w:pageBreakBefore w:val="0"/>
        <w:widowControl/>
        <w:kinsoku/>
        <w:wordWrap/>
        <w:overflowPunct/>
        <w:topLinePunct w:val="0"/>
        <w:autoSpaceDE/>
        <w:autoSpaceDN/>
        <w:bidi w:val="0"/>
        <w:adjustRightInd/>
        <w:snapToGrid/>
        <w:spacing w:before="240" w:line="360" w:lineRule="auto"/>
        <w:ind w:firstLine="420"/>
        <w:jc w:val="left"/>
        <w:textAlignment w:val="auto"/>
        <w:outlineLvl w:val="2"/>
        <w:rPr>
          <w:rFonts w:hint="eastAsia" w:ascii="宋体" w:hAnsi="宋体" w:eastAsia="宋体" w:cs="宋体"/>
          <w:b/>
          <w:bCs/>
          <w:color w:val="auto"/>
          <w:highlight w:val="none"/>
        </w:rPr>
      </w:pPr>
      <w:bookmarkStart w:id="27" w:name="_Toc30228"/>
      <w:bookmarkStart w:id="28" w:name="_Toc8931"/>
      <w:bookmarkStart w:id="29" w:name="_Toc21496"/>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．投标人资格要求</w:t>
      </w:r>
      <w:bookmarkEnd w:id="27"/>
      <w:bookmarkEnd w:id="28"/>
      <w:bookmarkEnd w:id="29"/>
      <w:bookmarkStart w:id="30" w:name="_Hlt74496495"/>
      <w:bookmarkEnd w:id="30"/>
    </w:p>
    <w:p w14:paraId="2AD70607">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i/>
          <w:iCs/>
          <w:color w:val="auto"/>
          <w:kern w:val="0"/>
          <w:sz w:val="24"/>
          <w:highlight w:val="none"/>
          <w:lang w:val="en-US" w:eastAsia="zh-CN"/>
        </w:rPr>
      </w:pPr>
      <w:r>
        <w:rPr>
          <w:rFonts w:hint="eastAsia" w:ascii="宋体" w:hAnsi="宋体" w:eastAsia="宋体" w:cs="宋体"/>
          <w:b/>
          <w:bCs/>
          <w:snapToGrid w:val="0"/>
          <w:color w:val="auto"/>
          <w:kern w:val="0"/>
          <w:szCs w:val="24"/>
          <w:highlight w:val="none"/>
        </w:rPr>
        <w:t>2.1</w:t>
      </w:r>
      <w:r>
        <w:rPr>
          <w:rFonts w:hint="eastAsia" w:ascii="宋体" w:hAnsi="宋体" w:eastAsia="宋体" w:cs="宋体"/>
          <w:snapToGrid w:val="0"/>
          <w:color w:val="auto"/>
          <w:kern w:val="0"/>
          <w:highlight w:val="none"/>
        </w:rPr>
        <w:t>本次招标不接受联合体投标。</w:t>
      </w:r>
    </w:p>
    <w:p w14:paraId="786652E3">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1"/>
          <w:highlight w:val="none"/>
        </w:rPr>
      </w:pPr>
      <w:r>
        <w:rPr>
          <w:rFonts w:hint="eastAsia" w:ascii="宋体" w:hAnsi="宋体" w:eastAsia="宋体" w:cs="宋体"/>
          <w:b/>
          <w:bCs/>
          <w:snapToGrid w:val="0"/>
          <w:color w:val="auto"/>
          <w:kern w:val="0"/>
          <w:szCs w:val="24"/>
          <w:highlight w:val="none"/>
        </w:rPr>
        <w:t>2</w:t>
      </w:r>
      <w:r>
        <w:rPr>
          <w:rFonts w:hint="eastAsia" w:ascii="宋体" w:hAnsi="宋体" w:eastAsia="宋体" w:cs="宋体"/>
          <w:b/>
          <w:bCs/>
          <w:snapToGrid w:val="0"/>
          <w:color w:val="auto"/>
          <w:kern w:val="0"/>
          <w:szCs w:val="24"/>
          <w:highlight w:val="none"/>
          <w:lang w:val="en-US" w:eastAsia="zh-CN"/>
        </w:rPr>
        <w:t>.2</w:t>
      </w:r>
      <w:r>
        <w:rPr>
          <w:rFonts w:hint="eastAsia" w:ascii="宋体" w:hAnsi="宋体" w:eastAsia="宋体" w:cs="宋体"/>
          <w:snapToGrid w:val="0"/>
          <w:color w:val="auto"/>
          <w:kern w:val="0"/>
          <w:highlight w:val="none"/>
        </w:rPr>
        <w:t>资质要求</w:t>
      </w:r>
    </w:p>
    <w:p w14:paraId="1CB959A9">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lang w:val="en-US" w:eastAsia="zh-CN"/>
        </w:rPr>
        <w:t>2.2.1</w:t>
      </w:r>
      <w:r>
        <w:rPr>
          <w:rFonts w:hint="eastAsia" w:ascii="宋体" w:hAnsi="宋体" w:eastAsia="宋体" w:cs="宋体"/>
          <w:snapToGrid w:val="0"/>
          <w:color w:val="auto"/>
          <w:kern w:val="0"/>
          <w:highlight w:val="none"/>
        </w:rPr>
        <w:t>投标人须具备独立法人资格，按国家法律经营。</w:t>
      </w:r>
    </w:p>
    <w:p w14:paraId="03145D59">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lang w:val="en-US" w:eastAsia="zh-CN"/>
        </w:rPr>
        <w:t>2.2.2</w:t>
      </w:r>
      <w:r>
        <w:rPr>
          <w:rFonts w:hint="eastAsia" w:ascii="宋体" w:hAnsi="宋体" w:eastAsia="宋体" w:cs="宋体"/>
          <w:snapToGrid w:val="0"/>
          <w:color w:val="auto"/>
          <w:kern w:val="0"/>
          <w:highlight w:val="none"/>
        </w:rPr>
        <w:t>投标人须持有建设行政主管部门颁发的企业资质证书及安全生产许可证。</w:t>
      </w:r>
    </w:p>
    <w:p w14:paraId="6CFA1E1B">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
          <w:bCs/>
          <w:snapToGrid w:val="0"/>
          <w:color w:val="auto"/>
          <w:kern w:val="0"/>
          <w:szCs w:val="24"/>
          <w:highlight w:val="none"/>
          <w:lang w:val="en-US" w:eastAsia="zh-CN"/>
        </w:rPr>
        <w:t>2.2.3</w:t>
      </w:r>
      <w:r>
        <w:rPr>
          <w:rFonts w:hint="eastAsia" w:ascii="宋体" w:hAnsi="宋体" w:eastAsia="宋体" w:cs="宋体"/>
          <w:snapToGrid w:val="0"/>
          <w:color w:val="auto"/>
          <w:kern w:val="0"/>
          <w:highlight w:val="none"/>
          <w:lang w:eastAsia="zh-CN"/>
        </w:rPr>
        <w:t>投标人须具备以下资质</w:t>
      </w:r>
      <w:r>
        <w:rPr>
          <w:rFonts w:hint="eastAsia" w:ascii="宋体" w:hAnsi="宋体" w:eastAsia="宋体" w:cs="宋体"/>
          <w:snapToGrid w:val="0"/>
          <w:color w:val="auto"/>
          <w:kern w:val="0"/>
          <w:highlight w:val="none"/>
          <w:u w:val="none"/>
          <w:lang w:eastAsia="zh-CN"/>
        </w:rPr>
        <w:t>：</w:t>
      </w:r>
      <w:r>
        <w:rPr>
          <w:rFonts w:hint="eastAsia" w:ascii="宋体" w:hAnsi="宋体" w:eastAsia="宋体" w:cs="宋体"/>
          <w:snapToGrid w:val="0"/>
          <w:color w:val="auto"/>
          <w:kern w:val="0"/>
          <w:sz w:val="24"/>
          <w:szCs w:val="24"/>
          <w:highlight w:val="none"/>
          <w:lang w:eastAsia="zh-CN"/>
        </w:rPr>
        <w:t>市政公用工程施工总承包</w:t>
      </w:r>
      <w:r>
        <w:rPr>
          <w:rFonts w:hint="eastAsia" w:ascii="宋体" w:hAnsi="宋体" w:eastAsia="宋体" w:cs="宋体"/>
          <w:color w:val="auto"/>
          <w:sz w:val="24"/>
          <w:szCs w:val="24"/>
          <w:highlight w:val="none"/>
          <w:lang w:val="en-US" w:eastAsia="zh-CN"/>
        </w:rPr>
        <w:t>叁</w:t>
      </w:r>
      <w:r>
        <w:rPr>
          <w:rFonts w:hint="eastAsia" w:ascii="宋体" w:hAnsi="宋体" w:eastAsia="宋体" w:cs="宋体"/>
          <w:snapToGrid w:val="0"/>
          <w:color w:val="auto"/>
          <w:kern w:val="0"/>
          <w:sz w:val="24"/>
          <w:szCs w:val="24"/>
          <w:highlight w:val="none"/>
          <w:lang w:eastAsia="zh-CN"/>
        </w:rPr>
        <w:t>级以上（含</w:t>
      </w:r>
      <w:r>
        <w:rPr>
          <w:rFonts w:hint="eastAsia" w:ascii="宋体" w:hAnsi="宋体" w:eastAsia="宋体" w:cs="宋体"/>
          <w:color w:val="auto"/>
          <w:sz w:val="24"/>
          <w:szCs w:val="24"/>
          <w:highlight w:val="none"/>
          <w:lang w:val="en-US" w:eastAsia="zh-CN"/>
        </w:rPr>
        <w:t>叁</w:t>
      </w:r>
      <w:r>
        <w:rPr>
          <w:rFonts w:hint="eastAsia" w:ascii="宋体" w:hAnsi="宋体" w:eastAsia="宋体" w:cs="宋体"/>
          <w:snapToGrid w:val="0"/>
          <w:color w:val="auto"/>
          <w:kern w:val="0"/>
          <w:sz w:val="24"/>
          <w:szCs w:val="24"/>
          <w:highlight w:val="none"/>
          <w:lang w:eastAsia="zh-CN"/>
        </w:rPr>
        <w:t>级）资质。</w:t>
      </w:r>
    </w:p>
    <w:p w14:paraId="55860130">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b/>
          <w:bCs/>
          <w:snapToGrid w:val="0"/>
          <w:color w:val="auto"/>
          <w:kern w:val="0"/>
          <w:sz w:val="24"/>
          <w:szCs w:val="24"/>
          <w:highlight w:val="none"/>
          <w:lang w:val="en-US" w:eastAsia="zh-CN" w:bidi="ar-SA"/>
        </w:rPr>
        <w:t>2.2.4</w:t>
      </w:r>
      <w:r>
        <w:rPr>
          <w:rFonts w:hint="eastAsia" w:ascii="宋体" w:hAnsi="宋体" w:eastAsia="宋体" w:cs="宋体"/>
          <w:snapToGrid w:val="0"/>
          <w:color w:val="auto"/>
          <w:kern w:val="0"/>
          <w:highlight w:val="none"/>
          <w:lang w:val="en-US" w:eastAsia="zh-CN"/>
        </w:rPr>
        <w:t>投标人的企业相关证书到期的，均按该证书的发证机构相关行业主管部门最新文件执行（如自动顺延或资质延续有关事项的通知），投标人必须将相关文件（经核准延续的资质证书或提供了延续申请的相关证明材料，如“三库一平台”提交申请截图、申请回执等）附在该证书后面中，证明在开标日继续有效。</w:t>
      </w:r>
    </w:p>
    <w:p w14:paraId="2F481C09">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0"/>
          <w:highlight w:val="none"/>
          <w:lang w:val="en-US" w:eastAsia="zh-CN" w:bidi="ar-SA"/>
        </w:rPr>
      </w:pPr>
      <w:r>
        <w:rPr>
          <w:rFonts w:hint="eastAsia" w:ascii="宋体" w:hAnsi="宋体" w:eastAsia="宋体" w:cs="宋体"/>
          <w:b/>
          <w:bCs/>
          <w:snapToGrid w:val="0"/>
          <w:color w:val="auto"/>
          <w:kern w:val="0"/>
          <w:szCs w:val="24"/>
          <w:highlight w:val="none"/>
          <w:lang w:val="en-US" w:eastAsia="zh-CN"/>
        </w:rPr>
        <w:t>2.3</w:t>
      </w:r>
      <w:r>
        <w:rPr>
          <w:rFonts w:hint="eastAsia" w:ascii="宋体" w:hAnsi="宋体" w:eastAsia="宋体" w:cs="宋体"/>
          <w:snapToGrid w:val="0"/>
          <w:color w:val="auto"/>
          <w:kern w:val="0"/>
          <w:sz w:val="24"/>
          <w:szCs w:val="20"/>
          <w:highlight w:val="none"/>
          <w:lang w:val="en-US" w:eastAsia="zh-CN" w:bidi="ar-SA"/>
        </w:rPr>
        <w:t>相关人员要求</w:t>
      </w:r>
    </w:p>
    <w:p w14:paraId="5EF2D8D2">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0"/>
          <w:highlight w:val="none"/>
          <w:lang w:val="en-US" w:eastAsia="zh-CN" w:bidi="ar-SA"/>
        </w:rPr>
      </w:pPr>
      <w:r>
        <w:rPr>
          <w:rFonts w:hint="eastAsia" w:ascii="宋体" w:hAnsi="宋体" w:eastAsia="宋体" w:cs="宋体"/>
          <w:b/>
          <w:bCs/>
          <w:snapToGrid w:val="0"/>
          <w:color w:val="auto"/>
          <w:kern w:val="0"/>
          <w:szCs w:val="24"/>
          <w:highlight w:val="none"/>
          <w:lang w:val="en-US" w:eastAsia="zh-CN"/>
        </w:rPr>
        <w:t>2.3.1</w:t>
      </w:r>
      <w:r>
        <w:rPr>
          <w:rFonts w:hint="eastAsia" w:ascii="宋体" w:hAnsi="宋体" w:eastAsia="宋体" w:cs="宋体"/>
          <w:caps w:val="0"/>
          <w:smallCaps w:val="0"/>
          <w:snapToGrid w:val="0"/>
          <w:color w:val="auto"/>
          <w:spacing w:val="0"/>
          <w:kern w:val="0"/>
          <w:sz w:val="24"/>
          <w:szCs w:val="24"/>
          <w:highlight w:val="none"/>
          <w:lang w:val="en-US" w:eastAsia="zh-CN" w:bidi="ar-SA"/>
        </w:rPr>
        <w:t>拟派项目经理须具备</w:t>
      </w:r>
      <w:r>
        <w:rPr>
          <w:rFonts w:hint="eastAsia" w:ascii="宋体" w:hAnsi="宋体" w:eastAsia="宋体" w:cs="宋体"/>
          <w:caps w:val="0"/>
          <w:smallCaps w:val="0"/>
          <w:snapToGrid w:val="0"/>
          <w:color w:val="auto"/>
          <w:spacing w:val="0"/>
          <w:kern w:val="0"/>
          <w:sz w:val="24"/>
          <w:szCs w:val="24"/>
          <w:highlight w:val="none"/>
          <w:u w:val="none"/>
          <w:lang w:val="en-US" w:eastAsia="zh-CN" w:bidi="ar-SA"/>
        </w:rPr>
        <w:t>市政公用工程专业</w:t>
      </w:r>
      <w:r>
        <w:rPr>
          <w:rFonts w:hint="eastAsia" w:ascii="宋体" w:hAnsi="宋体" w:eastAsia="宋体" w:cs="宋体"/>
          <w:color w:val="auto"/>
          <w:sz w:val="24"/>
          <w:szCs w:val="24"/>
          <w:highlight w:val="none"/>
        </w:rPr>
        <w:t>一级或二级</w:t>
      </w:r>
      <w:r>
        <w:rPr>
          <w:rFonts w:hint="eastAsia" w:ascii="宋体" w:hAnsi="宋体" w:eastAsia="宋体" w:cs="宋体"/>
          <w:caps w:val="0"/>
          <w:smallCaps w:val="0"/>
          <w:snapToGrid w:val="0"/>
          <w:color w:val="auto"/>
          <w:spacing w:val="0"/>
          <w:kern w:val="0"/>
          <w:sz w:val="24"/>
          <w:szCs w:val="24"/>
          <w:highlight w:val="none"/>
          <w:u w:val="none"/>
          <w:lang w:val="en-US" w:eastAsia="zh-CN" w:bidi="ar-SA"/>
        </w:rPr>
        <w:t>注册建造师，</w:t>
      </w:r>
      <w:r>
        <w:rPr>
          <w:rFonts w:hint="eastAsia" w:ascii="宋体" w:hAnsi="宋体" w:eastAsia="宋体" w:cs="宋体"/>
          <w:snapToGrid w:val="0"/>
          <w:color w:val="auto"/>
          <w:kern w:val="0"/>
          <w:sz w:val="24"/>
          <w:szCs w:val="20"/>
          <w:highlight w:val="none"/>
          <w:lang w:val="en-US" w:eastAsia="zh-CN" w:bidi="ar-SA"/>
        </w:rPr>
        <w:t>应持有住建部门印发的在使用有效期内的有效电子注册证书（根据广东省住房和城乡建设厅（粤建市函〔2023〕469号）文件精神，二级注册建造师可随注册企业在全国范围内执业）；同时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14:paraId="0C58873C">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0"/>
          <w:highlight w:val="none"/>
          <w:lang w:val="en-US" w:eastAsia="zh-CN" w:bidi="ar-SA"/>
        </w:rPr>
      </w:pPr>
      <w:r>
        <w:rPr>
          <w:rFonts w:hint="eastAsia" w:ascii="宋体" w:hAnsi="宋体" w:eastAsia="宋体" w:cs="宋体"/>
          <w:b/>
          <w:bCs/>
          <w:snapToGrid w:val="0"/>
          <w:color w:val="auto"/>
          <w:kern w:val="0"/>
          <w:szCs w:val="24"/>
          <w:highlight w:val="none"/>
          <w:lang w:val="en-US" w:eastAsia="zh-CN"/>
        </w:rPr>
        <w:t>2.3.2</w:t>
      </w:r>
      <w:r>
        <w:rPr>
          <w:rFonts w:hint="eastAsia" w:ascii="宋体" w:hAnsi="宋体" w:eastAsia="宋体" w:cs="宋体"/>
          <w:snapToGrid w:val="0"/>
          <w:color w:val="auto"/>
          <w:kern w:val="0"/>
          <w:sz w:val="24"/>
          <w:szCs w:val="24"/>
          <w:highlight w:val="none"/>
        </w:rPr>
        <w:t>拟派项目技术负责人须具备</w:t>
      </w:r>
      <w:r>
        <w:rPr>
          <w:rFonts w:hint="eastAsia" w:ascii="宋体" w:hAnsi="宋体" w:eastAsia="宋体" w:cs="宋体"/>
          <w:snapToGrid w:val="0"/>
          <w:color w:val="auto"/>
          <w:kern w:val="0"/>
          <w:sz w:val="24"/>
          <w:szCs w:val="24"/>
          <w:highlight w:val="none"/>
          <w:lang w:eastAsia="zh-CN"/>
        </w:rPr>
        <w:t>中级</w:t>
      </w:r>
      <w:r>
        <w:rPr>
          <w:rFonts w:hint="eastAsia" w:ascii="宋体" w:hAnsi="宋体" w:eastAsia="宋体" w:cs="宋体"/>
          <w:snapToGrid w:val="0"/>
          <w:color w:val="auto"/>
          <w:kern w:val="0"/>
          <w:sz w:val="24"/>
          <w:szCs w:val="24"/>
          <w:highlight w:val="none"/>
        </w:rPr>
        <w:t>以上（含</w:t>
      </w:r>
      <w:r>
        <w:rPr>
          <w:rFonts w:hint="eastAsia" w:ascii="宋体" w:hAnsi="宋体" w:eastAsia="宋体" w:cs="宋体"/>
          <w:snapToGrid w:val="0"/>
          <w:color w:val="auto"/>
          <w:kern w:val="0"/>
          <w:sz w:val="24"/>
          <w:szCs w:val="24"/>
          <w:highlight w:val="none"/>
          <w:lang w:eastAsia="zh-CN"/>
        </w:rPr>
        <w:t>中级</w:t>
      </w:r>
      <w:r>
        <w:rPr>
          <w:rFonts w:hint="eastAsia" w:ascii="宋体" w:hAnsi="宋体" w:eastAsia="宋体" w:cs="宋体"/>
          <w:snapToGrid w:val="0"/>
          <w:color w:val="auto"/>
          <w:kern w:val="0"/>
          <w:sz w:val="24"/>
          <w:szCs w:val="24"/>
          <w:highlight w:val="none"/>
        </w:rPr>
        <w:t>）技术职称。</w:t>
      </w:r>
    </w:p>
    <w:p w14:paraId="520A3E4C">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0"/>
          <w:highlight w:val="none"/>
          <w:lang w:val="en-US" w:eastAsia="zh-CN" w:bidi="ar-SA"/>
        </w:rPr>
      </w:pPr>
      <w:r>
        <w:rPr>
          <w:rFonts w:hint="eastAsia" w:ascii="宋体" w:hAnsi="宋体" w:eastAsia="宋体" w:cs="宋体"/>
          <w:b/>
          <w:bCs/>
          <w:snapToGrid w:val="0"/>
          <w:color w:val="auto"/>
          <w:kern w:val="0"/>
          <w:szCs w:val="24"/>
          <w:highlight w:val="none"/>
          <w:lang w:val="en-US" w:eastAsia="zh-CN"/>
        </w:rPr>
        <w:t>2.3.3</w:t>
      </w:r>
      <w:r>
        <w:rPr>
          <w:rFonts w:hint="eastAsia" w:ascii="宋体" w:hAnsi="宋体" w:eastAsia="宋体" w:cs="宋体"/>
          <w:snapToGrid w:val="0"/>
          <w:color w:val="auto"/>
          <w:kern w:val="0"/>
          <w:sz w:val="24"/>
          <w:szCs w:val="20"/>
          <w:highlight w:val="none"/>
          <w:lang w:val="en-US" w:eastAsia="zh-CN" w:bidi="ar-SA"/>
        </w:rPr>
        <w:t>拟派专职安全生产管理人员须具备有效安全生产考核合格证明（C证，安全生产考核合格证书或“广东省建筑施工企业管理人员安全生产考核系统”考核合格信息打印页），且不少于</w:t>
      </w:r>
      <w:r>
        <w:rPr>
          <w:rFonts w:hint="eastAsia" w:ascii="宋体" w:hAnsi="宋体" w:eastAsia="宋体" w:cs="宋体"/>
          <w:snapToGrid w:val="0"/>
          <w:color w:val="auto"/>
          <w:kern w:val="0"/>
          <w:sz w:val="24"/>
          <w:szCs w:val="24"/>
          <w:highlight w:val="none"/>
          <w:u w:val="single"/>
          <w:lang w:val="en-US" w:eastAsia="zh-CN"/>
        </w:rPr>
        <w:t>1</w:t>
      </w:r>
      <w:r>
        <w:rPr>
          <w:rFonts w:hint="eastAsia" w:ascii="宋体" w:hAnsi="宋体" w:eastAsia="宋体" w:cs="宋体"/>
          <w:snapToGrid w:val="0"/>
          <w:color w:val="auto"/>
          <w:kern w:val="0"/>
          <w:sz w:val="24"/>
          <w:szCs w:val="20"/>
          <w:highlight w:val="none"/>
          <w:lang w:val="en-US" w:eastAsia="zh-CN" w:bidi="ar-SA"/>
        </w:rPr>
        <w:t>人。</w:t>
      </w:r>
    </w:p>
    <w:p w14:paraId="429617D7">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szCs w:val="20"/>
          <w:highlight w:val="none"/>
          <w:lang w:val="en-US" w:eastAsia="zh-CN" w:bidi="ar-SA"/>
        </w:rPr>
      </w:pPr>
      <w:r>
        <w:rPr>
          <w:rFonts w:hint="eastAsia" w:ascii="宋体" w:hAnsi="宋体" w:eastAsia="宋体" w:cs="宋体"/>
          <w:b/>
          <w:bCs/>
          <w:snapToGrid w:val="0"/>
          <w:color w:val="auto"/>
          <w:kern w:val="0"/>
          <w:szCs w:val="24"/>
          <w:highlight w:val="none"/>
          <w:lang w:val="en-US" w:eastAsia="zh-CN"/>
        </w:rPr>
        <w:t>2.3.4</w:t>
      </w:r>
      <w:r>
        <w:rPr>
          <w:rFonts w:hint="eastAsia" w:ascii="宋体" w:hAnsi="宋体" w:eastAsia="宋体" w:cs="宋体"/>
          <w:snapToGrid w:val="0"/>
          <w:color w:val="auto"/>
          <w:kern w:val="0"/>
          <w:sz w:val="24"/>
          <w:szCs w:val="20"/>
          <w:highlight w:val="none"/>
          <w:lang w:val="en-US" w:eastAsia="zh-CN" w:bidi="ar-SA"/>
        </w:rPr>
        <w:t>投标人与其拟派往本项目管理机构的所有人员之间必须具备合法、唯一的劳动聘用关系。拟派人员中具备注册执业资格的，其注册单位须与投标人保持一致。</w:t>
      </w:r>
    </w:p>
    <w:p w14:paraId="09E2ADE5">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2.4</w:t>
      </w:r>
      <w:r>
        <w:rPr>
          <w:rFonts w:hint="eastAsia" w:ascii="宋体" w:hAnsi="宋体" w:eastAsia="宋体" w:cs="宋体"/>
          <w:snapToGrid w:val="0"/>
          <w:color w:val="auto"/>
          <w:kern w:val="0"/>
          <w:sz w:val="24"/>
          <w:highlight w:val="none"/>
        </w:rPr>
        <w:t>禁止投标条款</w:t>
      </w:r>
    </w:p>
    <w:p w14:paraId="32676F8D">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2.4.1</w:t>
      </w:r>
      <w:r>
        <w:rPr>
          <w:rFonts w:hint="eastAsia" w:ascii="宋体" w:hAnsi="宋体" w:eastAsia="宋体" w:cs="宋体"/>
          <w:snapToGrid w:val="0"/>
          <w:color w:val="auto"/>
          <w:kern w:val="0"/>
          <w:sz w:val="24"/>
          <w:highlight w:val="none"/>
        </w:rPr>
        <w:t>投标人不得存在下列情形之一：</w:t>
      </w:r>
    </w:p>
    <w:p w14:paraId="0FE93C34">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（1）为招标人不具有独立法人资格的附属机构（单位）；</w:t>
      </w:r>
    </w:p>
    <w:p w14:paraId="5D77F3C8">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（2）为本招标项目前期准备提供设计或咨询服务的；</w:t>
      </w:r>
    </w:p>
    <w:p w14:paraId="7FF75DEA">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（3）与本招标项目的其他投标人为同一个单位负责人；</w:t>
      </w:r>
    </w:p>
    <w:p w14:paraId="0715C895">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（4）与本招标项目的其他投标人存在控股、管理关系；</w:t>
      </w:r>
    </w:p>
    <w:p w14:paraId="60C3621F">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（5）为本招标项目的监理人；</w:t>
      </w:r>
    </w:p>
    <w:p w14:paraId="2D76EDE1">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（6）为本招标项目的代建人；</w:t>
      </w:r>
    </w:p>
    <w:p w14:paraId="4F531717">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（7）为本招标项目的招标代理机构；</w:t>
      </w:r>
    </w:p>
    <w:p w14:paraId="33196C5A">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（8）与本招标项目的监理人或代建人或招标代理机构同为一个法定代表人；</w:t>
      </w:r>
    </w:p>
    <w:p w14:paraId="22594A5C">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（9）与本招标项目的监理人或代建人或招标代理机构存在控股或参股关系；</w:t>
      </w:r>
    </w:p>
    <w:p w14:paraId="106FEABF">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（10）与本招标项目的监理人或代建人或招标代理机构存在相互任职或工作关系；</w:t>
      </w:r>
    </w:p>
    <w:p w14:paraId="655E4A03">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（11）被依法暂停或者取消投标资格；</w:t>
      </w:r>
    </w:p>
    <w:p w14:paraId="330338D6">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（12）被责令停产停业、暂扣或者吊销许可证、暂扣或者吊销执照；</w:t>
      </w:r>
    </w:p>
    <w:p w14:paraId="6216F874">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（13）进入清算程序，或被宣告破产，或其他丧失履约能力的情形；</w:t>
      </w:r>
    </w:p>
    <w:p w14:paraId="4AEE09CB">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（14）</w:t>
      </w:r>
      <w:r>
        <w:rPr>
          <w:rFonts w:hint="eastAsia" w:ascii="宋体" w:hAnsi="宋体" w:eastAsia="宋体" w:cs="宋体"/>
          <w:snapToGrid w:val="0"/>
          <w:color w:val="auto"/>
          <w:kern w:val="0"/>
          <w:sz w:val="24"/>
          <w:highlight w:val="none"/>
          <w:lang w:val="en-US" w:eastAsia="zh-CN"/>
        </w:rPr>
        <w:t>在最近三年内发生重大工程质量或安全问题（以相关行业主管部门的行政处罚决定或司法机关出具的有关法律文书为准）；</w:t>
      </w:r>
    </w:p>
    <w:p w14:paraId="354D241F">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（15）被“信用中国”网站（https://www.creditchina.gov.cn）发布的《法人和非法人组织公共信用信息报告》列为</w:t>
      </w:r>
      <w:r>
        <w:rPr>
          <w:rFonts w:hint="eastAsia" w:ascii="宋体" w:hAnsi="宋体" w:eastAsia="宋体" w:cs="宋体"/>
          <w:snapToGrid w:val="0"/>
          <w:color w:val="auto"/>
          <w:kern w:val="0"/>
          <w:sz w:val="24"/>
          <w:szCs w:val="24"/>
          <w:highlight w:val="none"/>
          <w:lang w:val="en-US" w:eastAsia="zh-CN"/>
        </w:rPr>
        <w:t>严重失信主体名单</w:t>
      </w:r>
      <w:r>
        <w:rPr>
          <w:rFonts w:hint="eastAsia" w:ascii="宋体" w:hAnsi="宋体" w:eastAsia="宋体" w:cs="宋体"/>
          <w:snapToGrid w:val="0"/>
          <w:color w:val="auto"/>
          <w:kern w:val="0"/>
          <w:sz w:val="24"/>
          <w:highlight w:val="none"/>
        </w:rPr>
        <w:t>的。</w:t>
      </w:r>
    </w:p>
    <w:p w14:paraId="00BAE1BC">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2.4.2</w:t>
      </w:r>
      <w:r>
        <w:rPr>
          <w:rFonts w:hint="eastAsia" w:ascii="宋体" w:hAnsi="宋体" w:eastAsia="宋体" w:cs="宋体"/>
          <w:snapToGrid w:val="0"/>
          <w:color w:val="auto"/>
          <w:kern w:val="0"/>
          <w:sz w:val="24"/>
          <w:highlight w:val="none"/>
        </w:rPr>
        <w:t>招标人拒绝以下名单中的单位参加本次投标：</w:t>
      </w:r>
    </w:p>
    <w:tbl>
      <w:tblPr>
        <w:tblStyle w:val="16"/>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886"/>
        <w:gridCol w:w="3908"/>
      </w:tblGrid>
      <w:tr w14:paraId="36D0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1" w:type="dxa"/>
            <w:noWrap w:val="0"/>
            <w:vAlign w:val="center"/>
          </w:tcPr>
          <w:p w14:paraId="60BB4AA8">
            <w:pPr>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序</w:t>
            </w:r>
            <w:r>
              <w:rPr>
                <w:rFonts w:hint="eastAsia" w:ascii="宋体" w:hAnsi="宋体" w:eastAsia="宋体" w:cs="宋体"/>
                <w:snapToGrid w:val="0"/>
                <w:color w:val="auto"/>
                <w:kern w:val="0"/>
                <w:sz w:val="24"/>
                <w:szCs w:val="24"/>
                <w:highlight w:val="none"/>
              </w:rPr>
              <w:t>号</w:t>
            </w:r>
          </w:p>
        </w:tc>
        <w:tc>
          <w:tcPr>
            <w:tcW w:w="4886" w:type="dxa"/>
            <w:noWrap w:val="0"/>
            <w:vAlign w:val="center"/>
          </w:tcPr>
          <w:p w14:paraId="22362CDE">
            <w:pPr>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3908" w:type="dxa"/>
            <w:noWrap w:val="0"/>
            <w:vAlign w:val="center"/>
          </w:tcPr>
          <w:p w14:paraId="344B2EC4">
            <w:pPr>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5A8F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1" w:type="dxa"/>
            <w:noWrap w:val="0"/>
            <w:vAlign w:val="center"/>
          </w:tcPr>
          <w:p w14:paraId="03ABCDE3">
            <w:pPr>
              <w:pStyle w:val="21"/>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1</w:t>
            </w:r>
          </w:p>
        </w:tc>
        <w:tc>
          <w:tcPr>
            <w:tcW w:w="4886" w:type="dxa"/>
            <w:noWrap w:val="0"/>
            <w:vAlign w:val="center"/>
          </w:tcPr>
          <w:p w14:paraId="5E9C1E93">
            <w:pPr>
              <w:pStyle w:val="21"/>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韶关高新技术产业开发区创业服务中心</w:t>
            </w:r>
          </w:p>
        </w:tc>
        <w:tc>
          <w:tcPr>
            <w:tcW w:w="3908" w:type="dxa"/>
            <w:noWrap w:val="0"/>
            <w:vAlign w:val="center"/>
          </w:tcPr>
          <w:p w14:paraId="66B7349B">
            <w:pPr>
              <w:pStyle w:val="21"/>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为本项目的项目业主</w:t>
            </w:r>
          </w:p>
        </w:tc>
      </w:tr>
      <w:tr w14:paraId="0DD8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1" w:type="dxa"/>
            <w:noWrap w:val="0"/>
            <w:vAlign w:val="center"/>
          </w:tcPr>
          <w:p w14:paraId="487D61B3">
            <w:pPr>
              <w:pStyle w:val="21"/>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2</w:t>
            </w:r>
          </w:p>
        </w:tc>
        <w:tc>
          <w:tcPr>
            <w:tcW w:w="4886" w:type="dxa"/>
            <w:noWrap w:val="0"/>
            <w:vAlign w:val="center"/>
          </w:tcPr>
          <w:p w14:paraId="130153D9">
            <w:pPr>
              <w:pStyle w:val="21"/>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韶关工业园投资建设有限公司</w:t>
            </w:r>
          </w:p>
        </w:tc>
        <w:tc>
          <w:tcPr>
            <w:tcW w:w="3908" w:type="dxa"/>
            <w:noWrap w:val="0"/>
            <w:vAlign w:val="center"/>
          </w:tcPr>
          <w:p w14:paraId="48169A40">
            <w:pPr>
              <w:pStyle w:val="21"/>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为本项目的招标人</w:t>
            </w:r>
          </w:p>
        </w:tc>
      </w:tr>
      <w:tr w14:paraId="1D9D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1" w:type="dxa"/>
            <w:noWrap w:val="0"/>
            <w:vAlign w:val="center"/>
          </w:tcPr>
          <w:p w14:paraId="49F0F18B">
            <w:pPr>
              <w:pStyle w:val="21"/>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3</w:t>
            </w:r>
          </w:p>
        </w:tc>
        <w:tc>
          <w:tcPr>
            <w:tcW w:w="4886" w:type="dxa"/>
            <w:noWrap w:val="0"/>
            <w:vAlign w:val="center"/>
          </w:tcPr>
          <w:p w14:paraId="497A90F2">
            <w:pPr>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广东明正项目管理有限公司</w:t>
            </w:r>
          </w:p>
        </w:tc>
        <w:tc>
          <w:tcPr>
            <w:tcW w:w="3908" w:type="dxa"/>
            <w:noWrap w:val="0"/>
            <w:vAlign w:val="center"/>
          </w:tcPr>
          <w:p w14:paraId="618CD640">
            <w:pPr>
              <w:pStyle w:val="21"/>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为本项目的招标代理机构</w:t>
            </w:r>
          </w:p>
        </w:tc>
      </w:tr>
      <w:tr w14:paraId="595A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1" w:type="dxa"/>
            <w:noWrap w:val="0"/>
            <w:vAlign w:val="center"/>
          </w:tcPr>
          <w:p w14:paraId="4A3508BD">
            <w:pPr>
              <w:pStyle w:val="21"/>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4</w:t>
            </w:r>
          </w:p>
        </w:tc>
        <w:tc>
          <w:tcPr>
            <w:tcW w:w="4886" w:type="dxa"/>
            <w:noWrap w:val="0"/>
            <w:vAlign w:val="center"/>
          </w:tcPr>
          <w:p w14:paraId="26569F0F">
            <w:pPr>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韶关市擎能设计有限公司</w:t>
            </w:r>
          </w:p>
        </w:tc>
        <w:tc>
          <w:tcPr>
            <w:tcW w:w="3908" w:type="dxa"/>
            <w:noWrap w:val="0"/>
            <w:vAlign w:val="center"/>
          </w:tcPr>
          <w:p w14:paraId="50AAB915">
            <w:pPr>
              <w:pStyle w:val="21"/>
              <w:keepNext w:val="0"/>
              <w:keepLines w:val="0"/>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为本项目的勘察设计单位</w:t>
            </w:r>
          </w:p>
        </w:tc>
      </w:tr>
      <w:tr w14:paraId="3042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71" w:type="dxa"/>
            <w:shd w:val="clear" w:color="auto" w:fill="auto"/>
            <w:noWrap w:val="0"/>
            <w:vAlign w:val="center"/>
          </w:tcPr>
          <w:p w14:paraId="3F397771">
            <w:pPr>
              <w:pStyle w:val="21"/>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5</w:t>
            </w:r>
          </w:p>
        </w:tc>
        <w:tc>
          <w:tcPr>
            <w:tcW w:w="4886" w:type="dxa"/>
            <w:shd w:val="clear" w:color="auto" w:fill="auto"/>
            <w:noWrap w:val="0"/>
            <w:vAlign w:val="center"/>
          </w:tcPr>
          <w:p w14:paraId="2E92CB15">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韶关市新辉项目管理有限公司</w:t>
            </w:r>
          </w:p>
        </w:tc>
        <w:tc>
          <w:tcPr>
            <w:tcW w:w="3908" w:type="dxa"/>
            <w:shd w:val="clear" w:color="auto" w:fill="auto"/>
            <w:noWrap w:val="0"/>
            <w:vAlign w:val="center"/>
          </w:tcPr>
          <w:p w14:paraId="5530C0FC">
            <w:pPr>
              <w:pStyle w:val="21"/>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为本项目的全过程造价咨询单位</w:t>
            </w:r>
          </w:p>
        </w:tc>
      </w:tr>
    </w:tbl>
    <w:p w14:paraId="30BFD6D6">
      <w:pPr>
        <w:pStyle w:val="21"/>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2.5</w:t>
      </w:r>
      <w:r>
        <w:rPr>
          <w:rFonts w:hint="eastAsia" w:ascii="宋体" w:hAnsi="宋体" w:eastAsia="宋体" w:cs="宋体"/>
          <w:snapToGrid w:val="0"/>
          <w:color w:val="auto"/>
          <w:kern w:val="0"/>
          <w:sz w:val="24"/>
          <w:highlight w:val="none"/>
        </w:rPr>
        <w:t>其他要求</w:t>
      </w:r>
    </w:p>
    <w:p w14:paraId="1ADA47F3">
      <w:pPr>
        <w:pStyle w:val="21"/>
        <w:keepNext w:val="0"/>
        <w:keepLines w:val="0"/>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1ACC5A80">
      <w:pPr>
        <w:pStyle w:val="5"/>
        <w:keepNext/>
        <w:keepLines/>
        <w:pageBreakBefore w:val="0"/>
        <w:widowControl/>
        <w:kinsoku/>
        <w:wordWrap/>
        <w:overflowPunct/>
        <w:topLinePunct w:val="0"/>
        <w:autoSpaceDE/>
        <w:autoSpaceDN/>
        <w:bidi w:val="0"/>
        <w:adjustRightInd/>
        <w:snapToGrid/>
        <w:spacing w:before="240" w:line="360" w:lineRule="auto"/>
        <w:ind w:firstLine="420"/>
        <w:jc w:val="left"/>
        <w:textAlignment w:val="auto"/>
        <w:outlineLvl w:val="2"/>
        <w:rPr>
          <w:rFonts w:hint="eastAsia" w:ascii="宋体" w:hAnsi="宋体" w:eastAsia="宋体" w:cs="宋体"/>
          <w:b/>
          <w:bCs/>
          <w:color w:val="auto"/>
          <w:highlight w:val="none"/>
          <w:lang w:val="en-US" w:eastAsia="zh-CN"/>
        </w:rPr>
      </w:pPr>
      <w:bookmarkStart w:id="31" w:name="_Toc29745"/>
      <w:r>
        <w:rPr>
          <w:rFonts w:hint="eastAsia" w:ascii="宋体" w:hAnsi="宋体" w:eastAsia="宋体" w:cs="宋体"/>
          <w:b/>
          <w:bCs/>
          <w:color w:val="auto"/>
          <w:highlight w:val="none"/>
          <w:lang w:val="en-US" w:eastAsia="zh-CN"/>
        </w:rPr>
        <w:t>3．</w:t>
      </w:r>
      <w:r>
        <w:rPr>
          <w:rFonts w:hint="eastAsia" w:ascii="宋体" w:hAnsi="宋体" w:eastAsia="宋体" w:cs="宋体"/>
          <w:b/>
          <w:bCs/>
          <w:snapToGrid w:val="0"/>
          <w:color w:val="auto"/>
          <w:kern w:val="0"/>
          <w:sz w:val="24"/>
          <w:highlight w:val="none"/>
          <w:lang w:val="en-US" w:eastAsia="zh-CN"/>
        </w:rPr>
        <w:t>获取</w:t>
      </w:r>
      <w:r>
        <w:rPr>
          <w:rFonts w:hint="eastAsia" w:ascii="宋体" w:hAnsi="宋体" w:eastAsia="宋体" w:cs="宋体"/>
          <w:b/>
          <w:bCs/>
          <w:color w:val="auto"/>
          <w:highlight w:val="none"/>
          <w:lang w:val="en-US" w:eastAsia="zh-CN"/>
        </w:rPr>
        <w:t>招标文件</w:t>
      </w:r>
      <w:bookmarkEnd w:id="31"/>
    </w:p>
    <w:p w14:paraId="77D44005">
      <w:pPr>
        <w:pStyle w:val="21"/>
        <w:keepNext w:val="0"/>
        <w:keepLines w:val="0"/>
        <w:pageBreakBefore w:val="0"/>
        <w:widowControl w:val="0"/>
        <w:kinsoku/>
        <w:wordWrap w:val="0"/>
        <w:overflowPunct/>
        <w:topLinePunct w:val="0"/>
        <w:autoSpaceDE/>
        <w:autoSpaceDN/>
        <w:bidi w:val="0"/>
        <w:adjustRightInd w:val="0"/>
        <w:snapToGrid w:val="0"/>
        <w:spacing w:line="360" w:lineRule="auto"/>
        <w:ind w:firstLine="422" w:firstLineChars="200"/>
        <w:jc w:val="left"/>
        <w:textAlignment w:val="auto"/>
        <w:rPr>
          <w:rFonts w:hint="eastAsia" w:ascii="宋体" w:hAnsi="宋体" w:eastAsia="宋体" w:cs="宋体"/>
          <w:snapToGrid w:val="0"/>
          <w:color w:val="auto"/>
          <w:kern w:val="0"/>
          <w:sz w:val="24"/>
          <w:highlight w:val="none"/>
          <w:lang w:val="en-US" w:eastAsia="zh-CN"/>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sz w:val="24"/>
          <w:highlight w:val="none"/>
        </w:rPr>
        <w:t>本次招标实行电子投标。</w:t>
      </w:r>
      <w:r>
        <w:rPr>
          <w:rFonts w:hint="eastAsia" w:ascii="宋体" w:hAnsi="宋体" w:eastAsia="宋体" w:cs="宋体"/>
          <w:snapToGrid w:val="0"/>
          <w:color w:val="auto"/>
          <w:kern w:val="0"/>
          <w:sz w:val="24"/>
          <w:highlight w:val="none"/>
          <w:lang w:val="en-US" w:eastAsia="zh-CN"/>
        </w:rPr>
        <w:t>本项目招标文件随招标公告一并在</w:t>
      </w:r>
      <w:r>
        <w:rPr>
          <w:rFonts w:hint="eastAsia" w:ascii="宋体" w:hAnsi="宋体" w:eastAsia="宋体" w:cs="宋体"/>
          <w:snapToGrid w:val="0"/>
          <w:color w:val="auto"/>
          <w:kern w:val="0"/>
          <w:sz w:val="24"/>
          <w:szCs w:val="24"/>
          <w:highlight w:val="none"/>
          <w:lang w:val="en-US" w:eastAsia="zh-CN"/>
        </w:rPr>
        <w:t>全国公共资源交易平台（广东省·韶关市）</w:t>
      </w:r>
      <w:r>
        <w:rPr>
          <w:rFonts w:hint="eastAsia" w:ascii="宋体" w:hAnsi="宋体" w:eastAsia="宋体" w:cs="宋体"/>
          <w:caps w:val="0"/>
          <w:smallCaps w:val="0"/>
          <w:snapToGrid w:val="0"/>
          <w:color w:val="auto"/>
          <w:spacing w:val="0"/>
          <w:kern w:val="0"/>
          <w:sz w:val="24"/>
          <w:highlight w:val="none"/>
          <w:lang w:val="en-US" w:eastAsia="zh-CN"/>
        </w:rPr>
        <w:t>（https://ygp.gdzwfw.gov.cn/ggzy-portal/#/440200/index）</w:t>
      </w:r>
      <w:r>
        <w:rPr>
          <w:rFonts w:hint="eastAsia" w:ascii="宋体" w:hAnsi="宋体" w:eastAsia="宋体" w:cs="宋体"/>
          <w:snapToGrid w:val="0"/>
          <w:color w:val="auto"/>
          <w:kern w:val="0"/>
          <w:sz w:val="24"/>
          <w:highlight w:val="none"/>
          <w:lang w:val="en-US" w:eastAsia="zh-CN"/>
        </w:rPr>
        <w:t>网站发布，招标文件一经发布，视为发送投标人，招标文件及相关附件由投标人自行在</w:t>
      </w:r>
      <w:r>
        <w:rPr>
          <w:rFonts w:hint="eastAsia" w:ascii="宋体" w:hAnsi="宋体" w:eastAsia="宋体" w:cs="宋体"/>
          <w:snapToGrid w:val="0"/>
          <w:color w:val="auto"/>
          <w:kern w:val="0"/>
          <w:sz w:val="24"/>
          <w:szCs w:val="24"/>
          <w:highlight w:val="none"/>
          <w:lang w:val="en-US" w:eastAsia="zh-CN"/>
        </w:rPr>
        <w:t>全国公共资源交易平台（广东省·韶关市）</w:t>
      </w:r>
      <w:r>
        <w:rPr>
          <w:rFonts w:hint="eastAsia" w:ascii="宋体" w:hAnsi="宋体" w:eastAsia="宋体" w:cs="宋体"/>
          <w:snapToGrid w:val="0"/>
          <w:color w:val="auto"/>
          <w:kern w:val="0"/>
          <w:sz w:val="24"/>
          <w:highlight w:val="none"/>
          <w:lang w:val="en-US" w:eastAsia="zh-CN"/>
        </w:rPr>
        <w:t>网站下载。投标人请于招标文件获取期间</w:t>
      </w:r>
      <w:r>
        <w:rPr>
          <w:rFonts w:hint="eastAsia" w:ascii="宋体" w:hAnsi="宋体" w:eastAsia="宋体" w:cs="宋体"/>
          <w:snapToGrid w:val="0"/>
          <w:color w:val="auto"/>
          <w:kern w:val="0"/>
          <w:sz w:val="24"/>
          <w:highlight w:val="none"/>
        </w:rPr>
        <w:t>（见本</w:t>
      </w:r>
      <w:r>
        <w:rPr>
          <w:rFonts w:hint="eastAsia" w:ascii="宋体" w:hAnsi="宋体" w:eastAsia="宋体" w:cs="宋体"/>
          <w:snapToGrid w:val="0"/>
          <w:color w:val="auto"/>
          <w:kern w:val="0"/>
          <w:sz w:val="24"/>
          <w:highlight w:val="none"/>
          <w:lang w:val="en-US" w:eastAsia="zh-CN"/>
        </w:rPr>
        <w:t>章第二节</w:t>
      </w:r>
      <w:r>
        <w:rPr>
          <w:rFonts w:hint="eastAsia" w:ascii="宋体" w:hAnsi="宋体" w:eastAsia="宋体" w:cs="宋体"/>
          <w:snapToGrid w:val="0"/>
          <w:color w:val="auto"/>
          <w:kern w:val="0"/>
          <w:sz w:val="24"/>
          <w:highlight w:val="none"/>
        </w:rPr>
        <w:t>“重要事项时间地点一览表”）</w:t>
      </w:r>
      <w:r>
        <w:rPr>
          <w:rFonts w:hint="eastAsia" w:ascii="宋体" w:hAnsi="宋体" w:eastAsia="宋体" w:cs="宋体"/>
          <w:snapToGrid w:val="0"/>
          <w:color w:val="auto"/>
          <w:kern w:val="0"/>
          <w:sz w:val="24"/>
          <w:highlight w:val="none"/>
          <w:lang w:val="en-US" w:eastAsia="zh-CN"/>
        </w:rPr>
        <w:t>登录</w:t>
      </w:r>
      <w:r>
        <w:rPr>
          <w:rFonts w:hint="eastAsia" w:ascii="宋体" w:hAnsi="宋体" w:eastAsia="宋体" w:cs="宋体"/>
          <w:snapToGrid w:val="0"/>
          <w:color w:val="auto"/>
          <w:kern w:val="0"/>
          <w:sz w:val="24"/>
          <w:szCs w:val="24"/>
          <w:highlight w:val="none"/>
          <w:lang w:val="en-US" w:eastAsia="zh-CN"/>
        </w:rPr>
        <w:t>全国公共资源交易平台（广东省·韶关市）</w:t>
      </w:r>
      <w:r>
        <w:rPr>
          <w:rFonts w:hint="eastAsia" w:ascii="宋体" w:hAnsi="宋体" w:eastAsia="宋体" w:cs="宋体"/>
          <w:caps w:val="0"/>
          <w:smallCaps w:val="0"/>
          <w:snapToGrid w:val="0"/>
          <w:color w:val="auto"/>
          <w:spacing w:val="0"/>
          <w:kern w:val="0"/>
          <w:sz w:val="24"/>
          <w:highlight w:val="none"/>
          <w:lang w:val="en-US" w:eastAsia="zh-CN"/>
        </w:rPr>
        <w:t>（https://ygp.gdzwfw.gov.cn/ggzy-portal/#/440200/index）</w:t>
      </w:r>
      <w:r>
        <w:rPr>
          <w:rFonts w:hint="eastAsia" w:ascii="宋体" w:hAnsi="宋体" w:eastAsia="宋体" w:cs="宋体"/>
          <w:snapToGrid w:val="0"/>
          <w:color w:val="auto"/>
          <w:kern w:val="0"/>
          <w:sz w:val="24"/>
          <w:highlight w:val="none"/>
          <w:lang w:val="en-US" w:eastAsia="zh-CN"/>
        </w:rPr>
        <w:t>进行下载招标文件及相关附件，并于电子投标截止时间</w:t>
      </w:r>
      <w:r>
        <w:rPr>
          <w:rFonts w:hint="eastAsia" w:ascii="宋体" w:hAnsi="宋体" w:eastAsia="宋体" w:cs="宋体"/>
          <w:snapToGrid w:val="0"/>
          <w:color w:val="auto"/>
          <w:kern w:val="0"/>
          <w:sz w:val="24"/>
          <w:highlight w:val="none"/>
        </w:rPr>
        <w:t>（见本</w:t>
      </w:r>
      <w:r>
        <w:rPr>
          <w:rFonts w:hint="eastAsia" w:ascii="宋体" w:hAnsi="宋体" w:eastAsia="宋体" w:cs="宋体"/>
          <w:snapToGrid w:val="0"/>
          <w:color w:val="auto"/>
          <w:kern w:val="0"/>
          <w:sz w:val="24"/>
          <w:highlight w:val="none"/>
          <w:lang w:val="en-US" w:eastAsia="zh-CN"/>
        </w:rPr>
        <w:t>章第二节</w:t>
      </w:r>
      <w:r>
        <w:rPr>
          <w:rFonts w:hint="eastAsia" w:ascii="宋体" w:hAnsi="宋体" w:eastAsia="宋体" w:cs="宋体"/>
          <w:snapToGrid w:val="0"/>
          <w:color w:val="auto"/>
          <w:kern w:val="0"/>
          <w:sz w:val="24"/>
          <w:highlight w:val="none"/>
        </w:rPr>
        <w:t>“重要事项时间地点一览表”）</w:t>
      </w:r>
      <w:r>
        <w:rPr>
          <w:rFonts w:hint="eastAsia" w:ascii="宋体" w:hAnsi="宋体" w:eastAsia="宋体" w:cs="宋体"/>
          <w:snapToGrid w:val="0"/>
          <w:color w:val="auto"/>
          <w:kern w:val="0"/>
          <w:sz w:val="24"/>
          <w:highlight w:val="none"/>
          <w:lang w:val="en-US" w:eastAsia="zh-CN"/>
        </w:rPr>
        <w:t>前完成电子投标。</w:t>
      </w:r>
    </w:p>
    <w:p w14:paraId="39BC6134">
      <w:pPr>
        <w:keepNext w:val="0"/>
        <w:keepLines w:val="0"/>
        <w:pageBreakBefore w:val="0"/>
        <w:widowControl w:val="0"/>
        <w:tabs>
          <w:tab w:val="left" w:pos="7020"/>
        </w:tabs>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 w:val="24"/>
          <w:highlight w:val="none"/>
          <w:lang w:val="en-US" w:eastAsia="zh-CN"/>
        </w:rPr>
        <w:t>投标人可登录</w:t>
      </w:r>
      <w:r>
        <w:rPr>
          <w:rFonts w:hint="eastAsia" w:ascii="宋体" w:hAnsi="宋体" w:eastAsia="宋体" w:cs="宋体"/>
          <w:snapToGrid w:val="0"/>
          <w:color w:val="auto"/>
          <w:kern w:val="0"/>
          <w:sz w:val="24"/>
          <w:szCs w:val="24"/>
          <w:highlight w:val="none"/>
          <w:lang w:val="en-US" w:eastAsia="zh-CN"/>
        </w:rPr>
        <w:t>全国公共资源交易平台（广东省·韶关市）</w:t>
      </w:r>
      <w:r>
        <w:rPr>
          <w:rFonts w:hint="eastAsia" w:ascii="宋体" w:hAnsi="宋体" w:eastAsia="宋体" w:cs="宋体"/>
          <w:caps w:val="0"/>
          <w:smallCaps w:val="0"/>
          <w:snapToGrid w:val="0"/>
          <w:color w:val="auto"/>
          <w:spacing w:val="0"/>
          <w:kern w:val="0"/>
          <w:sz w:val="24"/>
          <w:highlight w:val="none"/>
          <w:lang w:val="en-US" w:eastAsia="zh-CN"/>
        </w:rPr>
        <w:t>（https://ygp.gdzwfw.gov.cn/ggzy-portal/#/440200/index）</w:t>
      </w:r>
      <w:r>
        <w:rPr>
          <w:rFonts w:hint="eastAsia" w:ascii="宋体" w:hAnsi="宋体" w:eastAsia="宋体" w:cs="宋体"/>
          <w:snapToGrid w:val="0"/>
          <w:color w:val="auto"/>
          <w:kern w:val="0"/>
          <w:sz w:val="24"/>
          <w:highlight w:val="none"/>
          <w:lang w:val="en-US" w:eastAsia="zh-CN"/>
        </w:rPr>
        <w:t>，在【服务指南】栏目中建设工程交易中下载《韶关市公共资源建设工程交易系统-投标人操作指南（电子评标）》（附件2），了解网上获取招标文件操作流程。技术咨询电话：0751-8379671伍先生，业务咨询电话：0751-8633211、8633071。</w:t>
      </w:r>
    </w:p>
    <w:p w14:paraId="1FB50E63">
      <w:pPr>
        <w:keepNext w:val="0"/>
        <w:keepLines w:val="0"/>
        <w:pageBreakBefore w:val="0"/>
        <w:widowControl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3.2</w:t>
      </w:r>
      <w:r>
        <w:rPr>
          <w:rFonts w:hint="eastAsia" w:ascii="宋体" w:hAnsi="宋体" w:eastAsia="宋体" w:cs="宋体"/>
          <w:snapToGrid w:val="0"/>
          <w:color w:val="auto"/>
          <w:kern w:val="0"/>
          <w:sz w:val="24"/>
          <w:highlight w:val="none"/>
        </w:rPr>
        <w:t>只有申领了数字证书（CA）、“粤企签”或GDCA/SZCA/NETCA等符合法律法规规定的电子印章，并在交易系统中完成企业信息数据入库的投标人，</w:t>
      </w:r>
      <w:r>
        <w:rPr>
          <w:rFonts w:hint="eastAsia" w:ascii="宋体" w:hAnsi="宋体" w:eastAsia="宋体" w:cs="宋体"/>
          <w:caps w:val="0"/>
          <w:smallCaps w:val="0"/>
          <w:snapToGrid w:val="0"/>
          <w:color w:val="auto"/>
          <w:spacing w:val="0"/>
          <w:kern w:val="0"/>
          <w:sz w:val="24"/>
          <w:highlight w:val="none"/>
          <w:lang w:val="en-US" w:eastAsia="zh-CN"/>
        </w:rPr>
        <w:t>方可使用建设工程交易系统进行招标文件及相关附件的获取和电子投标</w:t>
      </w:r>
      <w:r>
        <w:rPr>
          <w:rFonts w:hint="eastAsia" w:ascii="宋体" w:hAnsi="宋体" w:eastAsia="宋体" w:cs="宋体"/>
          <w:snapToGrid w:val="0"/>
          <w:color w:val="auto"/>
          <w:kern w:val="0"/>
          <w:sz w:val="24"/>
          <w:highlight w:val="none"/>
        </w:rPr>
        <w:t>。首次在韶关市参与建设工程招标投标活动的投标人，必须在平台系统上传企业相关资料办理企业入库事宜。投标人可登录</w:t>
      </w:r>
      <w:r>
        <w:rPr>
          <w:rFonts w:hint="eastAsia" w:ascii="宋体" w:hAnsi="宋体" w:eastAsia="宋体" w:cs="宋体"/>
          <w:snapToGrid w:val="0"/>
          <w:color w:val="auto"/>
          <w:kern w:val="0"/>
          <w:sz w:val="24"/>
          <w:szCs w:val="24"/>
          <w:highlight w:val="none"/>
          <w:lang w:val="en-US" w:eastAsia="zh-CN"/>
        </w:rPr>
        <w:t>全国公共资源交易平台（广东省·韶关市）</w:t>
      </w:r>
      <w:r>
        <w:rPr>
          <w:rFonts w:hint="eastAsia" w:ascii="宋体" w:hAnsi="宋体" w:eastAsia="宋体" w:cs="宋体"/>
          <w:caps w:val="0"/>
          <w:smallCaps w:val="0"/>
          <w:snapToGrid w:val="0"/>
          <w:color w:val="auto"/>
          <w:spacing w:val="0"/>
          <w:kern w:val="0"/>
          <w:sz w:val="24"/>
          <w:highlight w:val="none"/>
          <w:lang w:val="en-US" w:eastAsia="zh-CN"/>
        </w:rPr>
        <w:t>（https://ygp.gdzwfw.gov.cn/ggzy-portal/#/440200/index）</w:t>
      </w:r>
      <w:r>
        <w:rPr>
          <w:rFonts w:hint="eastAsia" w:ascii="宋体" w:hAnsi="宋体" w:eastAsia="宋体" w:cs="宋体"/>
          <w:snapToGrid w:val="0"/>
          <w:color w:val="auto"/>
          <w:kern w:val="0"/>
          <w:sz w:val="24"/>
          <w:highlight w:val="none"/>
        </w:rPr>
        <w:t>办理企业入库、数字证书及电子印章事宜，具体请在平台查阅相应的交易指引。已入库企业有关信息（如单位名称、基本账号、资质、人员等）发生变化的，须及时在交易系统进行相应变更。投标人未及时变更信息而造成的损失和后果，由投标人自行承担。</w:t>
      </w:r>
    </w:p>
    <w:p w14:paraId="6CA4D775">
      <w:pPr>
        <w:keepNext w:val="0"/>
        <w:keepLines w:val="0"/>
        <w:pageBreakBefore w:val="0"/>
        <w:widowControl w:val="0"/>
        <w:tabs>
          <w:tab w:val="left" w:pos="7020"/>
        </w:tabs>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22E39932">
      <w:pPr>
        <w:keepNext w:val="0"/>
        <w:keepLines w:val="0"/>
        <w:pageBreakBefore w:val="0"/>
        <w:widowControl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3.3</w:t>
      </w:r>
      <w:r>
        <w:rPr>
          <w:rFonts w:hint="eastAsia" w:ascii="宋体" w:hAnsi="宋体" w:eastAsia="宋体" w:cs="宋体"/>
          <w:snapToGrid w:val="0"/>
          <w:color w:val="auto"/>
          <w:kern w:val="0"/>
          <w:highlight w:val="none"/>
        </w:rPr>
        <w:t>投标保证</w:t>
      </w:r>
    </w:p>
    <w:p w14:paraId="0A451361">
      <w:pPr>
        <w:keepNext w:val="0"/>
        <w:keepLines w:val="0"/>
        <w:pageBreakBefore w:val="0"/>
        <w:widowControl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3.3.1</w:t>
      </w:r>
      <w:r>
        <w:rPr>
          <w:rFonts w:hint="eastAsia" w:ascii="宋体" w:hAnsi="宋体" w:eastAsia="宋体" w:cs="宋体"/>
          <w:snapToGrid w:val="0"/>
          <w:color w:val="auto"/>
          <w:kern w:val="0"/>
          <w:highlight w:val="none"/>
        </w:rPr>
        <w:t>投标人须缴纳金额为人民币</w:t>
      </w:r>
      <w:r>
        <w:rPr>
          <w:rFonts w:hint="eastAsia" w:ascii="宋体" w:hAnsi="宋体" w:eastAsia="宋体" w:cs="宋体"/>
          <w:snapToGrid w:val="0"/>
          <w:color w:val="auto"/>
          <w:kern w:val="0"/>
          <w:highlight w:val="none"/>
          <w:u w:val="single"/>
          <w:lang w:val="en-US" w:eastAsia="zh-CN"/>
        </w:rPr>
        <w:t>20万</w:t>
      </w:r>
      <w:r>
        <w:rPr>
          <w:rFonts w:hint="eastAsia" w:ascii="宋体" w:hAnsi="宋体" w:eastAsia="宋体" w:cs="宋体"/>
          <w:snapToGrid w:val="0"/>
          <w:color w:val="auto"/>
          <w:kern w:val="0"/>
          <w:highlight w:val="none"/>
          <w:u w:val="none"/>
          <w:lang w:val="en-US" w:eastAsia="zh-CN"/>
        </w:rPr>
        <w:t>元</w:t>
      </w:r>
      <w:r>
        <w:rPr>
          <w:rFonts w:hint="eastAsia" w:ascii="宋体" w:hAnsi="宋体" w:eastAsia="宋体" w:cs="宋体"/>
          <w:snapToGrid w:val="0"/>
          <w:color w:val="auto"/>
          <w:kern w:val="0"/>
          <w:highlight w:val="none"/>
        </w:rPr>
        <w:t>的投标保证。</w:t>
      </w:r>
    </w:p>
    <w:p w14:paraId="40C6DE24">
      <w:pPr>
        <w:keepNext w:val="0"/>
        <w:keepLines w:val="0"/>
        <w:pageBreakBefore w:val="0"/>
        <w:widowControl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3.3.2</w:t>
      </w:r>
      <w:r>
        <w:rPr>
          <w:rFonts w:hint="eastAsia" w:ascii="宋体" w:hAnsi="宋体" w:eastAsia="宋体" w:cs="宋体"/>
          <w:snapToGrid w:val="0"/>
          <w:color w:val="auto"/>
          <w:kern w:val="0"/>
          <w:highlight w:val="none"/>
        </w:rPr>
        <w:t>投标保证的形式包括投标保证金</w:t>
      </w:r>
      <w:r>
        <w:rPr>
          <w:rFonts w:hint="eastAsia" w:ascii="宋体" w:hAnsi="宋体" w:eastAsia="宋体" w:cs="宋体"/>
          <w:snapToGrid w:val="0"/>
          <w:color w:val="auto"/>
          <w:kern w:val="0"/>
          <w:highlight w:val="none"/>
          <w:lang w:val="en-US" w:eastAsia="zh-CN"/>
        </w:rPr>
        <w:t>、</w:t>
      </w:r>
      <w:r>
        <w:rPr>
          <w:rFonts w:hint="eastAsia" w:ascii="宋体" w:hAnsi="宋体" w:eastAsia="宋体" w:cs="宋体"/>
          <w:snapToGrid w:val="0"/>
          <w:color w:val="auto"/>
          <w:kern w:val="0"/>
          <w:highlight w:val="none"/>
        </w:rPr>
        <w:t>投标保证担保</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投标保证保险三种，由投标人自主选择。</w:t>
      </w:r>
    </w:p>
    <w:p w14:paraId="40581E03">
      <w:pPr>
        <w:keepNext w:val="0"/>
        <w:keepLines w:val="0"/>
        <w:pageBreakBefore w:val="0"/>
        <w:widowControl w:val="0"/>
        <w:tabs>
          <w:tab w:val="left" w:pos="7020"/>
        </w:tabs>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（1）采用投标保证金的，投标人在建设工程交易系统</w:t>
      </w:r>
      <w:r>
        <w:rPr>
          <w:rFonts w:hint="eastAsia" w:ascii="宋体" w:hAnsi="宋体" w:eastAsia="宋体" w:cs="宋体"/>
          <w:snapToGrid w:val="0"/>
          <w:color w:val="auto"/>
          <w:kern w:val="0"/>
          <w:highlight w:val="none"/>
          <w:lang w:val="en-US" w:eastAsia="zh-CN"/>
        </w:rPr>
        <w:t>获取招标文件</w:t>
      </w:r>
      <w:r>
        <w:rPr>
          <w:rFonts w:hint="eastAsia" w:ascii="宋体" w:hAnsi="宋体" w:eastAsia="宋体" w:cs="宋体"/>
          <w:snapToGrid w:val="0"/>
          <w:color w:val="auto"/>
          <w:kern w:val="0"/>
          <w:highlight w:val="none"/>
        </w:rPr>
        <w:t>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437CE56E">
      <w:pPr>
        <w:keepNext w:val="0"/>
        <w:keepLines w:val="0"/>
        <w:pageBreakBefore w:val="0"/>
        <w:widowControl w:val="0"/>
        <w:tabs>
          <w:tab w:val="left" w:pos="7020"/>
        </w:tabs>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w:t>
      </w:r>
      <w:r>
        <w:rPr>
          <w:rFonts w:hint="eastAsia" w:ascii="宋体" w:hAnsi="宋体" w:eastAsia="宋体" w:cs="宋体"/>
          <w:snapToGrid w:val="0"/>
          <w:color w:val="auto"/>
          <w:kern w:val="0"/>
          <w:sz w:val="24"/>
          <w:szCs w:val="24"/>
          <w:highlight w:val="none"/>
        </w:rPr>
        <w:t>采用投标保证担保的，投标人应提交有效的</w:t>
      </w:r>
      <w:r>
        <w:rPr>
          <w:rFonts w:hint="eastAsia" w:ascii="宋体" w:hAnsi="宋体" w:eastAsia="宋体" w:cs="宋体"/>
          <w:snapToGrid w:val="0"/>
          <w:color w:val="auto"/>
          <w:kern w:val="0"/>
          <w:sz w:val="24"/>
          <w:szCs w:val="24"/>
          <w:highlight w:val="none"/>
          <w:lang w:val="en-US" w:eastAsia="zh-CN"/>
        </w:rPr>
        <w:t>电子</w:t>
      </w:r>
      <w:r>
        <w:rPr>
          <w:rFonts w:hint="eastAsia" w:ascii="宋体" w:hAnsi="宋体" w:eastAsia="宋体" w:cs="宋体"/>
          <w:snapToGrid w:val="0"/>
          <w:color w:val="auto"/>
          <w:kern w:val="0"/>
          <w:sz w:val="24"/>
          <w:szCs w:val="24"/>
          <w:highlight w:val="none"/>
        </w:rPr>
        <w:t>保函，</w:t>
      </w:r>
      <w:r>
        <w:rPr>
          <w:rFonts w:hint="eastAsia" w:ascii="宋体" w:hAnsi="宋体" w:eastAsia="宋体" w:cs="宋体"/>
          <w:snapToGrid w:val="0"/>
          <w:color w:val="auto"/>
          <w:kern w:val="0"/>
          <w:sz w:val="24"/>
          <w:szCs w:val="24"/>
          <w:highlight w:val="none"/>
          <w:lang w:val="en-US" w:eastAsia="zh-CN"/>
        </w:rPr>
        <w:t>电子</w:t>
      </w:r>
      <w:r>
        <w:rPr>
          <w:rFonts w:hint="eastAsia" w:ascii="宋体" w:hAnsi="宋体" w:eastAsia="宋体" w:cs="宋体"/>
          <w:snapToGrid w:val="0"/>
          <w:color w:val="auto"/>
          <w:kern w:val="0"/>
          <w:sz w:val="24"/>
          <w:szCs w:val="24"/>
          <w:highlight w:val="none"/>
        </w:rPr>
        <w:t>保函的有效期不得短于投标有效期。投标人必须在投标保证担保截止时间（</w:t>
      </w:r>
      <w:r>
        <w:rPr>
          <w:rFonts w:hint="eastAsia" w:ascii="宋体" w:hAnsi="宋体" w:eastAsia="宋体" w:cs="宋体"/>
          <w:snapToGrid w:val="0"/>
          <w:color w:val="auto"/>
          <w:kern w:val="0"/>
          <w:highlight w:val="none"/>
        </w:rPr>
        <w:t>见本章第二节</w:t>
      </w:r>
      <w:r>
        <w:rPr>
          <w:rFonts w:hint="eastAsia" w:ascii="宋体" w:hAnsi="宋体" w:eastAsia="宋体" w:cs="宋体"/>
          <w:snapToGrid w:val="0"/>
          <w:color w:val="auto"/>
          <w:kern w:val="0"/>
          <w:sz w:val="24"/>
          <w:szCs w:val="24"/>
          <w:highlight w:val="none"/>
        </w:rPr>
        <w:t>“重要事项时间地点一览表”）前，使用工程建设交易系统完成网上办理电子保函。</w:t>
      </w:r>
    </w:p>
    <w:p w14:paraId="114CF36E">
      <w:pPr>
        <w:pStyle w:val="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480" w:firstLineChars="0"/>
        <w:jc w:val="left"/>
        <w:textAlignment w:val="auto"/>
        <w:outlineLvl w:val="9"/>
        <w:rPr>
          <w:rFonts w:hint="eastAsia" w:ascii="宋体" w:hAnsi="宋体" w:eastAsia="宋体" w:cs="宋体"/>
          <w:snapToGrid w:val="0"/>
          <w:color w:val="auto"/>
          <w:kern w:val="0"/>
          <w:sz w:val="24"/>
          <w:szCs w:val="20"/>
          <w:highlight w:val="none"/>
          <w:lang w:val="en-US" w:eastAsia="zh-CN" w:bidi="ar-SA"/>
        </w:rPr>
      </w:pPr>
      <w:r>
        <w:rPr>
          <w:rFonts w:hint="eastAsia" w:ascii="宋体" w:hAnsi="宋体" w:eastAsia="宋体" w:cs="宋体"/>
          <w:snapToGrid w:val="0"/>
          <w:color w:val="auto"/>
          <w:kern w:val="0"/>
          <w:sz w:val="24"/>
          <w:szCs w:val="20"/>
          <w:highlight w:val="none"/>
          <w:lang w:val="en-US" w:eastAsia="zh-CN" w:bidi="ar-SA"/>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 w:val="24"/>
          <w:szCs w:val="24"/>
          <w:highlight w:val="none"/>
          <w:lang w:val="en-US" w:eastAsia="zh-CN"/>
        </w:rPr>
        <w:t>全国公共资源交易平台（广东省·韶关市）</w:t>
      </w:r>
      <w:r>
        <w:rPr>
          <w:rFonts w:hint="eastAsia" w:ascii="宋体" w:hAnsi="宋体" w:eastAsia="宋体" w:cs="宋体"/>
          <w:caps w:val="0"/>
          <w:smallCaps w:val="0"/>
          <w:snapToGrid w:val="0"/>
          <w:color w:val="auto"/>
          <w:spacing w:val="0"/>
          <w:kern w:val="0"/>
          <w:sz w:val="24"/>
          <w:highlight w:val="none"/>
          <w:lang w:val="en-US" w:eastAsia="zh-CN"/>
        </w:rPr>
        <w:t>（https://ygp.gdzwfw.gov.cn/ggzy-portal/#/440200/index）</w:t>
      </w:r>
      <w:r>
        <w:rPr>
          <w:rFonts w:hint="eastAsia" w:ascii="宋体" w:hAnsi="宋体" w:eastAsia="宋体" w:cs="宋体"/>
          <w:snapToGrid w:val="0"/>
          <w:color w:val="auto"/>
          <w:kern w:val="0"/>
          <w:sz w:val="24"/>
          <w:szCs w:val="20"/>
          <w:highlight w:val="none"/>
          <w:lang w:val="en-US" w:eastAsia="zh-CN" w:bidi="ar-SA"/>
        </w:rPr>
        <w:t>，在【服务指南】栏目中下载《建设工程网上交易系统保险保证金缴纳操作指南》，了解网上投保具体操作流程。逾期投保的，其投标无效。</w:t>
      </w:r>
    </w:p>
    <w:p w14:paraId="4582C8D9">
      <w:pPr>
        <w:keepNext w:val="0"/>
        <w:keepLines w:val="0"/>
        <w:pageBreakBefore w:val="0"/>
        <w:widowControl w:val="0"/>
        <w:tabs>
          <w:tab w:val="left" w:pos="7020"/>
        </w:tabs>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温馨提醒：</w:t>
      </w:r>
      <w:r>
        <w:rPr>
          <w:rFonts w:hint="eastAsia" w:ascii="宋体" w:hAnsi="宋体" w:eastAsia="宋体" w:cs="宋体"/>
          <w:snapToGrid w:val="0"/>
          <w:color w:val="auto"/>
          <w:kern w:val="0"/>
          <w:highlight w:val="none"/>
          <w:lang w:val="en-US" w:eastAsia="zh-CN"/>
        </w:rPr>
        <w:t>投标人采用投标保证担保或投标保证保险的</w:t>
      </w:r>
      <w:r>
        <w:rPr>
          <w:rFonts w:hint="eastAsia" w:ascii="宋体" w:hAnsi="宋体" w:eastAsia="宋体" w:cs="宋体"/>
          <w:snapToGrid w:val="0"/>
          <w:color w:val="auto"/>
          <w:kern w:val="0"/>
          <w:highlight w:val="none"/>
        </w:rPr>
        <w:t>，为避免在评标过程中因有效期发生争议，建议投标人将银行保函</w:t>
      </w:r>
      <w:r>
        <w:rPr>
          <w:rFonts w:hint="eastAsia" w:ascii="宋体" w:hAnsi="宋体" w:eastAsia="宋体" w:cs="宋体"/>
          <w:snapToGrid w:val="0"/>
          <w:color w:val="auto"/>
          <w:kern w:val="0"/>
          <w:highlight w:val="none"/>
          <w:lang w:val="en-US" w:eastAsia="zh-CN"/>
        </w:rPr>
        <w:t>或电子保单</w:t>
      </w:r>
      <w:r>
        <w:rPr>
          <w:rFonts w:hint="eastAsia" w:ascii="宋体" w:hAnsi="宋体" w:eastAsia="宋体" w:cs="宋体"/>
          <w:snapToGrid w:val="0"/>
          <w:color w:val="auto"/>
          <w:kern w:val="0"/>
          <w:highlight w:val="none"/>
        </w:rPr>
        <w:t>有效期设置为较招标文件规定的投标有效期</w:t>
      </w:r>
      <w:r>
        <w:rPr>
          <w:rFonts w:hint="eastAsia" w:ascii="宋体" w:hAnsi="宋体" w:eastAsia="宋体" w:cs="宋体"/>
          <w:snapToGrid w:val="0"/>
          <w:color w:val="auto"/>
          <w:kern w:val="0"/>
          <w:highlight w:val="none"/>
          <w:lang w:val="en-US" w:eastAsia="zh-CN"/>
        </w:rPr>
        <w:t>延长</w:t>
      </w:r>
      <w:r>
        <w:rPr>
          <w:rFonts w:hint="eastAsia" w:ascii="宋体" w:hAnsi="宋体" w:eastAsia="宋体" w:cs="宋体"/>
          <w:snapToGrid w:val="0"/>
          <w:color w:val="auto"/>
          <w:kern w:val="0"/>
          <w:highlight w:val="none"/>
        </w:rPr>
        <w:t>不少于20个日历天。</w:t>
      </w:r>
    </w:p>
    <w:p w14:paraId="6A976D3D">
      <w:pPr>
        <w:keepNext w:val="0"/>
        <w:keepLines w:val="0"/>
        <w:pageBreakBefore w:val="0"/>
        <w:widowControl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3.4</w:t>
      </w:r>
      <w:r>
        <w:rPr>
          <w:rFonts w:hint="eastAsia" w:ascii="宋体" w:hAnsi="宋体" w:eastAsia="宋体" w:cs="宋体"/>
          <w:snapToGrid w:val="0"/>
          <w:color w:val="auto"/>
          <w:kern w:val="0"/>
          <w:highlight w:val="none"/>
        </w:rPr>
        <w:t>若投标人因自身原因未能正确完成获取招标文件、电子投标、缴纳投标保证的，其投标无效。</w:t>
      </w:r>
    </w:p>
    <w:p w14:paraId="527EC43D">
      <w:pPr>
        <w:pStyle w:val="5"/>
        <w:keepNext/>
        <w:keepLines/>
        <w:pageBreakBefore w:val="0"/>
        <w:widowControl/>
        <w:kinsoku/>
        <w:wordWrap/>
        <w:overflowPunct/>
        <w:topLinePunct w:val="0"/>
        <w:autoSpaceDE/>
        <w:autoSpaceDN/>
        <w:bidi w:val="0"/>
        <w:adjustRightInd/>
        <w:snapToGrid/>
        <w:spacing w:before="240" w:line="360" w:lineRule="auto"/>
        <w:ind w:firstLine="420"/>
        <w:jc w:val="left"/>
        <w:textAlignment w:val="auto"/>
        <w:outlineLvl w:val="2"/>
        <w:rPr>
          <w:rFonts w:hint="eastAsia" w:ascii="宋体" w:hAnsi="宋体" w:eastAsia="宋体" w:cs="宋体"/>
          <w:b/>
          <w:bCs/>
          <w:color w:val="auto"/>
          <w:highlight w:val="none"/>
          <w:lang w:val="en-US" w:eastAsia="zh-CN"/>
        </w:rPr>
      </w:pPr>
      <w:bookmarkStart w:id="32" w:name="_Toc27656"/>
      <w:r>
        <w:rPr>
          <w:rFonts w:hint="eastAsia" w:ascii="宋体" w:hAnsi="宋体" w:eastAsia="宋体" w:cs="宋体"/>
          <w:b/>
          <w:bCs/>
          <w:color w:val="auto"/>
          <w:highlight w:val="none"/>
          <w:lang w:val="en-US" w:eastAsia="zh-CN"/>
        </w:rPr>
        <w:t>4．工期要求</w:t>
      </w:r>
      <w:bookmarkEnd w:id="32"/>
    </w:p>
    <w:p w14:paraId="3D212A37">
      <w:pPr>
        <w:keepNext w:val="0"/>
        <w:keepLines w:val="0"/>
        <w:pageBreakBefore w:val="0"/>
        <w:widowControl w:val="0"/>
        <w:tabs>
          <w:tab w:val="left" w:pos="7020"/>
        </w:tabs>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snapToGrid w:val="0"/>
          <w:color w:val="auto"/>
          <w:kern w:val="0"/>
          <w:szCs w:val="22"/>
          <w:highlight w:val="none"/>
        </w:rPr>
      </w:pPr>
      <w:r>
        <w:rPr>
          <w:rFonts w:hint="eastAsia" w:ascii="宋体" w:hAnsi="宋体" w:eastAsia="宋体" w:cs="宋体"/>
          <w:color w:val="auto"/>
          <w:highlight w:val="none"/>
        </w:rPr>
        <w:t>本招标项目招标工期</w:t>
      </w:r>
      <w:r>
        <w:rPr>
          <w:rFonts w:hint="eastAsia" w:ascii="宋体" w:hAnsi="宋体" w:eastAsia="宋体" w:cs="宋体"/>
          <w:color w:val="auto"/>
          <w:sz w:val="24"/>
          <w:szCs w:val="24"/>
          <w:highlight w:val="none"/>
        </w:rPr>
        <w:t>为</w:t>
      </w:r>
      <w:r>
        <w:rPr>
          <w:rFonts w:hint="eastAsia" w:ascii="宋体" w:hAnsi="宋体" w:eastAsia="宋体" w:cs="宋体"/>
          <w:color w:val="auto"/>
          <w:sz w:val="24"/>
          <w:szCs w:val="24"/>
          <w:highlight w:val="none"/>
          <w:u w:val="single"/>
          <w:lang w:val="en-US" w:eastAsia="zh-CN"/>
        </w:rPr>
        <w:t>120</w:t>
      </w:r>
      <w:r>
        <w:rPr>
          <w:rFonts w:hint="eastAsia" w:ascii="宋体" w:hAnsi="宋体" w:eastAsia="宋体" w:cs="宋体"/>
          <w:color w:val="auto"/>
          <w:sz w:val="24"/>
          <w:szCs w:val="24"/>
          <w:highlight w:val="none"/>
          <w:lang w:val="en-US" w:eastAsia="zh-CN"/>
        </w:rPr>
        <w:t>个</w:t>
      </w:r>
      <w:r>
        <w:rPr>
          <w:rFonts w:hint="eastAsia" w:ascii="宋体" w:hAnsi="宋体" w:eastAsia="宋体" w:cs="宋体"/>
          <w:color w:val="auto"/>
          <w:highlight w:val="none"/>
          <w:lang w:val="en-US" w:eastAsia="zh-CN"/>
        </w:rPr>
        <w:t>日历天</w:t>
      </w:r>
      <w:r>
        <w:rPr>
          <w:rFonts w:hint="eastAsia" w:ascii="宋体" w:hAnsi="宋体" w:eastAsia="宋体" w:cs="宋体"/>
          <w:color w:val="auto"/>
          <w:highlight w:val="none"/>
        </w:rPr>
        <w:t>。</w:t>
      </w:r>
      <w:r>
        <w:rPr>
          <w:rFonts w:hint="eastAsia" w:ascii="宋体" w:hAnsi="宋体" w:eastAsia="宋体" w:cs="宋体"/>
          <w:snapToGrid w:val="0"/>
          <w:color w:val="auto"/>
          <w:kern w:val="0"/>
          <w:highlight w:val="none"/>
        </w:rPr>
        <w:t>中标人必须在招标工期内完成招标范围内的全部内容。</w:t>
      </w:r>
      <w:bookmarkStart w:id="33" w:name="_Toc390"/>
    </w:p>
    <w:p w14:paraId="2CEDF7EF">
      <w:pPr>
        <w:pStyle w:val="5"/>
        <w:keepNext/>
        <w:keepLines/>
        <w:pageBreakBefore w:val="0"/>
        <w:widowControl/>
        <w:kinsoku/>
        <w:wordWrap/>
        <w:overflowPunct/>
        <w:topLinePunct w:val="0"/>
        <w:autoSpaceDE/>
        <w:autoSpaceDN/>
        <w:bidi w:val="0"/>
        <w:adjustRightInd/>
        <w:snapToGrid/>
        <w:spacing w:before="240" w:line="360" w:lineRule="auto"/>
        <w:ind w:firstLine="420"/>
        <w:jc w:val="left"/>
        <w:textAlignment w:val="auto"/>
        <w:outlineLvl w:val="2"/>
        <w:rPr>
          <w:rFonts w:hint="eastAsia" w:ascii="宋体" w:hAnsi="宋体" w:eastAsia="宋体" w:cs="宋体"/>
          <w:b/>
          <w:bCs/>
          <w:color w:val="auto"/>
          <w:highlight w:val="none"/>
          <w:lang w:val="en-US" w:eastAsia="zh-CN"/>
        </w:rPr>
      </w:pPr>
      <w:bookmarkStart w:id="34" w:name="_Toc32175"/>
      <w:r>
        <w:rPr>
          <w:rFonts w:hint="eastAsia" w:ascii="宋体" w:hAnsi="宋体" w:eastAsia="宋体" w:cs="宋体"/>
          <w:b/>
          <w:bCs/>
          <w:color w:val="auto"/>
          <w:highlight w:val="none"/>
          <w:lang w:val="en-US" w:eastAsia="zh-CN"/>
        </w:rPr>
        <w:t>5．质量标准和材料、机械要求</w:t>
      </w:r>
      <w:bookmarkEnd w:id="33"/>
      <w:bookmarkEnd w:id="34"/>
    </w:p>
    <w:p w14:paraId="67FB21D2">
      <w:pPr>
        <w:keepNext w:val="0"/>
        <w:keepLines w:val="0"/>
        <w:pageBreakBefore w:val="0"/>
        <w:widowControl/>
        <w:suppressLineNumbers w:val="0"/>
        <w:kinsoku/>
        <w:overflowPunct/>
        <w:topLinePunct w:val="0"/>
        <w:autoSpaceDE/>
        <w:autoSpaceDN/>
        <w:bidi w:val="0"/>
        <w:spacing w:line="360" w:lineRule="auto"/>
        <w:ind w:firstLine="482" w:firstLineChars="200"/>
        <w:jc w:val="left"/>
        <w:rPr>
          <w:rFonts w:hint="eastAsia" w:ascii="宋体" w:hAnsi="宋体" w:eastAsia="宋体" w:cs="宋体"/>
          <w:bCs/>
          <w:snapToGrid w:val="0"/>
          <w:color w:val="auto"/>
          <w:kern w:val="0"/>
          <w:sz w:val="24"/>
          <w:szCs w:val="24"/>
          <w:highlight w:val="none"/>
          <w:u w:val="single"/>
          <w:lang w:eastAsia="zh-CN"/>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sz w:val="24"/>
          <w:szCs w:val="24"/>
          <w:highlight w:val="none"/>
        </w:rPr>
        <w:t>施工工艺严格按照国家和广东省的有关现行施工技术规范及标准执行，工程质量标准须</w:t>
      </w:r>
      <w:r>
        <w:rPr>
          <w:rFonts w:hint="eastAsia" w:ascii="宋体" w:hAnsi="宋体" w:eastAsia="宋体" w:cs="宋体"/>
          <w:snapToGrid w:val="0"/>
          <w:color w:val="auto"/>
          <w:kern w:val="0"/>
          <w:sz w:val="24"/>
          <w:szCs w:val="24"/>
          <w:highlight w:val="none"/>
          <w:u w:val="single"/>
        </w:rPr>
        <w:t>符合现行国家有关工程施工质量验收规范和标准的要求</w:t>
      </w:r>
      <w:r>
        <w:rPr>
          <w:rFonts w:hint="eastAsia" w:ascii="宋体" w:hAnsi="宋体" w:eastAsia="宋体" w:cs="宋体"/>
          <w:snapToGrid w:val="0"/>
          <w:color w:val="auto"/>
          <w:kern w:val="0"/>
          <w:sz w:val="24"/>
          <w:szCs w:val="24"/>
          <w:highlight w:val="none"/>
          <w:u w:val="single"/>
          <w:lang w:eastAsia="zh-CN"/>
        </w:rPr>
        <w:t>。</w:t>
      </w:r>
    </w:p>
    <w:p w14:paraId="0DAD5CC7">
      <w:pPr>
        <w:pageBreakBefore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中标人在施工中如果工程质量不符合设计要求和有关规定，招标人或监理单位要求停工和返工的必须立即执行，并承担由此产生的各种费用，工期不予顺延。</w:t>
      </w:r>
    </w:p>
    <w:p w14:paraId="43086384">
      <w:pPr>
        <w:pageBreakBefore w:val="0"/>
        <w:kinsoku/>
        <w:wordWrap w:val="0"/>
        <w:overflowPunct/>
        <w:topLinePunct w:val="0"/>
        <w:autoSpaceDE/>
        <w:autoSpaceDN/>
        <w:bidi w:val="0"/>
        <w:adjustRightInd w:val="0"/>
        <w:snapToGrid w:val="0"/>
        <w:spacing w:line="360" w:lineRule="auto"/>
        <w:ind w:firstLine="57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5.3</w:t>
      </w:r>
      <w:r>
        <w:rPr>
          <w:rFonts w:hint="eastAsia" w:ascii="宋体" w:hAnsi="宋体" w:eastAsia="宋体" w:cs="宋体"/>
          <w:snapToGrid w:val="0"/>
          <w:color w:val="auto"/>
          <w:kern w:val="0"/>
          <w:highlight w:val="none"/>
        </w:rPr>
        <w:t>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2FCB47AF">
      <w:pPr>
        <w:pageBreakBefore w:val="0"/>
        <w:kinsoku/>
        <w:wordWrap w:val="0"/>
        <w:overflowPunct/>
        <w:topLinePunct w:val="0"/>
        <w:autoSpaceDE/>
        <w:autoSpaceDN/>
        <w:bidi w:val="0"/>
        <w:adjustRightInd w:val="0"/>
        <w:snapToGrid w:val="0"/>
        <w:spacing w:line="360" w:lineRule="auto"/>
        <w:ind w:firstLine="570"/>
        <w:textAlignment w:val="auto"/>
        <w:rPr>
          <w:rFonts w:hint="eastAsia" w:ascii="宋体" w:hAnsi="宋体" w:eastAsia="宋体" w:cs="宋体"/>
          <w:snapToGrid w:val="0"/>
          <w:color w:val="auto"/>
          <w:kern w:val="0"/>
          <w:highlight w:val="none"/>
          <w:lang w:eastAsia="zh-CN"/>
        </w:rPr>
      </w:pPr>
      <w:r>
        <w:rPr>
          <w:rFonts w:hint="eastAsia" w:ascii="宋体" w:hAnsi="宋体" w:eastAsia="宋体" w:cs="宋体"/>
          <w:b/>
          <w:bCs/>
          <w:snapToGrid w:val="0"/>
          <w:color w:val="auto"/>
          <w:kern w:val="0"/>
          <w:highlight w:val="none"/>
        </w:rPr>
        <w:t>5.4</w:t>
      </w:r>
      <w:r>
        <w:rPr>
          <w:rFonts w:hint="eastAsia" w:ascii="宋体" w:hAnsi="宋体" w:eastAsia="宋体" w:cs="宋体"/>
          <w:snapToGrid w:val="0"/>
          <w:color w:val="auto"/>
          <w:kern w:val="0"/>
          <w:highlight w:val="none"/>
        </w:rPr>
        <w:t>根据韶关市人民政府《关于加快推进全市绿色建筑发展工作的通知》（韶府 办明电〔2013〕277 号）有关规定，结合《韶关市住建管理局关于贯彻落实&lt;广东省绿色建筑条例&gt;有关工作的通知》（韶市建字〔2021〕85号）等有关规定，本招标项目</w:t>
      </w:r>
      <w:r>
        <w:rPr>
          <w:rFonts w:hint="eastAsia" w:ascii="宋体" w:hAnsi="宋体" w:eastAsia="宋体" w:cs="宋体"/>
          <w:snapToGrid w:val="0"/>
          <w:color w:val="auto"/>
          <w:kern w:val="0"/>
          <w:highlight w:val="none"/>
          <w:lang w:val="en-US" w:eastAsia="zh-CN"/>
        </w:rPr>
        <w:t>不</w:t>
      </w:r>
      <w:r>
        <w:rPr>
          <w:rFonts w:hint="eastAsia" w:ascii="宋体" w:hAnsi="宋体" w:eastAsia="宋体" w:cs="宋体"/>
          <w:snapToGrid w:val="0"/>
          <w:color w:val="auto"/>
          <w:kern w:val="0"/>
          <w:highlight w:val="none"/>
        </w:rPr>
        <w:t>纳入绿色建筑实施范围。</w:t>
      </w:r>
    </w:p>
    <w:p w14:paraId="40751B13">
      <w:pPr>
        <w:pageBreakBefore w:val="0"/>
        <w:kinsoku/>
        <w:wordWrap w:val="0"/>
        <w:overflowPunct/>
        <w:topLinePunct w:val="0"/>
        <w:autoSpaceDE/>
        <w:autoSpaceDN/>
        <w:bidi w:val="0"/>
        <w:adjustRightInd w:val="0"/>
        <w:snapToGrid w:val="0"/>
        <w:spacing w:line="360" w:lineRule="auto"/>
        <w:ind w:firstLine="57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5.5</w:t>
      </w:r>
      <w:r>
        <w:rPr>
          <w:rFonts w:hint="eastAsia" w:ascii="宋体" w:hAnsi="宋体" w:eastAsia="宋体" w:cs="宋体"/>
          <w:snapToGrid w:val="0"/>
          <w:color w:val="auto"/>
          <w:kern w:val="0"/>
          <w:highlight w:val="none"/>
        </w:rPr>
        <w:t>其它：本</w:t>
      </w:r>
      <w:r>
        <w:rPr>
          <w:rFonts w:hint="eastAsia" w:ascii="宋体" w:hAnsi="宋体" w:eastAsia="宋体" w:cs="宋体"/>
          <w:snapToGrid w:val="0"/>
          <w:color w:val="auto"/>
          <w:kern w:val="0"/>
          <w:highlight w:val="none"/>
          <w:lang w:eastAsia="zh-CN"/>
        </w:rPr>
        <w:t>招标项目</w:t>
      </w:r>
      <w:r>
        <w:rPr>
          <w:rFonts w:hint="eastAsia" w:ascii="宋体" w:hAnsi="宋体" w:eastAsia="宋体" w:cs="宋体"/>
          <w:snapToGrid w:val="0"/>
          <w:color w:val="auto"/>
          <w:kern w:val="0"/>
          <w:highlight w:val="none"/>
          <w:lang w:val="en-US" w:eastAsia="zh-CN"/>
        </w:rPr>
        <w:t>不</w:t>
      </w:r>
      <w:r>
        <w:rPr>
          <w:rFonts w:hint="eastAsia" w:ascii="宋体" w:hAnsi="宋体" w:eastAsia="宋体" w:cs="宋体"/>
          <w:snapToGrid w:val="0"/>
          <w:color w:val="auto"/>
          <w:kern w:val="0"/>
          <w:highlight w:val="none"/>
          <w:lang w:eastAsia="zh-CN"/>
        </w:rPr>
        <w:t>纳入装配式建造建设实施范围。</w:t>
      </w:r>
    </w:p>
    <w:p w14:paraId="6529D587">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560"/>
        <w:textAlignment w:val="auto"/>
        <w:rPr>
          <w:rFonts w:hint="eastAsia" w:ascii="宋体" w:hAnsi="宋体" w:eastAsia="宋体" w:cs="宋体"/>
          <w:snapToGrid w:val="0"/>
          <w:color w:val="auto"/>
          <w:kern w:val="0"/>
          <w:szCs w:val="22"/>
          <w:highlight w:val="none"/>
          <w:lang w:eastAsia="zh-CN"/>
        </w:rPr>
      </w:pPr>
      <w:r>
        <w:rPr>
          <w:rFonts w:hint="eastAsia" w:ascii="宋体" w:hAnsi="宋体" w:eastAsia="宋体" w:cs="宋体"/>
          <w:b/>
          <w:bCs/>
          <w:snapToGrid w:val="0"/>
          <w:color w:val="auto"/>
          <w:kern w:val="0"/>
          <w:szCs w:val="22"/>
          <w:highlight w:val="none"/>
        </w:rPr>
        <w:t>5.6</w:t>
      </w:r>
      <w:bookmarkStart w:id="35" w:name="_Hlt74496537"/>
      <w:bookmarkEnd w:id="35"/>
      <w:bookmarkStart w:id="36" w:name="_Hlt120502666"/>
      <w:bookmarkEnd w:id="36"/>
      <w:bookmarkStart w:id="37" w:name="_Hlt74493474"/>
      <w:bookmarkEnd w:id="37"/>
      <w:bookmarkStart w:id="38" w:name="_Hlt69699204"/>
      <w:bookmarkEnd w:id="38"/>
      <w:bookmarkStart w:id="39" w:name="_Hlt69356505"/>
      <w:bookmarkEnd w:id="39"/>
      <w:bookmarkStart w:id="40" w:name="_Hlt121563076"/>
      <w:bookmarkEnd w:id="40"/>
      <w:bookmarkStart w:id="41" w:name="_Hlt111690342"/>
      <w:bookmarkEnd w:id="41"/>
      <w:bookmarkStart w:id="42" w:name="_Hlt88974078"/>
      <w:bookmarkEnd w:id="42"/>
      <w:r>
        <w:rPr>
          <w:rFonts w:hint="eastAsia" w:ascii="宋体" w:hAnsi="宋体" w:eastAsia="宋体" w:cs="宋体"/>
          <w:b w:val="0"/>
          <w:bCs w:val="0"/>
          <w:snapToGrid w:val="0"/>
          <w:color w:val="auto"/>
          <w:kern w:val="0"/>
          <w:szCs w:val="22"/>
          <w:highlight w:val="none"/>
          <w:lang w:val="en-US" w:eastAsia="zh-CN"/>
        </w:rPr>
        <w:t>其它：</w:t>
      </w:r>
      <w:r>
        <w:rPr>
          <w:rFonts w:hint="eastAsia" w:ascii="宋体" w:hAnsi="宋体" w:eastAsia="宋体" w:cs="宋体"/>
          <w:snapToGrid w:val="0"/>
          <w:color w:val="auto"/>
          <w:kern w:val="0"/>
          <w:szCs w:val="22"/>
          <w:highlight w:val="none"/>
          <w:lang w:eastAsia="zh-CN"/>
        </w:rPr>
        <w:t>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w:t>
      </w:r>
    </w:p>
    <w:p w14:paraId="6EEA0AB8">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560"/>
        <w:textAlignment w:val="auto"/>
        <w:rPr>
          <w:rFonts w:hint="eastAsia" w:ascii="宋体" w:hAnsi="宋体" w:eastAsia="宋体" w:cs="宋体"/>
          <w:snapToGrid w:val="0"/>
          <w:color w:val="auto"/>
          <w:kern w:val="0"/>
          <w:szCs w:val="22"/>
          <w:highlight w:val="none"/>
          <w:lang w:eastAsia="zh-CN"/>
        </w:rPr>
      </w:pPr>
      <w:r>
        <w:rPr>
          <w:rFonts w:hint="eastAsia" w:ascii="宋体" w:hAnsi="宋体" w:eastAsia="宋体" w:cs="宋体"/>
          <w:b/>
          <w:bCs/>
          <w:snapToGrid w:val="0"/>
          <w:color w:val="auto"/>
          <w:kern w:val="0"/>
          <w:szCs w:val="22"/>
          <w:highlight w:val="none"/>
          <w:lang w:val="en-US" w:eastAsia="zh-CN"/>
        </w:rPr>
        <w:t>5.7</w:t>
      </w:r>
      <w:r>
        <w:rPr>
          <w:rFonts w:hint="eastAsia" w:ascii="宋体" w:hAnsi="宋体" w:eastAsia="宋体" w:cs="宋体"/>
          <w:snapToGrid w:val="0"/>
          <w:color w:val="auto"/>
          <w:kern w:val="0"/>
          <w:szCs w:val="22"/>
          <w:highlight w:val="none"/>
          <w:lang w:val="en-US" w:eastAsia="zh-CN"/>
        </w:rPr>
        <w:t>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5E025DC6">
      <w:pPr>
        <w:pStyle w:val="5"/>
        <w:keepNext/>
        <w:keepLines/>
        <w:pageBreakBefore w:val="0"/>
        <w:widowControl/>
        <w:kinsoku/>
        <w:wordWrap/>
        <w:overflowPunct/>
        <w:topLinePunct w:val="0"/>
        <w:autoSpaceDE/>
        <w:autoSpaceDN/>
        <w:bidi w:val="0"/>
        <w:adjustRightInd/>
        <w:snapToGrid/>
        <w:spacing w:before="240" w:line="360" w:lineRule="auto"/>
        <w:ind w:firstLine="420"/>
        <w:jc w:val="left"/>
        <w:textAlignment w:val="auto"/>
        <w:outlineLvl w:val="2"/>
        <w:rPr>
          <w:rFonts w:hint="eastAsia" w:ascii="宋体" w:hAnsi="宋体" w:eastAsia="宋体" w:cs="宋体"/>
          <w:b/>
          <w:bCs/>
          <w:color w:val="auto"/>
          <w:highlight w:val="none"/>
          <w:lang w:val="en-US" w:eastAsia="zh-CN"/>
        </w:rPr>
      </w:pPr>
      <w:bookmarkStart w:id="43" w:name="_Toc11077"/>
      <w:bookmarkStart w:id="44" w:name="_Toc5412"/>
      <w:bookmarkStart w:id="45" w:name="_Toc29071"/>
      <w:r>
        <w:rPr>
          <w:rFonts w:hint="eastAsia" w:ascii="宋体" w:hAnsi="宋体" w:eastAsia="宋体" w:cs="宋体"/>
          <w:b/>
          <w:bCs/>
          <w:color w:val="auto"/>
          <w:highlight w:val="none"/>
          <w:lang w:val="en-US" w:eastAsia="zh-CN"/>
        </w:rPr>
        <w:t>6．施工条件及现场踏勘</w:t>
      </w:r>
      <w:bookmarkEnd w:id="43"/>
      <w:bookmarkEnd w:id="44"/>
      <w:bookmarkEnd w:id="45"/>
    </w:p>
    <w:p w14:paraId="2613DF46">
      <w:pPr>
        <w:pStyle w:val="9"/>
        <w:pageBreakBefore w:val="0"/>
        <w:kinsoku/>
        <w:wordWrap w:val="0"/>
        <w:overflowPunct/>
        <w:topLinePunct w:val="0"/>
        <w:autoSpaceDE/>
        <w:autoSpaceDN/>
        <w:bidi w:val="0"/>
        <w:adjustRightInd w:val="0"/>
        <w:snapToGrid w:val="0"/>
        <w:spacing w:line="360" w:lineRule="auto"/>
        <w:ind w:firstLineChars="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6.1</w:t>
      </w:r>
      <w:r>
        <w:rPr>
          <w:rFonts w:hint="eastAsia" w:ascii="宋体" w:hAnsi="宋体" w:eastAsia="宋体" w:cs="宋体"/>
          <w:snapToGrid w:val="0"/>
          <w:color w:val="auto"/>
          <w:kern w:val="0"/>
          <w:highlight w:val="none"/>
        </w:rPr>
        <w:t>招标人仅在征地红线范围内提供场地，其他一切场地费用由中标人自行负责（含临时道路）。</w:t>
      </w:r>
    </w:p>
    <w:p w14:paraId="5D948A1E">
      <w:pPr>
        <w:pageBreakBefore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snapToGrid w:val="0"/>
          <w:color w:val="auto"/>
          <w:kern w:val="0"/>
          <w:sz w:val="24"/>
          <w:highlight w:val="none"/>
          <w:lang w:val="en-US" w:eastAsia="zh-CN" w:bidi="ar-SA"/>
        </w:rPr>
      </w:pPr>
      <w:r>
        <w:rPr>
          <w:rFonts w:hint="eastAsia" w:ascii="宋体" w:hAnsi="宋体" w:eastAsia="宋体" w:cs="宋体"/>
          <w:b/>
          <w:bCs/>
          <w:snapToGrid w:val="0"/>
          <w:color w:val="auto"/>
          <w:kern w:val="0"/>
          <w:highlight w:val="none"/>
        </w:rPr>
        <w:t>6.2</w:t>
      </w:r>
      <w:r>
        <w:rPr>
          <w:rFonts w:hint="eastAsia" w:ascii="宋体" w:hAnsi="宋体" w:eastAsia="宋体" w:cs="宋体"/>
          <w:snapToGrid w:val="0"/>
          <w:color w:val="auto"/>
          <w:kern w:val="0"/>
          <w:sz w:val="24"/>
          <w:highlight w:val="none"/>
          <w:lang w:val="en-US" w:eastAsia="zh-CN" w:bidi="ar-SA"/>
        </w:rPr>
        <w:t>施工用水：</w:t>
      </w:r>
      <w:r>
        <w:rPr>
          <w:rStyle w:val="20"/>
          <w:rFonts w:hint="eastAsia" w:ascii="宋体" w:hAnsi="宋体" w:eastAsia="宋体" w:cs="宋体"/>
          <w:color w:val="auto"/>
          <w:kern w:val="0"/>
          <w:highlight w:val="none"/>
          <w:u w:val="single"/>
        </w:rPr>
        <w:t>由中标人自行解决，费用考虑在投标报价中。</w:t>
      </w:r>
    </w:p>
    <w:p w14:paraId="793A6022">
      <w:pPr>
        <w:pageBreakBefore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6.3</w:t>
      </w:r>
      <w:r>
        <w:rPr>
          <w:rFonts w:hint="eastAsia" w:ascii="宋体" w:hAnsi="宋体" w:eastAsia="宋体" w:cs="宋体"/>
          <w:snapToGrid w:val="0"/>
          <w:color w:val="auto"/>
          <w:kern w:val="0"/>
          <w:highlight w:val="none"/>
        </w:rPr>
        <w:t>施工用电</w:t>
      </w:r>
      <w:r>
        <w:rPr>
          <w:rFonts w:hint="eastAsia" w:ascii="宋体" w:hAnsi="宋体" w:eastAsia="宋体" w:cs="宋体"/>
          <w:snapToGrid w:val="0"/>
          <w:color w:val="auto"/>
          <w:kern w:val="0"/>
          <w:highlight w:val="none"/>
          <w:lang w:eastAsia="zh-CN"/>
        </w:rPr>
        <w:t>：</w:t>
      </w:r>
      <w:r>
        <w:rPr>
          <w:rStyle w:val="20"/>
          <w:rFonts w:hint="eastAsia" w:ascii="宋体" w:hAnsi="宋体" w:eastAsia="宋体" w:cs="宋体"/>
          <w:color w:val="auto"/>
          <w:kern w:val="0"/>
          <w:highlight w:val="none"/>
          <w:u w:val="single"/>
        </w:rPr>
        <w:t>由中标人自行解决，费用考虑在投标报价中。</w:t>
      </w:r>
    </w:p>
    <w:p w14:paraId="6CB14737">
      <w:pPr>
        <w:pageBreakBefore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6.4</w:t>
      </w:r>
      <w:r>
        <w:rPr>
          <w:rFonts w:hint="eastAsia" w:ascii="宋体" w:hAnsi="宋体" w:eastAsia="宋体" w:cs="宋体"/>
          <w:snapToGrid w:val="0"/>
          <w:color w:val="auto"/>
          <w:kern w:val="0"/>
          <w:highlight w:val="none"/>
          <w:lang w:val="en-US" w:eastAsia="zh-CN"/>
        </w:rPr>
        <w:t>施工用水、用电各提供一驳接点到现场边缘。</w:t>
      </w:r>
      <w:r>
        <w:rPr>
          <w:rFonts w:hint="eastAsia" w:ascii="宋体" w:hAnsi="宋体" w:eastAsia="宋体" w:cs="宋体"/>
          <w:snapToGrid w:val="0"/>
          <w:color w:val="auto"/>
          <w:kern w:val="0"/>
          <w:highlight w:val="none"/>
        </w:rPr>
        <w:t>要求中标人单独安装水表、电表，其水、电费按工程所在</w:t>
      </w:r>
      <w:r>
        <w:rPr>
          <w:rStyle w:val="20"/>
          <w:rFonts w:hint="eastAsia" w:ascii="宋体" w:hAnsi="宋体" w:eastAsia="宋体" w:cs="宋体"/>
          <w:color w:val="auto"/>
          <w:kern w:val="0"/>
          <w:highlight w:val="none"/>
          <w:u w:val="none"/>
        </w:rPr>
        <w:t>地</w:t>
      </w:r>
      <w:r>
        <w:rPr>
          <w:rStyle w:val="20"/>
          <w:rFonts w:hint="eastAsia" w:ascii="宋体" w:hAnsi="宋体" w:eastAsia="宋体" w:cs="宋体"/>
          <w:color w:val="auto"/>
          <w:kern w:val="0"/>
          <w:highlight w:val="none"/>
          <w:u w:val="single"/>
          <w:lang w:val="en-US" w:eastAsia="zh-CN"/>
        </w:rPr>
        <w:t>韶关市</w:t>
      </w:r>
      <w:r>
        <w:rPr>
          <w:rFonts w:hint="eastAsia" w:ascii="宋体" w:hAnsi="宋体" w:eastAsia="宋体" w:cs="宋体"/>
          <w:snapToGrid w:val="0"/>
          <w:color w:val="auto"/>
          <w:kern w:val="0"/>
          <w:highlight w:val="none"/>
        </w:rPr>
        <w:t>基建工程水、电计费标准计算并由中标人缴纳。</w:t>
      </w:r>
    </w:p>
    <w:p w14:paraId="44B10791">
      <w:pPr>
        <w:pageBreakBefore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6.</w:t>
      </w:r>
      <w:r>
        <w:rPr>
          <w:rFonts w:hint="eastAsia" w:ascii="宋体" w:hAnsi="宋体" w:eastAsia="宋体" w:cs="宋体"/>
          <w:b/>
          <w:bCs/>
          <w:snapToGrid w:val="0"/>
          <w:color w:val="auto"/>
          <w:kern w:val="0"/>
          <w:highlight w:val="none"/>
          <w:lang w:val="en-US" w:eastAsia="zh-CN"/>
        </w:rPr>
        <w:t>5</w:t>
      </w:r>
      <w:r>
        <w:rPr>
          <w:rFonts w:hint="eastAsia" w:ascii="宋体" w:hAnsi="宋体" w:eastAsia="宋体" w:cs="宋体"/>
          <w:snapToGrid w:val="0"/>
          <w:color w:val="auto"/>
          <w:kern w:val="0"/>
          <w:highlight w:val="none"/>
        </w:rPr>
        <w:t>招标人不组织现场踏勘，但会在招标文件及有关设计文件中明确告知招标工程的具体位置和周边环境，并在现场设置足以识别的标识或提供足以表明工程具体位置的文字或图片。投标人需要了解现场情况的，可自行进行现场踏勘。</w:t>
      </w:r>
    </w:p>
    <w:p w14:paraId="178C84DD">
      <w:pPr>
        <w:pageBreakBefore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6.</w:t>
      </w:r>
      <w:r>
        <w:rPr>
          <w:rFonts w:hint="eastAsia" w:ascii="宋体" w:hAnsi="宋体" w:eastAsia="宋体" w:cs="宋体"/>
          <w:b/>
          <w:bCs/>
          <w:snapToGrid w:val="0"/>
          <w:color w:val="auto"/>
          <w:kern w:val="0"/>
          <w:highlight w:val="none"/>
          <w:lang w:val="en-US" w:eastAsia="zh-CN"/>
        </w:rPr>
        <w:t>6</w:t>
      </w:r>
      <w:r>
        <w:rPr>
          <w:rFonts w:hint="eastAsia" w:ascii="宋体" w:hAnsi="宋体" w:eastAsia="宋体" w:cs="宋体"/>
          <w:snapToGrid w:val="0"/>
          <w:color w:val="auto"/>
          <w:kern w:val="0"/>
          <w:highlight w:val="none"/>
        </w:rPr>
        <w:t>在现场踏勘过程中，投标人应确保自身安全，投标人如果发生人身伤亡、财物或其他损失，法律法规有规定的按有关规定处理，没有规定的由投标人自行负责。</w:t>
      </w:r>
    </w:p>
    <w:p w14:paraId="33D5C786">
      <w:pPr>
        <w:pageBreakBefore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b/>
          <w:snapToGrid w:val="0"/>
          <w:color w:val="auto"/>
          <w:highlight w:val="none"/>
        </w:rPr>
      </w:pPr>
      <w:r>
        <w:rPr>
          <w:rFonts w:hint="eastAsia" w:ascii="宋体" w:hAnsi="宋体" w:eastAsia="宋体" w:cs="宋体"/>
          <w:b/>
          <w:bCs/>
          <w:snapToGrid w:val="0"/>
          <w:color w:val="auto"/>
          <w:kern w:val="0"/>
          <w:highlight w:val="none"/>
        </w:rPr>
        <w:t>6.</w:t>
      </w:r>
      <w:r>
        <w:rPr>
          <w:rFonts w:hint="eastAsia" w:ascii="宋体" w:hAnsi="宋体" w:eastAsia="宋体" w:cs="宋体"/>
          <w:b/>
          <w:bCs/>
          <w:snapToGrid w:val="0"/>
          <w:color w:val="auto"/>
          <w:kern w:val="0"/>
          <w:highlight w:val="none"/>
          <w:lang w:val="en-US" w:eastAsia="zh-CN"/>
        </w:rPr>
        <w:t>7</w:t>
      </w:r>
      <w:r>
        <w:rPr>
          <w:rFonts w:hint="eastAsia" w:ascii="宋体" w:hAnsi="宋体" w:eastAsia="宋体" w:cs="宋体"/>
          <w:snapToGrid w:val="0"/>
          <w:color w:val="auto"/>
          <w:kern w:val="0"/>
          <w:highlight w:val="none"/>
        </w:rPr>
        <w:t>现场踏勘期间的交通、食宿由投标人自行安排，费用自理。</w:t>
      </w:r>
    </w:p>
    <w:p w14:paraId="035AD518">
      <w:pPr>
        <w:pStyle w:val="5"/>
        <w:keepNext/>
        <w:keepLines/>
        <w:pageBreakBefore w:val="0"/>
        <w:widowControl/>
        <w:kinsoku/>
        <w:wordWrap/>
        <w:overflowPunct/>
        <w:topLinePunct w:val="0"/>
        <w:autoSpaceDE/>
        <w:autoSpaceDN/>
        <w:bidi w:val="0"/>
        <w:adjustRightInd/>
        <w:snapToGrid/>
        <w:spacing w:before="240" w:line="360" w:lineRule="auto"/>
        <w:ind w:firstLine="420"/>
        <w:jc w:val="left"/>
        <w:textAlignment w:val="auto"/>
        <w:outlineLvl w:val="2"/>
        <w:rPr>
          <w:rFonts w:hint="eastAsia" w:ascii="宋体" w:hAnsi="宋体" w:eastAsia="宋体" w:cs="宋体"/>
          <w:b/>
          <w:bCs/>
          <w:color w:val="auto"/>
          <w:highlight w:val="none"/>
          <w:lang w:val="en-US" w:eastAsia="zh-CN"/>
        </w:rPr>
      </w:pPr>
      <w:bookmarkStart w:id="46" w:name="_Toc444"/>
      <w:bookmarkStart w:id="47" w:name="_Toc19202"/>
      <w:bookmarkStart w:id="48" w:name="_Toc28453"/>
      <w:r>
        <w:rPr>
          <w:rFonts w:hint="eastAsia" w:ascii="宋体" w:hAnsi="宋体" w:eastAsia="宋体" w:cs="宋体"/>
          <w:b/>
          <w:bCs/>
          <w:color w:val="auto"/>
          <w:highlight w:val="none"/>
          <w:lang w:val="en-US" w:eastAsia="zh-CN"/>
        </w:rPr>
        <w:t>7．招标文件的提问和答疑</w:t>
      </w:r>
      <w:bookmarkEnd w:id="46"/>
      <w:bookmarkEnd w:id="47"/>
      <w:bookmarkEnd w:id="48"/>
      <w:bookmarkStart w:id="49" w:name="_Hlt74496410"/>
      <w:bookmarkEnd w:id="49"/>
    </w:p>
    <w:p w14:paraId="25BFDC1F">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Cs w:val="24"/>
          <w:highlight w:val="none"/>
          <w:lang w:bidi="ar"/>
        </w:rPr>
      </w:pPr>
      <w:r>
        <w:rPr>
          <w:rFonts w:hint="eastAsia" w:ascii="宋体" w:hAnsi="宋体" w:eastAsia="宋体" w:cs="宋体"/>
          <w:b/>
          <w:bCs/>
          <w:snapToGrid w:val="0"/>
          <w:color w:val="auto"/>
          <w:kern w:val="0"/>
          <w:highlight w:val="none"/>
        </w:rPr>
        <w:t>7.1</w:t>
      </w:r>
      <w:r>
        <w:rPr>
          <w:rFonts w:hint="eastAsia" w:ascii="宋体" w:hAnsi="宋体" w:eastAsia="宋体" w:cs="宋体"/>
          <w:snapToGrid w:val="0"/>
          <w:color w:val="auto"/>
          <w:kern w:val="0"/>
          <w:highlight w:val="none"/>
        </w:rPr>
        <w:t>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Cs w:val="24"/>
          <w:highlight w:val="none"/>
          <w:lang w:bidi="ar"/>
        </w:rPr>
        <w:t>。</w:t>
      </w:r>
    </w:p>
    <w:p w14:paraId="71A8D8C2">
      <w:pPr>
        <w:pageBreakBefore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7.2</w:t>
      </w:r>
      <w:r>
        <w:rPr>
          <w:rFonts w:hint="eastAsia" w:ascii="宋体" w:hAnsi="宋体" w:eastAsia="宋体" w:cs="宋体"/>
          <w:snapToGrid w:val="0"/>
          <w:color w:val="auto"/>
          <w:kern w:val="0"/>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1EE59E19">
      <w:pPr>
        <w:pageBreakBefore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b/>
          <w:snapToGrid w:val="0"/>
          <w:color w:val="auto"/>
          <w:highlight w:val="none"/>
        </w:rPr>
      </w:pPr>
      <w:r>
        <w:rPr>
          <w:rFonts w:hint="eastAsia" w:ascii="宋体" w:hAnsi="宋体" w:eastAsia="宋体" w:cs="宋体"/>
          <w:b/>
          <w:bCs/>
          <w:snapToGrid w:val="0"/>
          <w:color w:val="auto"/>
          <w:kern w:val="0"/>
          <w:highlight w:val="none"/>
        </w:rPr>
        <w:t>7.3</w:t>
      </w:r>
      <w:r>
        <w:rPr>
          <w:rFonts w:hint="eastAsia" w:ascii="宋体" w:hAnsi="宋体" w:eastAsia="宋体" w:cs="宋体"/>
          <w:snapToGrid w:val="0"/>
          <w:color w:val="auto"/>
          <w:kern w:val="0"/>
          <w:highlight w:val="none"/>
        </w:rPr>
        <w:t>招标人对招标文件所作的答疑（或修改）公告，构成招标文件的组成部分。</w:t>
      </w:r>
      <w:bookmarkStart w:id="50" w:name="_Hlt92513711"/>
      <w:bookmarkEnd w:id="50"/>
      <w:bookmarkStart w:id="51" w:name="_Hlt92513715"/>
      <w:bookmarkEnd w:id="51"/>
      <w:bookmarkStart w:id="52" w:name="_Hlt69699188"/>
      <w:bookmarkEnd w:id="52"/>
    </w:p>
    <w:p w14:paraId="33C61F2A">
      <w:pPr>
        <w:pStyle w:val="5"/>
        <w:keepNext/>
        <w:keepLines/>
        <w:pageBreakBefore w:val="0"/>
        <w:widowControl/>
        <w:kinsoku/>
        <w:wordWrap/>
        <w:overflowPunct/>
        <w:topLinePunct w:val="0"/>
        <w:autoSpaceDE/>
        <w:autoSpaceDN/>
        <w:bidi w:val="0"/>
        <w:adjustRightInd/>
        <w:snapToGrid/>
        <w:spacing w:before="240" w:line="360" w:lineRule="auto"/>
        <w:ind w:firstLine="420"/>
        <w:jc w:val="left"/>
        <w:textAlignment w:val="auto"/>
        <w:outlineLvl w:val="2"/>
        <w:rPr>
          <w:rFonts w:hint="eastAsia" w:ascii="宋体" w:hAnsi="宋体" w:eastAsia="宋体" w:cs="宋体"/>
          <w:b/>
          <w:bCs/>
          <w:color w:val="auto"/>
          <w:highlight w:val="none"/>
          <w:lang w:val="en-US" w:eastAsia="zh-CN"/>
        </w:rPr>
      </w:pPr>
      <w:bookmarkStart w:id="53" w:name="_Toc32738"/>
      <w:bookmarkStart w:id="54" w:name="_Toc6780"/>
      <w:bookmarkStart w:id="55" w:name="_Toc24557"/>
      <w:r>
        <w:rPr>
          <w:rFonts w:hint="eastAsia" w:ascii="宋体" w:hAnsi="宋体" w:eastAsia="宋体" w:cs="宋体"/>
          <w:b/>
          <w:bCs/>
          <w:color w:val="auto"/>
          <w:highlight w:val="none"/>
          <w:lang w:val="en-US" w:eastAsia="zh-CN"/>
        </w:rPr>
        <w:t>8．招标控制价</w:t>
      </w:r>
      <w:bookmarkEnd w:id="53"/>
      <w:bookmarkEnd w:id="54"/>
      <w:bookmarkEnd w:id="55"/>
    </w:p>
    <w:p w14:paraId="100D189A">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8.1</w:t>
      </w:r>
      <w:r>
        <w:rPr>
          <w:rFonts w:hint="eastAsia" w:ascii="宋体" w:hAnsi="宋体" w:eastAsia="宋体" w:cs="宋体"/>
          <w:snapToGrid w:val="0"/>
          <w:color w:val="auto"/>
          <w:kern w:val="0"/>
          <w:highlight w:val="none"/>
        </w:rPr>
        <w:t>本招标项目按照以下依据编制招标控制价：</w:t>
      </w:r>
    </w:p>
    <w:p w14:paraId="370CC28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（1）《建设工程工程量清单计价标准》（GB50500—2024）；</w:t>
      </w:r>
    </w:p>
    <w:p w14:paraId="7300DEEF">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rPr>
        <w:t>（2）《广东省建设工程计价依据(2024)》。具体包括:《房屋建筑与装饰工程工程量计算标准》(GB/T·50854-2024)《市政工程工程量计算标准》(GB/T·50857-2024)《通用安装工程工程量计算标准》(GB/T·50856-2024)《园林绿化工程工程量计算标准》(CB/T50858-2024)等</w:t>
      </w:r>
      <w:r>
        <w:rPr>
          <w:rFonts w:hint="eastAsia" w:ascii="宋体" w:hAnsi="宋体" w:eastAsia="宋体" w:cs="宋体"/>
          <w:snapToGrid w:val="0"/>
          <w:color w:val="auto"/>
          <w:kern w:val="0"/>
          <w:highlight w:val="none"/>
          <w:lang w:eastAsia="zh-CN"/>
        </w:rPr>
        <w:t>；</w:t>
      </w:r>
    </w:p>
    <w:p w14:paraId="0F152367">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）施工图及相关资料；</w:t>
      </w:r>
    </w:p>
    <w:p w14:paraId="6B5D93B3">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）招标文件及招标工程量清单；</w:t>
      </w:r>
    </w:p>
    <w:p w14:paraId="5EE38CF1">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）施工现场情况、工程特点及常规施工方案；</w:t>
      </w:r>
    </w:p>
    <w:p w14:paraId="1ACCCC6C">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6</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项目所在地工程造价管理机构发布的工程造价信息，工程造价信息缺项的，参照市场价格；</w:t>
      </w:r>
    </w:p>
    <w:p w14:paraId="0455554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7</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与建设项目相关的标准、规范、技术资料。</w:t>
      </w:r>
    </w:p>
    <w:p w14:paraId="378E2068">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rPr>
        <w:t xml:space="preserve">8.2 </w:t>
      </w:r>
      <w:r>
        <w:rPr>
          <w:rFonts w:hint="eastAsia" w:ascii="宋体" w:hAnsi="宋体" w:eastAsia="宋体" w:cs="宋体"/>
          <w:b/>
          <w:bCs/>
          <w:snapToGrid w:val="0"/>
          <w:color w:val="auto"/>
          <w:kern w:val="0"/>
          <w:sz w:val="24"/>
          <w:szCs w:val="24"/>
          <w:highlight w:val="none"/>
          <w:lang w:val="en-US" w:eastAsia="zh-CN"/>
        </w:rPr>
        <w:t>本工程招标控制价、招标工程量清单、图纸在投标截止时间前15天以补充公告的形式在广东省招标投标监管网（http://zbtb.gd.gov.cn/login）、全国公共资源交易平台（广东省·韶关市）（https://ygp.gdzwfw.gov.cn/ggzy-portal/#/440200/index）网站公布，各投标人可在上述网站上自行下载。</w:t>
      </w:r>
    </w:p>
    <w:p w14:paraId="794523BD">
      <w:pPr>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8.3</w:t>
      </w:r>
      <w:r>
        <w:rPr>
          <w:rFonts w:hint="eastAsia" w:ascii="宋体" w:hAnsi="宋体" w:eastAsia="宋体" w:cs="宋体"/>
          <w:snapToGrid w:val="0"/>
          <w:color w:val="auto"/>
          <w:kern w:val="0"/>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2D50EE09">
      <w:pPr>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8.4</w:t>
      </w:r>
      <w:r>
        <w:rPr>
          <w:rFonts w:hint="eastAsia" w:ascii="宋体" w:hAnsi="宋体" w:eastAsia="宋体" w:cs="宋体"/>
          <w:snapToGrid w:val="0"/>
          <w:color w:val="auto"/>
          <w:kern w:val="0"/>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highlight w:val="none"/>
          <w:u w:val="single"/>
        </w:rPr>
        <w:t>（若有）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highlight w:val="none"/>
        </w:rPr>
        <w:t>。</w:t>
      </w:r>
    </w:p>
    <w:p w14:paraId="40CD0531">
      <w:pPr>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8.5</w:t>
      </w:r>
      <w:r>
        <w:rPr>
          <w:rFonts w:hint="eastAsia" w:ascii="宋体" w:hAnsi="宋体" w:eastAsia="宋体" w:cs="宋体"/>
          <w:snapToGrid w:val="0"/>
          <w:color w:val="auto"/>
          <w:kern w:val="0"/>
          <w:highlight w:val="none"/>
        </w:rPr>
        <w:t xml:space="preserve"> 当暂估价项目的内容、标准、要求在项目实施过程中得以深化、明确、固定后，按以下原则发包：</w:t>
      </w:r>
    </w:p>
    <w:p w14:paraId="24ED18CB">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highlight w:val="none"/>
          <w:u w:val="single"/>
        </w:rPr>
        <w:t>中标人招标，招标人参与管理</w:t>
      </w:r>
      <w:r>
        <w:rPr>
          <w:rFonts w:hint="eastAsia" w:ascii="宋体" w:hAnsi="宋体" w:eastAsia="宋体" w:cs="宋体"/>
          <w:snapToGrid w:val="0"/>
          <w:color w:val="auto"/>
          <w:kern w:val="0"/>
          <w:highlight w:val="none"/>
        </w:rPr>
        <w:t>，确定专业工程承包人（或材料、工程设备供应商）和合同价格。</w:t>
      </w:r>
    </w:p>
    <w:p w14:paraId="25C238E5">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（2）暂估价项目按工程、货物的类别分类汇总的金额，未达到必须招标规模标准但适用政府采购规定的，按照政府采购规定确定专业工程承包人（或材料、工程设备供应商）和合同价格。</w:t>
      </w:r>
    </w:p>
    <w:p w14:paraId="584544E2">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7F98F415">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（4）暂估价项目按工程、货物的类别分类汇总的金额，未达到必须招标规模标准也不适用政府采购规定，中标人既不具备相应资格条件又不具备分包权的，由招标人另行发包。</w:t>
      </w:r>
    </w:p>
    <w:p w14:paraId="0FC40E77">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（5）暂估价项目由其他承包人承包的，纳入中标人的管理和协调范围，由其他承包人向中标人承担质量、安全、文明施工、工期责任，中标人向招标人承担责任。</w:t>
      </w:r>
    </w:p>
    <w:p w14:paraId="22F64EC1">
      <w:pPr>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highlight w:val="none"/>
        </w:rPr>
      </w:pPr>
      <w:r>
        <w:rPr>
          <w:rFonts w:hint="eastAsia" w:ascii="宋体" w:hAnsi="宋体" w:eastAsia="宋体" w:cs="宋体"/>
          <w:b/>
          <w:bCs/>
          <w:snapToGrid w:val="0"/>
          <w:color w:val="auto"/>
          <w:kern w:val="0"/>
          <w:highlight w:val="none"/>
        </w:rPr>
        <w:t>8.6</w:t>
      </w:r>
      <w:r>
        <w:rPr>
          <w:rFonts w:hint="eastAsia" w:ascii="宋体" w:hAnsi="宋体" w:eastAsia="宋体" w:cs="宋体"/>
          <w:snapToGrid w:val="0"/>
          <w:color w:val="auto"/>
          <w:kern w:val="0"/>
          <w:highlight w:val="none"/>
        </w:rPr>
        <w:t xml:space="preserve"> 本招标项目以</w:t>
      </w:r>
      <w:r>
        <w:rPr>
          <w:rFonts w:hint="eastAsia" w:ascii="宋体" w:hAnsi="宋体" w:eastAsia="宋体" w:cs="宋体"/>
          <w:snapToGrid w:val="0"/>
          <w:color w:val="auto"/>
          <w:highlight w:val="none"/>
        </w:rPr>
        <w:t>暂列金额</w:t>
      </w:r>
      <w:r>
        <w:rPr>
          <w:rFonts w:hint="eastAsia" w:ascii="宋体" w:hAnsi="宋体" w:eastAsia="宋体" w:cs="宋体"/>
          <w:snapToGrid w:val="0"/>
          <w:color w:val="auto"/>
          <w:kern w:val="0"/>
          <w:highlight w:val="none"/>
        </w:rPr>
        <w:t>形式列入招标工程量清单中的</w:t>
      </w:r>
      <w:r>
        <w:rPr>
          <w:rFonts w:hint="eastAsia" w:ascii="宋体" w:hAnsi="宋体" w:eastAsia="宋体" w:cs="宋体"/>
          <w:snapToGrid w:val="0"/>
          <w:color w:val="auto"/>
          <w:highlight w:val="none"/>
        </w:rPr>
        <w:t>所需货物和服务的采购</w:t>
      </w:r>
      <w:r>
        <w:rPr>
          <w:rFonts w:hint="eastAsia" w:ascii="宋体" w:hAnsi="宋体" w:eastAsia="宋体" w:cs="宋体"/>
          <w:snapToGrid w:val="0"/>
          <w:color w:val="auto"/>
          <w:kern w:val="0"/>
          <w:highlight w:val="none"/>
        </w:rPr>
        <w:t>（以下统称“暂列金额项目”）若有</w:t>
      </w:r>
      <w:r>
        <w:rPr>
          <w:rFonts w:hint="eastAsia" w:ascii="宋体" w:hAnsi="宋体" w:eastAsia="宋体" w:cs="宋体"/>
          <w:snapToGrid w:val="0"/>
          <w:color w:val="auto"/>
          <w:highlight w:val="none"/>
        </w:rPr>
        <w:t>发生，按照本节第</w:t>
      </w:r>
      <w:r>
        <w:rPr>
          <w:rFonts w:hint="eastAsia" w:ascii="宋体" w:hAnsi="宋体" w:eastAsia="宋体" w:cs="宋体"/>
          <w:b/>
          <w:bCs/>
          <w:snapToGrid w:val="0"/>
          <w:color w:val="auto"/>
          <w:kern w:val="0"/>
          <w:highlight w:val="none"/>
        </w:rPr>
        <w:t>8.5</w:t>
      </w:r>
      <w:r>
        <w:rPr>
          <w:rFonts w:hint="eastAsia" w:ascii="宋体" w:hAnsi="宋体" w:eastAsia="宋体" w:cs="宋体"/>
          <w:snapToGrid w:val="0"/>
          <w:color w:val="auto"/>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4CB1B9A7">
      <w:pPr>
        <w:rPr>
          <w:rFonts w:hint="eastAsia" w:ascii="宋体" w:hAnsi="宋体" w:eastAsia="宋体" w:cs="宋体"/>
          <w:color w:val="auto"/>
          <w:highlight w:val="none"/>
        </w:rPr>
      </w:pPr>
    </w:p>
    <w:p w14:paraId="477FFB73">
      <w:pPr>
        <w:rPr>
          <w:rFonts w:hint="eastAsia" w:ascii="宋体" w:hAnsi="宋体" w:eastAsia="宋体" w:cs="宋体"/>
          <w:color w:val="auto"/>
          <w:highlight w:val="none"/>
        </w:rPr>
      </w:pPr>
    </w:p>
    <w:p w14:paraId="4CB6FB67">
      <w:pPr>
        <w:rPr>
          <w:rFonts w:hint="eastAsia" w:ascii="宋体" w:hAnsi="宋体" w:eastAsia="宋体" w:cs="宋体"/>
          <w:color w:val="auto"/>
          <w:highlight w:val="none"/>
        </w:rPr>
      </w:pPr>
    </w:p>
    <w:p w14:paraId="548775E8">
      <w:pPr>
        <w:rPr>
          <w:rFonts w:hint="eastAsia" w:ascii="宋体" w:hAnsi="宋体" w:eastAsia="宋体" w:cs="宋体"/>
          <w:color w:val="auto"/>
          <w:highlight w:val="none"/>
        </w:rPr>
      </w:pPr>
    </w:p>
    <w:p w14:paraId="0B88381F">
      <w:pPr>
        <w:rPr>
          <w:rFonts w:hint="eastAsia" w:ascii="宋体" w:hAnsi="宋体" w:eastAsia="宋体" w:cs="宋体"/>
          <w:color w:val="auto"/>
          <w:highlight w:val="none"/>
        </w:rPr>
      </w:pPr>
    </w:p>
    <w:p w14:paraId="20BD9060">
      <w:pPr>
        <w:rPr>
          <w:rFonts w:hint="eastAsia" w:ascii="宋体" w:hAnsi="宋体" w:eastAsia="宋体" w:cs="宋体"/>
          <w:color w:val="auto"/>
          <w:highlight w:val="none"/>
        </w:rPr>
      </w:pPr>
    </w:p>
    <w:p w14:paraId="576D7184">
      <w:pPr>
        <w:rPr>
          <w:rFonts w:hint="eastAsia" w:ascii="宋体" w:hAnsi="宋体" w:eastAsia="宋体" w:cs="宋体"/>
          <w:color w:val="auto"/>
          <w:highlight w:val="none"/>
        </w:rPr>
      </w:pPr>
    </w:p>
    <w:p w14:paraId="61C0FFB7">
      <w:pPr>
        <w:rPr>
          <w:rFonts w:hint="eastAsia" w:ascii="宋体" w:hAnsi="宋体" w:eastAsia="宋体" w:cs="宋体"/>
          <w:color w:val="auto"/>
          <w:highlight w:val="none"/>
        </w:rPr>
      </w:pPr>
    </w:p>
    <w:p w14:paraId="2CFDDB5A">
      <w:pPr>
        <w:rPr>
          <w:rFonts w:hint="eastAsia" w:ascii="宋体" w:hAnsi="宋体" w:eastAsia="宋体" w:cs="宋体"/>
          <w:color w:val="auto"/>
          <w:highlight w:val="none"/>
        </w:rPr>
      </w:pPr>
    </w:p>
    <w:p w14:paraId="344A2BB3">
      <w:pPr>
        <w:rPr>
          <w:rFonts w:hint="eastAsia" w:ascii="宋体" w:hAnsi="宋体" w:eastAsia="宋体" w:cs="宋体"/>
          <w:color w:val="auto"/>
          <w:highlight w:val="none"/>
        </w:rPr>
      </w:pPr>
    </w:p>
    <w:p w14:paraId="4C1F6EF5">
      <w:pPr>
        <w:rPr>
          <w:rFonts w:hint="eastAsia" w:ascii="宋体" w:hAnsi="宋体" w:eastAsia="宋体" w:cs="宋体"/>
          <w:color w:val="auto"/>
          <w:highlight w:val="none"/>
        </w:rPr>
      </w:pPr>
    </w:p>
    <w:p w14:paraId="02EACFE4">
      <w:pPr>
        <w:rPr>
          <w:rFonts w:hint="eastAsia" w:ascii="宋体" w:hAnsi="宋体" w:eastAsia="宋体" w:cs="宋体"/>
          <w:color w:val="auto"/>
          <w:highlight w:val="none"/>
        </w:rPr>
      </w:pPr>
    </w:p>
    <w:p w14:paraId="61E68D47">
      <w:pPr>
        <w:rPr>
          <w:rFonts w:hint="eastAsia" w:ascii="宋体" w:hAnsi="宋体" w:eastAsia="宋体" w:cs="宋体"/>
          <w:color w:val="auto"/>
          <w:highlight w:val="none"/>
        </w:rPr>
      </w:pPr>
    </w:p>
    <w:p w14:paraId="4A5E7989">
      <w:pPr>
        <w:rPr>
          <w:rFonts w:hint="eastAsia" w:ascii="宋体" w:hAnsi="宋体" w:eastAsia="宋体" w:cs="宋体"/>
          <w:color w:val="auto"/>
          <w:highlight w:val="none"/>
        </w:rPr>
      </w:pPr>
    </w:p>
    <w:p w14:paraId="7E39772D">
      <w:pPr>
        <w:rPr>
          <w:rFonts w:hint="eastAsia" w:ascii="宋体" w:hAnsi="宋体" w:eastAsia="宋体" w:cs="宋体"/>
          <w:color w:val="auto"/>
          <w:highlight w:val="none"/>
        </w:rPr>
      </w:pPr>
    </w:p>
    <w:p w14:paraId="7608CDB7">
      <w:pPr>
        <w:rPr>
          <w:rFonts w:hint="eastAsia" w:ascii="宋体" w:hAnsi="宋体" w:eastAsia="宋体" w:cs="宋体"/>
          <w:color w:val="auto"/>
          <w:highlight w:val="none"/>
        </w:rPr>
      </w:pPr>
    </w:p>
    <w:p w14:paraId="15D5AE3D">
      <w:pPr>
        <w:rPr>
          <w:rFonts w:hint="eastAsia" w:ascii="宋体" w:hAnsi="宋体" w:eastAsia="宋体" w:cs="宋体"/>
          <w:color w:val="auto"/>
          <w:highlight w:val="none"/>
        </w:rPr>
      </w:pPr>
    </w:p>
    <w:p w14:paraId="4FAD82DA">
      <w:pPr>
        <w:rPr>
          <w:rFonts w:hint="eastAsia" w:ascii="宋体" w:hAnsi="宋体" w:eastAsia="宋体" w:cs="宋体"/>
          <w:color w:val="auto"/>
          <w:highlight w:val="none"/>
        </w:rPr>
      </w:pPr>
    </w:p>
    <w:p w14:paraId="4B5A5C58">
      <w:pPr>
        <w:rPr>
          <w:rFonts w:hint="eastAsia" w:ascii="宋体" w:hAnsi="宋体" w:eastAsia="宋体" w:cs="宋体"/>
          <w:color w:val="auto"/>
          <w:highlight w:val="none"/>
        </w:rPr>
      </w:pPr>
    </w:p>
    <w:p w14:paraId="31CE903D">
      <w:pPr>
        <w:rPr>
          <w:rFonts w:hint="eastAsia" w:ascii="宋体" w:hAnsi="宋体" w:eastAsia="宋体" w:cs="宋体"/>
          <w:color w:val="auto"/>
          <w:highlight w:val="none"/>
        </w:rPr>
      </w:pPr>
    </w:p>
    <w:p w14:paraId="600C47D0">
      <w:pPr>
        <w:rPr>
          <w:rFonts w:hint="eastAsia" w:ascii="宋体" w:hAnsi="宋体" w:eastAsia="宋体" w:cs="宋体"/>
          <w:color w:val="auto"/>
          <w:highlight w:val="none"/>
        </w:rPr>
      </w:pPr>
    </w:p>
    <w:p w14:paraId="5495E612">
      <w:pPr>
        <w:rPr>
          <w:rFonts w:hint="eastAsia" w:ascii="宋体" w:hAnsi="宋体" w:eastAsia="宋体" w:cs="宋体"/>
          <w:color w:val="auto"/>
          <w:highlight w:val="none"/>
        </w:rPr>
      </w:pPr>
    </w:p>
    <w:p w14:paraId="4E108DC8">
      <w:pPr>
        <w:pageBreakBefore w:val="0"/>
        <w:kinsoku/>
        <w:wordWrap w:val="0"/>
        <w:overflowPunct/>
        <w:topLinePunct w:val="0"/>
        <w:autoSpaceDE/>
        <w:autoSpaceDN/>
        <w:bidi w:val="0"/>
        <w:adjustRightInd w:val="0"/>
        <w:snapToGrid w:val="0"/>
        <w:spacing w:line="500" w:lineRule="exact"/>
        <w:ind w:firstLine="556" w:firstLineChars="200"/>
        <w:jc w:val="center"/>
        <w:rPr>
          <w:rFonts w:hint="eastAsia" w:ascii="宋体" w:hAnsi="宋体" w:eastAsia="宋体" w:cs="宋体"/>
          <w:color w:val="auto"/>
          <w:spacing w:val="-1"/>
          <w:sz w:val="28"/>
          <w:szCs w:val="28"/>
          <w:highlight w:val="none"/>
          <w:lang w:eastAsia="zh-CN"/>
        </w:rPr>
      </w:pPr>
      <w:r>
        <w:rPr>
          <w:rFonts w:hint="eastAsia" w:ascii="宋体" w:hAnsi="宋体" w:eastAsia="宋体" w:cs="宋体"/>
          <w:color w:val="auto"/>
          <w:spacing w:val="-1"/>
          <w:sz w:val="28"/>
          <w:szCs w:val="28"/>
          <w:highlight w:val="none"/>
          <w:lang w:eastAsia="zh-CN"/>
        </w:rPr>
        <w:t>承包人提供可调价主要材料表一</w:t>
      </w:r>
    </w:p>
    <w:p w14:paraId="563FD40A">
      <w:pPr>
        <w:pageBreakBefore w:val="0"/>
        <w:kinsoku/>
        <w:wordWrap w:val="0"/>
        <w:overflowPunct/>
        <w:topLinePunct w:val="0"/>
        <w:autoSpaceDE/>
        <w:autoSpaceDN/>
        <w:bidi w:val="0"/>
        <w:adjustRightInd w:val="0"/>
        <w:snapToGrid w:val="0"/>
        <w:spacing w:line="500" w:lineRule="exact"/>
        <w:ind w:firstLine="480" w:firstLineChars="200"/>
        <w:jc w:val="center"/>
        <w:rPr>
          <w:rFonts w:hint="eastAsia" w:ascii="宋体" w:hAnsi="宋体" w:eastAsia="宋体" w:cs="宋体"/>
          <w:snapToGrid w:val="0"/>
          <w:color w:val="auto"/>
          <w:highlight w:val="none"/>
        </w:rPr>
      </w:pPr>
      <w:r>
        <w:rPr>
          <w:rFonts w:hint="eastAsia" w:ascii="宋体" w:hAnsi="宋体" w:eastAsia="宋体" w:cs="宋体"/>
          <w:snapToGrid w:val="0"/>
          <w:color w:val="auto"/>
          <w:highlight w:val="none"/>
        </w:rPr>
        <w:t>(适用于价格信息调差法)</w:t>
      </w:r>
    </w:p>
    <w:p w14:paraId="69F4D32C">
      <w:pPr>
        <w:pageBreakBefore w:val="0"/>
        <w:kinsoku/>
        <w:wordWrap w:val="0"/>
        <w:overflowPunct/>
        <w:topLinePunct w:val="0"/>
        <w:autoSpaceDE/>
        <w:autoSpaceDN/>
        <w:bidi w:val="0"/>
        <w:adjustRightInd w:val="0"/>
        <w:snapToGrid w:val="0"/>
        <w:spacing w:line="240" w:lineRule="auto"/>
        <w:jc w:val="left"/>
        <w:rPr>
          <w:rFonts w:hint="eastAsia" w:ascii="宋体" w:hAnsi="宋体" w:eastAsia="宋体" w:cs="宋体"/>
          <w:bCs/>
          <w:snapToGrid w:val="0"/>
          <w:color w:val="auto"/>
          <w:kern w:val="0"/>
          <w:sz w:val="18"/>
          <w:szCs w:val="18"/>
          <w:highlight w:val="none"/>
          <w:lang w:eastAsia="zh-CN"/>
        </w:rPr>
      </w:pPr>
      <w:r>
        <w:rPr>
          <w:rFonts w:hint="eastAsia" w:ascii="宋体" w:hAnsi="宋体" w:eastAsia="宋体" w:cs="宋体"/>
          <w:snapToGrid w:val="0"/>
          <w:color w:val="auto"/>
          <w:sz w:val="18"/>
          <w:szCs w:val="18"/>
          <w:highlight w:val="none"/>
          <w:lang w:val="en-US" w:eastAsia="zh-CN"/>
        </w:rPr>
        <w:t>工程名称：</w:t>
      </w:r>
      <w:r>
        <w:rPr>
          <w:rFonts w:hint="eastAsia" w:ascii="宋体" w:hAnsi="宋体" w:eastAsia="宋体" w:cs="宋体"/>
          <w:bCs/>
          <w:snapToGrid w:val="0"/>
          <w:color w:val="auto"/>
          <w:kern w:val="0"/>
          <w:sz w:val="18"/>
          <w:szCs w:val="18"/>
          <w:highlight w:val="none"/>
          <w:lang w:eastAsia="zh-CN"/>
        </w:rPr>
        <w:t>广东省韶关市韶关高新技术产业</w:t>
      </w:r>
    </w:p>
    <w:p w14:paraId="24245AFD">
      <w:pPr>
        <w:pageBreakBefore w:val="0"/>
        <w:kinsoku/>
        <w:wordWrap w:val="0"/>
        <w:overflowPunct/>
        <w:topLinePunct w:val="0"/>
        <w:autoSpaceDE/>
        <w:autoSpaceDN/>
        <w:bidi w:val="0"/>
        <w:adjustRightInd w:val="0"/>
        <w:snapToGrid w:val="0"/>
        <w:spacing w:line="240" w:lineRule="auto"/>
        <w:jc w:val="left"/>
        <w:rPr>
          <w:rFonts w:hint="eastAsia" w:ascii="宋体" w:hAnsi="宋体" w:eastAsia="宋体" w:cs="宋体"/>
          <w:bCs/>
          <w:snapToGrid w:val="0"/>
          <w:color w:val="auto"/>
          <w:kern w:val="0"/>
          <w:sz w:val="18"/>
          <w:szCs w:val="18"/>
          <w:highlight w:val="none"/>
          <w:lang w:eastAsia="zh-CN"/>
        </w:rPr>
      </w:pPr>
      <w:r>
        <w:rPr>
          <w:rFonts w:hint="eastAsia" w:ascii="宋体" w:hAnsi="宋体" w:eastAsia="宋体" w:cs="宋体"/>
          <w:bCs/>
          <w:snapToGrid w:val="0"/>
          <w:color w:val="auto"/>
          <w:kern w:val="0"/>
          <w:sz w:val="18"/>
          <w:szCs w:val="18"/>
          <w:highlight w:val="none"/>
          <w:lang w:eastAsia="zh-CN"/>
        </w:rPr>
        <w:t>开发区园区配套基础设施建设项目韶关数据</w:t>
      </w:r>
    </w:p>
    <w:p w14:paraId="3C4F8037">
      <w:pPr>
        <w:pageBreakBefore w:val="0"/>
        <w:kinsoku/>
        <w:wordWrap w:val="0"/>
        <w:overflowPunct/>
        <w:topLinePunct w:val="0"/>
        <w:autoSpaceDE/>
        <w:autoSpaceDN/>
        <w:bidi w:val="0"/>
        <w:adjustRightInd w:val="0"/>
        <w:snapToGrid w:val="0"/>
        <w:spacing w:line="240" w:lineRule="auto"/>
        <w:jc w:val="left"/>
        <w:rPr>
          <w:rFonts w:hint="eastAsia" w:ascii="宋体" w:hAnsi="宋体" w:eastAsia="宋体" w:cs="宋体"/>
          <w:bCs/>
          <w:snapToGrid w:val="0"/>
          <w:color w:val="auto"/>
          <w:kern w:val="0"/>
          <w:sz w:val="18"/>
          <w:szCs w:val="18"/>
          <w:highlight w:val="none"/>
          <w:lang w:eastAsia="zh-CN"/>
        </w:rPr>
      </w:pPr>
      <w:r>
        <w:rPr>
          <w:rFonts w:hint="eastAsia" w:ascii="宋体" w:hAnsi="宋体" w:eastAsia="宋体" w:cs="宋体"/>
          <w:bCs/>
          <w:snapToGrid w:val="0"/>
          <w:color w:val="auto"/>
          <w:kern w:val="0"/>
          <w:sz w:val="18"/>
          <w:szCs w:val="18"/>
          <w:highlight w:val="none"/>
          <w:lang w:eastAsia="zh-CN"/>
        </w:rPr>
        <w:t>中心集群起步区(浈江片区)公共管道及配套</w:t>
      </w:r>
    </w:p>
    <w:p w14:paraId="2220073F">
      <w:pPr>
        <w:pageBreakBefore w:val="0"/>
        <w:kinsoku/>
        <w:wordWrap w:val="0"/>
        <w:overflowPunct/>
        <w:topLinePunct w:val="0"/>
        <w:autoSpaceDE/>
        <w:autoSpaceDN/>
        <w:bidi w:val="0"/>
        <w:adjustRightInd w:val="0"/>
        <w:snapToGrid w:val="0"/>
        <w:spacing w:line="240" w:lineRule="auto"/>
        <w:jc w:val="left"/>
        <w:rPr>
          <w:rFonts w:hint="eastAsia" w:ascii="宋体" w:hAnsi="宋体" w:eastAsia="宋体" w:cs="宋体"/>
          <w:snapToGrid w:val="0"/>
          <w:color w:val="auto"/>
          <w:sz w:val="18"/>
          <w:szCs w:val="18"/>
          <w:highlight w:val="none"/>
          <w:lang w:val="en-US"/>
        </w:rPr>
      </w:pPr>
      <w:r>
        <w:rPr>
          <w:rFonts w:hint="eastAsia" w:ascii="宋体" w:hAnsi="宋体" w:eastAsia="宋体" w:cs="宋体"/>
          <w:bCs/>
          <w:snapToGrid w:val="0"/>
          <w:color w:val="auto"/>
          <w:kern w:val="0"/>
          <w:sz w:val="18"/>
          <w:szCs w:val="18"/>
          <w:highlight w:val="none"/>
          <w:lang w:eastAsia="zh-CN"/>
        </w:rPr>
        <w:t>设施建设项目施工</w:t>
      </w:r>
      <w:r>
        <w:rPr>
          <w:rFonts w:hint="eastAsia" w:ascii="宋体" w:hAnsi="宋体" w:eastAsia="宋体" w:cs="宋体"/>
          <w:bCs/>
          <w:snapToGrid w:val="0"/>
          <w:color w:val="auto"/>
          <w:kern w:val="0"/>
          <w:sz w:val="18"/>
          <w:szCs w:val="18"/>
          <w:highlight w:val="none"/>
          <w:lang w:val="en-US" w:eastAsia="zh-CN"/>
        </w:rPr>
        <w:t xml:space="preserve">                                               标段：                      第1页 共1页</w:t>
      </w:r>
    </w:p>
    <w:tbl>
      <w:tblPr>
        <w:tblStyle w:val="17"/>
        <w:tblW w:w="9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927"/>
        <w:gridCol w:w="504"/>
        <w:gridCol w:w="1078"/>
        <w:gridCol w:w="995"/>
        <w:gridCol w:w="832"/>
        <w:gridCol w:w="823"/>
        <w:gridCol w:w="902"/>
        <w:gridCol w:w="734"/>
        <w:gridCol w:w="1198"/>
      </w:tblGrid>
      <w:tr w14:paraId="7D33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663" w:type="dxa"/>
            <w:vAlign w:val="center"/>
          </w:tcPr>
          <w:p w14:paraId="7E6A80E8">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序号</w:t>
            </w:r>
          </w:p>
        </w:tc>
        <w:tc>
          <w:tcPr>
            <w:tcW w:w="1927" w:type="dxa"/>
            <w:vAlign w:val="center"/>
          </w:tcPr>
          <w:p w14:paraId="6DF355C8">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名称、规格、型号</w:t>
            </w:r>
          </w:p>
        </w:tc>
        <w:tc>
          <w:tcPr>
            <w:tcW w:w="504" w:type="dxa"/>
            <w:vAlign w:val="center"/>
          </w:tcPr>
          <w:p w14:paraId="1F5F43BC">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单位</w:t>
            </w:r>
          </w:p>
        </w:tc>
        <w:tc>
          <w:tcPr>
            <w:tcW w:w="1078" w:type="dxa"/>
            <w:vAlign w:val="center"/>
          </w:tcPr>
          <w:p w14:paraId="538E6577">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数量</w:t>
            </w:r>
          </w:p>
        </w:tc>
        <w:tc>
          <w:tcPr>
            <w:tcW w:w="995" w:type="dxa"/>
            <w:vAlign w:val="center"/>
          </w:tcPr>
          <w:p w14:paraId="259EBCF6">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基准价</w:t>
            </w:r>
          </w:p>
          <w:p w14:paraId="4D255EBE">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Co（元）</w:t>
            </w:r>
          </w:p>
        </w:tc>
        <w:tc>
          <w:tcPr>
            <w:tcW w:w="832" w:type="dxa"/>
            <w:vAlign w:val="center"/>
          </w:tcPr>
          <w:p w14:paraId="3DB1FADD">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投标报价（元）</w:t>
            </w:r>
          </w:p>
        </w:tc>
        <w:tc>
          <w:tcPr>
            <w:tcW w:w="823" w:type="dxa"/>
            <w:vAlign w:val="center"/>
          </w:tcPr>
          <w:p w14:paraId="11B9924E">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风险幅度系数r（%）</w:t>
            </w:r>
          </w:p>
        </w:tc>
        <w:tc>
          <w:tcPr>
            <w:tcW w:w="902" w:type="dxa"/>
            <w:vAlign w:val="center"/>
          </w:tcPr>
          <w:p w14:paraId="7AAA89C6">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价格信息C（元）</w:t>
            </w:r>
          </w:p>
        </w:tc>
        <w:tc>
          <w:tcPr>
            <w:tcW w:w="734" w:type="dxa"/>
            <w:vAlign w:val="center"/>
          </w:tcPr>
          <w:p w14:paraId="6128FAF2">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价差△C（元）</w:t>
            </w:r>
          </w:p>
        </w:tc>
        <w:tc>
          <w:tcPr>
            <w:tcW w:w="1198" w:type="dxa"/>
            <w:vAlign w:val="center"/>
          </w:tcPr>
          <w:p w14:paraId="33EB9E5F">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价差调整费用△P(元）</w:t>
            </w:r>
          </w:p>
        </w:tc>
      </w:tr>
      <w:tr w14:paraId="10FA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63" w:type="dxa"/>
            <w:vAlign w:val="center"/>
          </w:tcPr>
          <w:p w14:paraId="4186CD96">
            <w:pPr>
              <w:pageBreakBefore w:val="0"/>
              <w:numPr>
                <w:ilvl w:val="0"/>
                <w:numId w:val="0"/>
              </w:numPr>
              <w:kinsoku/>
              <w:wordWrap w:val="0"/>
              <w:overflowPunct/>
              <w:topLinePunct w:val="0"/>
              <w:autoSpaceDE/>
              <w:autoSpaceDN/>
              <w:bidi w:val="0"/>
              <w:adjustRightInd w:val="0"/>
              <w:snapToGrid w:val="0"/>
              <w:spacing w:line="240" w:lineRule="auto"/>
              <w:ind w:left="425" w:leftChars="0" w:hanging="425" w:firstLineChars="0"/>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kern w:val="2"/>
                <w:sz w:val="18"/>
                <w:szCs w:val="18"/>
                <w:highlight w:val="none"/>
                <w:vertAlign w:val="baseline"/>
                <w:lang w:val="en-US" w:eastAsia="zh-CN" w:bidi="ar-SA"/>
              </w:rPr>
              <w:t>1</w:t>
            </w:r>
          </w:p>
        </w:tc>
        <w:tc>
          <w:tcPr>
            <w:tcW w:w="1927" w:type="dxa"/>
            <w:vAlign w:val="center"/>
          </w:tcPr>
          <w:p w14:paraId="6D008F33">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 xml:space="preserve">热扎圆盘条 </w:t>
            </w:r>
            <w:r>
              <w:rPr>
                <w:rFonts w:hint="eastAsia" w:ascii="宋体" w:hAnsi="宋体" w:eastAsia="宋体" w:cs="宋体"/>
                <w:color w:val="auto"/>
                <w:sz w:val="18"/>
                <w:szCs w:val="18"/>
                <w:highlight w:val="none"/>
                <w:vertAlign w:val="baseline"/>
              </w:rPr>
              <w:t>φ10</w:t>
            </w:r>
          </w:p>
        </w:tc>
        <w:tc>
          <w:tcPr>
            <w:tcW w:w="504" w:type="dxa"/>
            <w:vAlign w:val="center"/>
          </w:tcPr>
          <w:p w14:paraId="6D6E9B25">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kg</w:t>
            </w:r>
          </w:p>
        </w:tc>
        <w:tc>
          <w:tcPr>
            <w:tcW w:w="1078" w:type="dxa"/>
            <w:vAlign w:val="center"/>
          </w:tcPr>
          <w:p w14:paraId="14032C62">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294</w:t>
            </w:r>
          </w:p>
        </w:tc>
        <w:tc>
          <w:tcPr>
            <w:tcW w:w="995" w:type="dxa"/>
            <w:vAlign w:val="center"/>
          </w:tcPr>
          <w:p w14:paraId="2A98D636">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3.38</w:t>
            </w:r>
          </w:p>
        </w:tc>
        <w:tc>
          <w:tcPr>
            <w:tcW w:w="832" w:type="dxa"/>
            <w:vAlign w:val="center"/>
          </w:tcPr>
          <w:p w14:paraId="63DEC3AD">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4D728899">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4F42828F">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0C441573">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41B81698">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626E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exact"/>
        </w:trPr>
        <w:tc>
          <w:tcPr>
            <w:tcW w:w="663" w:type="dxa"/>
            <w:vAlign w:val="center"/>
          </w:tcPr>
          <w:p w14:paraId="37EC888D">
            <w:pPr>
              <w:pageBreakBefore w:val="0"/>
              <w:numPr>
                <w:ilvl w:val="0"/>
                <w:numId w:val="0"/>
              </w:numPr>
              <w:kinsoku/>
              <w:wordWrap w:val="0"/>
              <w:overflowPunct/>
              <w:topLinePunct w:val="0"/>
              <w:autoSpaceDE/>
              <w:autoSpaceDN/>
              <w:bidi w:val="0"/>
              <w:adjustRightInd w:val="0"/>
              <w:snapToGrid w:val="0"/>
              <w:spacing w:line="240" w:lineRule="auto"/>
              <w:ind w:left="425" w:leftChars="0" w:hanging="425" w:firstLineChars="0"/>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kern w:val="2"/>
                <w:sz w:val="18"/>
                <w:szCs w:val="18"/>
                <w:highlight w:val="none"/>
                <w:vertAlign w:val="baseline"/>
                <w:lang w:val="en-US" w:eastAsia="zh-CN" w:bidi="ar-SA"/>
              </w:rPr>
              <w:t>2</w:t>
            </w:r>
          </w:p>
        </w:tc>
        <w:tc>
          <w:tcPr>
            <w:tcW w:w="1927" w:type="dxa"/>
            <w:vAlign w:val="center"/>
          </w:tcPr>
          <w:p w14:paraId="45D19775">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热扎圆盘条 </w:t>
            </w:r>
            <w:r>
              <w:rPr>
                <w:rFonts w:hint="eastAsia" w:ascii="宋体" w:hAnsi="宋体" w:eastAsia="宋体" w:cs="宋体"/>
                <w:color w:val="auto"/>
                <w:sz w:val="18"/>
                <w:szCs w:val="18"/>
                <w:highlight w:val="none"/>
                <w:vertAlign w:val="baseline"/>
              </w:rPr>
              <w:t>φ10</w:t>
            </w:r>
            <w:r>
              <w:rPr>
                <w:rFonts w:hint="eastAsia" w:ascii="宋体" w:hAnsi="宋体" w:eastAsia="宋体" w:cs="宋体"/>
                <w:color w:val="auto"/>
                <w:sz w:val="18"/>
                <w:szCs w:val="18"/>
                <w:highlight w:val="none"/>
                <w:vertAlign w:val="baseline"/>
                <w:lang w:val="en-US" w:eastAsia="zh-CN"/>
              </w:rPr>
              <w:t>以内</w:t>
            </w:r>
          </w:p>
        </w:tc>
        <w:tc>
          <w:tcPr>
            <w:tcW w:w="504" w:type="dxa"/>
            <w:vAlign w:val="center"/>
          </w:tcPr>
          <w:p w14:paraId="5A66CA4B">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t</w:t>
            </w:r>
          </w:p>
        </w:tc>
        <w:tc>
          <w:tcPr>
            <w:tcW w:w="1078" w:type="dxa"/>
            <w:vAlign w:val="center"/>
          </w:tcPr>
          <w:p w14:paraId="311CB84B">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0.0031</w:t>
            </w:r>
          </w:p>
        </w:tc>
        <w:tc>
          <w:tcPr>
            <w:tcW w:w="995" w:type="dxa"/>
            <w:vAlign w:val="center"/>
          </w:tcPr>
          <w:p w14:paraId="4AA71CCD">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3380.53</w:t>
            </w:r>
          </w:p>
        </w:tc>
        <w:tc>
          <w:tcPr>
            <w:tcW w:w="832" w:type="dxa"/>
            <w:vAlign w:val="center"/>
          </w:tcPr>
          <w:p w14:paraId="6232FC9A">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40D57350">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286FCB33">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0A539D2B">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47888B3E">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3FD5C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63" w:type="dxa"/>
            <w:vAlign w:val="center"/>
          </w:tcPr>
          <w:p w14:paraId="6CDC4B04">
            <w:pPr>
              <w:pageBreakBefore w:val="0"/>
              <w:numPr>
                <w:ilvl w:val="0"/>
                <w:numId w:val="0"/>
              </w:numPr>
              <w:kinsoku/>
              <w:wordWrap w:val="0"/>
              <w:overflowPunct/>
              <w:topLinePunct w:val="0"/>
              <w:autoSpaceDE/>
              <w:autoSpaceDN/>
              <w:bidi w:val="0"/>
              <w:adjustRightInd w:val="0"/>
              <w:snapToGrid w:val="0"/>
              <w:spacing w:line="240" w:lineRule="auto"/>
              <w:ind w:left="425" w:leftChars="0" w:hanging="425" w:firstLineChars="0"/>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kern w:val="2"/>
                <w:sz w:val="18"/>
                <w:szCs w:val="18"/>
                <w:highlight w:val="none"/>
                <w:vertAlign w:val="baseline"/>
                <w:lang w:val="en-US" w:eastAsia="zh-CN" w:bidi="ar-SA"/>
              </w:rPr>
              <w:t>3</w:t>
            </w:r>
          </w:p>
        </w:tc>
        <w:tc>
          <w:tcPr>
            <w:tcW w:w="1927" w:type="dxa"/>
            <w:vAlign w:val="center"/>
          </w:tcPr>
          <w:p w14:paraId="369445B3">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螺纹钢筋 </w:t>
            </w:r>
            <w:r>
              <w:rPr>
                <w:rFonts w:hint="eastAsia" w:ascii="宋体" w:hAnsi="宋体" w:eastAsia="宋体" w:cs="宋体"/>
                <w:color w:val="auto"/>
                <w:sz w:val="18"/>
                <w:szCs w:val="18"/>
                <w:highlight w:val="none"/>
                <w:vertAlign w:val="baseline"/>
              </w:rPr>
              <w:t>φ</w:t>
            </w:r>
            <w:r>
              <w:rPr>
                <w:rFonts w:hint="eastAsia" w:ascii="宋体" w:hAnsi="宋体" w:eastAsia="宋体" w:cs="宋体"/>
                <w:color w:val="auto"/>
                <w:sz w:val="18"/>
                <w:szCs w:val="18"/>
                <w:highlight w:val="none"/>
                <w:vertAlign w:val="baseline"/>
                <w:lang w:val="en-US" w:eastAsia="zh-CN"/>
              </w:rPr>
              <w:t>25以内</w:t>
            </w:r>
          </w:p>
        </w:tc>
        <w:tc>
          <w:tcPr>
            <w:tcW w:w="504" w:type="dxa"/>
            <w:vAlign w:val="center"/>
          </w:tcPr>
          <w:p w14:paraId="22CCED34">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t</w:t>
            </w:r>
          </w:p>
        </w:tc>
        <w:tc>
          <w:tcPr>
            <w:tcW w:w="1078" w:type="dxa"/>
            <w:vAlign w:val="center"/>
          </w:tcPr>
          <w:p w14:paraId="3CB7FCE0">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0.3947</w:t>
            </w:r>
          </w:p>
        </w:tc>
        <w:tc>
          <w:tcPr>
            <w:tcW w:w="995" w:type="dxa"/>
            <w:vAlign w:val="center"/>
          </w:tcPr>
          <w:p w14:paraId="64471C0C">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3110.62</w:t>
            </w:r>
          </w:p>
        </w:tc>
        <w:tc>
          <w:tcPr>
            <w:tcW w:w="832" w:type="dxa"/>
            <w:vAlign w:val="center"/>
          </w:tcPr>
          <w:p w14:paraId="47F68A06">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14C05922">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04ECF725">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567817E7">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50ED8B77">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7570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trPr>
        <w:tc>
          <w:tcPr>
            <w:tcW w:w="663" w:type="dxa"/>
            <w:vAlign w:val="center"/>
          </w:tcPr>
          <w:p w14:paraId="6518D5E4">
            <w:pPr>
              <w:pageBreakBefore w:val="0"/>
              <w:numPr>
                <w:ilvl w:val="0"/>
                <w:numId w:val="0"/>
              </w:numPr>
              <w:kinsoku/>
              <w:wordWrap w:val="0"/>
              <w:overflowPunct/>
              <w:topLinePunct w:val="0"/>
              <w:autoSpaceDE/>
              <w:autoSpaceDN/>
              <w:bidi w:val="0"/>
              <w:adjustRightInd w:val="0"/>
              <w:snapToGrid w:val="0"/>
              <w:spacing w:line="240" w:lineRule="auto"/>
              <w:ind w:left="425" w:leftChars="0" w:hanging="425" w:firstLineChars="0"/>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kern w:val="2"/>
                <w:sz w:val="18"/>
                <w:szCs w:val="18"/>
                <w:highlight w:val="none"/>
                <w:vertAlign w:val="baseline"/>
                <w:lang w:val="en-US" w:eastAsia="zh-CN" w:bidi="ar-SA"/>
              </w:rPr>
              <w:t>4</w:t>
            </w:r>
          </w:p>
        </w:tc>
        <w:tc>
          <w:tcPr>
            <w:tcW w:w="1927" w:type="dxa"/>
            <w:vAlign w:val="center"/>
          </w:tcPr>
          <w:p w14:paraId="048CC6D0">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 xml:space="preserve">螺纹钢筋 </w:t>
            </w:r>
            <w:r>
              <w:rPr>
                <w:rFonts w:hint="eastAsia" w:ascii="宋体" w:hAnsi="宋体" w:eastAsia="宋体" w:cs="宋体"/>
                <w:color w:val="auto"/>
                <w:sz w:val="18"/>
                <w:szCs w:val="18"/>
                <w:highlight w:val="none"/>
                <w:vertAlign w:val="baseline"/>
              </w:rPr>
              <w:t>φ</w:t>
            </w:r>
            <w:r>
              <w:rPr>
                <w:rFonts w:hint="eastAsia" w:ascii="宋体" w:hAnsi="宋体" w:eastAsia="宋体" w:cs="宋体"/>
                <w:color w:val="auto"/>
                <w:sz w:val="18"/>
                <w:szCs w:val="18"/>
                <w:highlight w:val="none"/>
                <w:vertAlign w:val="baseline"/>
                <w:lang w:val="en-US" w:eastAsia="zh-CN"/>
              </w:rPr>
              <w:t>10～25</w:t>
            </w:r>
          </w:p>
        </w:tc>
        <w:tc>
          <w:tcPr>
            <w:tcW w:w="504" w:type="dxa"/>
            <w:vAlign w:val="center"/>
          </w:tcPr>
          <w:p w14:paraId="4B540C0B">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t</w:t>
            </w:r>
          </w:p>
        </w:tc>
        <w:tc>
          <w:tcPr>
            <w:tcW w:w="1078" w:type="dxa"/>
            <w:vAlign w:val="center"/>
          </w:tcPr>
          <w:p w14:paraId="20F6F7D3">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19.4064</w:t>
            </w:r>
          </w:p>
        </w:tc>
        <w:tc>
          <w:tcPr>
            <w:tcW w:w="995" w:type="dxa"/>
            <w:vAlign w:val="center"/>
          </w:tcPr>
          <w:p w14:paraId="6F981C53">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3110.62</w:t>
            </w:r>
          </w:p>
        </w:tc>
        <w:tc>
          <w:tcPr>
            <w:tcW w:w="832" w:type="dxa"/>
            <w:vAlign w:val="center"/>
          </w:tcPr>
          <w:p w14:paraId="090B9516">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6315CA00">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37DE1258">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31E9E3DC">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7A92D75C">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1174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exact"/>
        </w:trPr>
        <w:tc>
          <w:tcPr>
            <w:tcW w:w="663" w:type="dxa"/>
            <w:vAlign w:val="center"/>
          </w:tcPr>
          <w:p w14:paraId="20ED4139">
            <w:pPr>
              <w:pageBreakBefore w:val="0"/>
              <w:numPr>
                <w:ilvl w:val="0"/>
                <w:numId w:val="0"/>
              </w:numPr>
              <w:kinsoku/>
              <w:wordWrap w:val="0"/>
              <w:overflowPunct/>
              <w:topLinePunct w:val="0"/>
              <w:autoSpaceDE/>
              <w:autoSpaceDN/>
              <w:bidi w:val="0"/>
              <w:adjustRightInd w:val="0"/>
              <w:snapToGrid w:val="0"/>
              <w:spacing w:line="240" w:lineRule="auto"/>
              <w:ind w:left="425" w:leftChars="0" w:hanging="425" w:firstLineChars="0"/>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kern w:val="2"/>
                <w:sz w:val="18"/>
                <w:szCs w:val="18"/>
                <w:highlight w:val="none"/>
                <w:vertAlign w:val="baseline"/>
                <w:lang w:val="en-US" w:eastAsia="zh-CN" w:bidi="ar-SA"/>
              </w:rPr>
              <w:t>5</w:t>
            </w:r>
          </w:p>
        </w:tc>
        <w:tc>
          <w:tcPr>
            <w:tcW w:w="1927" w:type="dxa"/>
            <w:vAlign w:val="center"/>
          </w:tcPr>
          <w:p w14:paraId="357FCAE4">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复合普通硅酸盐水泥P.C 32.5</w:t>
            </w:r>
          </w:p>
        </w:tc>
        <w:tc>
          <w:tcPr>
            <w:tcW w:w="504" w:type="dxa"/>
            <w:vAlign w:val="center"/>
          </w:tcPr>
          <w:p w14:paraId="32992F80">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t</w:t>
            </w:r>
          </w:p>
        </w:tc>
        <w:tc>
          <w:tcPr>
            <w:tcW w:w="1078" w:type="dxa"/>
            <w:vAlign w:val="center"/>
          </w:tcPr>
          <w:p w14:paraId="3ACDDAAA">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22.9477</w:t>
            </w:r>
          </w:p>
        </w:tc>
        <w:tc>
          <w:tcPr>
            <w:tcW w:w="995" w:type="dxa"/>
            <w:vAlign w:val="center"/>
          </w:tcPr>
          <w:p w14:paraId="521EE0FF">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320.63</w:t>
            </w:r>
          </w:p>
        </w:tc>
        <w:tc>
          <w:tcPr>
            <w:tcW w:w="832" w:type="dxa"/>
            <w:vAlign w:val="center"/>
          </w:tcPr>
          <w:p w14:paraId="5401F486">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528A113F">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024B484E">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3B966145">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2E4D016A">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6B66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trPr>
        <w:tc>
          <w:tcPr>
            <w:tcW w:w="663" w:type="dxa"/>
            <w:vAlign w:val="center"/>
          </w:tcPr>
          <w:p w14:paraId="277EBF32">
            <w:pPr>
              <w:pageBreakBefore w:val="0"/>
              <w:numPr>
                <w:ilvl w:val="0"/>
                <w:numId w:val="0"/>
              </w:numPr>
              <w:kinsoku/>
              <w:wordWrap w:val="0"/>
              <w:overflowPunct/>
              <w:topLinePunct w:val="0"/>
              <w:autoSpaceDE/>
              <w:autoSpaceDN/>
              <w:bidi w:val="0"/>
              <w:adjustRightInd w:val="0"/>
              <w:snapToGrid w:val="0"/>
              <w:spacing w:line="240" w:lineRule="auto"/>
              <w:ind w:left="425" w:leftChars="0" w:hanging="425" w:firstLineChars="0"/>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kern w:val="2"/>
                <w:sz w:val="18"/>
                <w:szCs w:val="18"/>
                <w:highlight w:val="none"/>
                <w:vertAlign w:val="baseline"/>
                <w:lang w:val="en-US" w:eastAsia="zh-CN" w:bidi="ar-SA"/>
              </w:rPr>
              <w:t>6</w:t>
            </w:r>
          </w:p>
        </w:tc>
        <w:tc>
          <w:tcPr>
            <w:tcW w:w="1927" w:type="dxa"/>
            <w:vAlign w:val="center"/>
          </w:tcPr>
          <w:p w14:paraId="725E85FC">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白色硅酸盐水泥 32.5</w:t>
            </w:r>
          </w:p>
        </w:tc>
        <w:tc>
          <w:tcPr>
            <w:tcW w:w="504" w:type="dxa"/>
            <w:vAlign w:val="center"/>
          </w:tcPr>
          <w:p w14:paraId="70D90888">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t</w:t>
            </w:r>
          </w:p>
        </w:tc>
        <w:tc>
          <w:tcPr>
            <w:tcW w:w="1078" w:type="dxa"/>
            <w:vAlign w:val="center"/>
          </w:tcPr>
          <w:p w14:paraId="72D4BD95">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0.0018</w:t>
            </w:r>
          </w:p>
        </w:tc>
        <w:tc>
          <w:tcPr>
            <w:tcW w:w="995" w:type="dxa"/>
            <w:vAlign w:val="center"/>
          </w:tcPr>
          <w:p w14:paraId="74D691B5">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601.77</w:t>
            </w:r>
          </w:p>
        </w:tc>
        <w:tc>
          <w:tcPr>
            <w:tcW w:w="832" w:type="dxa"/>
            <w:vAlign w:val="center"/>
          </w:tcPr>
          <w:p w14:paraId="7E56FF6A">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3E7B89F1">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1B7EBD1E">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102BAFEE">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31F4DC35">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6F6E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63" w:type="dxa"/>
            <w:vAlign w:val="center"/>
          </w:tcPr>
          <w:p w14:paraId="4DA422F3">
            <w:pPr>
              <w:pageBreakBefore w:val="0"/>
              <w:numPr>
                <w:ilvl w:val="0"/>
                <w:numId w:val="0"/>
              </w:numPr>
              <w:kinsoku/>
              <w:wordWrap w:val="0"/>
              <w:overflowPunct/>
              <w:topLinePunct w:val="0"/>
              <w:autoSpaceDE/>
              <w:autoSpaceDN/>
              <w:bidi w:val="0"/>
              <w:adjustRightInd w:val="0"/>
              <w:snapToGrid w:val="0"/>
              <w:spacing w:line="240" w:lineRule="auto"/>
              <w:ind w:left="425" w:leftChars="0" w:hanging="425" w:firstLineChars="0"/>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kern w:val="2"/>
                <w:sz w:val="18"/>
                <w:szCs w:val="18"/>
                <w:highlight w:val="none"/>
                <w:vertAlign w:val="baseline"/>
                <w:lang w:val="en-US" w:eastAsia="zh-CN" w:bidi="ar-SA"/>
              </w:rPr>
              <w:t>7</w:t>
            </w:r>
          </w:p>
        </w:tc>
        <w:tc>
          <w:tcPr>
            <w:tcW w:w="1927" w:type="dxa"/>
            <w:vAlign w:val="center"/>
          </w:tcPr>
          <w:p w14:paraId="6194098A">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中砂</w:t>
            </w:r>
          </w:p>
        </w:tc>
        <w:tc>
          <w:tcPr>
            <w:tcW w:w="504" w:type="dxa"/>
            <w:vAlign w:val="center"/>
          </w:tcPr>
          <w:p w14:paraId="7EB847A0">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m³</w:t>
            </w:r>
          </w:p>
        </w:tc>
        <w:tc>
          <w:tcPr>
            <w:tcW w:w="1078" w:type="dxa"/>
            <w:vAlign w:val="center"/>
          </w:tcPr>
          <w:p w14:paraId="64DB7EFE">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60.5661</w:t>
            </w:r>
          </w:p>
        </w:tc>
        <w:tc>
          <w:tcPr>
            <w:tcW w:w="995" w:type="dxa"/>
            <w:vAlign w:val="center"/>
          </w:tcPr>
          <w:p w14:paraId="5CD7D9FA">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135.92</w:t>
            </w:r>
          </w:p>
        </w:tc>
        <w:tc>
          <w:tcPr>
            <w:tcW w:w="832" w:type="dxa"/>
            <w:vAlign w:val="center"/>
          </w:tcPr>
          <w:p w14:paraId="46F40D75">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4DFFF33F">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27235BFA">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23E8121D">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3B7323E9">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642E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63" w:type="dxa"/>
            <w:vAlign w:val="center"/>
          </w:tcPr>
          <w:p w14:paraId="18B95809">
            <w:pPr>
              <w:pageBreakBefore w:val="0"/>
              <w:numPr>
                <w:ilvl w:val="0"/>
                <w:numId w:val="0"/>
              </w:numPr>
              <w:kinsoku/>
              <w:wordWrap w:val="0"/>
              <w:overflowPunct/>
              <w:topLinePunct w:val="0"/>
              <w:autoSpaceDE/>
              <w:autoSpaceDN/>
              <w:bidi w:val="0"/>
              <w:adjustRightInd w:val="0"/>
              <w:snapToGrid w:val="0"/>
              <w:spacing w:line="240" w:lineRule="auto"/>
              <w:ind w:left="425" w:leftChars="0" w:hanging="425" w:firstLineChars="0"/>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kern w:val="2"/>
                <w:sz w:val="18"/>
                <w:szCs w:val="18"/>
                <w:highlight w:val="none"/>
                <w:vertAlign w:val="baseline"/>
                <w:lang w:val="en-US" w:eastAsia="zh-CN" w:bidi="ar-SA"/>
              </w:rPr>
              <w:t>8</w:t>
            </w:r>
          </w:p>
        </w:tc>
        <w:tc>
          <w:tcPr>
            <w:tcW w:w="1927" w:type="dxa"/>
            <w:vAlign w:val="center"/>
          </w:tcPr>
          <w:p w14:paraId="07482CEA">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粗砂</w:t>
            </w:r>
          </w:p>
        </w:tc>
        <w:tc>
          <w:tcPr>
            <w:tcW w:w="504" w:type="dxa"/>
            <w:vAlign w:val="center"/>
          </w:tcPr>
          <w:p w14:paraId="354B58A3">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m³</w:t>
            </w:r>
          </w:p>
        </w:tc>
        <w:tc>
          <w:tcPr>
            <w:tcW w:w="1078" w:type="dxa"/>
            <w:vAlign w:val="center"/>
          </w:tcPr>
          <w:p w14:paraId="36BA6A4D">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0.8749</w:t>
            </w:r>
          </w:p>
        </w:tc>
        <w:tc>
          <w:tcPr>
            <w:tcW w:w="995" w:type="dxa"/>
            <w:vAlign w:val="center"/>
          </w:tcPr>
          <w:p w14:paraId="06F3CB3B">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99.03</w:t>
            </w:r>
          </w:p>
        </w:tc>
        <w:tc>
          <w:tcPr>
            <w:tcW w:w="832" w:type="dxa"/>
            <w:vAlign w:val="center"/>
          </w:tcPr>
          <w:p w14:paraId="0DF31EC1">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1301224B">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01B30A90">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703D8B55">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0362D27C">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329C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63" w:type="dxa"/>
            <w:vAlign w:val="center"/>
          </w:tcPr>
          <w:p w14:paraId="005E5B64">
            <w:pPr>
              <w:pageBreakBefore w:val="0"/>
              <w:numPr>
                <w:ilvl w:val="0"/>
                <w:numId w:val="0"/>
              </w:numPr>
              <w:kinsoku/>
              <w:wordWrap w:val="0"/>
              <w:overflowPunct/>
              <w:topLinePunct w:val="0"/>
              <w:autoSpaceDE/>
              <w:autoSpaceDN/>
              <w:bidi w:val="0"/>
              <w:adjustRightInd w:val="0"/>
              <w:snapToGrid w:val="0"/>
              <w:spacing w:line="240" w:lineRule="auto"/>
              <w:ind w:left="425" w:leftChars="0" w:hanging="425" w:firstLineChars="0"/>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kern w:val="2"/>
                <w:sz w:val="18"/>
                <w:szCs w:val="18"/>
                <w:highlight w:val="none"/>
                <w:vertAlign w:val="baseline"/>
                <w:lang w:val="en-US" w:eastAsia="zh-CN" w:bidi="ar-SA"/>
              </w:rPr>
              <w:t>9</w:t>
            </w:r>
          </w:p>
        </w:tc>
        <w:tc>
          <w:tcPr>
            <w:tcW w:w="1927" w:type="dxa"/>
            <w:vAlign w:val="center"/>
          </w:tcPr>
          <w:p w14:paraId="4E2C3E7E">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砂砾5～80</w:t>
            </w:r>
          </w:p>
        </w:tc>
        <w:tc>
          <w:tcPr>
            <w:tcW w:w="504" w:type="dxa"/>
            <w:vAlign w:val="center"/>
          </w:tcPr>
          <w:p w14:paraId="27C513D0">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m³</w:t>
            </w:r>
          </w:p>
        </w:tc>
        <w:tc>
          <w:tcPr>
            <w:tcW w:w="1078" w:type="dxa"/>
            <w:vAlign w:val="center"/>
          </w:tcPr>
          <w:p w14:paraId="03F50CCC">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12.24</w:t>
            </w:r>
          </w:p>
        </w:tc>
        <w:tc>
          <w:tcPr>
            <w:tcW w:w="995" w:type="dxa"/>
            <w:vAlign w:val="center"/>
          </w:tcPr>
          <w:p w14:paraId="4A1CC47B">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90.29</w:t>
            </w:r>
          </w:p>
        </w:tc>
        <w:tc>
          <w:tcPr>
            <w:tcW w:w="832" w:type="dxa"/>
            <w:vAlign w:val="center"/>
          </w:tcPr>
          <w:p w14:paraId="01CFE6BD">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3BA2C46D">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24D9179B">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36A4A248">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61F377B4">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59FB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663" w:type="dxa"/>
            <w:vAlign w:val="center"/>
          </w:tcPr>
          <w:p w14:paraId="7AED6FB1">
            <w:pPr>
              <w:pageBreakBefore w:val="0"/>
              <w:numPr>
                <w:ilvl w:val="0"/>
                <w:numId w:val="0"/>
              </w:numPr>
              <w:kinsoku/>
              <w:wordWrap w:val="0"/>
              <w:overflowPunct/>
              <w:topLinePunct w:val="0"/>
              <w:autoSpaceDE/>
              <w:autoSpaceDN/>
              <w:bidi w:val="0"/>
              <w:adjustRightInd w:val="0"/>
              <w:snapToGrid w:val="0"/>
              <w:spacing w:line="240" w:lineRule="auto"/>
              <w:ind w:left="425" w:leftChars="0" w:hanging="425" w:firstLineChars="0"/>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kern w:val="2"/>
                <w:sz w:val="18"/>
                <w:szCs w:val="18"/>
                <w:highlight w:val="none"/>
                <w:vertAlign w:val="baseline"/>
                <w:lang w:val="en-US" w:eastAsia="zh-CN" w:bidi="ar-SA"/>
              </w:rPr>
              <w:t>10</w:t>
            </w:r>
          </w:p>
        </w:tc>
        <w:tc>
          <w:tcPr>
            <w:tcW w:w="1927" w:type="dxa"/>
            <w:vAlign w:val="center"/>
          </w:tcPr>
          <w:p w14:paraId="700BA400">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石屑</w:t>
            </w:r>
          </w:p>
        </w:tc>
        <w:tc>
          <w:tcPr>
            <w:tcW w:w="504" w:type="dxa"/>
            <w:vAlign w:val="center"/>
          </w:tcPr>
          <w:p w14:paraId="6CEF43C2">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m³</w:t>
            </w:r>
          </w:p>
        </w:tc>
        <w:tc>
          <w:tcPr>
            <w:tcW w:w="1078" w:type="dxa"/>
            <w:vAlign w:val="center"/>
          </w:tcPr>
          <w:p w14:paraId="14EB6033">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9136.1088</w:t>
            </w:r>
          </w:p>
        </w:tc>
        <w:tc>
          <w:tcPr>
            <w:tcW w:w="995" w:type="dxa"/>
            <w:vAlign w:val="center"/>
          </w:tcPr>
          <w:p w14:paraId="2E38D3C8">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65.05</w:t>
            </w:r>
          </w:p>
        </w:tc>
        <w:tc>
          <w:tcPr>
            <w:tcW w:w="832" w:type="dxa"/>
            <w:vAlign w:val="center"/>
          </w:tcPr>
          <w:p w14:paraId="7189B500">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5C8D36AD">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7B6694EE">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185569A7">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5E9452FF">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527D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663" w:type="dxa"/>
            <w:vAlign w:val="center"/>
          </w:tcPr>
          <w:p w14:paraId="055451A9">
            <w:pPr>
              <w:pageBreakBefore w:val="0"/>
              <w:numPr>
                <w:ilvl w:val="0"/>
                <w:numId w:val="0"/>
              </w:numPr>
              <w:kinsoku/>
              <w:wordWrap w:val="0"/>
              <w:overflowPunct/>
              <w:topLinePunct w:val="0"/>
              <w:autoSpaceDE/>
              <w:autoSpaceDN/>
              <w:bidi w:val="0"/>
              <w:adjustRightInd w:val="0"/>
              <w:snapToGrid w:val="0"/>
              <w:spacing w:line="240" w:lineRule="auto"/>
              <w:ind w:left="425" w:leftChars="0" w:hanging="425" w:firstLineChars="0"/>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kern w:val="2"/>
                <w:sz w:val="18"/>
                <w:szCs w:val="18"/>
                <w:highlight w:val="none"/>
                <w:vertAlign w:val="baseline"/>
                <w:lang w:val="en-US" w:eastAsia="zh-CN" w:bidi="ar-SA"/>
              </w:rPr>
              <w:t>11</w:t>
            </w:r>
          </w:p>
        </w:tc>
        <w:tc>
          <w:tcPr>
            <w:tcW w:w="1927" w:type="dxa"/>
            <w:vAlign w:val="center"/>
          </w:tcPr>
          <w:p w14:paraId="63EFDFD3">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普通预拌混凝土碎石粒径综合考虑C15</w:t>
            </w:r>
          </w:p>
        </w:tc>
        <w:tc>
          <w:tcPr>
            <w:tcW w:w="504" w:type="dxa"/>
            <w:vAlign w:val="center"/>
          </w:tcPr>
          <w:p w14:paraId="00FDE036">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m³</w:t>
            </w:r>
          </w:p>
        </w:tc>
        <w:tc>
          <w:tcPr>
            <w:tcW w:w="1078" w:type="dxa"/>
            <w:vAlign w:val="center"/>
          </w:tcPr>
          <w:p w14:paraId="6FA0C49B">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34.1481</w:t>
            </w:r>
          </w:p>
        </w:tc>
        <w:tc>
          <w:tcPr>
            <w:tcW w:w="995" w:type="dxa"/>
            <w:vAlign w:val="center"/>
          </w:tcPr>
          <w:p w14:paraId="0C328F3A">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354.08</w:t>
            </w:r>
          </w:p>
        </w:tc>
        <w:tc>
          <w:tcPr>
            <w:tcW w:w="832" w:type="dxa"/>
            <w:vAlign w:val="center"/>
          </w:tcPr>
          <w:p w14:paraId="36F1D2F6">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0170C5F4">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7B0750B6">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0A1E67D8">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2265D473">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3CF3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663" w:type="dxa"/>
            <w:vAlign w:val="center"/>
          </w:tcPr>
          <w:p w14:paraId="2A72E073">
            <w:pPr>
              <w:pageBreakBefore w:val="0"/>
              <w:numPr>
                <w:ilvl w:val="0"/>
                <w:numId w:val="0"/>
              </w:numPr>
              <w:kinsoku/>
              <w:wordWrap w:val="0"/>
              <w:overflowPunct/>
              <w:topLinePunct w:val="0"/>
              <w:autoSpaceDE/>
              <w:autoSpaceDN/>
              <w:bidi w:val="0"/>
              <w:adjustRightInd w:val="0"/>
              <w:snapToGrid w:val="0"/>
              <w:spacing w:line="240" w:lineRule="auto"/>
              <w:ind w:left="425" w:leftChars="0" w:hanging="425" w:firstLineChars="0"/>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kern w:val="2"/>
                <w:sz w:val="18"/>
                <w:szCs w:val="18"/>
                <w:highlight w:val="none"/>
                <w:vertAlign w:val="baseline"/>
                <w:lang w:val="en-US" w:eastAsia="zh-CN" w:bidi="ar-SA"/>
              </w:rPr>
              <w:t>12</w:t>
            </w:r>
          </w:p>
        </w:tc>
        <w:tc>
          <w:tcPr>
            <w:tcW w:w="1927" w:type="dxa"/>
            <w:vAlign w:val="center"/>
          </w:tcPr>
          <w:p w14:paraId="5FF0EC26">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lang w:val="en-US"/>
              </w:rPr>
            </w:pPr>
            <w:r>
              <w:rPr>
                <w:rFonts w:hint="eastAsia" w:ascii="宋体" w:hAnsi="宋体" w:eastAsia="宋体" w:cs="宋体"/>
                <w:color w:val="auto"/>
                <w:sz w:val="18"/>
                <w:szCs w:val="18"/>
                <w:highlight w:val="none"/>
                <w:vertAlign w:val="baseline"/>
                <w:lang w:val="en-US" w:eastAsia="zh-CN"/>
              </w:rPr>
              <w:t>普通预拌混凝土碎石粒径综合考虑C20</w:t>
            </w:r>
          </w:p>
        </w:tc>
        <w:tc>
          <w:tcPr>
            <w:tcW w:w="504" w:type="dxa"/>
            <w:vAlign w:val="center"/>
          </w:tcPr>
          <w:p w14:paraId="557C05D8">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m³</w:t>
            </w:r>
          </w:p>
        </w:tc>
        <w:tc>
          <w:tcPr>
            <w:tcW w:w="1078" w:type="dxa"/>
            <w:vAlign w:val="center"/>
          </w:tcPr>
          <w:p w14:paraId="77FD3EDF">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217.8469</w:t>
            </w:r>
          </w:p>
        </w:tc>
        <w:tc>
          <w:tcPr>
            <w:tcW w:w="995" w:type="dxa"/>
            <w:vAlign w:val="center"/>
          </w:tcPr>
          <w:p w14:paraId="22FD2A51">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364.08</w:t>
            </w:r>
          </w:p>
        </w:tc>
        <w:tc>
          <w:tcPr>
            <w:tcW w:w="832" w:type="dxa"/>
            <w:vAlign w:val="center"/>
          </w:tcPr>
          <w:p w14:paraId="79334851">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11FD3C8D">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5490E141">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08C238E6">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0EF9C6A3">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618E2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63" w:type="dxa"/>
            <w:vAlign w:val="center"/>
          </w:tcPr>
          <w:p w14:paraId="3A77BEA9">
            <w:pPr>
              <w:pageBreakBefore w:val="0"/>
              <w:numPr>
                <w:ilvl w:val="0"/>
                <w:numId w:val="0"/>
              </w:numPr>
              <w:kinsoku/>
              <w:wordWrap w:val="0"/>
              <w:overflowPunct/>
              <w:topLinePunct w:val="0"/>
              <w:autoSpaceDE/>
              <w:autoSpaceDN/>
              <w:bidi w:val="0"/>
              <w:adjustRightInd w:val="0"/>
              <w:snapToGrid w:val="0"/>
              <w:spacing w:line="240" w:lineRule="auto"/>
              <w:ind w:left="425" w:leftChars="0" w:hanging="425" w:firstLineChars="0"/>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kern w:val="2"/>
                <w:sz w:val="18"/>
                <w:szCs w:val="18"/>
                <w:highlight w:val="none"/>
                <w:vertAlign w:val="baseline"/>
                <w:lang w:val="en-US" w:eastAsia="zh-CN" w:bidi="ar-SA"/>
              </w:rPr>
              <w:t>13</w:t>
            </w:r>
          </w:p>
        </w:tc>
        <w:tc>
          <w:tcPr>
            <w:tcW w:w="1927" w:type="dxa"/>
            <w:vAlign w:val="center"/>
          </w:tcPr>
          <w:p w14:paraId="7FAC7EA9">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lang w:val="en-US"/>
              </w:rPr>
            </w:pPr>
            <w:r>
              <w:rPr>
                <w:rFonts w:hint="eastAsia" w:ascii="宋体" w:hAnsi="宋体" w:eastAsia="宋体" w:cs="宋体"/>
                <w:color w:val="auto"/>
                <w:sz w:val="18"/>
                <w:szCs w:val="18"/>
                <w:highlight w:val="none"/>
                <w:vertAlign w:val="baseline"/>
                <w:lang w:val="en-US" w:eastAsia="zh-CN"/>
              </w:rPr>
              <w:t>普通预拌混凝土碎石粒径综合考虑C30</w:t>
            </w:r>
          </w:p>
        </w:tc>
        <w:tc>
          <w:tcPr>
            <w:tcW w:w="504" w:type="dxa"/>
            <w:vAlign w:val="center"/>
          </w:tcPr>
          <w:p w14:paraId="7B0CFA7D">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m³</w:t>
            </w:r>
          </w:p>
        </w:tc>
        <w:tc>
          <w:tcPr>
            <w:tcW w:w="1078" w:type="dxa"/>
            <w:vAlign w:val="center"/>
          </w:tcPr>
          <w:p w14:paraId="0912B47F">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44.9354</w:t>
            </w:r>
          </w:p>
        </w:tc>
        <w:tc>
          <w:tcPr>
            <w:tcW w:w="995" w:type="dxa"/>
            <w:vAlign w:val="center"/>
          </w:tcPr>
          <w:p w14:paraId="07F47F80">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393.2</w:t>
            </w:r>
          </w:p>
        </w:tc>
        <w:tc>
          <w:tcPr>
            <w:tcW w:w="832" w:type="dxa"/>
            <w:vAlign w:val="center"/>
          </w:tcPr>
          <w:p w14:paraId="35D1853E">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4632DE97">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72099883">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7199A645">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311D7654">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4B6F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663" w:type="dxa"/>
            <w:vAlign w:val="center"/>
          </w:tcPr>
          <w:p w14:paraId="6C1DFF09">
            <w:pPr>
              <w:pageBreakBefore w:val="0"/>
              <w:numPr>
                <w:ilvl w:val="0"/>
                <w:numId w:val="0"/>
              </w:numPr>
              <w:kinsoku/>
              <w:wordWrap w:val="0"/>
              <w:overflowPunct/>
              <w:topLinePunct w:val="0"/>
              <w:autoSpaceDE/>
              <w:autoSpaceDN/>
              <w:bidi w:val="0"/>
              <w:adjustRightInd w:val="0"/>
              <w:snapToGrid w:val="0"/>
              <w:spacing w:line="240" w:lineRule="auto"/>
              <w:ind w:left="425" w:leftChars="0" w:hanging="425" w:firstLineChars="0"/>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kern w:val="2"/>
                <w:sz w:val="18"/>
                <w:szCs w:val="18"/>
                <w:highlight w:val="none"/>
                <w:vertAlign w:val="baseline"/>
                <w:lang w:val="en-US" w:eastAsia="zh-CN" w:bidi="ar-SA"/>
              </w:rPr>
              <w:t>14</w:t>
            </w:r>
          </w:p>
        </w:tc>
        <w:tc>
          <w:tcPr>
            <w:tcW w:w="1927" w:type="dxa"/>
            <w:vAlign w:val="center"/>
          </w:tcPr>
          <w:p w14:paraId="182896F6">
            <w:pPr>
              <w:bidi w:val="0"/>
              <w:jc w:val="left"/>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sz w:val="18"/>
                <w:szCs w:val="18"/>
                <w:highlight w:val="none"/>
                <w:vertAlign w:val="baseline"/>
                <w:lang w:val="en-US" w:eastAsia="zh-CN"/>
              </w:rPr>
              <w:t>普通预拌混凝土碎石粒径综合考虑C35</w:t>
            </w:r>
          </w:p>
        </w:tc>
        <w:tc>
          <w:tcPr>
            <w:tcW w:w="504" w:type="dxa"/>
            <w:vAlign w:val="center"/>
          </w:tcPr>
          <w:p w14:paraId="12CD3B1F">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m³</w:t>
            </w:r>
          </w:p>
        </w:tc>
        <w:tc>
          <w:tcPr>
            <w:tcW w:w="1078" w:type="dxa"/>
            <w:vAlign w:val="center"/>
          </w:tcPr>
          <w:p w14:paraId="3EBC5E6A">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2348.916</w:t>
            </w:r>
          </w:p>
        </w:tc>
        <w:tc>
          <w:tcPr>
            <w:tcW w:w="995" w:type="dxa"/>
            <w:vAlign w:val="center"/>
          </w:tcPr>
          <w:p w14:paraId="42E8ED64">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402.91</w:t>
            </w:r>
          </w:p>
        </w:tc>
        <w:tc>
          <w:tcPr>
            <w:tcW w:w="832" w:type="dxa"/>
            <w:vAlign w:val="center"/>
          </w:tcPr>
          <w:p w14:paraId="69F38E34">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32E2D42C">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02A39EF9">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0E7FDC75">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2019BE69">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65CE2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663" w:type="dxa"/>
            <w:vAlign w:val="center"/>
          </w:tcPr>
          <w:p w14:paraId="300AC811">
            <w:pPr>
              <w:pageBreakBefore w:val="0"/>
              <w:numPr>
                <w:ilvl w:val="0"/>
                <w:numId w:val="0"/>
              </w:numPr>
              <w:kinsoku/>
              <w:wordWrap w:val="0"/>
              <w:overflowPunct/>
              <w:topLinePunct w:val="0"/>
              <w:autoSpaceDE/>
              <w:autoSpaceDN/>
              <w:bidi w:val="0"/>
              <w:adjustRightInd w:val="0"/>
              <w:snapToGrid w:val="0"/>
              <w:spacing w:line="240" w:lineRule="auto"/>
              <w:ind w:left="425" w:leftChars="0" w:hanging="425" w:firstLineChars="0"/>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kern w:val="2"/>
                <w:sz w:val="18"/>
                <w:szCs w:val="18"/>
                <w:highlight w:val="none"/>
                <w:vertAlign w:val="baseline"/>
                <w:lang w:val="en-US" w:eastAsia="zh-CN" w:bidi="ar-SA"/>
              </w:rPr>
              <w:t>15</w:t>
            </w:r>
          </w:p>
        </w:tc>
        <w:tc>
          <w:tcPr>
            <w:tcW w:w="1927" w:type="dxa"/>
            <w:vAlign w:val="center"/>
          </w:tcPr>
          <w:p w14:paraId="5D86CCC4">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预拌S6～S8防水混凝土 碎石粒径综合考虑C40</w:t>
            </w:r>
          </w:p>
        </w:tc>
        <w:tc>
          <w:tcPr>
            <w:tcW w:w="504" w:type="dxa"/>
            <w:vAlign w:val="center"/>
          </w:tcPr>
          <w:p w14:paraId="7C19675F">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rPr>
            </w:pPr>
            <w:r>
              <w:rPr>
                <w:rFonts w:hint="eastAsia" w:ascii="宋体" w:hAnsi="宋体" w:eastAsia="宋体" w:cs="宋体"/>
                <w:color w:val="auto"/>
                <w:sz w:val="18"/>
                <w:szCs w:val="18"/>
                <w:highlight w:val="none"/>
                <w:vertAlign w:val="baseline"/>
                <w:lang w:val="en-US" w:eastAsia="zh-CN"/>
              </w:rPr>
              <w:t>m³</w:t>
            </w:r>
          </w:p>
        </w:tc>
        <w:tc>
          <w:tcPr>
            <w:tcW w:w="1078" w:type="dxa"/>
            <w:vAlign w:val="center"/>
          </w:tcPr>
          <w:p w14:paraId="2D88CD0F">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937.5718</w:t>
            </w:r>
          </w:p>
        </w:tc>
        <w:tc>
          <w:tcPr>
            <w:tcW w:w="995" w:type="dxa"/>
            <w:vAlign w:val="center"/>
          </w:tcPr>
          <w:p w14:paraId="73EDD779">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432.33</w:t>
            </w:r>
          </w:p>
        </w:tc>
        <w:tc>
          <w:tcPr>
            <w:tcW w:w="832" w:type="dxa"/>
            <w:vAlign w:val="center"/>
          </w:tcPr>
          <w:p w14:paraId="636EC03F">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1BBC6F83">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45271919">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6CC0499D">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1BE112BA">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4129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663" w:type="dxa"/>
            <w:vAlign w:val="center"/>
          </w:tcPr>
          <w:p w14:paraId="0D7BDCB8">
            <w:pPr>
              <w:pageBreakBefore w:val="0"/>
              <w:numPr>
                <w:ilvl w:val="0"/>
                <w:numId w:val="0"/>
              </w:numPr>
              <w:kinsoku/>
              <w:wordWrap w:val="0"/>
              <w:overflowPunct/>
              <w:topLinePunct w:val="0"/>
              <w:autoSpaceDE/>
              <w:autoSpaceDN/>
              <w:bidi w:val="0"/>
              <w:adjustRightInd w:val="0"/>
              <w:snapToGrid w:val="0"/>
              <w:spacing w:line="240" w:lineRule="auto"/>
              <w:ind w:left="425" w:leftChars="0" w:hanging="425" w:firstLineChars="0"/>
              <w:jc w:val="center"/>
              <w:rPr>
                <w:rFonts w:hint="eastAsia" w:ascii="宋体" w:hAnsi="宋体" w:eastAsia="宋体" w:cs="宋体"/>
                <w:color w:val="auto"/>
                <w:sz w:val="18"/>
                <w:szCs w:val="18"/>
                <w:highlight w:val="none"/>
                <w:vertAlign w:val="baseline"/>
              </w:rPr>
            </w:pPr>
          </w:p>
        </w:tc>
        <w:tc>
          <w:tcPr>
            <w:tcW w:w="1927" w:type="dxa"/>
            <w:vAlign w:val="center"/>
          </w:tcPr>
          <w:p w14:paraId="79B34C56">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504" w:type="dxa"/>
            <w:vAlign w:val="center"/>
          </w:tcPr>
          <w:p w14:paraId="1AA4EC74">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078" w:type="dxa"/>
            <w:vAlign w:val="center"/>
          </w:tcPr>
          <w:p w14:paraId="33E1534D">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rPr>
            </w:pPr>
          </w:p>
        </w:tc>
        <w:tc>
          <w:tcPr>
            <w:tcW w:w="995" w:type="dxa"/>
            <w:vAlign w:val="center"/>
          </w:tcPr>
          <w:p w14:paraId="50227FA8">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rPr>
            </w:pPr>
          </w:p>
        </w:tc>
        <w:tc>
          <w:tcPr>
            <w:tcW w:w="832" w:type="dxa"/>
            <w:vAlign w:val="center"/>
          </w:tcPr>
          <w:p w14:paraId="6B0022C9">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150B10EE">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01256BF6">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65FEDC77">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72BAFFBD">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373F7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3" w:type="dxa"/>
            <w:vAlign w:val="center"/>
          </w:tcPr>
          <w:p w14:paraId="2DF5AFE4">
            <w:pPr>
              <w:pageBreakBefore w:val="0"/>
              <w:numPr>
                <w:ilvl w:val="0"/>
                <w:numId w:val="0"/>
              </w:numPr>
              <w:kinsoku/>
              <w:wordWrap w:val="0"/>
              <w:overflowPunct/>
              <w:topLinePunct w:val="0"/>
              <w:autoSpaceDE/>
              <w:autoSpaceDN/>
              <w:bidi w:val="0"/>
              <w:adjustRightInd w:val="0"/>
              <w:snapToGrid w:val="0"/>
              <w:spacing w:line="240" w:lineRule="auto"/>
              <w:ind w:leftChars="0"/>
              <w:jc w:val="center"/>
              <w:rPr>
                <w:rFonts w:hint="eastAsia" w:ascii="宋体" w:hAnsi="宋体" w:eastAsia="宋体" w:cs="宋体"/>
                <w:color w:val="auto"/>
                <w:sz w:val="18"/>
                <w:szCs w:val="18"/>
                <w:highlight w:val="none"/>
                <w:vertAlign w:val="baseline"/>
              </w:rPr>
            </w:pPr>
          </w:p>
        </w:tc>
        <w:tc>
          <w:tcPr>
            <w:tcW w:w="1927" w:type="dxa"/>
            <w:vAlign w:val="center"/>
          </w:tcPr>
          <w:p w14:paraId="71E207F3">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504" w:type="dxa"/>
            <w:vAlign w:val="center"/>
          </w:tcPr>
          <w:p w14:paraId="2778E039">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078" w:type="dxa"/>
            <w:vAlign w:val="center"/>
          </w:tcPr>
          <w:p w14:paraId="7C68AF3A">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rPr>
            </w:pPr>
          </w:p>
        </w:tc>
        <w:tc>
          <w:tcPr>
            <w:tcW w:w="995" w:type="dxa"/>
            <w:vAlign w:val="center"/>
          </w:tcPr>
          <w:p w14:paraId="0FAB6604">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rPr>
            </w:pPr>
          </w:p>
        </w:tc>
        <w:tc>
          <w:tcPr>
            <w:tcW w:w="832" w:type="dxa"/>
            <w:vAlign w:val="center"/>
          </w:tcPr>
          <w:p w14:paraId="708F85A4">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823" w:type="dxa"/>
            <w:vAlign w:val="center"/>
          </w:tcPr>
          <w:p w14:paraId="0C07CBF8">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902" w:type="dxa"/>
            <w:vAlign w:val="center"/>
          </w:tcPr>
          <w:p w14:paraId="496C5FD1">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734" w:type="dxa"/>
            <w:vAlign w:val="center"/>
          </w:tcPr>
          <w:p w14:paraId="2ACE44E0">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c>
          <w:tcPr>
            <w:tcW w:w="1198" w:type="dxa"/>
            <w:vAlign w:val="center"/>
          </w:tcPr>
          <w:p w14:paraId="08D0FC66">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412B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8458" w:type="dxa"/>
            <w:gridSpan w:val="9"/>
            <w:vAlign w:val="center"/>
          </w:tcPr>
          <w:p w14:paraId="1A2FC929">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本页小计</w:t>
            </w:r>
          </w:p>
        </w:tc>
        <w:tc>
          <w:tcPr>
            <w:tcW w:w="1198" w:type="dxa"/>
            <w:vAlign w:val="center"/>
          </w:tcPr>
          <w:p w14:paraId="4DF88F43">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18"/>
                <w:szCs w:val="18"/>
                <w:highlight w:val="none"/>
                <w:vertAlign w:val="baseline"/>
              </w:rPr>
            </w:pPr>
          </w:p>
        </w:tc>
      </w:tr>
      <w:tr w14:paraId="2C82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8458" w:type="dxa"/>
            <w:gridSpan w:val="9"/>
            <w:vAlign w:val="center"/>
          </w:tcPr>
          <w:p w14:paraId="63DFCC19">
            <w:pPr>
              <w:pageBreakBefore w:val="0"/>
              <w:kinsoku/>
              <w:wordWrap w:val="0"/>
              <w:overflowPunct/>
              <w:topLinePunct w:val="0"/>
              <w:autoSpaceDE/>
              <w:autoSpaceDN/>
              <w:bidi w:val="0"/>
              <w:adjustRightInd w:val="0"/>
              <w:snapToGrid w:val="0"/>
              <w:spacing w:line="240" w:lineRule="auto"/>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合计</w:t>
            </w:r>
          </w:p>
        </w:tc>
        <w:tc>
          <w:tcPr>
            <w:tcW w:w="1198" w:type="dxa"/>
            <w:vAlign w:val="center"/>
          </w:tcPr>
          <w:p w14:paraId="26D6A047">
            <w:pPr>
              <w:pageBreakBefore w:val="0"/>
              <w:kinsoku/>
              <w:wordWrap w:val="0"/>
              <w:overflowPunct/>
              <w:topLinePunct w:val="0"/>
              <w:autoSpaceDE/>
              <w:autoSpaceDN/>
              <w:bidi w:val="0"/>
              <w:adjustRightInd w:val="0"/>
              <w:snapToGrid w:val="0"/>
              <w:spacing w:line="240" w:lineRule="auto"/>
              <w:rPr>
                <w:rFonts w:hint="eastAsia" w:ascii="宋体" w:hAnsi="宋体" w:eastAsia="宋体" w:cs="宋体"/>
                <w:color w:val="auto"/>
                <w:sz w:val="21"/>
                <w:szCs w:val="21"/>
                <w:highlight w:val="none"/>
                <w:vertAlign w:val="baseline"/>
              </w:rPr>
            </w:pPr>
          </w:p>
        </w:tc>
      </w:tr>
    </w:tbl>
    <w:p w14:paraId="50AE5D53">
      <w:pPr>
        <w:pageBreakBefore w:val="0"/>
        <w:kinsoku/>
        <w:wordWrap w:val="0"/>
        <w:overflowPunct/>
        <w:topLinePunct w:val="0"/>
        <w:autoSpaceDE/>
        <w:autoSpaceDN/>
        <w:bidi w:val="0"/>
        <w:adjustRightInd w:val="0"/>
        <w:snapToGrid w:val="0"/>
        <w:spacing w:line="360" w:lineRule="auto"/>
        <w:ind w:firstLine="859" w:firstLineChars="0"/>
        <w:rPr>
          <w:rFonts w:hint="eastAsia" w:ascii="宋体" w:hAnsi="宋体" w:eastAsia="宋体" w:cs="宋体"/>
          <w:snapToGrid w:val="0"/>
          <w:color w:val="auto"/>
          <w:highlight w:val="none"/>
          <w:lang w:val="en-US" w:eastAsia="zh-CN"/>
        </w:rPr>
      </w:pPr>
      <w:r>
        <w:rPr>
          <w:rFonts w:hint="eastAsia" w:ascii="宋体" w:hAnsi="宋体" w:eastAsia="宋体" w:cs="宋体"/>
          <w:snapToGrid w:val="0"/>
          <w:color w:val="auto"/>
          <w:highlight w:val="none"/>
          <w:lang w:val="en-US" w:eastAsia="zh-CN"/>
        </w:rPr>
        <w:t>注：1本表仅适用于物价变化引起合同价格调整事件使用。其中，招标人填写序号、名称、规格、型号、单位、基准价、风险幅度；投标人根据投标报价填写投标报价；</w:t>
      </w:r>
    </w:p>
    <w:p w14:paraId="3D75EBE6">
      <w:pPr>
        <w:pageBreakBefore w:val="0"/>
        <w:kinsoku/>
        <w:wordWrap w:val="0"/>
        <w:overflowPunct/>
        <w:topLinePunct w:val="0"/>
        <w:autoSpaceDE/>
        <w:autoSpaceDN/>
        <w:bidi w:val="0"/>
        <w:adjustRightInd w:val="0"/>
        <w:snapToGrid w:val="0"/>
        <w:spacing w:line="360" w:lineRule="auto"/>
        <w:ind w:firstLine="859" w:firstLineChars="0"/>
        <w:rPr>
          <w:rFonts w:hint="eastAsia" w:ascii="宋体" w:hAnsi="宋体" w:eastAsia="宋体" w:cs="宋体"/>
          <w:snapToGrid w:val="0"/>
          <w:color w:val="auto"/>
          <w:highlight w:val="none"/>
          <w:lang w:val="en-US" w:eastAsia="zh-CN"/>
        </w:rPr>
      </w:pPr>
      <w:r>
        <w:rPr>
          <w:rFonts w:hint="eastAsia" w:ascii="宋体" w:hAnsi="宋体" w:eastAsia="宋体" w:cs="宋体"/>
          <w:snapToGrid w:val="0"/>
          <w:color w:val="auto"/>
          <w:highlight w:val="none"/>
          <w:lang w:val="en-US" w:eastAsia="zh-CN"/>
        </w:rPr>
        <w:t>2“数量”依据发承包双方在合同中明确的数量计算方式计算确定。</w:t>
      </w:r>
    </w:p>
    <w:p w14:paraId="4FD8418D">
      <w:pPr>
        <w:rPr>
          <w:rFonts w:hint="eastAsia" w:ascii="宋体" w:hAnsi="宋体" w:eastAsia="宋体" w:cs="宋体"/>
          <w:snapToGrid w:val="0"/>
          <w:color w:val="auto"/>
          <w:highlight w:val="none"/>
          <w:lang w:val="en-US" w:eastAsia="zh-CN"/>
        </w:rPr>
      </w:pPr>
    </w:p>
    <w:p w14:paraId="12C7E85A">
      <w:pPr>
        <w:pStyle w:val="5"/>
        <w:keepNext/>
        <w:keepLines/>
        <w:pageBreakBefore w:val="0"/>
        <w:widowControl/>
        <w:kinsoku/>
        <w:wordWrap/>
        <w:overflowPunct/>
        <w:topLinePunct w:val="0"/>
        <w:autoSpaceDE/>
        <w:autoSpaceDN/>
        <w:bidi w:val="0"/>
        <w:adjustRightInd/>
        <w:snapToGrid/>
        <w:spacing w:before="240" w:line="360" w:lineRule="auto"/>
        <w:ind w:firstLine="420"/>
        <w:jc w:val="left"/>
        <w:textAlignment w:val="auto"/>
        <w:outlineLvl w:val="2"/>
        <w:rPr>
          <w:rFonts w:hint="eastAsia" w:ascii="宋体" w:hAnsi="宋体" w:eastAsia="宋体" w:cs="宋体"/>
          <w:b/>
          <w:bCs/>
          <w:color w:val="auto"/>
          <w:highlight w:val="none"/>
          <w:lang w:val="en-US" w:eastAsia="zh-CN"/>
        </w:rPr>
      </w:pPr>
      <w:bookmarkStart w:id="56" w:name="_Toc9106"/>
      <w:bookmarkStart w:id="57" w:name="_Toc7746"/>
      <w:bookmarkStart w:id="58" w:name="_Toc3661"/>
      <w:r>
        <w:rPr>
          <w:rFonts w:hint="eastAsia" w:ascii="宋体" w:hAnsi="宋体" w:eastAsia="宋体" w:cs="宋体"/>
          <w:b/>
          <w:bCs/>
          <w:color w:val="auto"/>
          <w:highlight w:val="none"/>
          <w:lang w:val="en-US" w:eastAsia="zh-CN"/>
        </w:rPr>
        <w:t>9．投标报价</w:t>
      </w:r>
      <w:bookmarkEnd w:id="56"/>
      <w:bookmarkEnd w:id="57"/>
      <w:bookmarkEnd w:id="58"/>
      <w:bookmarkStart w:id="59" w:name="_Hlt74498519"/>
      <w:bookmarkEnd w:id="59"/>
    </w:p>
    <w:p w14:paraId="13BEDFF6">
      <w:pPr>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9.1</w:t>
      </w:r>
      <w:r>
        <w:rPr>
          <w:rFonts w:hint="eastAsia" w:ascii="宋体" w:hAnsi="宋体" w:eastAsia="宋体" w:cs="宋体"/>
          <w:snapToGrid w:val="0"/>
          <w:color w:val="auto"/>
          <w:kern w:val="0"/>
          <w:highlight w:val="none"/>
        </w:rPr>
        <w:t xml:space="preserve"> 投标人应按照以下依据编制投标报价：</w:t>
      </w:r>
    </w:p>
    <w:p w14:paraId="734ADB61">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（1）《建设工程工程量清单计价标准》（GB50500—2024）；</w:t>
      </w:r>
    </w:p>
    <w:p w14:paraId="34FDED59">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rPr>
        <w:t>（2）《广东省建设工程计价依据(2024)》。具体包括:《房屋建筑与装饰工程工程量计算标准》(GB/T·50854-2024)《市政工程工程量计算标准》(GB/T·50857-2024)《通用安装工程工程量计算标准》(GB/T·50856-2024)《园林绿化工程工程量计算标准》(CB/T50858-2024)等</w:t>
      </w:r>
      <w:r>
        <w:rPr>
          <w:rFonts w:hint="eastAsia" w:ascii="宋体" w:hAnsi="宋体" w:eastAsia="宋体" w:cs="宋体"/>
          <w:snapToGrid w:val="0"/>
          <w:color w:val="auto"/>
          <w:kern w:val="0"/>
          <w:highlight w:val="none"/>
          <w:lang w:eastAsia="zh-CN"/>
        </w:rPr>
        <w:t>；</w:t>
      </w:r>
    </w:p>
    <w:p w14:paraId="3475961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snapToGrid w:val="0"/>
          <w:color w:val="auto"/>
          <w:kern w:val="0"/>
          <w:highlight w:val="none"/>
        </w:rPr>
        <w:t>（3）</w:t>
      </w:r>
      <w:r>
        <w:rPr>
          <w:rFonts w:hint="eastAsia" w:ascii="宋体" w:hAnsi="宋体" w:eastAsia="宋体" w:cs="宋体"/>
          <w:snapToGrid w:val="0"/>
          <w:color w:val="auto"/>
          <w:kern w:val="0"/>
          <w:highlight w:val="none"/>
          <w:lang w:val="en-US" w:eastAsia="zh-CN"/>
        </w:rPr>
        <w:t>企业定额；</w:t>
      </w:r>
    </w:p>
    <w:p w14:paraId="3382B2C7">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（4）招标文件及其答疑（或修改）公告、招标工程量清单；</w:t>
      </w:r>
    </w:p>
    <w:p w14:paraId="7296902C">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（5）施工图及相关资料；</w:t>
      </w:r>
    </w:p>
    <w:p w14:paraId="712C79F0">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（6）施工现场情况、工程特点及投标时拟定的施工组织设计或施工方案；</w:t>
      </w:r>
    </w:p>
    <w:p w14:paraId="0949B626">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（7）市场价格信息或项目所在地工程造价管理机构发布的工程造价信息；</w:t>
      </w:r>
    </w:p>
    <w:p w14:paraId="34DE131C">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（8）与建设项目相关的标准、规范、技术资料。</w:t>
      </w:r>
    </w:p>
    <w:p w14:paraId="66CB7FD9">
      <w:pPr>
        <w:pageBreakBefore w:val="0"/>
        <w:kinsoku/>
        <w:wordWrap w:val="0"/>
        <w:overflowPunct/>
        <w:topLinePunct w:val="0"/>
        <w:autoSpaceDE/>
        <w:autoSpaceDN/>
        <w:bidi w:val="0"/>
        <w:adjustRightInd w:val="0"/>
        <w:snapToGrid w:val="0"/>
        <w:spacing w:line="360" w:lineRule="auto"/>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9.2</w:t>
      </w:r>
      <w:r>
        <w:rPr>
          <w:rFonts w:hint="eastAsia" w:ascii="宋体" w:hAnsi="宋体" w:eastAsia="宋体" w:cs="宋体"/>
          <w:snapToGrid w:val="0"/>
          <w:color w:val="auto"/>
          <w:kern w:val="0"/>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60" w:name="_Hlt66594003"/>
      <w:bookmarkEnd w:id="60"/>
      <w:r>
        <w:rPr>
          <w:rFonts w:hint="eastAsia" w:ascii="宋体" w:hAnsi="宋体" w:eastAsia="宋体" w:cs="宋体"/>
          <w:snapToGrid w:val="0"/>
          <w:color w:val="auto"/>
          <w:kern w:val="0"/>
          <w:highlight w:val="none"/>
        </w:rPr>
        <w:t>所谓“一定范围内的风险”是指合同约定的风险。</w:t>
      </w:r>
      <w:bookmarkStart w:id="61" w:name="_Hlt69335755"/>
      <w:bookmarkEnd w:id="61"/>
    </w:p>
    <w:p w14:paraId="0DBFFB0E">
      <w:pPr>
        <w:pageBreakBefore w:val="0"/>
        <w:kinsoku/>
        <w:wordWrap w:val="0"/>
        <w:overflowPunct/>
        <w:topLinePunct w:val="0"/>
        <w:autoSpaceDE/>
        <w:autoSpaceDN/>
        <w:bidi w:val="0"/>
        <w:adjustRightInd w:val="0"/>
        <w:snapToGrid w:val="0"/>
        <w:spacing w:line="360" w:lineRule="auto"/>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2"/>
          <w:highlight w:val="none"/>
        </w:rPr>
        <w:t xml:space="preserve">9.3 </w:t>
      </w:r>
      <w:r>
        <w:rPr>
          <w:rFonts w:hint="eastAsia" w:ascii="宋体" w:hAnsi="宋体" w:eastAsia="宋体" w:cs="宋体"/>
          <w:snapToGrid w:val="0"/>
          <w:color w:val="auto"/>
          <w:kern w:val="0"/>
          <w:highlight w:val="none"/>
        </w:rPr>
        <w:t>招标人及招标代理机构不集中组织现场踏勘，投标人需要了解现场情况的，可自行进行现场踏勘。各投标人应勘察施工现场及周围环境、地形、地貌、水文、交通等情况，以获得一切可能影响到投标的直</w:t>
      </w:r>
      <w:bookmarkStart w:id="62" w:name="_Hlt66509056"/>
      <w:bookmarkEnd w:id="62"/>
      <w:r>
        <w:rPr>
          <w:rFonts w:hint="eastAsia" w:ascii="宋体" w:hAnsi="宋体" w:eastAsia="宋体" w:cs="宋体"/>
          <w:snapToGrid w:val="0"/>
          <w:color w:val="auto"/>
          <w:kern w:val="0"/>
          <w:highlight w:val="none"/>
        </w:rPr>
        <w:t>接资料。投标人应针对现场情况编制施工组织设计，并在编制投标报价时考虑现场情况的影响。</w:t>
      </w:r>
    </w:p>
    <w:p w14:paraId="51029539">
      <w:pPr>
        <w:pageBreakBefore w:val="0"/>
        <w:kinsoku/>
        <w:wordWrap w:val="0"/>
        <w:overflowPunct/>
        <w:topLinePunct w:val="0"/>
        <w:autoSpaceDE/>
        <w:autoSpaceDN/>
        <w:bidi w:val="0"/>
        <w:adjustRightInd w:val="0"/>
        <w:snapToGrid w:val="0"/>
        <w:spacing w:line="360" w:lineRule="auto"/>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9.4</w:t>
      </w:r>
      <w:r>
        <w:rPr>
          <w:rFonts w:hint="eastAsia" w:ascii="宋体" w:hAnsi="宋体" w:eastAsia="宋体" w:cs="宋体"/>
          <w:snapToGrid w:val="0"/>
          <w:color w:val="auto"/>
          <w:kern w:val="0"/>
          <w:highlight w:val="none"/>
        </w:rPr>
        <w:t>招标人向投标人提供的有关现场的数据和资料，是招标人现有的能被投标人利用的资料，招标人对投标人做出的任何推论、理解和结论均不负责任。</w:t>
      </w:r>
    </w:p>
    <w:p w14:paraId="2A19224C">
      <w:pPr>
        <w:pageBreakBefore w:val="0"/>
        <w:kinsoku/>
        <w:wordWrap w:val="0"/>
        <w:overflowPunct/>
        <w:topLinePunct w:val="0"/>
        <w:autoSpaceDE/>
        <w:autoSpaceDN/>
        <w:bidi w:val="0"/>
        <w:adjustRightInd w:val="0"/>
        <w:snapToGrid w:val="0"/>
        <w:spacing w:line="360" w:lineRule="auto"/>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9.5</w:t>
      </w:r>
      <w:r>
        <w:rPr>
          <w:rFonts w:hint="eastAsia" w:ascii="宋体" w:hAnsi="宋体" w:eastAsia="宋体" w:cs="宋体"/>
          <w:snapToGrid w:val="0"/>
          <w:color w:val="auto"/>
          <w:kern w:val="0"/>
          <w:highlight w:val="none"/>
        </w:rPr>
        <w:t xml:space="preserve"> 投标人必须按照招标工程量清单及表格填报价格。项目编码、项目名称、项目特征、计量单位、工程量必须与招标工程量清单一致。所有报价均以人民币“元”为单位，并按“四舍五入”原则精确到两位小数。</w:t>
      </w:r>
    </w:p>
    <w:p w14:paraId="10516D3C">
      <w:pPr>
        <w:pageBreakBefore w:val="0"/>
        <w:kinsoku/>
        <w:wordWrap w:val="0"/>
        <w:overflowPunct/>
        <w:topLinePunct w:val="0"/>
        <w:autoSpaceDE/>
        <w:autoSpaceDN/>
        <w:bidi w:val="0"/>
        <w:adjustRightInd w:val="0"/>
        <w:snapToGrid w:val="0"/>
        <w:spacing w:line="360" w:lineRule="auto"/>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9.6</w:t>
      </w:r>
      <w:r>
        <w:rPr>
          <w:rFonts w:hint="eastAsia" w:ascii="宋体" w:hAnsi="宋体" w:eastAsia="宋体" w:cs="宋体"/>
          <w:snapToGrid w:val="0"/>
          <w:color w:val="auto"/>
          <w:kern w:val="0"/>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281B0F7E">
      <w:pPr>
        <w:keepNext w:val="0"/>
        <w:keepLines w:val="0"/>
        <w:pageBreakBefore w:val="0"/>
        <w:widowControl w:val="0"/>
        <w:kinsoku/>
        <w:wordWrap w:val="0"/>
        <w:overflowPunct/>
        <w:topLinePunct w:val="0"/>
        <w:autoSpaceDE/>
        <w:autoSpaceDN/>
        <w:bidi w:val="0"/>
        <w:adjustRightInd w:val="0"/>
        <w:snapToGrid w:val="0"/>
        <w:spacing w:line="360" w:lineRule="auto"/>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9.7</w:t>
      </w:r>
      <w:r>
        <w:rPr>
          <w:rFonts w:hint="eastAsia" w:ascii="宋体" w:hAnsi="宋体" w:eastAsia="宋体" w:cs="宋体"/>
          <w:snapToGrid w:val="0"/>
          <w:color w:val="auto"/>
          <w:kern w:val="0"/>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highlight w:val="none"/>
        </w:rPr>
        <w:t>如果投标人的投标总价下浮率高于15%时，投标人必须在投标文件中专项作出详细合理的书面说明并提供以往类似工程详细成本分析报告供评标委员会审查</w:t>
      </w:r>
      <w:r>
        <w:rPr>
          <w:rFonts w:hint="eastAsia" w:ascii="宋体" w:hAnsi="宋体" w:eastAsia="宋体" w:cs="宋体"/>
          <w:b/>
          <w:snapToGrid w:val="0"/>
          <w:color w:val="auto"/>
          <w:kern w:val="0"/>
          <w:highlight w:val="none"/>
          <w:lang w:eastAsia="zh-CN"/>
        </w:rPr>
        <w:t>。</w:t>
      </w:r>
      <w:r>
        <w:rPr>
          <w:rFonts w:hint="eastAsia" w:ascii="宋体" w:hAnsi="宋体" w:eastAsia="宋体" w:cs="宋体"/>
          <w:b/>
          <w:bCs/>
          <w:snapToGrid w:val="0"/>
          <w:color w:val="auto"/>
          <w:kern w:val="0"/>
          <w:highlight w:val="none"/>
        </w:rPr>
        <w:t xml:space="preserve">投标总价下浮率＝（1－投标总价÷招标控制价）×100% </w:t>
      </w:r>
      <w:r>
        <w:rPr>
          <w:rFonts w:hint="eastAsia" w:ascii="宋体" w:hAnsi="宋体" w:eastAsia="宋体" w:cs="宋体"/>
          <w:b/>
          <w:snapToGrid w:val="0"/>
          <w:color w:val="auto"/>
          <w:kern w:val="0"/>
          <w:highlight w:val="none"/>
        </w:rPr>
        <w:t>。</w:t>
      </w:r>
    </w:p>
    <w:p w14:paraId="34A720F7">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9.8</w:t>
      </w:r>
      <w:r>
        <w:rPr>
          <w:rFonts w:hint="eastAsia" w:ascii="宋体" w:hAnsi="宋体" w:eastAsia="宋体" w:cs="宋体"/>
          <w:snapToGrid w:val="0"/>
          <w:color w:val="auto"/>
          <w:kern w:val="0"/>
          <w:highlight w:val="none"/>
        </w:rPr>
        <w:t xml:space="preserve"> 投标人的安全生产措施费报价必须达到或超过招标</w:t>
      </w:r>
      <w:r>
        <w:rPr>
          <w:rFonts w:hint="eastAsia" w:ascii="宋体" w:hAnsi="宋体" w:eastAsia="宋体" w:cs="宋体"/>
          <w:snapToGrid w:val="0"/>
          <w:color w:val="auto"/>
          <w:kern w:val="0"/>
          <w:highlight w:val="none"/>
          <w:lang w:val="en-US" w:eastAsia="zh-CN"/>
        </w:rPr>
        <w:t>控制价</w:t>
      </w:r>
      <w:r>
        <w:rPr>
          <w:rFonts w:hint="eastAsia" w:ascii="宋体" w:hAnsi="宋体" w:eastAsia="宋体" w:cs="宋体"/>
          <w:snapToGrid w:val="0"/>
          <w:color w:val="auto"/>
          <w:kern w:val="0"/>
          <w:highlight w:val="none"/>
        </w:rPr>
        <w:t>中提供的安全生产措施费。</w:t>
      </w:r>
    </w:p>
    <w:p w14:paraId="71616748">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9.9</w:t>
      </w:r>
      <w:r>
        <w:rPr>
          <w:rFonts w:hint="eastAsia" w:ascii="宋体" w:hAnsi="宋体" w:eastAsia="宋体" w:cs="宋体"/>
          <w:snapToGrid w:val="0"/>
          <w:color w:val="auto"/>
          <w:kern w:val="0"/>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63" w:name="_Hlk40960232"/>
    </w:p>
    <w:p w14:paraId="7F47421B">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color w:val="auto"/>
          <w:highlight w:val="none"/>
        </w:rPr>
      </w:pPr>
      <w:r>
        <w:rPr>
          <w:rFonts w:hint="eastAsia" w:ascii="宋体" w:hAnsi="宋体" w:eastAsia="宋体" w:cs="宋体"/>
          <w:b/>
          <w:bCs/>
          <w:snapToGrid w:val="0"/>
          <w:color w:val="auto"/>
          <w:szCs w:val="22"/>
          <w:highlight w:val="none"/>
        </w:rPr>
        <w:t xml:space="preserve">9.10 </w:t>
      </w:r>
      <w:bookmarkEnd w:id="63"/>
      <w:r>
        <w:rPr>
          <w:rFonts w:hint="eastAsia" w:ascii="宋体" w:hAnsi="宋体" w:eastAsia="宋体" w:cs="宋体"/>
          <w:snapToGrid w:val="0"/>
          <w:color w:val="auto"/>
          <w:kern w:val="0"/>
          <w:sz w:val="24"/>
          <w:highlight w:val="none"/>
          <w:lang w:val="en-US" w:eastAsia="zh-CN" w:bidi="ar-SA"/>
        </w:rPr>
        <w:t>预算包干内容一般包括施工雨（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投标报价时，应按</w:t>
      </w:r>
      <w:r>
        <w:rPr>
          <w:rFonts w:hint="eastAsia" w:ascii="宋体" w:hAnsi="宋体" w:eastAsia="宋体" w:cs="宋体"/>
          <w:snapToGrid w:val="0"/>
          <w:color w:val="auto"/>
          <w:kern w:val="0"/>
          <w:highlight w:val="none"/>
        </w:rPr>
        <w:t>《建设工程工程量清单计价标准》（GB50500—2024）</w:t>
      </w:r>
      <w:r>
        <w:rPr>
          <w:rFonts w:hint="eastAsia" w:ascii="宋体" w:hAnsi="宋体" w:eastAsia="宋体" w:cs="宋体"/>
          <w:snapToGrid w:val="0"/>
          <w:color w:val="auto"/>
          <w:kern w:val="0"/>
          <w:sz w:val="24"/>
          <w:highlight w:val="none"/>
          <w:lang w:val="en-US" w:eastAsia="zh-CN" w:bidi="ar-SA"/>
        </w:rPr>
        <w:t>规定的费率报价；若招标工程量清单明确说明不计算预算包干费或另外确定预算包干费费率的，则按招标工程量清单报价。</w:t>
      </w:r>
    </w:p>
    <w:p w14:paraId="30CA78F5">
      <w:pPr>
        <w:pStyle w:val="5"/>
        <w:pageBreakBefore w:val="0"/>
        <w:kinsoku/>
        <w:wordWrap w:val="0"/>
        <w:overflowPunct/>
        <w:topLinePunct w:val="0"/>
        <w:autoSpaceDE/>
        <w:autoSpaceDN/>
        <w:bidi w:val="0"/>
        <w:snapToGrid w:val="0"/>
        <w:spacing w:line="360" w:lineRule="auto"/>
        <w:ind w:firstLine="480"/>
        <w:jc w:val="both"/>
        <w:outlineLvl w:val="2"/>
        <w:rPr>
          <w:rFonts w:hint="eastAsia" w:ascii="宋体" w:hAnsi="宋体" w:eastAsia="宋体" w:cs="宋体"/>
          <w:b/>
          <w:strike/>
          <w:snapToGrid w:val="0"/>
          <w:color w:val="auto"/>
          <w:highlight w:val="none"/>
        </w:rPr>
      </w:pPr>
      <w:bookmarkStart w:id="64" w:name="_（十）投标文件的编制、包装、密封"/>
      <w:bookmarkEnd w:id="64"/>
      <w:bookmarkStart w:id="65" w:name="_Toc11164"/>
      <w:bookmarkStart w:id="66" w:name="_Toc24294"/>
      <w:r>
        <w:rPr>
          <w:rFonts w:hint="eastAsia" w:ascii="宋体" w:hAnsi="宋体" w:eastAsia="宋体" w:cs="宋体"/>
          <w:b/>
          <w:snapToGrid w:val="0"/>
          <w:color w:val="auto"/>
          <w:highlight w:val="none"/>
        </w:rPr>
        <w:t>10．投标文件的编制</w:t>
      </w:r>
      <w:bookmarkStart w:id="67" w:name="_Hlt69208262"/>
      <w:bookmarkEnd w:id="67"/>
      <w:bookmarkStart w:id="68" w:name="_Hlt69332370"/>
      <w:bookmarkEnd w:id="68"/>
      <w:r>
        <w:rPr>
          <w:rFonts w:hint="eastAsia" w:ascii="宋体" w:hAnsi="宋体" w:eastAsia="宋体" w:cs="宋体"/>
          <w:b/>
          <w:snapToGrid w:val="0"/>
          <w:color w:val="auto"/>
          <w:highlight w:val="none"/>
        </w:rPr>
        <w:t>要求</w:t>
      </w:r>
      <w:bookmarkEnd w:id="65"/>
      <w:bookmarkEnd w:id="66"/>
      <w:bookmarkStart w:id="69" w:name="_Hlt78768224"/>
      <w:bookmarkEnd w:id="69"/>
      <w:bookmarkStart w:id="70" w:name="_Hlt74495594"/>
      <w:bookmarkEnd w:id="70"/>
      <w:bookmarkStart w:id="71" w:name="_Hlt74497202"/>
      <w:bookmarkEnd w:id="71"/>
    </w:p>
    <w:p w14:paraId="2819D7CB">
      <w:pPr>
        <w:keepNext w:val="0"/>
        <w:keepLines w:val="0"/>
        <w:pageBreakBefore w:val="0"/>
        <w:widowControl w:val="0"/>
        <w:kinsoku/>
        <w:wordWrap w:val="0"/>
        <w:overflowPunct/>
        <w:topLinePunct w:val="0"/>
        <w:autoSpaceDE/>
        <w:autoSpaceDN/>
        <w:bidi w:val="0"/>
        <w:adjustRightInd w:val="0"/>
        <w:snapToGrid w:val="0"/>
        <w:spacing w:before="0" w:after="0" w:line="360" w:lineRule="auto"/>
        <w:ind w:firstLine="482" w:firstLineChars="200"/>
        <w:jc w:val="both"/>
        <w:outlineLvl w:val="9"/>
        <w:rPr>
          <w:rFonts w:hint="eastAsia" w:ascii="宋体" w:hAnsi="宋体" w:eastAsia="宋体" w:cs="宋体"/>
          <w:b/>
          <w:snapToGrid w:val="0"/>
          <w:color w:val="auto"/>
          <w:highlight w:val="none"/>
        </w:rPr>
      </w:pPr>
      <w:bookmarkStart w:id="72" w:name="_Toc12753"/>
      <w:r>
        <w:rPr>
          <w:rFonts w:hint="eastAsia" w:ascii="宋体" w:hAnsi="宋体" w:eastAsia="宋体" w:cs="宋体"/>
          <w:b/>
          <w:bCs/>
          <w:snapToGrid w:val="0"/>
          <w:color w:val="auto"/>
          <w:highlight w:val="none"/>
        </w:rPr>
        <w:t>10.1</w:t>
      </w:r>
      <w:r>
        <w:rPr>
          <w:rFonts w:hint="eastAsia" w:ascii="宋体" w:hAnsi="宋体" w:eastAsia="宋体" w:cs="宋体"/>
          <w:bCs/>
          <w:snapToGrid w:val="0"/>
          <w:color w:val="auto"/>
          <w:highlight w:val="none"/>
        </w:rPr>
        <w:t xml:space="preserve"> 一般要求</w:t>
      </w:r>
      <w:bookmarkEnd w:id="72"/>
    </w:p>
    <w:p w14:paraId="5440B41D">
      <w:pPr>
        <w:pStyle w:val="9"/>
        <w:pageBreakBefore w:val="0"/>
        <w:kinsoku/>
        <w:wordWrap w:val="0"/>
        <w:overflowPunct/>
        <w:topLinePunct w:val="0"/>
        <w:autoSpaceDE/>
        <w:autoSpaceDN/>
        <w:bidi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投标文件应按第六章 投标文件格式规定的内容，投标人提交的投标文件应当使用招标文件所提供的投标文件全部格式。</w:t>
      </w:r>
    </w:p>
    <w:p w14:paraId="278C2561">
      <w:pPr>
        <w:pStyle w:val="9"/>
        <w:pageBreakBefore w:val="0"/>
        <w:kinsoku/>
        <w:wordWrap w:val="0"/>
        <w:overflowPunct/>
        <w:topLinePunct w:val="0"/>
        <w:autoSpaceDE/>
        <w:autoSpaceDN/>
        <w:bidi w:val="0"/>
        <w:adjustRightInd w:val="0"/>
        <w:snapToGrid w:val="0"/>
        <w:spacing w:line="360" w:lineRule="auto"/>
        <w:ind w:firstLineChars="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10.1.1</w:t>
      </w:r>
      <w:r>
        <w:rPr>
          <w:rFonts w:hint="eastAsia" w:ascii="宋体" w:hAnsi="宋体" w:eastAsia="宋体" w:cs="宋体"/>
          <w:snapToGrid w:val="0"/>
          <w:color w:val="auto"/>
          <w:kern w:val="0"/>
          <w:highlight w:val="none"/>
        </w:rPr>
        <w:t xml:space="preserve"> </w:t>
      </w:r>
      <w:bookmarkStart w:id="73" w:name="_Hlt74496890"/>
      <w:bookmarkEnd w:id="73"/>
      <w:r>
        <w:rPr>
          <w:rFonts w:hint="eastAsia" w:ascii="宋体" w:hAnsi="宋体" w:eastAsia="宋体" w:cs="宋体"/>
          <w:snapToGrid w:val="0"/>
          <w:color w:val="auto"/>
          <w:kern w:val="0"/>
          <w:highlight w:val="none"/>
        </w:rPr>
        <w:t>投标人必须响应招标文件，并在充分理解招标人提供的全部文件、设计图纸、资料及现场条件的基础上编制投标文件。因投标文件不符合招标文件的要求而造成的损失和后果，由投标人自行承担。</w:t>
      </w:r>
    </w:p>
    <w:p w14:paraId="744BE8F0">
      <w:pPr>
        <w:pStyle w:val="9"/>
        <w:pageBreakBefore w:val="0"/>
        <w:kinsoku/>
        <w:wordWrap w:val="0"/>
        <w:overflowPunct/>
        <w:topLinePunct w:val="0"/>
        <w:autoSpaceDE/>
        <w:autoSpaceDN/>
        <w:bidi w:val="0"/>
        <w:adjustRightInd w:val="0"/>
        <w:snapToGrid w:val="0"/>
        <w:spacing w:line="360" w:lineRule="auto"/>
        <w:ind w:firstLineChars="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10.1.2</w:t>
      </w:r>
      <w:r>
        <w:rPr>
          <w:rFonts w:hint="eastAsia" w:ascii="宋体" w:hAnsi="宋体" w:eastAsia="宋体" w:cs="宋体"/>
          <w:snapToGrid w:val="0"/>
          <w:color w:val="auto"/>
          <w:kern w:val="0"/>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snapToGrid w:val="0"/>
          <w:color w:val="auto"/>
          <w:kern w:val="0"/>
          <w:sz w:val="24"/>
          <w:highlight w:val="none"/>
          <w:lang w:val="en-US" w:eastAsia="zh-CN"/>
        </w:rPr>
        <w:t>全国公共资源交易平台（广东省·韶关市）交易指引。</w:t>
      </w:r>
    </w:p>
    <w:p w14:paraId="63499730">
      <w:pPr>
        <w:pStyle w:val="9"/>
        <w:pageBreakBefore w:val="0"/>
        <w:kinsoku/>
        <w:wordWrap w:val="0"/>
        <w:overflowPunct/>
        <w:topLinePunct w:val="0"/>
        <w:autoSpaceDE/>
        <w:autoSpaceDN/>
        <w:bidi w:val="0"/>
        <w:adjustRightInd w:val="0"/>
        <w:snapToGrid w:val="0"/>
        <w:spacing w:line="360" w:lineRule="auto"/>
        <w:ind w:firstLineChars="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10.1.3</w:t>
      </w:r>
      <w:r>
        <w:rPr>
          <w:rFonts w:hint="eastAsia" w:ascii="宋体" w:hAnsi="宋体" w:eastAsia="宋体" w:cs="宋体"/>
          <w:snapToGrid w:val="0"/>
          <w:color w:val="auto"/>
          <w:kern w:val="0"/>
          <w:highlight w:val="none"/>
        </w:rPr>
        <w:t xml:space="preserve"> 投标文件需按以下要求签字、盖章：</w:t>
      </w:r>
    </w:p>
    <w:p w14:paraId="78D20BAA">
      <w:pPr>
        <w:pStyle w:val="9"/>
        <w:pageBreakBefore w:val="0"/>
        <w:kinsoku/>
        <w:wordWrap w:val="0"/>
        <w:overflowPunct/>
        <w:topLinePunct w:val="0"/>
        <w:autoSpaceDE/>
        <w:autoSpaceDN/>
        <w:bidi w:val="0"/>
        <w:adjustRightInd w:val="0"/>
        <w:snapToGrid w:val="0"/>
        <w:spacing w:line="360" w:lineRule="auto"/>
        <w:ind w:firstLineChars="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电子投标文件：</w:t>
      </w:r>
    </w:p>
    <w:p w14:paraId="3EAAF07A">
      <w:pPr>
        <w:pStyle w:val="9"/>
        <w:pageBreakBefore w:val="0"/>
        <w:kinsoku/>
        <w:wordWrap w:val="0"/>
        <w:overflowPunct/>
        <w:topLinePunct w:val="0"/>
        <w:autoSpaceDE/>
        <w:autoSpaceDN/>
        <w:bidi w:val="0"/>
        <w:adjustRightInd w:val="0"/>
        <w:snapToGrid w:val="0"/>
        <w:spacing w:line="360" w:lineRule="auto"/>
        <w:ind w:firstLineChars="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10.1.3.1</w:t>
      </w:r>
      <w:r>
        <w:rPr>
          <w:rFonts w:hint="eastAsia" w:ascii="宋体" w:hAnsi="宋体" w:eastAsia="宋体" w:cs="宋体"/>
          <w:snapToGrid w:val="0"/>
          <w:color w:val="auto"/>
          <w:kern w:val="0"/>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1E640926">
      <w:pPr>
        <w:pStyle w:val="9"/>
        <w:pageBreakBefore w:val="0"/>
        <w:kinsoku/>
        <w:wordWrap w:val="0"/>
        <w:overflowPunct/>
        <w:topLinePunct w:val="0"/>
        <w:autoSpaceDE/>
        <w:autoSpaceDN/>
        <w:bidi w:val="0"/>
        <w:adjustRightInd w:val="0"/>
        <w:snapToGrid w:val="0"/>
        <w:spacing w:line="360" w:lineRule="auto"/>
        <w:ind w:firstLineChars="0"/>
        <w:rPr>
          <w:rFonts w:hint="eastAsia" w:ascii="宋体" w:hAnsi="宋体" w:eastAsia="宋体" w:cs="宋体"/>
          <w:snapToGrid w:val="0"/>
          <w:color w:val="auto"/>
          <w:kern w:val="0"/>
          <w:highlight w:val="none"/>
          <w:lang w:eastAsia="zh-CN"/>
        </w:rPr>
      </w:pPr>
      <w:r>
        <w:rPr>
          <w:rFonts w:hint="eastAsia" w:ascii="宋体" w:hAnsi="宋体" w:eastAsia="宋体" w:cs="宋体"/>
          <w:b/>
          <w:bCs/>
          <w:snapToGrid w:val="0"/>
          <w:color w:val="auto"/>
          <w:kern w:val="0"/>
          <w:highlight w:val="none"/>
        </w:rPr>
        <w:t>10.1.3.2</w:t>
      </w:r>
      <w:r>
        <w:rPr>
          <w:rFonts w:hint="eastAsia" w:ascii="宋体" w:hAnsi="宋体" w:eastAsia="宋体" w:cs="宋体"/>
          <w:snapToGrid w:val="0"/>
          <w:color w:val="auto"/>
          <w:kern w:val="0"/>
          <w:highlight w:val="none"/>
        </w:rPr>
        <w:t xml:space="preserve"> 投标文件封套、封面、组成内容中凡要求录入投标人名称且注明“盖单位章”处盖单位法人公章（电子印章）</w:t>
      </w:r>
      <w:r>
        <w:rPr>
          <w:rFonts w:hint="eastAsia" w:ascii="宋体" w:hAnsi="宋体" w:eastAsia="宋体" w:cs="宋体"/>
          <w:snapToGrid w:val="0"/>
          <w:color w:val="auto"/>
          <w:kern w:val="0"/>
          <w:highlight w:val="none"/>
          <w:lang w:eastAsia="zh-CN"/>
        </w:rPr>
        <w:t>。</w:t>
      </w:r>
    </w:p>
    <w:p w14:paraId="5CC44E77">
      <w:pPr>
        <w:pStyle w:val="9"/>
        <w:pageBreakBefore w:val="0"/>
        <w:kinsoku/>
        <w:wordWrap w:val="0"/>
        <w:overflowPunct/>
        <w:topLinePunct w:val="0"/>
        <w:autoSpaceDE/>
        <w:autoSpaceDN/>
        <w:bidi w:val="0"/>
        <w:adjustRightInd w:val="0"/>
        <w:snapToGrid w:val="0"/>
        <w:spacing w:line="360" w:lineRule="auto"/>
        <w:ind w:firstLineChars="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10.1.3.3</w:t>
      </w:r>
      <w:r>
        <w:rPr>
          <w:rFonts w:hint="eastAsia" w:ascii="宋体" w:hAnsi="宋体" w:eastAsia="宋体" w:cs="宋体"/>
          <w:snapToGrid w:val="0"/>
          <w:color w:val="auto"/>
          <w:kern w:val="0"/>
          <w:highlight w:val="none"/>
        </w:rPr>
        <w:t xml:space="preserve"> 投标文件的签字均为签字人本人亲笔署名或签章（电子印章），其余部分的</w:t>
      </w:r>
      <w:r>
        <w:rPr>
          <w:rFonts w:hint="eastAsia" w:ascii="宋体" w:hAnsi="宋体" w:eastAsia="宋体" w:cs="宋体"/>
          <w:snapToGrid w:val="0"/>
          <w:color w:val="auto"/>
          <w:kern w:val="0"/>
          <w:highlight w:val="none"/>
          <w:lang w:val="en-US" w:eastAsia="zh-CN"/>
        </w:rPr>
        <w:t>扫描</w:t>
      </w:r>
      <w:r>
        <w:rPr>
          <w:rFonts w:hint="eastAsia" w:ascii="宋体" w:hAnsi="宋体" w:eastAsia="宋体" w:cs="宋体"/>
          <w:snapToGrid w:val="0"/>
          <w:color w:val="auto"/>
          <w:kern w:val="0"/>
          <w:highlight w:val="none"/>
        </w:rPr>
        <w:t>件无须另行签字、盖章。</w:t>
      </w:r>
    </w:p>
    <w:p w14:paraId="3A1C7894">
      <w:pPr>
        <w:keepNext w:val="0"/>
        <w:keepLines w:val="0"/>
        <w:pageBreakBefore w:val="0"/>
        <w:widowControl w:val="0"/>
        <w:kinsoku/>
        <w:wordWrap w:val="0"/>
        <w:overflowPunct/>
        <w:topLinePunct w:val="0"/>
        <w:autoSpaceDE/>
        <w:autoSpaceDN/>
        <w:bidi w:val="0"/>
        <w:adjustRightInd w:val="0"/>
        <w:snapToGrid w:val="0"/>
        <w:spacing w:before="0" w:after="0" w:line="360" w:lineRule="auto"/>
        <w:ind w:firstLine="482" w:firstLineChars="200"/>
        <w:jc w:val="both"/>
        <w:outlineLvl w:val="9"/>
        <w:rPr>
          <w:rFonts w:hint="eastAsia" w:ascii="宋体" w:hAnsi="宋体" w:eastAsia="宋体" w:cs="宋体"/>
          <w:b/>
          <w:snapToGrid w:val="0"/>
          <w:color w:val="auto"/>
          <w:highlight w:val="none"/>
        </w:rPr>
      </w:pPr>
      <w:bookmarkStart w:id="74" w:name="_Toc257031159"/>
      <w:bookmarkStart w:id="75" w:name="_Toc274313880"/>
      <w:bookmarkStart w:id="76" w:name="_Toc9028"/>
      <w:r>
        <w:rPr>
          <w:rFonts w:hint="eastAsia" w:ascii="宋体" w:hAnsi="宋体" w:eastAsia="宋体" w:cs="宋体"/>
          <w:b/>
          <w:bCs/>
          <w:snapToGrid w:val="0"/>
          <w:color w:val="auto"/>
          <w:highlight w:val="none"/>
        </w:rPr>
        <w:t>10.2</w:t>
      </w:r>
      <w:r>
        <w:rPr>
          <w:rFonts w:hint="eastAsia" w:ascii="宋体" w:hAnsi="宋体" w:eastAsia="宋体" w:cs="宋体"/>
          <w:bCs/>
          <w:snapToGrid w:val="0"/>
          <w:color w:val="auto"/>
          <w:highlight w:val="none"/>
        </w:rPr>
        <w:t xml:space="preserve"> 商务标书的编制要求</w:t>
      </w:r>
      <w:bookmarkEnd w:id="74"/>
      <w:bookmarkEnd w:id="75"/>
      <w:bookmarkEnd w:id="76"/>
    </w:p>
    <w:p w14:paraId="149C10CA">
      <w:pPr>
        <w:pageBreakBefore w:val="0"/>
        <w:kinsoku/>
        <w:wordWrap w:val="0"/>
        <w:overflowPunct/>
        <w:topLinePunct w:val="0"/>
        <w:autoSpaceDE/>
        <w:autoSpaceDN/>
        <w:bidi w:val="0"/>
        <w:adjustRightInd w:val="0"/>
        <w:snapToGrid w:val="0"/>
        <w:spacing w:line="360" w:lineRule="auto"/>
        <w:ind w:firstLine="561"/>
        <w:rPr>
          <w:rFonts w:hint="eastAsia" w:ascii="宋体" w:hAnsi="宋体" w:eastAsia="宋体" w:cs="宋体"/>
          <w:snapToGrid w:val="0"/>
          <w:color w:val="auto"/>
          <w:kern w:val="0"/>
          <w:highlight w:val="none"/>
          <w:u w:val="single"/>
        </w:rPr>
      </w:pPr>
      <w:r>
        <w:rPr>
          <w:rFonts w:hint="eastAsia" w:ascii="宋体" w:hAnsi="宋体" w:eastAsia="宋体" w:cs="宋体"/>
          <w:b/>
          <w:bCs/>
          <w:snapToGrid w:val="0"/>
          <w:color w:val="auto"/>
          <w:kern w:val="0"/>
          <w:highlight w:val="none"/>
        </w:rPr>
        <w:t>10.2.1</w:t>
      </w:r>
      <w:r>
        <w:rPr>
          <w:rFonts w:hint="eastAsia" w:ascii="宋体" w:hAnsi="宋体" w:eastAsia="宋体" w:cs="宋体"/>
          <w:snapToGrid w:val="0"/>
          <w:color w:val="auto"/>
          <w:kern w:val="0"/>
          <w:highlight w:val="none"/>
        </w:rPr>
        <w:t xml:space="preserve"> </w:t>
      </w:r>
      <w:r>
        <w:rPr>
          <w:rFonts w:hint="eastAsia" w:ascii="宋体" w:hAnsi="宋体" w:eastAsia="宋体" w:cs="宋体"/>
          <w:bCs/>
          <w:snapToGrid w:val="0"/>
          <w:color w:val="auto"/>
          <w:kern w:val="0"/>
          <w:highlight w:val="none"/>
        </w:rPr>
        <w:t>商务标书</w:t>
      </w:r>
      <w:r>
        <w:rPr>
          <w:rFonts w:hint="eastAsia" w:ascii="宋体" w:hAnsi="宋体" w:eastAsia="宋体" w:cs="宋体"/>
          <w:snapToGrid w:val="0"/>
          <w:color w:val="auto"/>
          <w:kern w:val="0"/>
          <w:highlight w:val="none"/>
        </w:rPr>
        <w:t>包括但不限于以下内容：</w:t>
      </w:r>
    </w:p>
    <w:p w14:paraId="15ED666F">
      <w:pPr>
        <w:pageBreakBefore w:val="0"/>
        <w:kinsoku/>
        <w:wordWrap w:val="0"/>
        <w:overflowPunct/>
        <w:topLinePunct w:val="0"/>
        <w:autoSpaceDE/>
        <w:autoSpaceDN/>
        <w:bidi w:val="0"/>
        <w:adjustRightInd w:val="0"/>
        <w:snapToGrid w:val="0"/>
        <w:spacing w:line="360" w:lineRule="auto"/>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szCs w:val="18"/>
          <w:highlight w:val="none"/>
        </w:rPr>
        <w:t>（1）封面（格式一）；</w:t>
      </w:r>
    </w:p>
    <w:p w14:paraId="2F57835B">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（2）目录；</w:t>
      </w:r>
      <w:r>
        <w:rPr>
          <w:rFonts w:hint="eastAsia" w:ascii="宋体" w:hAnsi="宋体" w:eastAsia="宋体" w:cs="宋体"/>
          <w:snapToGrid w:val="0"/>
          <w:color w:val="auto"/>
          <w:kern w:val="0"/>
          <w:highlight w:val="none"/>
        </w:rPr>
        <w:t xml:space="preserve"> </w:t>
      </w:r>
    </w:p>
    <w:p w14:paraId="52C53514">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（3）《</w:t>
      </w:r>
      <w:r>
        <w:rPr>
          <w:rFonts w:hint="eastAsia" w:ascii="宋体" w:hAnsi="宋体" w:eastAsia="宋体" w:cs="宋体"/>
          <w:snapToGrid w:val="0"/>
          <w:color w:val="auto"/>
          <w:kern w:val="0"/>
          <w:highlight w:val="none"/>
        </w:rPr>
        <w:t>投标函</w:t>
      </w:r>
      <w:r>
        <w:rPr>
          <w:rFonts w:hint="eastAsia" w:ascii="宋体" w:hAnsi="宋体" w:eastAsia="宋体" w:cs="宋体"/>
          <w:snapToGrid w:val="0"/>
          <w:color w:val="auto"/>
          <w:kern w:val="0"/>
          <w:szCs w:val="18"/>
          <w:highlight w:val="none"/>
        </w:rPr>
        <w:t>》（格式二）；</w:t>
      </w:r>
    </w:p>
    <w:p w14:paraId="5CACC6E3">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（4）《</w:t>
      </w:r>
      <w:r>
        <w:rPr>
          <w:rFonts w:hint="eastAsia" w:ascii="宋体" w:hAnsi="宋体" w:eastAsia="宋体" w:cs="宋体"/>
          <w:snapToGrid w:val="0"/>
          <w:color w:val="auto"/>
          <w:kern w:val="0"/>
          <w:szCs w:val="22"/>
          <w:highlight w:val="none"/>
        </w:rPr>
        <w:t>各项</w:t>
      </w:r>
      <w:r>
        <w:rPr>
          <w:rFonts w:hint="eastAsia" w:ascii="宋体" w:hAnsi="宋体" w:eastAsia="宋体" w:cs="宋体"/>
          <w:snapToGrid w:val="0"/>
          <w:color w:val="auto"/>
          <w:kern w:val="0"/>
          <w:highlight w:val="none"/>
        </w:rPr>
        <w:t>承诺一览表》（格式三）；</w:t>
      </w:r>
    </w:p>
    <w:p w14:paraId="586E2E6B">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（5）《授权委托书》（格式四）；</w:t>
      </w:r>
    </w:p>
    <w:p w14:paraId="652C2E67">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（6）《法定代表人身份证明》（格式五）；</w:t>
      </w:r>
    </w:p>
    <w:p w14:paraId="32CD7A34">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b/>
          <w:bCs/>
          <w:snapToGrid w:val="0"/>
          <w:color w:val="auto"/>
          <w:kern w:val="0"/>
          <w:szCs w:val="18"/>
          <w:highlight w:val="none"/>
        </w:rPr>
      </w:pPr>
      <w:r>
        <w:rPr>
          <w:rFonts w:hint="eastAsia" w:ascii="宋体" w:hAnsi="宋体" w:eastAsia="宋体" w:cs="宋体"/>
          <w:snapToGrid w:val="0"/>
          <w:color w:val="auto"/>
          <w:kern w:val="0"/>
          <w:szCs w:val="18"/>
          <w:highlight w:val="none"/>
        </w:rPr>
        <w:t>（</w:t>
      </w:r>
      <w:r>
        <w:rPr>
          <w:rFonts w:hint="eastAsia" w:ascii="宋体" w:hAnsi="宋体" w:eastAsia="宋体" w:cs="宋体"/>
          <w:snapToGrid w:val="0"/>
          <w:color w:val="auto"/>
          <w:kern w:val="0"/>
          <w:szCs w:val="18"/>
          <w:highlight w:val="none"/>
          <w:lang w:val="en-US" w:eastAsia="zh-CN"/>
        </w:rPr>
        <w:t>7</w:t>
      </w:r>
      <w:r>
        <w:rPr>
          <w:rFonts w:hint="eastAsia" w:ascii="宋体" w:hAnsi="宋体" w:eastAsia="宋体" w:cs="宋体"/>
          <w:snapToGrid w:val="0"/>
          <w:color w:val="auto"/>
          <w:kern w:val="0"/>
          <w:szCs w:val="18"/>
          <w:highlight w:val="none"/>
        </w:rPr>
        <w:t>）投标保证缴纳证明（投标人采用投标保证金的，附建设工程交易系统《缴纳投标保证金通知书》页面截图和银行转账单</w:t>
      </w:r>
      <w:r>
        <w:rPr>
          <w:rFonts w:hint="eastAsia" w:ascii="宋体" w:hAnsi="宋体" w:eastAsia="宋体" w:cs="宋体"/>
          <w:snapToGrid w:val="0"/>
          <w:color w:val="auto"/>
          <w:kern w:val="0"/>
          <w:szCs w:val="18"/>
          <w:highlight w:val="none"/>
          <w:lang w:val="en-US" w:eastAsia="zh-CN"/>
        </w:rPr>
        <w:t>彩色扫描</w:t>
      </w:r>
      <w:r>
        <w:rPr>
          <w:rFonts w:hint="eastAsia" w:ascii="宋体" w:hAnsi="宋体" w:eastAsia="宋体" w:cs="宋体"/>
          <w:snapToGrid w:val="0"/>
          <w:color w:val="auto"/>
          <w:kern w:val="0"/>
          <w:szCs w:val="18"/>
          <w:highlight w:val="none"/>
        </w:rPr>
        <w:t>件；采用投标保证担保的，附银行保函</w:t>
      </w:r>
      <w:r>
        <w:rPr>
          <w:rFonts w:hint="eastAsia" w:ascii="宋体" w:hAnsi="宋体" w:eastAsia="宋体" w:cs="宋体"/>
          <w:snapToGrid w:val="0"/>
          <w:color w:val="auto"/>
          <w:kern w:val="0"/>
          <w:szCs w:val="18"/>
          <w:highlight w:val="none"/>
          <w:lang w:val="en-US" w:eastAsia="zh-CN"/>
        </w:rPr>
        <w:t>彩色扫描</w:t>
      </w:r>
      <w:r>
        <w:rPr>
          <w:rFonts w:hint="eastAsia" w:ascii="宋体" w:hAnsi="宋体" w:eastAsia="宋体" w:cs="宋体"/>
          <w:snapToGrid w:val="0"/>
          <w:color w:val="auto"/>
          <w:kern w:val="0"/>
          <w:szCs w:val="18"/>
          <w:highlight w:val="none"/>
        </w:rPr>
        <w:t>件；</w:t>
      </w:r>
      <w:r>
        <w:rPr>
          <w:rFonts w:hint="eastAsia" w:ascii="宋体" w:hAnsi="宋体" w:eastAsia="宋体" w:cs="宋体"/>
          <w:snapToGrid w:val="0"/>
          <w:color w:val="auto"/>
          <w:kern w:val="0"/>
          <w:szCs w:val="18"/>
          <w:highlight w:val="none"/>
          <w:lang w:eastAsia="zh-CN"/>
        </w:rPr>
        <w:t>采用投标保证保险的，附电子保单</w:t>
      </w:r>
      <w:r>
        <w:rPr>
          <w:rFonts w:hint="eastAsia" w:ascii="宋体" w:hAnsi="宋体" w:eastAsia="宋体" w:cs="宋体"/>
          <w:snapToGrid w:val="0"/>
          <w:color w:val="auto"/>
          <w:kern w:val="0"/>
          <w:szCs w:val="18"/>
          <w:highlight w:val="none"/>
          <w:lang w:val="en-US" w:eastAsia="zh-CN"/>
        </w:rPr>
        <w:t>和</w:t>
      </w:r>
      <w:r>
        <w:rPr>
          <w:rFonts w:hint="eastAsia" w:ascii="宋体" w:hAnsi="宋体" w:eastAsia="宋体" w:cs="宋体"/>
          <w:b/>
          <w:bCs/>
          <w:snapToGrid w:val="0"/>
          <w:color w:val="auto"/>
          <w:kern w:val="0"/>
          <w:szCs w:val="18"/>
          <w:highlight w:val="none"/>
          <w:lang w:eastAsia="zh-CN"/>
        </w:rPr>
        <w:t>《韶关市公共资源交易一体化平台保证金缴纳信息》页面截图）</w:t>
      </w:r>
      <w:r>
        <w:rPr>
          <w:rFonts w:hint="eastAsia" w:ascii="宋体" w:hAnsi="宋体" w:eastAsia="宋体" w:cs="宋体"/>
          <w:b/>
          <w:bCs/>
          <w:snapToGrid w:val="0"/>
          <w:color w:val="auto"/>
          <w:kern w:val="0"/>
          <w:szCs w:val="18"/>
          <w:highlight w:val="none"/>
        </w:rPr>
        <w:t>。</w:t>
      </w:r>
    </w:p>
    <w:p w14:paraId="0CCF7561">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w:t>
      </w:r>
      <w:r>
        <w:rPr>
          <w:rFonts w:hint="eastAsia" w:ascii="宋体" w:hAnsi="宋体" w:eastAsia="宋体" w:cs="宋体"/>
          <w:snapToGrid w:val="0"/>
          <w:color w:val="auto"/>
          <w:kern w:val="0"/>
          <w:szCs w:val="18"/>
          <w:highlight w:val="none"/>
          <w:lang w:val="en-US" w:eastAsia="zh-CN"/>
        </w:rPr>
        <w:t>8</w:t>
      </w:r>
      <w:r>
        <w:rPr>
          <w:rFonts w:hint="eastAsia" w:ascii="宋体" w:hAnsi="宋体" w:eastAsia="宋体" w:cs="宋体"/>
          <w:snapToGrid w:val="0"/>
          <w:color w:val="auto"/>
          <w:kern w:val="0"/>
          <w:szCs w:val="18"/>
          <w:highlight w:val="none"/>
        </w:rPr>
        <w:t>）《投标人基本情况表》（</w:t>
      </w:r>
      <w:r>
        <w:rPr>
          <w:rFonts w:hint="eastAsia" w:ascii="宋体" w:hAnsi="宋体" w:eastAsia="宋体" w:cs="宋体"/>
          <w:snapToGrid w:val="0"/>
          <w:color w:val="auto"/>
          <w:kern w:val="0"/>
          <w:szCs w:val="18"/>
          <w:highlight w:val="none"/>
          <w:lang w:eastAsia="zh-CN"/>
        </w:rPr>
        <w:t>格式</w:t>
      </w:r>
      <w:r>
        <w:rPr>
          <w:rFonts w:hint="eastAsia" w:ascii="宋体" w:hAnsi="宋体" w:eastAsia="宋体" w:cs="宋体"/>
          <w:snapToGrid w:val="0"/>
          <w:color w:val="auto"/>
          <w:kern w:val="0"/>
          <w:szCs w:val="18"/>
          <w:highlight w:val="none"/>
          <w:lang w:val="en-US" w:eastAsia="zh-CN"/>
        </w:rPr>
        <w:t>六</w:t>
      </w:r>
      <w:r>
        <w:rPr>
          <w:rFonts w:hint="eastAsia" w:ascii="宋体" w:hAnsi="宋体" w:eastAsia="宋体" w:cs="宋体"/>
          <w:snapToGrid w:val="0"/>
          <w:color w:val="auto"/>
          <w:kern w:val="0"/>
          <w:szCs w:val="18"/>
          <w:highlight w:val="none"/>
        </w:rPr>
        <w:t>）及所附资料；</w:t>
      </w:r>
    </w:p>
    <w:p w14:paraId="77E8808A">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trike/>
          <w:snapToGrid w:val="0"/>
          <w:color w:val="auto"/>
          <w:kern w:val="0"/>
          <w:szCs w:val="18"/>
          <w:highlight w:val="none"/>
        </w:rPr>
      </w:pPr>
      <w:r>
        <w:rPr>
          <w:rFonts w:hint="eastAsia" w:ascii="宋体" w:hAnsi="宋体" w:eastAsia="宋体" w:cs="宋体"/>
          <w:snapToGrid w:val="0"/>
          <w:color w:val="auto"/>
          <w:kern w:val="0"/>
          <w:szCs w:val="18"/>
          <w:highlight w:val="none"/>
        </w:rPr>
        <w:t>（</w:t>
      </w:r>
      <w:r>
        <w:rPr>
          <w:rFonts w:hint="eastAsia" w:ascii="宋体" w:hAnsi="宋体" w:eastAsia="宋体" w:cs="宋体"/>
          <w:snapToGrid w:val="0"/>
          <w:color w:val="auto"/>
          <w:kern w:val="0"/>
          <w:szCs w:val="18"/>
          <w:highlight w:val="none"/>
          <w:lang w:val="en-US" w:eastAsia="zh-CN"/>
        </w:rPr>
        <w:t>9</w:t>
      </w:r>
      <w:r>
        <w:rPr>
          <w:rFonts w:hint="eastAsia" w:ascii="宋体" w:hAnsi="宋体" w:eastAsia="宋体" w:cs="宋体"/>
          <w:snapToGrid w:val="0"/>
          <w:color w:val="auto"/>
          <w:kern w:val="0"/>
          <w:szCs w:val="18"/>
          <w:highlight w:val="none"/>
        </w:rPr>
        <w:t>）《项目经理简历表》（</w:t>
      </w:r>
      <w:r>
        <w:rPr>
          <w:rFonts w:hint="eastAsia" w:ascii="宋体" w:hAnsi="宋体" w:eastAsia="宋体" w:cs="宋体"/>
          <w:snapToGrid w:val="0"/>
          <w:color w:val="auto"/>
          <w:kern w:val="0"/>
          <w:szCs w:val="18"/>
          <w:highlight w:val="none"/>
          <w:lang w:eastAsia="zh-CN"/>
        </w:rPr>
        <w:t>格式</w:t>
      </w:r>
      <w:r>
        <w:rPr>
          <w:rFonts w:hint="eastAsia" w:ascii="宋体" w:hAnsi="宋体" w:eastAsia="宋体" w:cs="宋体"/>
          <w:snapToGrid w:val="0"/>
          <w:color w:val="auto"/>
          <w:kern w:val="0"/>
          <w:szCs w:val="18"/>
          <w:highlight w:val="none"/>
          <w:lang w:val="en-US" w:eastAsia="zh-CN"/>
        </w:rPr>
        <w:t>七</w:t>
      </w:r>
      <w:r>
        <w:rPr>
          <w:rFonts w:hint="eastAsia" w:ascii="宋体" w:hAnsi="宋体" w:eastAsia="宋体" w:cs="宋体"/>
          <w:snapToGrid w:val="0"/>
          <w:color w:val="auto"/>
          <w:kern w:val="0"/>
          <w:szCs w:val="18"/>
          <w:highlight w:val="none"/>
        </w:rPr>
        <w:t>）及所附资料；</w:t>
      </w:r>
    </w:p>
    <w:p w14:paraId="192503FD">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w:t>
      </w:r>
      <w:r>
        <w:rPr>
          <w:rFonts w:hint="eastAsia" w:ascii="宋体" w:hAnsi="宋体" w:eastAsia="宋体" w:cs="宋体"/>
          <w:snapToGrid w:val="0"/>
          <w:color w:val="auto"/>
          <w:kern w:val="0"/>
          <w:szCs w:val="18"/>
          <w:highlight w:val="none"/>
          <w:lang w:val="en-US" w:eastAsia="zh-CN"/>
        </w:rPr>
        <w:t>10</w:t>
      </w:r>
      <w:r>
        <w:rPr>
          <w:rFonts w:hint="eastAsia" w:ascii="宋体" w:hAnsi="宋体" w:eastAsia="宋体" w:cs="宋体"/>
          <w:snapToGrid w:val="0"/>
          <w:color w:val="auto"/>
          <w:kern w:val="0"/>
          <w:szCs w:val="18"/>
          <w:highlight w:val="none"/>
        </w:rPr>
        <w:t>）《项目经理任职声明》（</w:t>
      </w:r>
      <w:r>
        <w:rPr>
          <w:rFonts w:hint="eastAsia" w:ascii="宋体" w:hAnsi="宋体" w:eastAsia="宋体" w:cs="宋体"/>
          <w:snapToGrid w:val="0"/>
          <w:color w:val="auto"/>
          <w:kern w:val="0"/>
          <w:szCs w:val="18"/>
          <w:highlight w:val="none"/>
          <w:lang w:eastAsia="zh-CN"/>
        </w:rPr>
        <w:t>格式</w:t>
      </w:r>
      <w:r>
        <w:rPr>
          <w:rFonts w:hint="eastAsia" w:ascii="宋体" w:hAnsi="宋体" w:eastAsia="宋体" w:cs="宋体"/>
          <w:snapToGrid w:val="0"/>
          <w:color w:val="auto"/>
          <w:kern w:val="0"/>
          <w:szCs w:val="18"/>
          <w:highlight w:val="none"/>
          <w:lang w:val="en-US" w:eastAsia="zh-CN"/>
        </w:rPr>
        <w:t>八</w:t>
      </w:r>
      <w:r>
        <w:rPr>
          <w:rFonts w:hint="eastAsia" w:ascii="宋体" w:hAnsi="宋体" w:eastAsia="宋体" w:cs="宋体"/>
          <w:snapToGrid w:val="0"/>
          <w:color w:val="auto"/>
          <w:kern w:val="0"/>
          <w:szCs w:val="18"/>
          <w:highlight w:val="none"/>
        </w:rPr>
        <w:t>）；</w:t>
      </w:r>
    </w:p>
    <w:p w14:paraId="57B990AD">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（1</w:t>
      </w:r>
      <w:r>
        <w:rPr>
          <w:rFonts w:hint="eastAsia" w:ascii="宋体" w:hAnsi="宋体" w:eastAsia="宋体" w:cs="宋体"/>
          <w:snapToGrid w:val="0"/>
          <w:color w:val="auto"/>
          <w:kern w:val="0"/>
          <w:szCs w:val="18"/>
          <w:highlight w:val="none"/>
          <w:lang w:val="en-US" w:eastAsia="zh-CN"/>
        </w:rPr>
        <w:t>1</w:t>
      </w:r>
      <w:r>
        <w:rPr>
          <w:rFonts w:hint="eastAsia" w:ascii="宋体" w:hAnsi="宋体" w:eastAsia="宋体" w:cs="宋体"/>
          <w:snapToGrid w:val="0"/>
          <w:color w:val="auto"/>
          <w:kern w:val="0"/>
          <w:szCs w:val="18"/>
          <w:highlight w:val="none"/>
        </w:rPr>
        <w:t>）《项目技术负责人简历表》（</w:t>
      </w:r>
      <w:r>
        <w:rPr>
          <w:rFonts w:hint="eastAsia" w:ascii="宋体" w:hAnsi="宋体" w:eastAsia="宋体" w:cs="宋体"/>
          <w:snapToGrid w:val="0"/>
          <w:color w:val="auto"/>
          <w:kern w:val="0"/>
          <w:szCs w:val="18"/>
          <w:highlight w:val="none"/>
          <w:lang w:eastAsia="zh-CN"/>
        </w:rPr>
        <w:t>格式</w:t>
      </w:r>
      <w:r>
        <w:rPr>
          <w:rFonts w:hint="eastAsia" w:ascii="宋体" w:hAnsi="宋体" w:eastAsia="宋体" w:cs="宋体"/>
          <w:snapToGrid w:val="0"/>
          <w:color w:val="auto"/>
          <w:kern w:val="0"/>
          <w:szCs w:val="18"/>
          <w:highlight w:val="none"/>
          <w:lang w:val="en-US" w:eastAsia="zh-CN"/>
        </w:rPr>
        <w:t>九</w:t>
      </w:r>
      <w:r>
        <w:rPr>
          <w:rFonts w:hint="eastAsia" w:ascii="宋体" w:hAnsi="宋体" w:eastAsia="宋体" w:cs="宋体"/>
          <w:snapToGrid w:val="0"/>
          <w:color w:val="auto"/>
          <w:kern w:val="0"/>
          <w:szCs w:val="18"/>
          <w:highlight w:val="none"/>
        </w:rPr>
        <w:t>）及所附资料；</w:t>
      </w:r>
    </w:p>
    <w:p w14:paraId="4A81E03E">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（1</w:t>
      </w:r>
      <w:r>
        <w:rPr>
          <w:rFonts w:hint="eastAsia" w:ascii="宋体" w:hAnsi="宋体" w:eastAsia="宋体" w:cs="宋体"/>
          <w:snapToGrid w:val="0"/>
          <w:color w:val="auto"/>
          <w:kern w:val="0"/>
          <w:szCs w:val="18"/>
          <w:highlight w:val="none"/>
          <w:lang w:val="en-US" w:eastAsia="zh-CN"/>
        </w:rPr>
        <w:t>2</w:t>
      </w:r>
      <w:r>
        <w:rPr>
          <w:rFonts w:hint="eastAsia" w:ascii="宋体" w:hAnsi="宋体" w:eastAsia="宋体" w:cs="宋体"/>
          <w:snapToGrid w:val="0"/>
          <w:color w:val="auto"/>
          <w:kern w:val="0"/>
          <w:szCs w:val="18"/>
          <w:highlight w:val="none"/>
        </w:rPr>
        <w:t>）《项目管理机构组成表》（</w:t>
      </w:r>
      <w:r>
        <w:rPr>
          <w:rFonts w:hint="eastAsia" w:ascii="宋体" w:hAnsi="宋体" w:eastAsia="宋体" w:cs="宋体"/>
          <w:snapToGrid w:val="0"/>
          <w:color w:val="auto"/>
          <w:kern w:val="0"/>
          <w:szCs w:val="18"/>
          <w:highlight w:val="none"/>
          <w:lang w:eastAsia="zh-CN"/>
        </w:rPr>
        <w:t>格式十</w:t>
      </w:r>
      <w:r>
        <w:rPr>
          <w:rFonts w:hint="eastAsia" w:ascii="宋体" w:hAnsi="宋体" w:eastAsia="宋体" w:cs="宋体"/>
          <w:snapToGrid w:val="0"/>
          <w:color w:val="auto"/>
          <w:kern w:val="0"/>
          <w:szCs w:val="18"/>
          <w:highlight w:val="none"/>
        </w:rPr>
        <w:t>）及所附资料；</w:t>
      </w:r>
    </w:p>
    <w:p w14:paraId="63EDAD6A">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（1</w:t>
      </w:r>
      <w:r>
        <w:rPr>
          <w:rFonts w:hint="eastAsia" w:ascii="宋体" w:hAnsi="宋体" w:eastAsia="宋体" w:cs="宋体"/>
          <w:snapToGrid w:val="0"/>
          <w:color w:val="auto"/>
          <w:kern w:val="0"/>
          <w:szCs w:val="18"/>
          <w:highlight w:val="none"/>
          <w:lang w:val="en-US" w:eastAsia="zh-CN"/>
        </w:rPr>
        <w:t>3</w:t>
      </w:r>
      <w:r>
        <w:rPr>
          <w:rFonts w:hint="eastAsia" w:ascii="宋体" w:hAnsi="宋体" w:eastAsia="宋体" w:cs="宋体"/>
          <w:snapToGrid w:val="0"/>
          <w:color w:val="auto"/>
          <w:kern w:val="0"/>
          <w:szCs w:val="18"/>
          <w:highlight w:val="none"/>
        </w:rPr>
        <w:t>）本节第</w:t>
      </w:r>
      <w:r>
        <w:rPr>
          <w:rFonts w:hint="eastAsia" w:ascii="宋体" w:hAnsi="宋体" w:eastAsia="宋体" w:cs="宋体"/>
          <w:b/>
          <w:bCs/>
          <w:snapToGrid w:val="0"/>
          <w:color w:val="auto"/>
          <w:kern w:val="0"/>
          <w:szCs w:val="18"/>
          <w:highlight w:val="none"/>
        </w:rPr>
        <w:t>15.5.1</w:t>
      </w:r>
      <w:r>
        <w:rPr>
          <w:rFonts w:hint="eastAsia" w:ascii="宋体" w:hAnsi="宋体" w:eastAsia="宋体" w:cs="宋体"/>
          <w:snapToGrid w:val="0"/>
          <w:color w:val="auto"/>
          <w:kern w:val="0"/>
          <w:szCs w:val="18"/>
          <w:highlight w:val="none"/>
        </w:rPr>
        <w:t>目“评标方法”要求提供的评审资料；</w:t>
      </w:r>
    </w:p>
    <w:p w14:paraId="102A92EC">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（1</w:t>
      </w:r>
      <w:r>
        <w:rPr>
          <w:rFonts w:hint="eastAsia" w:ascii="宋体" w:hAnsi="宋体" w:eastAsia="宋体" w:cs="宋体"/>
          <w:snapToGrid w:val="0"/>
          <w:color w:val="auto"/>
          <w:kern w:val="0"/>
          <w:szCs w:val="18"/>
          <w:highlight w:val="none"/>
          <w:lang w:val="en-US" w:eastAsia="zh-CN"/>
        </w:rPr>
        <w:t>4</w:t>
      </w:r>
      <w:r>
        <w:rPr>
          <w:rFonts w:hint="eastAsia" w:ascii="宋体" w:hAnsi="宋体" w:eastAsia="宋体" w:cs="宋体"/>
          <w:snapToGrid w:val="0"/>
          <w:color w:val="auto"/>
          <w:kern w:val="0"/>
          <w:szCs w:val="18"/>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14724561">
      <w:pPr>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szCs w:val="18"/>
          <w:highlight w:val="none"/>
        </w:rPr>
      </w:pP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 xml:space="preserve"> 本节第</w:t>
      </w:r>
      <w:r>
        <w:rPr>
          <w:rFonts w:hint="eastAsia" w:ascii="宋体" w:hAnsi="宋体" w:eastAsia="宋体" w:cs="宋体"/>
          <w:b/>
          <w:bCs/>
          <w:snapToGrid w:val="0"/>
          <w:color w:val="auto"/>
          <w:kern w:val="0"/>
          <w:szCs w:val="18"/>
          <w:highlight w:val="none"/>
        </w:rPr>
        <w:t>10.2.1</w:t>
      </w:r>
      <w:r>
        <w:rPr>
          <w:rFonts w:hint="eastAsia" w:ascii="宋体" w:hAnsi="宋体" w:eastAsia="宋体" w:cs="宋体"/>
          <w:snapToGrid w:val="0"/>
          <w:color w:val="auto"/>
          <w:kern w:val="0"/>
          <w:szCs w:val="18"/>
          <w:highlight w:val="none"/>
        </w:rPr>
        <w:t>目中所列出的商务标书组成内容中，第（1）至第（</w:t>
      </w:r>
      <w:r>
        <w:rPr>
          <w:rFonts w:hint="eastAsia" w:ascii="宋体" w:hAnsi="宋体" w:eastAsia="宋体" w:cs="宋体"/>
          <w:snapToGrid w:val="0"/>
          <w:color w:val="auto"/>
          <w:kern w:val="0"/>
          <w:szCs w:val="18"/>
          <w:highlight w:val="none"/>
          <w:lang w:val="en-US" w:eastAsia="zh-CN"/>
        </w:rPr>
        <w:t>12</w:t>
      </w:r>
      <w:r>
        <w:rPr>
          <w:rFonts w:hint="eastAsia" w:ascii="宋体" w:hAnsi="宋体" w:eastAsia="宋体" w:cs="宋体"/>
          <w:snapToGrid w:val="0"/>
          <w:color w:val="auto"/>
          <w:kern w:val="0"/>
          <w:szCs w:val="18"/>
          <w:highlight w:val="none"/>
        </w:rPr>
        <w:t>）项所有投标人均应提供</w:t>
      </w:r>
      <w:r>
        <w:rPr>
          <w:rFonts w:hint="eastAsia" w:ascii="宋体" w:hAnsi="宋体" w:eastAsia="宋体" w:cs="宋体"/>
          <w:b w:val="0"/>
          <w:bCs w:val="0"/>
          <w:snapToGrid w:val="0"/>
          <w:color w:val="auto"/>
          <w:kern w:val="0"/>
          <w:szCs w:val="18"/>
          <w:highlight w:val="none"/>
        </w:rPr>
        <w:t>。</w:t>
      </w:r>
    </w:p>
    <w:p w14:paraId="4389F763">
      <w:pPr>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szCs w:val="18"/>
          <w:highlight w:val="none"/>
        </w:rPr>
      </w:pPr>
      <w:r>
        <w:rPr>
          <w:rFonts w:hint="eastAsia" w:ascii="宋体" w:hAnsi="宋体" w:eastAsia="宋体" w:cs="宋体"/>
          <w:b/>
          <w:bCs/>
          <w:snapToGrid w:val="0"/>
          <w:color w:val="auto"/>
          <w:kern w:val="0"/>
          <w:szCs w:val="18"/>
          <w:highlight w:val="none"/>
          <w:lang w:val="en-US" w:eastAsia="zh-CN"/>
        </w:rPr>
        <w:t>10.2.3</w:t>
      </w:r>
      <w:r>
        <w:rPr>
          <w:rFonts w:hint="eastAsia" w:ascii="宋体" w:hAnsi="宋体" w:eastAsia="宋体" w:cs="宋体"/>
          <w:b w:val="0"/>
          <w:bCs w:val="0"/>
          <w:snapToGrid w:val="0"/>
          <w:color w:val="auto"/>
          <w:kern w:val="0"/>
          <w:szCs w:val="18"/>
          <w:highlight w:val="none"/>
        </w:rPr>
        <w:t>商务标书的所有内容按本节第</w:t>
      </w:r>
      <w:r>
        <w:rPr>
          <w:rFonts w:hint="eastAsia" w:ascii="宋体" w:hAnsi="宋体" w:eastAsia="宋体" w:cs="宋体"/>
          <w:b/>
          <w:bCs/>
          <w:snapToGrid w:val="0"/>
          <w:color w:val="auto"/>
          <w:kern w:val="0"/>
          <w:szCs w:val="18"/>
          <w:highlight w:val="none"/>
        </w:rPr>
        <w:t>10.2.1</w:t>
      </w:r>
      <w:r>
        <w:rPr>
          <w:rFonts w:hint="eastAsia" w:ascii="宋体" w:hAnsi="宋体" w:eastAsia="宋体" w:cs="宋体"/>
          <w:b w:val="0"/>
          <w:bCs w:val="0"/>
          <w:snapToGrid w:val="0"/>
          <w:color w:val="auto"/>
          <w:kern w:val="0"/>
          <w:szCs w:val="18"/>
          <w:highlight w:val="none"/>
        </w:rPr>
        <w:t>目规定的顺序整理、编排后，逐页（页码起始从封面开始）连续标记页码。</w:t>
      </w:r>
    </w:p>
    <w:p w14:paraId="2D09CC89">
      <w:pPr>
        <w:keepNext w:val="0"/>
        <w:keepLines w:val="0"/>
        <w:pageBreakBefore w:val="0"/>
        <w:widowControl w:val="0"/>
        <w:kinsoku/>
        <w:wordWrap w:val="0"/>
        <w:overflowPunct/>
        <w:topLinePunct w:val="0"/>
        <w:autoSpaceDE/>
        <w:autoSpaceDN/>
        <w:bidi w:val="0"/>
        <w:adjustRightInd w:val="0"/>
        <w:snapToGrid w:val="0"/>
        <w:spacing w:before="0" w:after="0" w:line="360" w:lineRule="auto"/>
        <w:ind w:firstLine="482" w:firstLineChars="200"/>
        <w:jc w:val="both"/>
        <w:outlineLvl w:val="9"/>
        <w:rPr>
          <w:rFonts w:hint="eastAsia" w:ascii="宋体" w:hAnsi="宋体" w:eastAsia="宋体" w:cs="宋体"/>
          <w:b/>
          <w:snapToGrid w:val="0"/>
          <w:color w:val="auto"/>
          <w:highlight w:val="none"/>
        </w:rPr>
      </w:pPr>
      <w:bookmarkStart w:id="77" w:name="_Toc25986"/>
      <w:bookmarkStart w:id="78" w:name="_Toc274313881"/>
      <w:r>
        <w:rPr>
          <w:rFonts w:hint="eastAsia" w:ascii="宋体" w:hAnsi="宋体" w:eastAsia="宋体" w:cs="宋体"/>
          <w:b/>
          <w:bCs/>
          <w:snapToGrid w:val="0"/>
          <w:color w:val="auto"/>
          <w:highlight w:val="none"/>
        </w:rPr>
        <w:t>10.3</w:t>
      </w:r>
      <w:bookmarkStart w:id="79" w:name="_Hlt69670035"/>
      <w:bookmarkEnd w:id="79"/>
      <w:r>
        <w:rPr>
          <w:rFonts w:hint="eastAsia" w:ascii="宋体" w:hAnsi="宋体" w:eastAsia="宋体" w:cs="宋体"/>
          <w:bCs/>
          <w:snapToGrid w:val="0"/>
          <w:color w:val="auto"/>
          <w:highlight w:val="none"/>
        </w:rPr>
        <w:t xml:space="preserve"> 经济标书的编制要求</w:t>
      </w:r>
      <w:bookmarkEnd w:id="77"/>
      <w:bookmarkEnd w:id="78"/>
    </w:p>
    <w:p w14:paraId="4DA430F1">
      <w:pPr>
        <w:pageBreakBefore w:val="0"/>
        <w:kinsoku/>
        <w:wordWrap w:val="0"/>
        <w:overflowPunct/>
        <w:topLinePunct w:val="0"/>
        <w:autoSpaceDE/>
        <w:autoSpaceDN/>
        <w:bidi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10.3.1</w:t>
      </w:r>
      <w:r>
        <w:rPr>
          <w:rFonts w:hint="eastAsia" w:ascii="宋体" w:hAnsi="宋体" w:eastAsia="宋体" w:cs="宋体"/>
          <w:snapToGrid w:val="0"/>
          <w:color w:val="auto"/>
          <w:kern w:val="0"/>
          <w:highlight w:val="none"/>
        </w:rPr>
        <w:t xml:space="preserve"> 经济标书包括以下内容：</w:t>
      </w:r>
    </w:p>
    <w:p w14:paraId="7B7E0FA5">
      <w:pPr>
        <w:pageBreakBefore w:val="0"/>
        <w:kinsoku/>
        <w:wordWrap w:val="0"/>
        <w:overflowPunct/>
        <w:topLinePunct w:val="0"/>
        <w:autoSpaceDE/>
        <w:autoSpaceDN/>
        <w:bidi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（1）封面</w:t>
      </w:r>
      <w:r>
        <w:rPr>
          <w:rFonts w:hint="eastAsia" w:ascii="宋体" w:hAnsi="宋体" w:eastAsia="宋体" w:cs="宋体"/>
          <w:snapToGrid w:val="0"/>
          <w:color w:val="auto"/>
          <w:kern w:val="0"/>
          <w:szCs w:val="18"/>
          <w:highlight w:val="none"/>
        </w:rPr>
        <w:t>（格式一）</w:t>
      </w:r>
      <w:r>
        <w:rPr>
          <w:rFonts w:hint="eastAsia" w:ascii="宋体" w:hAnsi="宋体" w:eastAsia="宋体" w:cs="宋体"/>
          <w:snapToGrid w:val="0"/>
          <w:color w:val="auto"/>
          <w:kern w:val="0"/>
          <w:highlight w:val="none"/>
        </w:rPr>
        <w:t>；</w:t>
      </w:r>
    </w:p>
    <w:p w14:paraId="4613852F">
      <w:pPr>
        <w:pageBreakBefore w:val="0"/>
        <w:kinsoku/>
        <w:wordWrap w:val="0"/>
        <w:overflowPunct/>
        <w:topLinePunct w:val="0"/>
        <w:autoSpaceDE/>
        <w:autoSpaceDN/>
        <w:bidi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（2）目录；</w:t>
      </w:r>
    </w:p>
    <w:p w14:paraId="7EA3FF81">
      <w:pPr>
        <w:pageBreakBefore w:val="0"/>
        <w:kinsoku/>
        <w:wordWrap w:val="0"/>
        <w:overflowPunct/>
        <w:topLinePunct w:val="0"/>
        <w:autoSpaceDE/>
        <w:autoSpaceDN/>
        <w:bidi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（3）《投标总价》；</w:t>
      </w:r>
    </w:p>
    <w:p w14:paraId="2209AA41">
      <w:pPr>
        <w:pageBreakBefore w:val="0"/>
        <w:kinsoku/>
        <w:wordWrap w:val="0"/>
        <w:overflowPunct/>
        <w:topLinePunct w:val="0"/>
        <w:autoSpaceDE/>
        <w:autoSpaceDN/>
        <w:bidi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说明：《投标总价》的格式按照《建设工程工程量清单计价标准》（GB50500—2024）执行，并应满足以下要求:</w:t>
      </w:r>
    </w:p>
    <w:p w14:paraId="53EF94F8">
      <w:pPr>
        <w:keepNext w:val="0"/>
        <w:keepLines w:val="0"/>
        <w:pageBreakBefore w:val="0"/>
        <w:widowControl w:val="0"/>
        <w:numPr>
          <w:ilvl w:val="0"/>
          <w:numId w:val="0"/>
        </w:numPr>
        <w:kinsoku/>
        <w:wordWrap w:val="0"/>
        <w:overflowPunct/>
        <w:topLinePunct w:val="0"/>
        <w:autoSpaceDE/>
        <w:autoSpaceDN/>
        <w:bidi w:val="0"/>
        <w:adjustRightInd w:val="0"/>
        <w:snapToGrid w:val="0"/>
        <w:spacing w:before="0" w:beforeLines="0" w:after="0" w:afterLines="0" w:line="360" w:lineRule="auto"/>
        <w:ind w:right="0" w:rightChars="0" w:firstLine="480" w:firstLineChars="200"/>
        <w:textAlignment w:val="auto"/>
        <w:rPr>
          <w:rFonts w:hint="eastAsia" w:ascii="宋体" w:hAnsi="宋体" w:eastAsia="宋体" w:cs="宋体"/>
          <w:caps w:val="0"/>
          <w:smallCaps w:val="0"/>
          <w:snapToGrid w:val="0"/>
          <w:color w:val="auto"/>
          <w:spacing w:val="0"/>
          <w:kern w:val="0"/>
          <w:highlight w:val="none"/>
          <w:lang w:val="en-US" w:eastAsia="zh-CN"/>
        </w:rPr>
      </w:pPr>
      <w:r>
        <w:rPr>
          <w:rFonts w:hint="eastAsia" w:ascii="宋体" w:hAnsi="宋体" w:eastAsia="宋体" w:cs="宋体"/>
          <w:caps w:val="0"/>
          <w:smallCaps w:val="0"/>
          <w:snapToGrid w:val="0"/>
          <w:color w:val="auto"/>
          <w:spacing w:val="0"/>
          <w:kern w:val="0"/>
          <w:highlight w:val="none"/>
          <w:lang w:val="en-US" w:eastAsia="zh-CN"/>
        </w:rPr>
        <w:t>a.《投标总价扉页》</w:t>
      </w:r>
      <w:r>
        <w:rPr>
          <w:rFonts w:hint="eastAsia" w:ascii="宋体" w:hAnsi="宋体" w:eastAsia="宋体" w:cs="宋体"/>
          <w:caps w:val="0"/>
          <w:smallCaps w:val="0"/>
          <w:snapToGrid w:val="0"/>
          <w:color w:val="auto"/>
          <w:spacing w:val="0"/>
          <w:kern w:val="0"/>
          <w:highlight w:val="none"/>
          <w:lang w:eastAsia="zh-CN"/>
        </w:rPr>
        <w:t>（即扉—</w:t>
      </w:r>
      <w:r>
        <w:rPr>
          <w:rFonts w:hint="eastAsia" w:ascii="宋体" w:hAnsi="宋体" w:eastAsia="宋体" w:cs="宋体"/>
          <w:caps w:val="0"/>
          <w:smallCaps w:val="0"/>
          <w:snapToGrid w:val="0"/>
          <w:color w:val="auto"/>
          <w:spacing w:val="0"/>
          <w:kern w:val="0"/>
          <w:highlight w:val="none"/>
          <w:lang w:val="en-US" w:eastAsia="zh-CN"/>
        </w:rPr>
        <w:t>3</w:t>
      </w:r>
      <w:r>
        <w:rPr>
          <w:rFonts w:hint="eastAsia" w:ascii="宋体" w:hAnsi="宋体" w:eastAsia="宋体" w:cs="宋体"/>
          <w:caps w:val="0"/>
          <w:smallCaps w:val="0"/>
          <w:snapToGrid w:val="0"/>
          <w:color w:val="auto"/>
          <w:spacing w:val="0"/>
          <w:kern w:val="0"/>
          <w:highlight w:val="none"/>
          <w:lang w:eastAsia="zh-CN"/>
        </w:rPr>
        <w:t>）后应附</w:t>
      </w:r>
      <w:r>
        <w:rPr>
          <w:rFonts w:hint="eastAsia" w:ascii="宋体" w:hAnsi="宋体" w:eastAsia="宋体" w:cs="宋体"/>
          <w:caps w:val="0"/>
          <w:smallCaps w:val="0"/>
          <w:snapToGrid w:val="0"/>
          <w:color w:val="auto"/>
          <w:spacing w:val="0"/>
          <w:kern w:val="0"/>
          <w:highlight w:val="none"/>
          <w:lang w:val="en-US" w:eastAsia="zh-CN"/>
        </w:rPr>
        <w:t>编制人的造价工程师注册证书彩色扫描件（</w:t>
      </w:r>
      <w:r>
        <w:rPr>
          <w:rFonts w:hint="eastAsia" w:ascii="宋体" w:hAnsi="宋体" w:eastAsia="宋体" w:cs="宋体"/>
          <w:snapToGrid w:val="0"/>
          <w:color w:val="auto"/>
          <w:kern w:val="0"/>
          <w:highlight w:val="none"/>
          <w:lang w:val="en-US" w:eastAsia="zh-CN"/>
        </w:rPr>
        <w:t>须扫描至变更注册栏，一级造价师或二级造价师均可提供电子证书</w:t>
      </w:r>
      <w:r>
        <w:rPr>
          <w:rFonts w:hint="eastAsia" w:ascii="宋体" w:hAnsi="宋体" w:eastAsia="宋体" w:cs="宋体"/>
          <w:caps w:val="0"/>
          <w:smallCaps w:val="0"/>
          <w:snapToGrid w:val="0"/>
          <w:color w:val="auto"/>
          <w:spacing w:val="0"/>
          <w:kern w:val="0"/>
          <w:highlight w:val="none"/>
          <w:lang w:val="en-US" w:eastAsia="zh-CN"/>
        </w:rPr>
        <w:t>）；</w:t>
      </w:r>
      <w:r>
        <w:rPr>
          <w:rFonts w:hint="eastAsia" w:ascii="宋体" w:hAnsi="宋体" w:eastAsia="宋体" w:cs="宋体"/>
          <w:caps w:val="0"/>
          <w:smallCaps w:val="0"/>
          <w:snapToGrid w:val="0"/>
          <w:color w:val="auto"/>
          <w:spacing w:val="0"/>
          <w:kern w:val="0"/>
          <w:highlight w:val="none"/>
          <w:lang w:eastAsia="zh-CN"/>
        </w:rPr>
        <w:t>投标人委托造价咨询单位编制《投标总价》的，在该扉页“投标人”栏目加盖造价咨询人公章，并在该扉页后附</w:t>
      </w:r>
      <w:r>
        <w:rPr>
          <w:rFonts w:hint="eastAsia" w:ascii="宋体" w:hAnsi="宋体" w:eastAsia="宋体" w:cs="宋体"/>
          <w:caps w:val="0"/>
          <w:smallCaps w:val="0"/>
          <w:snapToGrid w:val="0"/>
          <w:color w:val="auto"/>
          <w:spacing w:val="0"/>
          <w:kern w:val="0"/>
          <w:highlight w:val="none"/>
          <w:lang w:val="en-US" w:eastAsia="zh-CN"/>
        </w:rPr>
        <w:t>造价咨询人的营业执照副本彩色扫描件。</w:t>
      </w:r>
    </w:p>
    <w:p w14:paraId="38C44CDE">
      <w:pPr>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szCs w:val="18"/>
          <w:highlight w:val="none"/>
        </w:rPr>
      </w:pPr>
      <w:r>
        <w:rPr>
          <w:rFonts w:hint="eastAsia" w:ascii="宋体" w:hAnsi="宋体" w:eastAsia="宋体" w:cs="宋体"/>
          <w:b/>
          <w:bCs/>
          <w:snapToGrid w:val="0"/>
          <w:color w:val="auto"/>
          <w:kern w:val="0"/>
          <w:highlight w:val="none"/>
          <w:lang w:val="en-US" w:eastAsia="zh-CN"/>
        </w:rPr>
        <w:t>b.</w:t>
      </w:r>
      <w:bookmarkStart w:id="80" w:name="_Hlt69699579"/>
      <w:bookmarkEnd w:id="80"/>
      <w:r>
        <w:rPr>
          <w:rFonts w:hint="eastAsia" w:ascii="宋体" w:hAnsi="宋体" w:eastAsia="宋体" w:cs="宋体"/>
          <w:snapToGrid w:val="0"/>
          <w:color w:val="auto"/>
          <w:kern w:val="0"/>
          <w:szCs w:val="18"/>
          <w:highlight w:val="none"/>
        </w:rPr>
        <w:t>投标人认为有必要补充的其他资料（例如关于投标总价下浮率超过15%的书面说明和佐证材料）。</w:t>
      </w:r>
    </w:p>
    <w:p w14:paraId="478995DC">
      <w:pPr>
        <w:pageBreakBefore w:val="0"/>
        <w:kinsoku/>
        <w:wordWrap w:val="0"/>
        <w:overflowPunct/>
        <w:topLinePunct w:val="0"/>
        <w:autoSpaceDE/>
        <w:autoSpaceDN/>
        <w:bidi w:val="0"/>
        <w:adjustRightInd w:val="0"/>
        <w:snapToGrid w:val="0"/>
        <w:spacing w:line="360" w:lineRule="auto"/>
        <w:ind w:firstLine="480"/>
        <w:rPr>
          <w:rFonts w:hint="eastAsia" w:ascii="宋体" w:hAnsi="宋体" w:eastAsia="宋体" w:cs="宋体"/>
          <w:snapToGrid w:val="0"/>
          <w:color w:val="auto"/>
          <w:kern w:val="0"/>
          <w:szCs w:val="18"/>
          <w:highlight w:val="none"/>
        </w:rPr>
      </w:pP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 xml:space="preserve"> 本节第</w:t>
      </w:r>
      <w:r>
        <w:rPr>
          <w:rFonts w:hint="eastAsia" w:ascii="宋体" w:hAnsi="宋体" w:eastAsia="宋体" w:cs="宋体"/>
          <w:b/>
          <w:bCs/>
          <w:snapToGrid w:val="0"/>
          <w:color w:val="auto"/>
          <w:kern w:val="0"/>
          <w:szCs w:val="18"/>
          <w:highlight w:val="none"/>
        </w:rPr>
        <w:t>10.3.1</w:t>
      </w:r>
      <w:r>
        <w:rPr>
          <w:rFonts w:hint="eastAsia" w:ascii="宋体" w:hAnsi="宋体" w:eastAsia="宋体" w:cs="宋体"/>
          <w:snapToGrid w:val="0"/>
          <w:color w:val="auto"/>
          <w:kern w:val="0"/>
          <w:szCs w:val="18"/>
          <w:highlight w:val="none"/>
        </w:rPr>
        <w:t>目中所列出的经济标书组成内容中，第（1）至第（3）项所有投标人均应提供</w:t>
      </w:r>
      <w:bookmarkStart w:id="81" w:name="_Hlt145127239"/>
      <w:bookmarkEnd w:id="81"/>
      <w:r>
        <w:rPr>
          <w:rFonts w:hint="eastAsia" w:ascii="宋体" w:hAnsi="宋体" w:eastAsia="宋体" w:cs="宋体"/>
          <w:snapToGrid w:val="0"/>
          <w:color w:val="auto"/>
          <w:kern w:val="0"/>
          <w:szCs w:val="18"/>
          <w:highlight w:val="none"/>
        </w:rPr>
        <w:t>。</w:t>
      </w:r>
    </w:p>
    <w:p w14:paraId="6A6F573A">
      <w:pPr>
        <w:pageBreakBefore w:val="0"/>
        <w:kinsoku/>
        <w:wordWrap w:val="0"/>
        <w:overflowPunct/>
        <w:topLinePunct w:val="0"/>
        <w:autoSpaceDE/>
        <w:autoSpaceDN/>
        <w:bidi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18"/>
          <w:highlight w:val="none"/>
          <w:lang w:val="en-US" w:eastAsia="zh-CN"/>
        </w:rPr>
        <w:t>10.3.3</w:t>
      </w:r>
      <w:r>
        <w:rPr>
          <w:rFonts w:hint="eastAsia" w:ascii="宋体" w:hAnsi="宋体" w:eastAsia="宋体" w:cs="宋体"/>
          <w:snapToGrid w:val="0"/>
          <w:color w:val="auto"/>
          <w:kern w:val="0"/>
          <w:szCs w:val="18"/>
          <w:highlight w:val="none"/>
        </w:rPr>
        <w:t>经济标书的组成内容按本节第</w:t>
      </w:r>
      <w:r>
        <w:rPr>
          <w:rFonts w:hint="eastAsia" w:ascii="宋体" w:hAnsi="宋体" w:eastAsia="宋体" w:cs="宋体"/>
          <w:b/>
          <w:bCs/>
          <w:snapToGrid w:val="0"/>
          <w:color w:val="auto"/>
          <w:kern w:val="0"/>
          <w:szCs w:val="18"/>
          <w:highlight w:val="none"/>
        </w:rPr>
        <w:t>10.3.1</w:t>
      </w:r>
      <w:r>
        <w:rPr>
          <w:rFonts w:hint="eastAsia" w:ascii="宋体" w:hAnsi="宋体" w:eastAsia="宋体" w:cs="宋体"/>
          <w:snapToGrid w:val="0"/>
          <w:color w:val="auto"/>
          <w:kern w:val="0"/>
          <w:szCs w:val="18"/>
          <w:highlight w:val="none"/>
        </w:rPr>
        <w:t>目规定的顺序整理、编排后，逐页（页码起始从封面开始）连续标记页码。</w:t>
      </w:r>
    </w:p>
    <w:p w14:paraId="1479E6BA">
      <w:pPr>
        <w:pageBreakBefore w:val="0"/>
        <w:kinsoku/>
        <w:wordWrap w:val="0"/>
        <w:overflowPunct/>
        <w:topLinePunct w:val="0"/>
        <w:autoSpaceDE/>
        <w:autoSpaceDN/>
        <w:bidi w:val="0"/>
        <w:adjustRightInd w:val="0"/>
        <w:snapToGrid w:val="0"/>
        <w:spacing w:line="360" w:lineRule="auto"/>
        <w:ind w:firstLine="48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10.4</w:t>
      </w:r>
      <w:r>
        <w:rPr>
          <w:rFonts w:hint="eastAsia" w:ascii="宋体" w:hAnsi="宋体" w:eastAsia="宋体" w:cs="宋体"/>
          <w:bCs/>
          <w:snapToGrid w:val="0"/>
          <w:color w:val="auto"/>
          <w:kern w:val="0"/>
          <w:highlight w:val="none"/>
        </w:rPr>
        <w:t xml:space="preserve"> 施工组织设计的编制要求</w:t>
      </w:r>
    </w:p>
    <w:p w14:paraId="0C4A87BA">
      <w:pPr>
        <w:pageBreakBefore w:val="0"/>
        <w:kinsoku/>
        <w:wordWrap w:val="0"/>
        <w:overflowPunct/>
        <w:topLinePunct w:val="0"/>
        <w:autoSpaceDE/>
        <w:autoSpaceDN/>
        <w:bidi w:val="0"/>
        <w:adjustRightInd w:val="0"/>
        <w:snapToGrid w:val="0"/>
        <w:spacing w:line="360" w:lineRule="auto"/>
        <w:ind w:firstLine="480"/>
        <w:rPr>
          <w:rFonts w:hint="eastAsia" w:ascii="宋体" w:hAnsi="宋体" w:eastAsia="宋体" w:cs="宋体"/>
          <w:bCs/>
          <w:snapToGrid w:val="0"/>
          <w:color w:val="auto"/>
          <w:kern w:val="0"/>
          <w:highlight w:val="none"/>
        </w:rPr>
      </w:pPr>
      <w:r>
        <w:rPr>
          <w:rFonts w:hint="eastAsia" w:ascii="宋体" w:hAnsi="宋体" w:eastAsia="宋体" w:cs="宋体"/>
          <w:b/>
          <w:snapToGrid w:val="0"/>
          <w:color w:val="auto"/>
          <w:kern w:val="0"/>
          <w:highlight w:val="none"/>
        </w:rPr>
        <w:t>10.4.1</w:t>
      </w:r>
      <w:r>
        <w:rPr>
          <w:rFonts w:hint="eastAsia" w:ascii="宋体" w:hAnsi="宋体" w:eastAsia="宋体" w:cs="宋体"/>
          <w:bCs/>
          <w:snapToGrid w:val="0"/>
          <w:color w:val="auto"/>
          <w:kern w:val="0"/>
          <w:highlight w:val="none"/>
        </w:rPr>
        <w:t xml:space="preserve"> </w:t>
      </w:r>
      <w:r>
        <w:rPr>
          <w:rFonts w:hint="eastAsia" w:ascii="宋体" w:hAnsi="宋体" w:eastAsia="宋体" w:cs="宋体"/>
          <w:snapToGrid w:val="0"/>
          <w:color w:val="auto"/>
          <w:kern w:val="0"/>
          <w:highlight w:val="none"/>
        </w:rPr>
        <w:t>施工组织设计的编制依据包括且不限于</w:t>
      </w:r>
      <w:r>
        <w:rPr>
          <w:rFonts w:hint="eastAsia" w:ascii="宋体" w:hAnsi="宋体" w:eastAsia="宋体" w:cs="宋体"/>
          <w:bCs/>
          <w:snapToGrid w:val="0"/>
          <w:color w:val="auto"/>
          <w:kern w:val="0"/>
          <w:highlight w:val="none"/>
        </w:rPr>
        <w:t>：</w:t>
      </w:r>
    </w:p>
    <w:p w14:paraId="27D94435">
      <w:pPr>
        <w:pageBreakBefore w:val="0"/>
        <w:kinsoku/>
        <w:wordWrap w:val="0"/>
        <w:overflowPunct/>
        <w:topLinePunct w:val="0"/>
        <w:autoSpaceDE/>
        <w:autoSpaceDN/>
        <w:bidi w:val="0"/>
        <w:adjustRightInd w:val="0"/>
        <w:snapToGrid w:val="0"/>
        <w:spacing w:line="360" w:lineRule="auto"/>
        <w:ind w:firstLine="48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（1）招标文件及</w:t>
      </w:r>
      <w:r>
        <w:rPr>
          <w:rFonts w:hint="eastAsia" w:ascii="宋体" w:hAnsi="宋体" w:eastAsia="宋体" w:cs="宋体"/>
          <w:snapToGrid w:val="0"/>
          <w:color w:val="auto"/>
          <w:kern w:val="0"/>
          <w:highlight w:val="none"/>
        </w:rPr>
        <w:t>其答疑（或修改）公告；</w:t>
      </w:r>
    </w:p>
    <w:p w14:paraId="0737C46B">
      <w:pPr>
        <w:pageBreakBefore w:val="0"/>
        <w:kinsoku/>
        <w:wordWrap w:val="0"/>
        <w:overflowPunct/>
        <w:topLinePunct w:val="0"/>
        <w:autoSpaceDE/>
        <w:autoSpaceDN/>
        <w:bidi w:val="0"/>
        <w:adjustRightInd w:val="0"/>
        <w:snapToGrid w:val="0"/>
        <w:spacing w:line="360" w:lineRule="auto"/>
        <w:ind w:firstLine="48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（2）施工图及相关资料；</w:t>
      </w:r>
    </w:p>
    <w:p w14:paraId="5F55989F">
      <w:pPr>
        <w:pageBreakBefore w:val="0"/>
        <w:kinsoku/>
        <w:wordWrap w:val="0"/>
        <w:overflowPunct/>
        <w:topLinePunct w:val="0"/>
        <w:autoSpaceDE/>
        <w:autoSpaceDN/>
        <w:bidi w:val="0"/>
        <w:adjustRightInd w:val="0"/>
        <w:snapToGrid w:val="0"/>
        <w:spacing w:line="360" w:lineRule="auto"/>
        <w:ind w:firstLine="48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（3）施工现场情况、工程特点；</w:t>
      </w:r>
    </w:p>
    <w:p w14:paraId="0B71BDE7">
      <w:pPr>
        <w:pageBreakBefore w:val="0"/>
        <w:kinsoku/>
        <w:wordWrap w:val="0"/>
        <w:overflowPunct/>
        <w:topLinePunct w:val="0"/>
        <w:autoSpaceDE/>
        <w:autoSpaceDN/>
        <w:bidi w:val="0"/>
        <w:adjustRightInd w:val="0"/>
        <w:snapToGrid w:val="0"/>
        <w:spacing w:line="360" w:lineRule="auto"/>
        <w:ind w:firstLine="48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（4）相关法律、法规、规定；</w:t>
      </w:r>
    </w:p>
    <w:p w14:paraId="4501AB1F">
      <w:pPr>
        <w:pageBreakBefore w:val="0"/>
        <w:kinsoku/>
        <w:wordWrap w:val="0"/>
        <w:overflowPunct/>
        <w:topLinePunct w:val="0"/>
        <w:autoSpaceDE/>
        <w:autoSpaceDN/>
        <w:bidi w:val="0"/>
        <w:adjustRightInd w:val="0"/>
        <w:snapToGrid w:val="0"/>
        <w:spacing w:line="360" w:lineRule="auto"/>
        <w:ind w:firstLine="48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378121AB">
      <w:pPr>
        <w:pageBreakBefore w:val="0"/>
        <w:kinsoku/>
        <w:wordWrap w:val="0"/>
        <w:overflowPunct/>
        <w:topLinePunct w:val="0"/>
        <w:autoSpaceDE/>
        <w:autoSpaceDN/>
        <w:bidi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Cs/>
          <w:snapToGrid w:val="0"/>
          <w:color w:val="auto"/>
          <w:kern w:val="0"/>
          <w:highlight w:val="none"/>
        </w:rPr>
        <w:t>（6）企业内部标准、工法。</w:t>
      </w:r>
    </w:p>
    <w:p w14:paraId="476376FF">
      <w:pPr>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snapToGrid w:val="0"/>
          <w:color w:val="auto"/>
          <w:kern w:val="0"/>
          <w:highlight w:val="none"/>
        </w:rPr>
        <w:t>10.4.2</w:t>
      </w:r>
      <w:r>
        <w:rPr>
          <w:rFonts w:hint="eastAsia" w:ascii="宋体" w:hAnsi="宋体" w:eastAsia="宋体" w:cs="宋体"/>
          <w:bCs/>
          <w:snapToGrid w:val="0"/>
          <w:color w:val="auto"/>
          <w:kern w:val="0"/>
          <w:highlight w:val="none"/>
        </w:rPr>
        <w:t xml:space="preserve"> </w:t>
      </w:r>
      <w:r>
        <w:rPr>
          <w:rFonts w:hint="eastAsia" w:ascii="宋体" w:hAnsi="宋体" w:eastAsia="宋体" w:cs="宋体"/>
          <w:snapToGrid w:val="0"/>
          <w:color w:val="auto"/>
          <w:kern w:val="0"/>
          <w:highlight w:val="none"/>
        </w:rPr>
        <w:t>施工组织设计包括但不限于以下内容：</w:t>
      </w:r>
    </w:p>
    <w:p w14:paraId="62D1FBB4">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（1）封面</w:t>
      </w:r>
      <w:r>
        <w:rPr>
          <w:rFonts w:hint="eastAsia" w:ascii="宋体" w:hAnsi="宋体" w:eastAsia="宋体" w:cs="宋体"/>
          <w:snapToGrid w:val="0"/>
          <w:color w:val="auto"/>
          <w:kern w:val="0"/>
          <w:szCs w:val="18"/>
          <w:highlight w:val="none"/>
        </w:rPr>
        <w:t>（格式一）</w:t>
      </w:r>
      <w:r>
        <w:rPr>
          <w:rFonts w:hint="eastAsia" w:ascii="宋体" w:hAnsi="宋体" w:eastAsia="宋体" w:cs="宋体"/>
          <w:snapToGrid w:val="0"/>
          <w:color w:val="auto"/>
          <w:kern w:val="0"/>
          <w:highlight w:val="none"/>
        </w:rPr>
        <w:t>；</w:t>
      </w:r>
    </w:p>
    <w:p w14:paraId="6BDD2E03">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（2）目录；</w:t>
      </w:r>
    </w:p>
    <w:p w14:paraId="53501DD2">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（3）总体概述（包括施工程序总体设想及施工段划分等内容）；</w:t>
      </w:r>
    </w:p>
    <w:p w14:paraId="7E4CDDAB">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（4）施工总进度计划及保证措施（包括进度管理目标；以横道图或标明关键线路的网络进度计划；保障进度计划需要的人、材、机需求计划及保证措施；违约责任承诺等内容）；</w:t>
      </w:r>
    </w:p>
    <w:p w14:paraId="38C3A8E0">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（5）质量保证措施（包括质量管理目标；相应保证措施；违约责任承诺等内容）；</w:t>
      </w:r>
    </w:p>
    <w:p w14:paraId="58E0BDB9">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（6）施工技术措施（包括关键施工技术、工艺及工程项目实施的重点、难点分析和解决方案；新技术应用与承诺等内容）；</w:t>
      </w:r>
    </w:p>
    <w:p w14:paraId="1E738B49">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（7）</w:t>
      </w:r>
      <w:r>
        <w:rPr>
          <w:rFonts w:hint="eastAsia" w:ascii="宋体" w:hAnsi="宋体" w:eastAsia="宋体" w:cs="宋体"/>
          <w:color w:val="auto"/>
          <w:spacing w:val="-1"/>
          <w:sz w:val="24"/>
          <w:szCs w:val="24"/>
          <w:highlight w:val="none"/>
        </w:rPr>
        <w:t>绿色施工、安全防护、文明施工措施计划</w:t>
      </w:r>
      <w:r>
        <w:rPr>
          <w:rFonts w:hint="eastAsia" w:ascii="宋体" w:hAnsi="宋体" w:eastAsia="宋体" w:cs="宋体"/>
          <w:snapToGrid w:val="0"/>
          <w:color w:val="auto"/>
          <w:kern w:val="0"/>
          <w:highlight w:val="none"/>
        </w:rPr>
        <w:t>；</w:t>
      </w:r>
    </w:p>
    <w:p w14:paraId="4F5B6304">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0A657F48">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i/>
          <w:iCs/>
          <w:snapToGrid w:val="0"/>
          <w:color w:val="auto"/>
          <w:kern w:val="0"/>
          <w:highlight w:val="none"/>
          <w:lang w:eastAsia="zh-CN"/>
        </w:rPr>
      </w:pPr>
      <w:r>
        <w:rPr>
          <w:rFonts w:hint="eastAsia" w:ascii="宋体" w:hAnsi="宋体" w:eastAsia="宋体" w:cs="宋体"/>
          <w:snapToGrid w:val="0"/>
          <w:color w:val="auto"/>
          <w:kern w:val="0"/>
          <w:highlight w:val="none"/>
        </w:rPr>
        <w:t>（9）项目管理机构</w:t>
      </w:r>
      <w:r>
        <w:rPr>
          <w:rFonts w:hint="eastAsia" w:ascii="宋体" w:hAnsi="宋体" w:eastAsia="宋体" w:cs="宋体"/>
          <w:snapToGrid w:val="0"/>
          <w:color w:val="auto"/>
          <w:kern w:val="0"/>
          <w:highlight w:val="none"/>
          <w:lang w:val="en-US" w:eastAsia="zh-CN"/>
        </w:rPr>
        <w:t>；</w:t>
      </w:r>
    </w:p>
    <w:p w14:paraId="6BD1167A">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（10）投标人认为有必要补充的其他内容（例如对总包管理的认识以及对专业分包工程的管理、协调、配合、服务方案）。</w:t>
      </w:r>
    </w:p>
    <w:p w14:paraId="61150E51">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 xml:space="preserve"> 本节第</w:t>
      </w:r>
      <w:r>
        <w:rPr>
          <w:rFonts w:hint="eastAsia" w:ascii="宋体" w:hAnsi="宋体" w:eastAsia="宋体" w:cs="宋体"/>
          <w:b/>
          <w:bCs/>
          <w:snapToGrid w:val="0"/>
          <w:color w:val="auto"/>
          <w:kern w:val="0"/>
          <w:highlight w:val="none"/>
        </w:rPr>
        <w:t>10.4.2</w:t>
      </w:r>
      <w:r>
        <w:rPr>
          <w:rFonts w:hint="eastAsia" w:ascii="宋体" w:hAnsi="宋体" w:eastAsia="宋体" w:cs="宋体"/>
          <w:snapToGrid w:val="0"/>
          <w:color w:val="auto"/>
          <w:kern w:val="0"/>
          <w:highlight w:val="none"/>
        </w:rPr>
        <w:t>目中所列出的施工组织设计组成内容中，第（1）至第（9）项所有投标人均应提供。</w:t>
      </w:r>
    </w:p>
    <w:p w14:paraId="6361E1F8">
      <w:pPr>
        <w:pageBreakBefore w:val="0"/>
        <w:widowControl/>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lang w:val="en-US" w:eastAsia="zh-CN"/>
        </w:rPr>
        <w:t>10.4.4</w:t>
      </w:r>
      <w:r>
        <w:rPr>
          <w:rFonts w:hint="eastAsia" w:ascii="宋体" w:hAnsi="宋体" w:eastAsia="宋体" w:cs="宋体"/>
          <w:snapToGrid w:val="0"/>
          <w:color w:val="auto"/>
          <w:kern w:val="0"/>
          <w:highlight w:val="none"/>
        </w:rPr>
        <w:t>施工组织设计的组成内容按本节第</w:t>
      </w:r>
      <w:r>
        <w:rPr>
          <w:rFonts w:hint="eastAsia" w:ascii="宋体" w:hAnsi="宋体" w:eastAsia="宋体" w:cs="宋体"/>
          <w:b/>
          <w:bCs/>
          <w:snapToGrid w:val="0"/>
          <w:color w:val="auto"/>
          <w:kern w:val="0"/>
          <w:highlight w:val="none"/>
        </w:rPr>
        <w:t>10.4.2</w:t>
      </w:r>
      <w:r>
        <w:rPr>
          <w:rFonts w:hint="eastAsia" w:ascii="宋体" w:hAnsi="宋体" w:eastAsia="宋体" w:cs="宋体"/>
          <w:snapToGrid w:val="0"/>
          <w:color w:val="auto"/>
          <w:kern w:val="0"/>
          <w:highlight w:val="none"/>
        </w:rPr>
        <w:t>目规定的顺序整理、编排后，逐页（页码起始从封面开始）连续标记页码。</w:t>
      </w:r>
    </w:p>
    <w:p w14:paraId="1BB698DB">
      <w:pPr>
        <w:pStyle w:val="5"/>
        <w:pageBreakBefore w:val="0"/>
        <w:widowControl/>
        <w:kinsoku/>
        <w:wordWrap w:val="0"/>
        <w:overflowPunct/>
        <w:topLinePunct w:val="0"/>
        <w:autoSpaceDE/>
        <w:autoSpaceDN/>
        <w:bidi w:val="0"/>
        <w:adjustRightInd/>
        <w:snapToGrid w:val="0"/>
        <w:spacing w:line="360" w:lineRule="auto"/>
        <w:ind w:firstLine="480"/>
        <w:jc w:val="both"/>
        <w:textAlignment w:val="auto"/>
        <w:outlineLvl w:val="2"/>
        <w:rPr>
          <w:rFonts w:hint="eastAsia" w:ascii="宋体" w:hAnsi="宋体" w:eastAsia="宋体" w:cs="宋体"/>
          <w:b/>
          <w:strike w:val="0"/>
          <w:snapToGrid w:val="0"/>
          <w:color w:val="auto"/>
          <w:highlight w:val="none"/>
        </w:rPr>
      </w:pPr>
      <w:bookmarkStart w:id="82" w:name="_Toc13832"/>
      <w:bookmarkStart w:id="83" w:name="_Toc7033"/>
      <w:bookmarkStart w:id="84" w:name="_Toc25204"/>
      <w:bookmarkStart w:id="85" w:name="_Toc4254"/>
      <w:r>
        <w:rPr>
          <w:rFonts w:hint="eastAsia" w:ascii="宋体" w:hAnsi="宋体" w:eastAsia="宋体" w:cs="宋体"/>
          <w:b/>
          <w:strike w:val="0"/>
          <w:snapToGrid w:val="0"/>
          <w:color w:val="auto"/>
          <w:highlight w:val="none"/>
        </w:rPr>
        <w:t>11．</w:t>
      </w:r>
      <w:bookmarkEnd w:id="82"/>
      <w:bookmarkEnd w:id="83"/>
      <w:r>
        <w:rPr>
          <w:rFonts w:hint="eastAsia" w:ascii="宋体" w:hAnsi="宋体" w:eastAsia="宋体" w:cs="宋体"/>
          <w:b/>
          <w:strike w:val="0"/>
          <w:snapToGrid w:val="0"/>
          <w:color w:val="auto"/>
          <w:highlight w:val="none"/>
        </w:rPr>
        <w:t>电子投标</w:t>
      </w:r>
      <w:bookmarkEnd w:id="84"/>
      <w:bookmarkEnd w:id="85"/>
    </w:p>
    <w:p w14:paraId="0ECE56B0">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highlight w:val="none"/>
          <w:lang w:val="en-US" w:eastAsia="zh-CN"/>
        </w:rPr>
      </w:pPr>
      <w:bookmarkStart w:id="86" w:name="_Hlt66511038"/>
      <w:bookmarkEnd w:id="86"/>
      <w:bookmarkStart w:id="87" w:name="_Hlt66200498"/>
      <w:bookmarkEnd w:id="87"/>
      <w:bookmarkStart w:id="88" w:name="_Toc21572"/>
      <w:r>
        <w:rPr>
          <w:rFonts w:hint="eastAsia" w:ascii="宋体" w:hAnsi="宋体" w:eastAsia="宋体" w:cs="宋体"/>
          <w:color w:val="auto"/>
          <w:highlight w:val="none"/>
          <w:lang w:val="en-US" w:eastAsia="zh-CN"/>
        </w:rPr>
        <w:t>11.1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bookmarkEnd w:id="88"/>
    </w:p>
    <w:p w14:paraId="0E19202B">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11.2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10E30866">
      <w:pPr>
        <w:pStyle w:val="5"/>
        <w:pageBreakBefore w:val="0"/>
        <w:widowControl/>
        <w:kinsoku/>
        <w:wordWrap w:val="0"/>
        <w:overflowPunct/>
        <w:topLinePunct w:val="0"/>
        <w:autoSpaceDE/>
        <w:autoSpaceDN/>
        <w:bidi w:val="0"/>
        <w:adjustRightInd/>
        <w:snapToGrid w:val="0"/>
        <w:spacing w:line="360" w:lineRule="auto"/>
        <w:ind w:firstLine="480"/>
        <w:jc w:val="both"/>
        <w:textAlignment w:val="auto"/>
        <w:outlineLvl w:val="2"/>
        <w:rPr>
          <w:rFonts w:hint="eastAsia" w:ascii="宋体" w:hAnsi="宋体" w:eastAsia="宋体" w:cs="宋体"/>
          <w:b/>
          <w:snapToGrid w:val="0"/>
          <w:color w:val="auto"/>
          <w:highlight w:val="none"/>
          <w:lang w:val="en-US" w:eastAsia="zh-CN"/>
        </w:rPr>
      </w:pPr>
      <w:bookmarkStart w:id="89" w:name="_Toc7340"/>
      <w:bookmarkStart w:id="90" w:name="_Toc30009"/>
      <w:bookmarkStart w:id="91" w:name="_Toc564"/>
      <w:bookmarkStart w:id="92" w:name="_Toc10246"/>
      <w:r>
        <w:rPr>
          <w:rFonts w:hint="eastAsia" w:ascii="宋体" w:hAnsi="宋体" w:eastAsia="宋体" w:cs="宋体"/>
          <w:b/>
          <w:snapToGrid w:val="0"/>
          <w:color w:val="auto"/>
          <w:highlight w:val="none"/>
          <w:lang w:val="en-US" w:eastAsia="zh-CN"/>
        </w:rPr>
        <w:t>12．电子投标解密失败及突发情况的补救</w:t>
      </w:r>
      <w:bookmarkEnd w:id="89"/>
      <w:bookmarkEnd w:id="90"/>
    </w:p>
    <w:p w14:paraId="57797A3E">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12.1按照交易平台关于全流程电子化项目的相关指南进行操作。详见：</w:t>
      </w:r>
      <w:r>
        <w:rPr>
          <w:rFonts w:hint="eastAsia" w:ascii="宋体" w:hAnsi="宋体" w:eastAsia="宋体" w:cs="宋体"/>
          <w:snapToGrid w:val="0"/>
          <w:color w:val="auto"/>
          <w:kern w:val="0"/>
          <w:sz w:val="24"/>
          <w:szCs w:val="24"/>
          <w:highlight w:val="none"/>
          <w:lang w:val="en-US" w:eastAsia="zh-CN"/>
        </w:rPr>
        <w:t>全国公共资源交易平台（广东省·韶关市）（https://ygp.gdzwfw.gov.cn/ggzy-portal/#/440200/index）</w:t>
      </w:r>
      <w:r>
        <w:rPr>
          <w:rFonts w:hint="eastAsia" w:ascii="宋体" w:hAnsi="宋体" w:eastAsia="宋体" w:cs="宋体"/>
          <w:snapToGrid w:val="0"/>
          <w:color w:val="auto"/>
          <w:kern w:val="0"/>
          <w:sz w:val="24"/>
          <w:highlight w:val="none"/>
          <w:lang w:val="en-US" w:eastAsia="zh-CN"/>
        </w:rPr>
        <w:t>【服务指南】</w:t>
      </w:r>
      <w:r>
        <w:rPr>
          <w:rFonts w:hint="eastAsia" w:ascii="宋体" w:hAnsi="宋体" w:eastAsia="宋体" w:cs="宋体"/>
          <w:color w:val="auto"/>
          <w:highlight w:val="none"/>
          <w:lang w:val="en-US" w:eastAsia="zh-CN"/>
        </w:rPr>
        <w:t>栏目发布的最新版操作指引。</w:t>
      </w:r>
    </w:p>
    <w:p w14:paraId="1F095235">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12.2补救方案：</w:t>
      </w:r>
    </w:p>
    <w:p w14:paraId="0FD657AA">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投标文件解密失败的补救方案：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05AF9CE0">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评标时突发情况的补救方案：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2C38FDDC">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（3）除发生上述情况外，开标评标均以投标人通过交易平台网上提交的电子投标文件为准。</w:t>
      </w:r>
    </w:p>
    <w:p w14:paraId="48F42B6E">
      <w:pPr>
        <w:pageBreakBefore w:val="0"/>
        <w:widowControl/>
        <w:kinsoku/>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auto"/>
          <w:highlight w:val="none"/>
          <w:lang w:val="en-US" w:eastAsia="zh-CN"/>
        </w:rPr>
      </w:pPr>
      <w:bookmarkStart w:id="93" w:name="_Toc27958"/>
      <w:r>
        <w:rPr>
          <w:rFonts w:hint="eastAsia" w:ascii="宋体" w:hAnsi="宋体" w:eastAsia="宋体" w:cs="宋体"/>
          <w:b/>
          <w:bCs/>
          <w:color w:val="auto"/>
          <w:highlight w:val="none"/>
          <w:lang w:val="en-US" w:eastAsia="zh-CN"/>
        </w:rPr>
        <w:t>13．投标文件的提交</w:t>
      </w:r>
      <w:bookmarkEnd w:id="91"/>
      <w:bookmarkEnd w:id="92"/>
      <w:bookmarkEnd w:id="93"/>
    </w:p>
    <w:p w14:paraId="130CE9FF">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13.1在电子投标截止时间前，投标人通过全国公共资源交易平台（广东省·韶关市）提交已加密投标文件。逾期提交的电子投标文件，全国公共资源交易平台（广东省·韶关市）将予以拒收。</w:t>
      </w:r>
    </w:p>
    <w:p w14:paraId="668E86CB">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13.2提交时间和地点：见本章第二节“重要事项时间地点一览表”。</w:t>
      </w:r>
    </w:p>
    <w:p w14:paraId="1571395D">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13.3递交时间和地点：投标人如有招标文件要求提交的用于评审的证书、证件、证明原件（附一式两份清单），由投标人法定代表人或其委托代理人在指定的时间和地点递交（见“重要事项时间地点一览表”）。</w:t>
      </w:r>
    </w:p>
    <w:p w14:paraId="020D5EF7">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13.4代理机构对因不可抗力事件造成的投标文件的损坏、丢失的，不承担责任。        </w:t>
      </w:r>
    </w:p>
    <w:p w14:paraId="2BF80138">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13.5出现下述情形之一，属于未成功提交投标文件，按无效投标处理：</w:t>
      </w:r>
    </w:p>
    <w:p w14:paraId="426AC7A8">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（1）至电子投标截止时间时，投标文件未完整上传或未提交投标。</w:t>
      </w:r>
    </w:p>
    <w:p w14:paraId="0B8FA8C0">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（2）解密失败且在规定时间内未重新提交投标文件的；</w:t>
      </w:r>
    </w:p>
    <w:p w14:paraId="324E3D05">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（3）投标文件损坏或格式不正确的。</w:t>
      </w:r>
    </w:p>
    <w:p w14:paraId="5A5278E8">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13.6 招标人或其授权的招标代理机构核对、接收投标人递交的投标相关资料后，应向投标人出具标明签收人和签收时间的凭证，并妥善保管。</w:t>
      </w:r>
    </w:p>
    <w:p w14:paraId="798EF7E3">
      <w:pPr>
        <w:pageBreakBefore w:val="0"/>
        <w:widowControl/>
        <w:kinsoku/>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highlight w:val="none"/>
          <w:lang w:val="en-US" w:eastAsia="zh-CN"/>
        </w:rPr>
        <w:t>13.7 本次招标投标有效期为90个日历天，投标有效期从提交投标文件的截止之日起计算。在此期间，投标人不得撤销或修改其投标文件，否</w:t>
      </w:r>
      <w:r>
        <w:rPr>
          <w:rFonts w:hint="eastAsia" w:ascii="宋体" w:hAnsi="宋体" w:eastAsia="宋体" w:cs="宋体"/>
          <w:color w:val="auto"/>
          <w:sz w:val="24"/>
          <w:szCs w:val="24"/>
          <w:highlight w:val="none"/>
          <w:lang w:val="en-US" w:eastAsia="zh-CN"/>
        </w:rPr>
        <w:t>则其投标保证不予退还。</w:t>
      </w:r>
    </w:p>
    <w:p w14:paraId="1CEFBA01">
      <w:pPr>
        <w:pStyle w:val="5"/>
        <w:pageBreakBefore w:val="0"/>
        <w:kinsoku/>
        <w:wordWrap w:val="0"/>
        <w:overflowPunct/>
        <w:topLinePunct w:val="0"/>
        <w:autoSpaceDE/>
        <w:autoSpaceDN/>
        <w:bidi w:val="0"/>
        <w:snapToGrid w:val="0"/>
        <w:spacing w:line="360" w:lineRule="auto"/>
        <w:ind w:firstLine="480"/>
        <w:jc w:val="both"/>
        <w:textAlignment w:val="auto"/>
        <w:outlineLvl w:val="2"/>
        <w:rPr>
          <w:rFonts w:hint="eastAsia" w:ascii="宋体" w:hAnsi="宋体" w:eastAsia="宋体" w:cs="宋体"/>
          <w:b/>
          <w:snapToGrid w:val="0"/>
          <w:color w:val="auto"/>
          <w:highlight w:val="none"/>
        </w:rPr>
      </w:pPr>
      <w:bookmarkStart w:id="94" w:name="_Toc12739"/>
      <w:r>
        <w:rPr>
          <w:rFonts w:hint="eastAsia" w:ascii="宋体" w:hAnsi="宋体" w:eastAsia="宋体" w:cs="宋体"/>
          <w:b/>
          <w:snapToGrid w:val="0"/>
          <w:color w:val="auto"/>
          <w:highlight w:val="none"/>
        </w:rPr>
        <w:t>14．开标</w:t>
      </w:r>
      <w:bookmarkEnd w:id="94"/>
    </w:p>
    <w:p w14:paraId="0401FE64">
      <w:pPr>
        <w:pStyle w:val="21"/>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14.1</w:t>
      </w:r>
      <w:r>
        <w:rPr>
          <w:rFonts w:hint="eastAsia" w:ascii="宋体" w:hAnsi="宋体" w:eastAsia="宋体" w:cs="宋体"/>
          <w:snapToGrid w:val="0"/>
          <w:color w:val="auto"/>
          <w:kern w:val="0"/>
          <w:sz w:val="24"/>
          <w:highlight w:val="none"/>
        </w:rPr>
        <w:t xml:space="preserve"> 招标人邀请所有正确获取招标文件、电子投标、缴纳投标保证的投标人参加开标，投标人可自主决定是否参加。投标人可登</w:t>
      </w:r>
      <w:r>
        <w:rPr>
          <w:rFonts w:hint="eastAsia" w:ascii="宋体" w:hAnsi="宋体" w:eastAsia="宋体" w:cs="宋体"/>
          <w:snapToGrid w:val="0"/>
          <w:color w:val="auto"/>
          <w:kern w:val="0"/>
          <w:sz w:val="24"/>
          <w:highlight w:val="none"/>
          <w:lang w:val="en-US" w:eastAsia="zh-CN"/>
        </w:rPr>
        <w:t>录</w:t>
      </w:r>
      <w:r>
        <w:rPr>
          <w:rFonts w:hint="eastAsia" w:ascii="宋体" w:hAnsi="宋体" w:eastAsia="宋体" w:cs="宋体"/>
          <w:snapToGrid w:val="0"/>
          <w:color w:val="auto"/>
          <w:kern w:val="0"/>
          <w:sz w:val="24"/>
          <w:highlight w:val="none"/>
        </w:rPr>
        <w:t>交易平台观看开标实况、提出异议或进行澄清、确认等操作（具体按招标文件和系统操作手册为准）。投标人不参加开标的，视其默认开标结果，以及放弃在开标期间见证、监督、投诉、申辩的权利。</w:t>
      </w:r>
    </w:p>
    <w:p w14:paraId="35F523A1">
      <w:pPr>
        <w:pStyle w:val="21"/>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szCs w:val="20"/>
          <w:highlight w:val="none"/>
        </w:rPr>
        <w:t>14.1.1</w:t>
      </w:r>
      <w:r>
        <w:rPr>
          <w:rFonts w:hint="eastAsia" w:ascii="宋体" w:hAnsi="宋体" w:eastAsia="宋体" w:cs="宋体"/>
          <w:snapToGrid w:val="0"/>
          <w:color w:val="auto"/>
          <w:kern w:val="0"/>
          <w:sz w:val="24"/>
          <w:highlight w:val="none"/>
        </w:rPr>
        <w:t xml:space="preserve"> 开标时间和地点：见本章第二节“重要事项时间地点一览表”。</w:t>
      </w:r>
    </w:p>
    <w:p w14:paraId="7F3449FC">
      <w:pPr>
        <w:pStyle w:val="21"/>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szCs w:val="20"/>
          <w:highlight w:val="none"/>
        </w:rPr>
        <w:t>14.1.2</w:t>
      </w:r>
      <w:r>
        <w:rPr>
          <w:rFonts w:hint="eastAsia" w:ascii="宋体" w:hAnsi="宋体" w:eastAsia="宋体" w:cs="宋体"/>
          <w:snapToGrid w:val="0"/>
          <w:color w:val="auto"/>
          <w:kern w:val="0"/>
          <w:sz w:val="24"/>
          <w:highlight w:val="none"/>
        </w:rPr>
        <w:t xml:space="preserve"> 开标前24小时，若建设工程交易系统显示缴纳投标保证（包括投标保证金、投标保证担保</w:t>
      </w:r>
      <w:r>
        <w:rPr>
          <w:rFonts w:hint="eastAsia" w:ascii="宋体" w:hAnsi="宋体" w:eastAsia="宋体" w:cs="宋体"/>
          <w:snapToGrid w:val="0"/>
          <w:color w:val="auto"/>
          <w:kern w:val="0"/>
          <w:sz w:val="24"/>
          <w:highlight w:val="none"/>
          <w:lang w:eastAsia="zh-CN"/>
        </w:rPr>
        <w:t>、</w:t>
      </w:r>
      <w:r>
        <w:rPr>
          <w:rFonts w:hint="eastAsia" w:ascii="宋体" w:hAnsi="宋体" w:eastAsia="宋体" w:cs="宋体"/>
          <w:snapToGrid w:val="0"/>
          <w:color w:val="auto"/>
          <w:kern w:val="0"/>
          <w:sz w:val="24"/>
          <w:highlight w:val="none"/>
          <w:lang w:val="en-US" w:eastAsia="zh-CN"/>
        </w:rPr>
        <w:t>投标保证保险</w:t>
      </w:r>
      <w:r>
        <w:rPr>
          <w:rFonts w:hint="eastAsia" w:ascii="宋体" w:hAnsi="宋体" w:eastAsia="宋体" w:cs="宋体"/>
          <w:snapToGrid w:val="0"/>
          <w:color w:val="auto"/>
          <w:kern w:val="0"/>
          <w:sz w:val="24"/>
          <w:highlight w:val="none"/>
        </w:rPr>
        <w:t>）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eastAsia="宋体" w:cs="宋体"/>
          <w:snapToGrid w:val="0"/>
          <w:color w:val="auto"/>
          <w:kern w:val="0"/>
          <w:sz w:val="24"/>
          <w:szCs w:val="24"/>
          <w:highlight w:val="none"/>
          <w:lang w:val="en-US" w:eastAsia="zh-CN"/>
        </w:rPr>
        <w:t>全国公共资源交易平台（广东省·韶关市）</w:t>
      </w:r>
      <w:r>
        <w:rPr>
          <w:rFonts w:hint="eastAsia" w:ascii="宋体" w:hAnsi="宋体" w:eastAsia="宋体" w:cs="宋体"/>
          <w:caps w:val="0"/>
          <w:smallCaps w:val="0"/>
          <w:snapToGrid w:val="0"/>
          <w:color w:val="auto"/>
          <w:spacing w:val="0"/>
          <w:kern w:val="0"/>
          <w:sz w:val="24"/>
          <w:highlight w:val="none"/>
          <w:lang w:val="en-US" w:eastAsia="zh-CN"/>
        </w:rPr>
        <w:t>（https://ygp.gdzwfw.gov.cn/ggzy-portal/#/440200/index）</w:t>
      </w:r>
      <w:r>
        <w:rPr>
          <w:rFonts w:hint="eastAsia" w:ascii="宋体" w:hAnsi="宋体" w:eastAsia="宋体" w:cs="宋体"/>
          <w:snapToGrid w:val="0"/>
          <w:color w:val="auto"/>
          <w:kern w:val="0"/>
          <w:sz w:val="24"/>
          <w:highlight w:val="none"/>
        </w:rPr>
        <w:t>查询是否发布了取消开标活动的相关信息。</w:t>
      </w:r>
    </w:p>
    <w:p w14:paraId="65AB11C3">
      <w:pPr>
        <w:pStyle w:val="21"/>
        <w:pageBreakBefore w:val="0"/>
        <w:kinsoku/>
        <w:wordWrap w:val="0"/>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lang w:val="en-US" w:eastAsia="zh-CN"/>
        </w:rPr>
        <w:t>14.1.3</w:t>
      </w:r>
      <w:r>
        <w:rPr>
          <w:rFonts w:hint="eastAsia" w:ascii="宋体" w:hAnsi="宋体" w:eastAsia="宋体" w:cs="宋体"/>
          <w:snapToGrid w:val="0"/>
          <w:color w:val="auto"/>
          <w:kern w:val="0"/>
          <w:sz w:val="24"/>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5ACFE13C">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14.2</w:t>
      </w:r>
      <w:r>
        <w:rPr>
          <w:rFonts w:hint="eastAsia" w:ascii="宋体" w:hAnsi="宋体" w:eastAsia="宋体" w:cs="宋体"/>
          <w:snapToGrid w:val="0"/>
          <w:color w:val="auto"/>
          <w:kern w:val="0"/>
          <w:highlight w:val="none"/>
        </w:rPr>
        <w:t xml:space="preserve"> 开标程序</w:t>
      </w:r>
    </w:p>
    <w:p w14:paraId="6E3B8B94">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（1）主持人（招标人代表或招标人授权的招标代理机构人员）宣读开标纪律。</w:t>
      </w:r>
    </w:p>
    <w:p w14:paraId="5356FB8D">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（2）主持人宣布唱标人、记录人、见证人、监督人等有关人员姓名。</w:t>
      </w:r>
    </w:p>
    <w:p w14:paraId="1721AC8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rPr>
        <w:t>（3）招标代理机构</w:t>
      </w:r>
      <w:r>
        <w:rPr>
          <w:rFonts w:hint="eastAsia" w:ascii="宋体" w:hAnsi="宋体" w:eastAsia="宋体" w:cs="宋体"/>
          <w:snapToGrid w:val="0"/>
          <w:color w:val="auto"/>
          <w:kern w:val="0"/>
          <w:highlight w:val="none"/>
          <w:lang w:val="en-US" w:eastAsia="zh-CN"/>
        </w:rPr>
        <w:t>在交易场所工作人员见证下</w:t>
      </w:r>
      <w:r>
        <w:rPr>
          <w:rFonts w:hint="eastAsia" w:ascii="宋体" w:hAnsi="宋体" w:eastAsia="宋体" w:cs="宋体"/>
          <w:snapToGrid w:val="0"/>
          <w:color w:val="auto"/>
          <w:kern w:val="0"/>
          <w:highlight w:val="none"/>
        </w:rPr>
        <w:t>对投标人的电子投标信息进行解密，建设工程交易系统自动生成《投标保证缴纳情况表》和《开标一览表》。唱标人公布在投标截止时间前进行投标文件的投标人数量和名称</w:t>
      </w:r>
      <w:r>
        <w:rPr>
          <w:rFonts w:hint="eastAsia" w:ascii="宋体" w:hAnsi="宋体" w:eastAsia="宋体" w:cs="宋体"/>
          <w:snapToGrid w:val="0"/>
          <w:color w:val="auto"/>
          <w:kern w:val="0"/>
          <w:highlight w:val="none"/>
          <w:lang w:eastAsia="zh-CN"/>
        </w:rPr>
        <w:t>。</w:t>
      </w:r>
    </w:p>
    <w:p w14:paraId="48DB8A7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（4）唱标人检查《投标保证缴纳情况表》中各投标人所缴纳投标保证的金额、有效期是否符合招标文件规定。若不符合规定，该投标人的投标无效。将有关情形在《投标保证缴纳情况表》“备注”栏中注明。</w:t>
      </w:r>
    </w:p>
    <w:p w14:paraId="16D6831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（5）唱标人检查《开标一览表》中各投标人的投标总价、质量标准、工期是否符合招标文件规定。若不符合规定，招标代理机构应将有关情形在《开标一览表》“备注”栏中注明。</w:t>
      </w:r>
    </w:p>
    <w:p w14:paraId="6F4EC6E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（6）投标人代表、招标人代表、唱标人、记录人等有关人员在《投标保证缴纳情况表》以及《开标一览表》上签字确认。</w:t>
      </w:r>
    </w:p>
    <w:p w14:paraId="063420A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 w:val="24"/>
          <w:szCs w:val="24"/>
          <w:highlight w:val="none"/>
          <w:lang w:val="en-US" w:eastAsia="zh-CN" w:bidi="ar-SA"/>
        </w:rPr>
        <w:t>（7）主持人宣布有关注意事项后，宣布开标结束。</w:t>
      </w:r>
    </w:p>
    <w:p w14:paraId="4732E632">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color w:val="auto"/>
          <w:highlight w:val="none"/>
        </w:rPr>
      </w:pPr>
      <w:r>
        <w:rPr>
          <w:rFonts w:hint="eastAsia" w:ascii="宋体" w:hAnsi="宋体" w:eastAsia="宋体" w:cs="宋体"/>
          <w:b/>
          <w:bCs/>
          <w:snapToGrid w:val="0"/>
          <w:color w:val="auto"/>
          <w:kern w:val="0"/>
          <w:highlight w:val="none"/>
        </w:rPr>
        <w:t>备注：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5FD97BEE">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14.3</w:t>
      </w:r>
      <w:r>
        <w:rPr>
          <w:rFonts w:hint="eastAsia" w:ascii="宋体" w:hAnsi="宋体" w:eastAsia="宋体" w:cs="宋体"/>
          <w:snapToGrid w:val="0"/>
          <w:color w:val="auto"/>
          <w:kern w:val="0"/>
          <w:highlight w:val="none"/>
        </w:rPr>
        <w:t xml:space="preserve"> 投标人对开标相关事项（如开标程序、投标文件组成和数量、唱标次序和内容等）有异议的，必须在开标期间和开标现场提出，招标人或其授权的招标代理机构应当场作出答复，并记录在案。对开标事项的异议未在开标期间和开标现场提出的，招标人不予受理。</w:t>
      </w:r>
    </w:p>
    <w:p w14:paraId="416D3CBE">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14.</w:t>
      </w:r>
      <w:r>
        <w:rPr>
          <w:rFonts w:hint="eastAsia" w:ascii="宋体" w:hAnsi="宋体" w:eastAsia="宋体" w:cs="宋体"/>
          <w:b/>
          <w:bCs/>
          <w:snapToGrid w:val="0"/>
          <w:color w:val="auto"/>
          <w:kern w:val="0"/>
          <w:highlight w:val="none"/>
          <w:lang w:val="en-US" w:eastAsia="zh-CN"/>
        </w:rPr>
        <w:t>4</w:t>
      </w:r>
      <w:r>
        <w:rPr>
          <w:rFonts w:hint="eastAsia" w:ascii="宋体" w:hAnsi="宋体" w:eastAsia="宋体" w:cs="宋体"/>
          <w:snapToGrid w:val="0"/>
          <w:color w:val="auto"/>
          <w:kern w:val="0"/>
          <w:highlight w:val="none"/>
        </w:rPr>
        <w:t xml:space="preserve"> 招标代理机构将</w:t>
      </w:r>
      <w:r>
        <w:rPr>
          <w:rFonts w:hint="eastAsia" w:ascii="宋体" w:hAnsi="宋体" w:eastAsia="宋体" w:cs="宋体"/>
          <w:snapToGrid w:val="0"/>
          <w:color w:val="auto"/>
          <w:kern w:val="0"/>
          <w:highlight w:val="none"/>
          <w:lang w:val="en-US" w:eastAsia="zh-CN"/>
        </w:rPr>
        <w:t>资料原件</w:t>
      </w:r>
      <w:r>
        <w:rPr>
          <w:rFonts w:hint="eastAsia" w:ascii="宋体" w:hAnsi="宋体" w:eastAsia="宋体" w:cs="宋体"/>
          <w:b/>
          <w:bCs/>
          <w:snapToGrid w:val="0"/>
          <w:color w:val="auto"/>
          <w:kern w:val="0"/>
          <w:highlight w:val="none"/>
          <w:lang w:val="en-US" w:eastAsia="zh-CN"/>
        </w:rPr>
        <w:t>（如有）</w:t>
      </w:r>
      <w:r>
        <w:rPr>
          <w:rFonts w:hint="eastAsia" w:ascii="宋体" w:hAnsi="宋体" w:eastAsia="宋体" w:cs="宋体"/>
          <w:snapToGrid w:val="0"/>
          <w:color w:val="auto"/>
          <w:kern w:val="0"/>
          <w:highlight w:val="none"/>
          <w:lang w:val="en-US" w:eastAsia="zh-CN"/>
        </w:rPr>
        <w:t>、</w:t>
      </w:r>
      <w:r>
        <w:rPr>
          <w:rFonts w:hint="eastAsia" w:ascii="宋体" w:hAnsi="宋体" w:eastAsia="宋体" w:cs="宋体"/>
          <w:snapToGrid w:val="0"/>
          <w:color w:val="auto"/>
          <w:kern w:val="0"/>
          <w:highlight w:val="none"/>
        </w:rPr>
        <w:t>《开标一览表》以及其他有关资料移交评标委员会。</w:t>
      </w:r>
    </w:p>
    <w:p w14:paraId="561A5ABE">
      <w:pPr>
        <w:pStyle w:val="5"/>
        <w:pageBreakBefore w:val="0"/>
        <w:kinsoku/>
        <w:wordWrap w:val="0"/>
        <w:overflowPunct/>
        <w:topLinePunct w:val="0"/>
        <w:autoSpaceDE/>
        <w:autoSpaceDN/>
        <w:bidi w:val="0"/>
        <w:snapToGrid w:val="0"/>
        <w:spacing w:line="360" w:lineRule="auto"/>
        <w:ind w:firstLine="480"/>
        <w:jc w:val="both"/>
        <w:outlineLvl w:val="2"/>
        <w:rPr>
          <w:rFonts w:hint="eastAsia" w:ascii="宋体" w:hAnsi="宋体" w:eastAsia="宋体" w:cs="宋体"/>
          <w:b/>
          <w:snapToGrid w:val="0"/>
          <w:color w:val="auto"/>
          <w:highlight w:val="none"/>
        </w:rPr>
      </w:pPr>
      <w:bookmarkStart w:id="95" w:name="_Toc17600"/>
      <w:r>
        <w:rPr>
          <w:rFonts w:hint="eastAsia" w:ascii="宋体" w:hAnsi="宋体" w:eastAsia="宋体" w:cs="宋体"/>
          <w:b/>
          <w:snapToGrid w:val="0"/>
          <w:color w:val="auto"/>
          <w:highlight w:val="none"/>
        </w:rPr>
        <w:t>15．评标</w:t>
      </w:r>
      <w:bookmarkEnd w:id="95"/>
    </w:p>
    <w:p w14:paraId="5D67F23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highlight w:val="none"/>
          <w:u w:val="single"/>
        </w:rPr>
        <w:t xml:space="preserve"> 3 </w:t>
      </w:r>
      <w:r>
        <w:rPr>
          <w:rFonts w:hint="eastAsia" w:ascii="宋体" w:hAnsi="宋体" w:eastAsia="宋体" w:cs="宋体"/>
          <w:snapToGrid w:val="0"/>
          <w:color w:val="auto"/>
          <w:kern w:val="0"/>
          <w:highlight w:val="none"/>
        </w:rPr>
        <w:t>个中标候选人，并向招标人提交由全体评标委员会成员签字的评标报告。</w:t>
      </w:r>
    </w:p>
    <w:p w14:paraId="078D4BD5">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15.1</w:t>
      </w:r>
      <w:r>
        <w:rPr>
          <w:rFonts w:hint="eastAsia" w:ascii="宋体" w:hAnsi="宋体" w:eastAsia="宋体" w:cs="宋体"/>
          <w:bCs/>
          <w:snapToGrid w:val="0"/>
          <w:color w:val="auto"/>
          <w:kern w:val="0"/>
          <w:highlight w:val="none"/>
        </w:rPr>
        <w:t xml:space="preserve"> 评标委员会</w:t>
      </w:r>
    </w:p>
    <w:p w14:paraId="18854150">
      <w:pPr>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15.1.1</w:t>
      </w:r>
      <w:r>
        <w:rPr>
          <w:rFonts w:hint="eastAsia" w:ascii="宋体" w:hAnsi="宋体" w:eastAsia="宋体" w:cs="宋体"/>
          <w:snapToGrid w:val="0"/>
          <w:color w:val="auto"/>
          <w:kern w:val="0"/>
          <w:highlight w:val="none"/>
        </w:rPr>
        <w:t xml:space="preserve"> </w:t>
      </w:r>
      <w:r>
        <w:rPr>
          <w:rFonts w:hint="eastAsia" w:ascii="宋体" w:hAnsi="宋体" w:eastAsia="宋体" w:cs="宋体"/>
          <w:caps w:val="0"/>
          <w:smallCaps w:val="0"/>
          <w:snapToGrid w:val="0"/>
          <w:color w:val="auto"/>
          <w:spacing w:val="0"/>
          <w:kern w:val="0"/>
          <w:sz w:val="24"/>
          <w:szCs w:val="24"/>
          <w:highlight w:val="none"/>
          <w:u w:val="none" w:color="auto"/>
        </w:rPr>
        <w:t>评标委员会由</w:t>
      </w:r>
      <w:r>
        <w:rPr>
          <w:rFonts w:hint="eastAsia" w:ascii="宋体" w:hAnsi="宋体" w:eastAsia="宋体" w:cs="宋体"/>
          <w:caps w:val="0"/>
          <w:smallCaps w:val="0"/>
          <w:snapToGrid w:val="0"/>
          <w:color w:val="auto"/>
          <w:spacing w:val="0"/>
          <w:kern w:val="0"/>
          <w:sz w:val="24"/>
          <w:szCs w:val="24"/>
          <w:highlight w:val="none"/>
          <w:u w:val="single"/>
        </w:rPr>
        <w:t xml:space="preserve"> </w:t>
      </w:r>
      <w:r>
        <w:rPr>
          <w:rFonts w:hint="eastAsia" w:ascii="宋体" w:hAnsi="宋体" w:eastAsia="宋体" w:cs="宋体"/>
          <w:caps w:val="0"/>
          <w:smallCaps w:val="0"/>
          <w:snapToGrid w:val="0"/>
          <w:color w:val="auto"/>
          <w:spacing w:val="0"/>
          <w:kern w:val="0"/>
          <w:sz w:val="24"/>
          <w:szCs w:val="24"/>
          <w:highlight w:val="none"/>
          <w:u w:val="single"/>
          <w:lang w:val="en-US" w:eastAsia="zh-CN"/>
        </w:rPr>
        <w:t>5</w:t>
      </w:r>
      <w:r>
        <w:rPr>
          <w:rFonts w:hint="eastAsia" w:ascii="宋体" w:hAnsi="宋体" w:eastAsia="宋体" w:cs="宋体"/>
          <w:caps w:val="0"/>
          <w:smallCaps w:val="0"/>
          <w:snapToGrid w:val="0"/>
          <w:color w:val="auto"/>
          <w:spacing w:val="0"/>
          <w:kern w:val="0"/>
          <w:sz w:val="24"/>
          <w:szCs w:val="24"/>
          <w:highlight w:val="none"/>
          <w:u w:val="single"/>
        </w:rPr>
        <w:t xml:space="preserve"> </w:t>
      </w:r>
      <w:r>
        <w:rPr>
          <w:rFonts w:hint="eastAsia" w:ascii="宋体" w:hAnsi="宋体" w:eastAsia="宋体" w:cs="宋体"/>
          <w:caps w:val="0"/>
          <w:smallCaps w:val="0"/>
          <w:snapToGrid w:val="0"/>
          <w:color w:val="auto"/>
          <w:spacing w:val="0"/>
          <w:kern w:val="0"/>
          <w:sz w:val="24"/>
          <w:szCs w:val="24"/>
          <w:highlight w:val="none"/>
          <w:u w:val="none"/>
        </w:rPr>
        <w:t>人组成，</w:t>
      </w:r>
      <w:r>
        <w:rPr>
          <w:rFonts w:hint="eastAsia" w:ascii="宋体" w:hAnsi="宋体" w:eastAsia="宋体" w:cs="宋体"/>
          <w:caps w:val="0"/>
          <w:smallCaps w:val="0"/>
          <w:snapToGrid w:val="0"/>
          <w:color w:val="auto"/>
          <w:spacing w:val="0"/>
          <w:kern w:val="0"/>
          <w:sz w:val="24"/>
          <w:szCs w:val="24"/>
          <w:highlight w:val="none"/>
          <w:u w:val="none"/>
          <w:lang w:eastAsia="zh-CN"/>
        </w:rPr>
        <w:t>其中招标人代表</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0 </w:t>
      </w:r>
      <w:r>
        <w:rPr>
          <w:rFonts w:hint="eastAsia" w:ascii="宋体" w:hAnsi="宋体" w:eastAsia="宋体" w:cs="宋体"/>
          <w:caps w:val="0"/>
          <w:smallCaps w:val="0"/>
          <w:snapToGrid w:val="0"/>
          <w:color w:val="auto"/>
          <w:spacing w:val="0"/>
          <w:kern w:val="0"/>
          <w:sz w:val="24"/>
          <w:szCs w:val="24"/>
          <w:highlight w:val="none"/>
          <w:u w:val="none"/>
          <w:lang w:val="en-US" w:eastAsia="zh-CN"/>
        </w:rPr>
        <w:t>人，专家</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5 </w:t>
      </w:r>
      <w:r>
        <w:rPr>
          <w:rFonts w:hint="eastAsia" w:ascii="宋体" w:hAnsi="宋体" w:eastAsia="宋体" w:cs="宋体"/>
          <w:caps w:val="0"/>
          <w:smallCaps w:val="0"/>
          <w:snapToGrid w:val="0"/>
          <w:color w:val="auto"/>
          <w:spacing w:val="0"/>
          <w:kern w:val="0"/>
          <w:sz w:val="24"/>
          <w:szCs w:val="24"/>
          <w:highlight w:val="none"/>
          <w:u w:val="none"/>
          <w:lang w:val="en-US" w:eastAsia="zh-CN"/>
        </w:rPr>
        <w:t>人。专</w:t>
      </w:r>
      <w:r>
        <w:rPr>
          <w:rFonts w:hint="eastAsia" w:ascii="宋体" w:hAnsi="宋体" w:eastAsia="宋体" w:cs="宋体"/>
          <w:b/>
          <w:bCs/>
          <w:caps w:val="0"/>
          <w:smallCaps w:val="0"/>
          <w:snapToGrid w:val="0"/>
          <w:color w:val="auto"/>
          <w:spacing w:val="0"/>
          <w:kern w:val="0"/>
          <w:sz w:val="24"/>
          <w:szCs w:val="24"/>
          <w:highlight w:val="none"/>
          <w:u w:val="none"/>
          <w:lang w:val="en-US" w:eastAsia="zh-CN"/>
        </w:rPr>
        <w:t>家</w:t>
      </w:r>
      <w:r>
        <w:rPr>
          <w:rFonts w:hint="eastAsia" w:ascii="宋体" w:hAnsi="宋体" w:eastAsia="宋体" w:cs="宋体"/>
          <w:b/>
          <w:bCs/>
          <w:caps w:val="0"/>
          <w:smallCaps w:val="0"/>
          <w:snapToGrid w:val="0"/>
          <w:color w:val="auto"/>
          <w:spacing w:val="0"/>
          <w:kern w:val="0"/>
          <w:sz w:val="24"/>
          <w:szCs w:val="24"/>
          <w:highlight w:val="none"/>
        </w:rPr>
        <w:t>从广东省综合评标评审专家库</w:t>
      </w:r>
      <w:r>
        <w:rPr>
          <w:rFonts w:hint="eastAsia" w:ascii="宋体" w:hAnsi="宋体" w:eastAsia="宋体" w:cs="宋体"/>
          <w:b/>
          <w:bCs/>
          <w:caps w:val="0"/>
          <w:smallCaps w:val="0"/>
          <w:snapToGrid w:val="0"/>
          <w:color w:val="auto"/>
          <w:spacing w:val="0"/>
          <w:kern w:val="0"/>
          <w:sz w:val="24"/>
          <w:szCs w:val="24"/>
          <w:highlight w:val="none"/>
          <w:lang w:eastAsia="zh-CN"/>
        </w:rPr>
        <w:t>（</w:t>
      </w:r>
      <w:r>
        <w:rPr>
          <w:rFonts w:hint="eastAsia" w:ascii="宋体" w:hAnsi="宋体" w:eastAsia="宋体" w:cs="宋体"/>
          <w:b/>
          <w:bCs/>
          <w:caps w:val="0"/>
          <w:smallCaps w:val="0"/>
          <w:snapToGrid w:val="0"/>
          <w:color w:val="auto"/>
          <w:spacing w:val="0"/>
          <w:kern w:val="0"/>
          <w:sz w:val="24"/>
          <w:szCs w:val="24"/>
          <w:highlight w:val="none"/>
          <w:lang w:val="en-US" w:eastAsia="zh-CN"/>
        </w:rPr>
        <w:t>韶关区域</w:t>
      </w:r>
      <w:r>
        <w:rPr>
          <w:rFonts w:hint="eastAsia" w:ascii="宋体" w:hAnsi="宋体" w:eastAsia="宋体" w:cs="宋体"/>
          <w:b/>
          <w:bCs/>
          <w:caps w:val="0"/>
          <w:smallCaps w:val="0"/>
          <w:snapToGrid w:val="0"/>
          <w:color w:val="auto"/>
          <w:spacing w:val="0"/>
          <w:kern w:val="0"/>
          <w:sz w:val="24"/>
          <w:szCs w:val="24"/>
          <w:highlight w:val="none"/>
          <w:lang w:eastAsia="zh-CN"/>
        </w:rPr>
        <w:t>）</w:t>
      </w:r>
      <w:r>
        <w:rPr>
          <w:rFonts w:hint="eastAsia" w:ascii="宋体" w:hAnsi="宋体" w:eastAsia="宋体" w:cs="宋体"/>
          <w:b/>
          <w:bCs/>
          <w:caps w:val="0"/>
          <w:smallCaps w:val="0"/>
          <w:snapToGrid w:val="0"/>
          <w:color w:val="auto"/>
          <w:spacing w:val="0"/>
          <w:kern w:val="0"/>
          <w:sz w:val="24"/>
          <w:szCs w:val="24"/>
          <w:highlight w:val="none"/>
        </w:rPr>
        <w:t>中随机抽取</w:t>
      </w:r>
      <w:r>
        <w:rPr>
          <w:rFonts w:hint="eastAsia" w:ascii="宋体" w:hAnsi="宋体" w:eastAsia="宋体" w:cs="宋体"/>
          <w:caps w:val="0"/>
          <w:smallCaps w:val="0"/>
          <w:snapToGrid w:val="0"/>
          <w:color w:val="auto"/>
          <w:spacing w:val="0"/>
          <w:kern w:val="0"/>
          <w:sz w:val="24"/>
          <w:szCs w:val="24"/>
          <w:highlight w:val="none"/>
        </w:rPr>
        <w:t>，其中</w:t>
      </w:r>
      <w:r>
        <w:rPr>
          <w:rFonts w:hint="eastAsia" w:ascii="宋体" w:hAnsi="宋体" w:eastAsia="宋体" w:cs="宋体"/>
          <w:caps w:val="0"/>
          <w:smallCaps w:val="0"/>
          <w:snapToGrid w:val="0"/>
          <w:color w:val="auto"/>
          <w:spacing w:val="0"/>
          <w:kern w:val="0"/>
          <w:sz w:val="24"/>
          <w:szCs w:val="24"/>
          <w:highlight w:val="none"/>
          <w:lang w:eastAsia="zh-CN"/>
        </w:rPr>
        <w:t>技术类专家</w:t>
      </w:r>
      <w:r>
        <w:rPr>
          <w:rFonts w:hint="eastAsia" w:ascii="宋体" w:hAnsi="宋体" w:eastAsia="宋体" w:cs="宋体"/>
          <w:caps w:val="0"/>
          <w:smallCaps w:val="0"/>
          <w:snapToGrid w:val="0"/>
          <w:color w:val="auto"/>
          <w:spacing w:val="0"/>
          <w:kern w:val="0"/>
          <w:sz w:val="24"/>
          <w:szCs w:val="24"/>
          <w:highlight w:val="none"/>
          <w:u w:val="single"/>
          <w:lang w:val="en-US" w:eastAsia="zh-CN"/>
        </w:rPr>
        <w:t xml:space="preserve"> 3 </w:t>
      </w:r>
      <w:r>
        <w:rPr>
          <w:rFonts w:hint="eastAsia" w:ascii="宋体" w:hAnsi="宋体" w:eastAsia="宋体" w:cs="宋体"/>
          <w:caps w:val="0"/>
          <w:smallCaps w:val="0"/>
          <w:snapToGrid w:val="0"/>
          <w:color w:val="auto"/>
          <w:spacing w:val="0"/>
          <w:kern w:val="0"/>
          <w:sz w:val="24"/>
          <w:szCs w:val="24"/>
          <w:highlight w:val="none"/>
          <w:u w:val="none"/>
          <w:lang w:val="en-US" w:eastAsia="zh-CN"/>
        </w:rPr>
        <w:t>人，</w:t>
      </w:r>
      <w:r>
        <w:rPr>
          <w:rFonts w:hint="eastAsia" w:ascii="宋体" w:hAnsi="宋体" w:eastAsia="宋体" w:cs="宋体"/>
          <w:caps w:val="0"/>
          <w:smallCaps w:val="0"/>
          <w:snapToGrid w:val="0"/>
          <w:color w:val="auto"/>
          <w:spacing w:val="0"/>
          <w:kern w:val="0"/>
          <w:sz w:val="24"/>
          <w:szCs w:val="24"/>
          <w:highlight w:val="none"/>
        </w:rPr>
        <w:t>经济类专家</w:t>
      </w:r>
      <w:r>
        <w:rPr>
          <w:rFonts w:hint="eastAsia" w:ascii="宋体" w:hAnsi="宋体" w:eastAsia="宋体" w:cs="宋体"/>
          <w:caps w:val="0"/>
          <w:smallCaps w:val="0"/>
          <w:snapToGrid w:val="0"/>
          <w:color w:val="auto"/>
          <w:spacing w:val="0"/>
          <w:kern w:val="0"/>
          <w:sz w:val="24"/>
          <w:szCs w:val="24"/>
          <w:highlight w:val="none"/>
          <w:u w:val="single"/>
        </w:rPr>
        <w:t xml:space="preserve"> </w:t>
      </w:r>
      <w:r>
        <w:rPr>
          <w:rFonts w:hint="eastAsia" w:ascii="宋体" w:hAnsi="宋体" w:eastAsia="宋体" w:cs="宋体"/>
          <w:caps w:val="0"/>
          <w:smallCaps w:val="0"/>
          <w:snapToGrid w:val="0"/>
          <w:color w:val="auto"/>
          <w:spacing w:val="0"/>
          <w:kern w:val="0"/>
          <w:sz w:val="24"/>
          <w:szCs w:val="24"/>
          <w:highlight w:val="none"/>
          <w:u w:val="single"/>
          <w:lang w:val="en-US" w:eastAsia="zh-CN"/>
        </w:rPr>
        <w:t>2</w:t>
      </w:r>
      <w:r>
        <w:rPr>
          <w:rFonts w:hint="eastAsia" w:ascii="宋体" w:hAnsi="宋体" w:eastAsia="宋体" w:cs="宋体"/>
          <w:caps w:val="0"/>
          <w:smallCaps w:val="0"/>
          <w:snapToGrid w:val="0"/>
          <w:color w:val="auto"/>
          <w:spacing w:val="0"/>
          <w:kern w:val="0"/>
          <w:sz w:val="24"/>
          <w:szCs w:val="24"/>
          <w:highlight w:val="none"/>
          <w:u w:val="single"/>
        </w:rPr>
        <w:t xml:space="preserve"> </w:t>
      </w:r>
      <w:r>
        <w:rPr>
          <w:rFonts w:hint="eastAsia" w:ascii="宋体" w:hAnsi="宋体" w:eastAsia="宋体" w:cs="宋体"/>
          <w:caps w:val="0"/>
          <w:smallCaps w:val="0"/>
          <w:snapToGrid w:val="0"/>
          <w:color w:val="auto"/>
          <w:spacing w:val="0"/>
          <w:kern w:val="0"/>
          <w:sz w:val="24"/>
          <w:szCs w:val="24"/>
          <w:highlight w:val="none"/>
        </w:rPr>
        <w:t>人。</w:t>
      </w:r>
      <w:r>
        <w:rPr>
          <w:rFonts w:hint="eastAsia" w:ascii="宋体" w:hAnsi="宋体" w:eastAsia="宋体" w:cs="宋体"/>
          <w:snapToGrid w:val="0"/>
          <w:color w:val="auto"/>
          <w:kern w:val="0"/>
          <w:sz w:val="24"/>
          <w:szCs w:val="24"/>
          <w:highlight w:val="none"/>
        </w:rPr>
        <w:t>评标委员会设负责人，由评标委员会成员推举产生。评标</w:t>
      </w:r>
      <w:r>
        <w:rPr>
          <w:rFonts w:hint="eastAsia" w:ascii="宋体" w:hAnsi="宋体" w:eastAsia="宋体" w:cs="宋体"/>
          <w:snapToGrid w:val="0"/>
          <w:color w:val="auto"/>
          <w:kern w:val="0"/>
          <w:highlight w:val="none"/>
        </w:rPr>
        <w:t>委员会负责人与评标委员会的其他成员有同等的表决权。</w:t>
      </w:r>
    </w:p>
    <w:p w14:paraId="651E1E38">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15.1.2</w:t>
      </w:r>
      <w:r>
        <w:rPr>
          <w:rFonts w:hint="eastAsia" w:ascii="宋体" w:hAnsi="宋体" w:eastAsia="宋体" w:cs="宋体"/>
          <w:snapToGrid w:val="0"/>
          <w:color w:val="auto"/>
          <w:kern w:val="0"/>
          <w:highlight w:val="none"/>
        </w:rPr>
        <w:t xml:space="preserve"> 评标委员会应认真、公正、诚实、廉洁地履行职责。有下列情形之一的，不得担任评标委员会成员：</w:t>
      </w:r>
    </w:p>
    <w:p w14:paraId="0D72E7E8">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（1）投标人或投标人主要负责人的近亲属；</w:t>
      </w:r>
    </w:p>
    <w:p w14:paraId="26D6F3D0">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（2）项目主管部门或者行政监督部门的人员；</w:t>
      </w:r>
    </w:p>
    <w:p w14:paraId="341F5EED">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（3）与投标人有经济利益关系，可能影响对投标公正评审的；</w:t>
      </w:r>
    </w:p>
    <w:p w14:paraId="7819902C">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（4）曾因在招标、评标以及其他与招标投标有关活动中从事违法行为而受过行政处罚或刑事处罚的。</w:t>
      </w:r>
    </w:p>
    <w:p w14:paraId="5D686FDB">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评标委员会成员有以上情形之一的，应主动提出回避。</w:t>
      </w:r>
    </w:p>
    <w:p w14:paraId="3CA4B614">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15.1.3</w:t>
      </w:r>
      <w:r>
        <w:rPr>
          <w:rFonts w:hint="eastAsia" w:ascii="宋体" w:hAnsi="宋体" w:eastAsia="宋体" w:cs="宋体"/>
          <w:snapToGrid w:val="0"/>
          <w:color w:val="auto"/>
          <w:kern w:val="0"/>
          <w:highlight w:val="none"/>
        </w:rPr>
        <w:t xml:space="preserve"> 评标全过程实行封闭式管理，在中标结果公布前，禁止评标委员会成员以任何方式私下接触投标人。</w:t>
      </w:r>
    </w:p>
    <w:p w14:paraId="2B625C1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15.1.4</w:t>
      </w:r>
      <w:r>
        <w:rPr>
          <w:rFonts w:hint="eastAsia" w:ascii="宋体" w:hAnsi="宋体" w:eastAsia="宋体" w:cs="宋体"/>
          <w:snapToGrid w:val="0"/>
          <w:color w:val="auto"/>
          <w:kern w:val="0"/>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6856979">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15.1.5</w:t>
      </w:r>
      <w:r>
        <w:rPr>
          <w:rFonts w:hint="eastAsia" w:ascii="宋体" w:hAnsi="宋体" w:eastAsia="宋体" w:cs="宋体"/>
          <w:snapToGrid w:val="0"/>
          <w:color w:val="auto"/>
          <w:kern w:val="0"/>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6524B6AA">
      <w:pPr>
        <w:keepNext w:val="0"/>
        <w:keepLines w:val="0"/>
        <w:pageBreakBefore w:val="0"/>
        <w:widowControl w:val="0"/>
        <w:kinsoku/>
        <w:wordWrap w:val="0"/>
        <w:overflowPunct/>
        <w:topLinePunct w:val="0"/>
        <w:autoSpaceDE/>
        <w:autoSpaceDN/>
        <w:bidi w:val="0"/>
        <w:adjustRightInd w:val="0"/>
        <w:snapToGrid w:val="0"/>
        <w:spacing w:line="360" w:lineRule="auto"/>
        <w:ind w:firstLine="561"/>
        <w:textAlignment w:val="auto"/>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15.2</w:t>
      </w:r>
      <w:r>
        <w:rPr>
          <w:rFonts w:hint="eastAsia" w:ascii="宋体" w:hAnsi="宋体" w:eastAsia="宋体" w:cs="宋体"/>
          <w:bCs/>
          <w:snapToGrid w:val="0"/>
          <w:color w:val="auto"/>
          <w:kern w:val="0"/>
          <w:szCs w:val="22"/>
          <w:highlight w:val="none"/>
        </w:rPr>
        <w:t xml:space="preserve"> 评标方法</w:t>
      </w:r>
    </w:p>
    <w:p w14:paraId="0DD56D54">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rPr>
          <w:rFonts w:hint="eastAsia" w:ascii="宋体" w:hAnsi="宋体" w:eastAsia="宋体" w:cs="宋体"/>
          <w:i/>
          <w:iCs/>
          <w:snapToGrid w:val="0"/>
          <w:color w:val="auto"/>
          <w:kern w:val="0"/>
          <w:highlight w:val="none"/>
        </w:rPr>
      </w:pPr>
      <w:r>
        <w:rPr>
          <w:rFonts w:hint="eastAsia" w:ascii="宋体" w:hAnsi="宋体" w:eastAsia="宋体" w:cs="宋体"/>
          <w:snapToGrid w:val="0"/>
          <w:color w:val="auto"/>
          <w:kern w:val="0"/>
          <w:highlight w:val="none"/>
        </w:rPr>
        <w:t>根据有关法律、法规的相关规定，结合本招标项目资金来源和规模特点，本次招标采用</w:t>
      </w:r>
      <w:r>
        <w:rPr>
          <w:rFonts w:hint="eastAsia" w:ascii="宋体" w:hAnsi="宋体" w:eastAsia="宋体" w:cs="宋体"/>
          <w:b/>
          <w:bCs/>
          <w:snapToGrid w:val="0"/>
          <w:color w:val="auto"/>
          <w:kern w:val="0"/>
          <w:highlight w:val="none"/>
          <w:u w:val="single"/>
        </w:rPr>
        <w:t>综合评估法</w:t>
      </w:r>
      <w:r>
        <w:rPr>
          <w:rFonts w:hint="eastAsia" w:ascii="宋体" w:hAnsi="宋体" w:eastAsia="宋体" w:cs="宋体"/>
          <w:snapToGrid w:val="0"/>
          <w:color w:val="auto"/>
          <w:kern w:val="0"/>
          <w:highlight w:val="none"/>
        </w:rPr>
        <w:t>进行评标。</w:t>
      </w:r>
    </w:p>
    <w:p w14:paraId="4C55566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15.3</w:t>
      </w:r>
      <w:r>
        <w:rPr>
          <w:rFonts w:hint="eastAsia" w:ascii="宋体" w:hAnsi="宋体" w:eastAsia="宋体" w:cs="宋体"/>
          <w:bCs/>
          <w:snapToGrid w:val="0"/>
          <w:color w:val="auto"/>
          <w:kern w:val="0"/>
          <w:szCs w:val="22"/>
          <w:highlight w:val="none"/>
        </w:rPr>
        <w:t xml:space="preserve"> 评审范围</w:t>
      </w:r>
      <w:r>
        <w:rPr>
          <w:rFonts w:hint="eastAsia" w:ascii="宋体" w:hAnsi="宋体" w:eastAsia="宋体" w:cs="宋体"/>
          <w:snapToGrid w:val="0"/>
          <w:color w:val="auto"/>
          <w:kern w:val="0"/>
          <w:highlight w:val="none"/>
        </w:rPr>
        <w:t>：评标委员会应对所有投标人的投标文件进行评审。</w:t>
      </w:r>
    </w:p>
    <w:p w14:paraId="33B972FC">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w:t>
      </w:r>
      <w:r>
        <w:rPr>
          <w:rFonts w:hint="eastAsia" w:ascii="宋体" w:hAnsi="宋体" w:eastAsia="宋体" w:cs="宋体"/>
          <w:snapToGrid w:val="0"/>
          <w:color w:val="auto"/>
          <w:kern w:val="0"/>
          <w:highlight w:val="none"/>
        </w:rPr>
        <w:t xml:space="preserve"> 初步评审阶段</w:t>
      </w:r>
    </w:p>
    <w:p w14:paraId="4A48C62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初步评审阶段分为资格评审、形式评审和响应性评审三个环节。</w:t>
      </w:r>
    </w:p>
    <w:p w14:paraId="61DCDE46">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15.4.1</w:t>
      </w:r>
      <w:r>
        <w:rPr>
          <w:rFonts w:hint="eastAsia" w:ascii="宋体" w:hAnsi="宋体" w:eastAsia="宋体" w:cs="宋体"/>
          <w:snapToGrid w:val="0"/>
          <w:color w:val="auto"/>
          <w:kern w:val="0"/>
          <w:highlight w:val="none"/>
        </w:rPr>
        <w:t xml:space="preserve"> 资格评审环节</w:t>
      </w:r>
    </w:p>
    <w:p w14:paraId="4350EFE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资格评审事项包括：</w:t>
      </w:r>
    </w:p>
    <w:p w14:paraId="289B2D14">
      <w:pPr>
        <w:numPr>
          <w:ilvl w:val="0"/>
          <w:numId w:val="0"/>
        </w:num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投标人是否符合本章第三节第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如果“禁止投标条款”包括失信惩戒的，投标人信用信息的获取采用现场实时查询的方式实施。由招标代理机构工作人员在评标委员会成员、交易场所工作人员共同见证下，登录信用中国网站(hwps:/www.creditchima.gov.c)，在企业查询界面下载和打印《法人和非法人组织公共信用信息报告》，作为评审依据移交评标委员会。</w:t>
      </w:r>
    </w:p>
    <w:p w14:paraId="23F2E1BE">
      <w:pPr>
        <w:pageBreakBefore w:val="0"/>
        <w:kinsoku/>
        <w:wordWrap w:val="0"/>
        <w:overflowPunct/>
        <w:topLinePunct w:val="0"/>
        <w:autoSpaceDE/>
        <w:autoSpaceDN/>
        <w:bidi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投标人名称是否与营业执照、资质证书、安全生产许可证一致。</w:t>
      </w:r>
    </w:p>
    <w:p w14:paraId="2E4D7DB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highlight w:val="none"/>
        </w:rPr>
        <w:t>投标人的资质是否符合招标文件规定；其营业执照、资质证书、安全生产许可证是否合法、有效、准确。</w:t>
      </w:r>
    </w:p>
    <w:p w14:paraId="5E8EE793">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《项目经理简历表》中拟派项目经理是否与《开标一览表》一致。</w:t>
      </w:r>
    </w:p>
    <w:p w14:paraId="26AB9335">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16FF0A3D">
      <w:pPr>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val="en-US" w:eastAsia="zh-CN"/>
        </w:rPr>
        <w:t>（6）投标人为外省建筑企业的，是否按规定在“进粤企业和人员诚信信息登记平台”录入企业及其拟派人员有关信息并通过数据规范检查。</w:t>
      </w:r>
    </w:p>
    <w:p w14:paraId="4A7EE8EA">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15.4.2</w:t>
      </w:r>
      <w:r>
        <w:rPr>
          <w:rFonts w:hint="eastAsia" w:ascii="宋体" w:hAnsi="宋体" w:eastAsia="宋体" w:cs="宋体"/>
          <w:snapToGrid w:val="0"/>
          <w:color w:val="auto"/>
          <w:kern w:val="0"/>
          <w:highlight w:val="none"/>
        </w:rPr>
        <w:t xml:space="preserve"> 形式评审环节</w:t>
      </w:r>
    </w:p>
    <w:p w14:paraId="2496C39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形式评审事项包括：</w:t>
      </w:r>
    </w:p>
    <w:p w14:paraId="7E82305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（1）各分册是否按招标文件规定加盖电子印章。</w:t>
      </w:r>
    </w:p>
    <w:p w14:paraId="3C8C1FAA">
      <w:pPr>
        <w:keepNext w:val="0"/>
        <w:keepLines w:val="0"/>
        <w:pageBreakBefore w:val="0"/>
        <w:widowControl w:val="0"/>
        <w:numPr>
          <w:ilvl w:val="0"/>
          <w:numId w:val="0"/>
        </w:numPr>
        <w:kinsoku/>
        <w:wordWrap w:val="0"/>
        <w:overflowPunct/>
        <w:topLinePunct w:val="0"/>
        <w:autoSpaceDE/>
        <w:autoSpaceDN/>
        <w:bidi w:val="0"/>
        <w:adjustRightInd w:val="0"/>
        <w:snapToGrid w:val="0"/>
        <w:spacing w:line="360" w:lineRule="auto"/>
        <w:ind w:left="240" w:leftChars="0" w:firstLine="240" w:firstLineChars="1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（2）本节第10.2.2目、第10.3.2目、第10.4.3目中规定的“所有投标人均应提供”的组成内容（包括该组成内容的所附资料）是否完整、齐全</w:t>
      </w:r>
      <w:r>
        <w:rPr>
          <w:rFonts w:hint="eastAsia" w:ascii="宋体" w:hAnsi="宋体" w:eastAsia="宋体" w:cs="宋体"/>
          <w:snapToGrid w:val="0"/>
          <w:color w:val="auto"/>
          <w:kern w:val="0"/>
          <w:highlight w:val="none"/>
          <w:lang w:eastAsia="zh-CN"/>
        </w:rPr>
        <w:t>。</w:t>
      </w:r>
    </w:p>
    <w:p w14:paraId="31E9B92B">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15.4.3</w:t>
      </w:r>
      <w:r>
        <w:rPr>
          <w:rFonts w:hint="eastAsia" w:ascii="宋体" w:hAnsi="宋体" w:eastAsia="宋体" w:cs="宋体"/>
          <w:snapToGrid w:val="0"/>
          <w:color w:val="auto"/>
          <w:kern w:val="0"/>
          <w:highlight w:val="none"/>
        </w:rPr>
        <w:t xml:space="preserve"> 响应性评审环节</w:t>
      </w:r>
    </w:p>
    <w:p w14:paraId="1F94523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响应性评审事项包括：</w:t>
      </w:r>
    </w:p>
    <w:p w14:paraId="7033109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（1）投标有效期、质量标准、工期等是否响应招标文件实质性要求；是否擅自修改、遗漏《投标函》《各项承诺一览表》的实质性内容。</w:t>
      </w:r>
    </w:p>
    <w:p w14:paraId="437BBB8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（2）编制《投标总价》的造价工程师，其注册证书是否合法、有效。</w:t>
      </w:r>
    </w:p>
    <w:p w14:paraId="579473F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（3）投标人委托造价咨询单位编制《投标总价》的，是否在《投标总价扉页》（即扉—3）“投标人”栏目加盖造价咨询人公章；是否提供造价咨询人的营业执照副本</w:t>
      </w:r>
      <w:r>
        <w:rPr>
          <w:rFonts w:hint="eastAsia" w:ascii="宋体" w:hAnsi="宋体" w:eastAsia="宋体" w:cs="宋体"/>
          <w:snapToGrid w:val="0"/>
          <w:color w:val="auto"/>
          <w:kern w:val="0"/>
          <w:highlight w:val="none"/>
          <w:lang w:val="en-US" w:eastAsia="zh-CN"/>
        </w:rPr>
        <w:t>彩色扫描件。</w:t>
      </w:r>
    </w:p>
    <w:p w14:paraId="37B2FD89">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（4）投标总价是否唯一；投标总价是否超出招标控制价；安全生产措施费是否达到最低要求；暂列金额、暂估价是否按照招标工程量清单统一报价；投标人是否以低于成本的价格竞标。</w:t>
      </w:r>
    </w:p>
    <w:p w14:paraId="69947829">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6377DC75">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（5）施工组织设计的质量、进度保障措施是否符合国家和省市现行有关规范、规定、标准，是否能实现工程质量、进度管理目标。</w:t>
      </w:r>
    </w:p>
    <w:p w14:paraId="659C3112">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15.4.4</w:t>
      </w:r>
      <w:r>
        <w:rPr>
          <w:rFonts w:hint="eastAsia" w:ascii="宋体" w:hAnsi="宋体" w:eastAsia="宋体" w:cs="宋体"/>
          <w:snapToGrid w:val="0"/>
          <w:color w:val="auto"/>
          <w:kern w:val="0"/>
          <w:highlight w:val="none"/>
        </w:rPr>
        <w:t xml:space="preserve"> 否决投标说明</w:t>
      </w:r>
    </w:p>
    <w:p w14:paraId="6031E4E9">
      <w:pPr>
        <w:keepNext w:val="0"/>
        <w:keepLines w:val="0"/>
        <w:pageBreakBefore w:val="0"/>
        <w:widowControl w:val="0"/>
        <w:kinsoku/>
        <w:wordWrap w:val="0"/>
        <w:overflowPunct/>
        <w:topLinePunct w:val="0"/>
        <w:autoSpaceDE/>
        <w:autoSpaceDN/>
        <w:bidi w:val="0"/>
        <w:adjustRightInd w:val="0"/>
        <w:snapToGrid w:val="0"/>
        <w:spacing w:line="360" w:lineRule="auto"/>
        <w:ind w:firstLine="562"/>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061C5CD1">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15.5</w:t>
      </w:r>
      <w:r>
        <w:rPr>
          <w:rFonts w:hint="eastAsia" w:ascii="宋体" w:hAnsi="宋体" w:eastAsia="宋体" w:cs="宋体"/>
          <w:snapToGrid w:val="0"/>
          <w:color w:val="auto"/>
          <w:kern w:val="0"/>
          <w:highlight w:val="none"/>
        </w:rPr>
        <w:t xml:space="preserve"> 详细评审</w:t>
      </w:r>
      <w:bookmarkStart w:id="96" w:name="_Hlt121629839"/>
      <w:r>
        <w:rPr>
          <w:rFonts w:hint="eastAsia" w:ascii="宋体" w:hAnsi="宋体" w:eastAsia="宋体" w:cs="宋体"/>
          <w:snapToGrid w:val="0"/>
          <w:color w:val="auto"/>
          <w:kern w:val="0"/>
          <w:highlight w:val="none"/>
        </w:rPr>
        <w:t>阶段</w:t>
      </w:r>
    </w:p>
    <w:p w14:paraId="727D149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color w:val="auto"/>
          <w:highlight w:val="none"/>
        </w:rPr>
      </w:pPr>
      <w:r>
        <w:rPr>
          <w:rFonts w:hint="eastAsia" w:ascii="宋体" w:hAnsi="宋体" w:eastAsia="宋体" w:cs="宋体"/>
          <w:b/>
          <w:bCs/>
          <w:snapToGrid w:val="0"/>
          <w:color w:val="auto"/>
          <w:kern w:val="0"/>
          <w:highlight w:val="none"/>
        </w:rPr>
        <w:t>15.5.1</w:t>
      </w:r>
      <w:r>
        <w:rPr>
          <w:rFonts w:hint="eastAsia" w:ascii="宋体" w:hAnsi="宋体" w:eastAsia="宋体" w:cs="宋体"/>
          <w:bCs/>
          <w:snapToGrid w:val="0"/>
          <w:color w:val="auto"/>
          <w:kern w:val="0"/>
          <w:highlight w:val="none"/>
        </w:rPr>
        <w:t xml:space="preserve"> </w:t>
      </w:r>
      <w:r>
        <w:rPr>
          <w:rFonts w:hint="eastAsia" w:ascii="宋体" w:hAnsi="宋体" w:eastAsia="宋体" w:cs="宋体"/>
          <w:color w:val="auto"/>
          <w:highlight w:val="none"/>
        </w:rPr>
        <w:t>“综合评估法”评审程序</w:t>
      </w:r>
    </w:p>
    <w:p w14:paraId="5EA19DB9">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480" w:firstLineChars="200"/>
        <w:jc w:val="both"/>
        <w:textAlignment w:val="auto"/>
        <w:outlineLvl w:val="9"/>
        <w:rPr>
          <w:rFonts w:hint="eastAsia" w:ascii="宋体" w:hAnsi="宋体" w:eastAsia="宋体" w:cs="宋体"/>
          <w:caps w:val="0"/>
          <w:smallCaps w:val="0"/>
          <w:snapToGrid w:val="0"/>
          <w:color w:val="auto"/>
          <w:spacing w:val="0"/>
          <w:kern w:val="0"/>
          <w:highlight w:val="none"/>
          <w:lang w:eastAsia="zh-CN"/>
        </w:rPr>
      </w:pPr>
      <w:r>
        <w:rPr>
          <w:rFonts w:hint="eastAsia" w:ascii="宋体" w:hAnsi="宋体" w:eastAsia="宋体" w:cs="宋体"/>
          <w:caps w:val="0"/>
          <w:smallCaps w:val="0"/>
          <w:snapToGrid w:val="0"/>
          <w:color w:val="auto"/>
          <w:spacing w:val="0"/>
          <w:kern w:val="0"/>
          <w:highlight w:val="none"/>
          <w:lang w:val="en-US" w:eastAsia="zh-CN"/>
        </w:rPr>
        <w:t>评审内容分为商务技术和投标报价两大部分。其中，商务技术合计满分</w:t>
      </w:r>
      <w:r>
        <w:rPr>
          <w:rFonts w:hint="eastAsia" w:ascii="宋体" w:hAnsi="宋体" w:eastAsia="宋体" w:cs="宋体"/>
          <w:caps w:val="0"/>
          <w:smallCaps w:val="0"/>
          <w:snapToGrid w:val="0"/>
          <w:color w:val="auto"/>
          <w:spacing w:val="0"/>
          <w:kern w:val="0"/>
          <w:highlight w:val="none"/>
          <w:u w:val="single"/>
          <w:lang w:val="en-US" w:eastAsia="zh-CN"/>
        </w:rPr>
        <w:t xml:space="preserve"> 100</w:t>
      </w:r>
      <w:r>
        <w:rPr>
          <w:rFonts w:hint="eastAsia" w:ascii="宋体" w:hAnsi="宋体" w:eastAsia="宋体" w:cs="宋体"/>
          <w:caps w:val="0"/>
          <w:smallCaps w:val="0"/>
          <w:snapToGrid w:val="0"/>
          <w:color w:val="auto"/>
          <w:spacing w:val="0"/>
          <w:kern w:val="0"/>
          <w:highlight w:val="none"/>
          <w:u w:val="single"/>
        </w:rPr>
        <w:t xml:space="preserve"> </w:t>
      </w:r>
      <w:r>
        <w:rPr>
          <w:rFonts w:hint="eastAsia" w:ascii="宋体" w:hAnsi="宋体" w:eastAsia="宋体" w:cs="宋体"/>
          <w:caps w:val="0"/>
          <w:smallCaps w:val="0"/>
          <w:snapToGrid w:val="0"/>
          <w:color w:val="auto"/>
          <w:spacing w:val="0"/>
          <w:kern w:val="0"/>
          <w:highlight w:val="none"/>
        </w:rPr>
        <w:t>分</w:t>
      </w: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rPr>
        <w:t>权重为</w:t>
      </w:r>
      <w:r>
        <w:rPr>
          <w:rFonts w:hint="eastAsia" w:ascii="宋体" w:hAnsi="宋体" w:eastAsia="宋体" w:cs="宋体"/>
          <w:caps w:val="0"/>
          <w:smallCaps w:val="0"/>
          <w:snapToGrid w:val="0"/>
          <w:color w:val="auto"/>
          <w:spacing w:val="0"/>
          <w:kern w:val="0"/>
          <w:highlight w:val="none"/>
          <w:u w:val="single"/>
        </w:rPr>
        <w:t xml:space="preserve"> </w:t>
      </w:r>
      <w:r>
        <w:rPr>
          <w:rFonts w:hint="eastAsia" w:ascii="宋体" w:hAnsi="宋体" w:eastAsia="宋体" w:cs="宋体"/>
          <w:caps w:val="0"/>
          <w:smallCaps w:val="0"/>
          <w:snapToGrid w:val="0"/>
          <w:color w:val="auto"/>
          <w:spacing w:val="0"/>
          <w:kern w:val="0"/>
          <w:highlight w:val="none"/>
          <w:u w:val="single"/>
          <w:lang w:val="en-US" w:eastAsia="zh-CN"/>
        </w:rPr>
        <w:t>40</w:t>
      </w:r>
      <w:r>
        <w:rPr>
          <w:rFonts w:hint="eastAsia" w:ascii="宋体" w:hAnsi="宋体" w:eastAsia="宋体" w:cs="宋体"/>
          <w:caps w:val="0"/>
          <w:smallCaps w:val="0"/>
          <w:snapToGrid w:val="0"/>
          <w:color w:val="auto"/>
          <w:spacing w:val="0"/>
          <w:kern w:val="0"/>
          <w:highlight w:val="none"/>
          <w:u w:val="single"/>
        </w:rPr>
        <w:t xml:space="preserve"> </w:t>
      </w:r>
      <w:r>
        <w:rPr>
          <w:rFonts w:hint="eastAsia" w:ascii="宋体" w:hAnsi="宋体" w:eastAsia="宋体" w:cs="宋体"/>
          <w:caps w:val="0"/>
          <w:smallCaps w:val="0"/>
          <w:snapToGrid w:val="0"/>
          <w:color w:val="auto"/>
          <w:spacing w:val="0"/>
          <w:kern w:val="0"/>
          <w:highlight w:val="none"/>
        </w:rPr>
        <w:t>%</w:t>
      </w: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rPr>
        <w:t>投标报价</w:t>
      </w:r>
      <w:r>
        <w:rPr>
          <w:rFonts w:hint="eastAsia" w:ascii="宋体" w:hAnsi="宋体" w:eastAsia="宋体" w:cs="宋体"/>
          <w:caps w:val="0"/>
          <w:smallCaps w:val="0"/>
          <w:snapToGrid w:val="0"/>
          <w:color w:val="auto"/>
          <w:spacing w:val="0"/>
          <w:kern w:val="0"/>
          <w:highlight w:val="none"/>
          <w:lang w:val="en-US" w:eastAsia="zh-CN"/>
        </w:rPr>
        <w:t>满分</w:t>
      </w:r>
      <w:r>
        <w:rPr>
          <w:rFonts w:hint="eastAsia" w:ascii="宋体" w:hAnsi="宋体" w:eastAsia="宋体" w:cs="宋体"/>
          <w:caps w:val="0"/>
          <w:smallCaps w:val="0"/>
          <w:snapToGrid w:val="0"/>
          <w:color w:val="auto"/>
          <w:spacing w:val="0"/>
          <w:kern w:val="0"/>
          <w:highlight w:val="none"/>
          <w:u w:val="single"/>
          <w:lang w:val="en-US" w:eastAsia="zh-CN"/>
        </w:rPr>
        <w:t>100</w:t>
      </w:r>
      <w:r>
        <w:rPr>
          <w:rFonts w:hint="eastAsia" w:ascii="宋体" w:hAnsi="宋体" w:eastAsia="宋体" w:cs="宋体"/>
          <w:caps w:val="0"/>
          <w:smallCaps w:val="0"/>
          <w:snapToGrid w:val="0"/>
          <w:color w:val="auto"/>
          <w:spacing w:val="0"/>
          <w:kern w:val="0"/>
          <w:highlight w:val="none"/>
        </w:rPr>
        <w:t>分</w:t>
      </w: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rPr>
        <w:t>权重为</w:t>
      </w:r>
      <w:r>
        <w:rPr>
          <w:rFonts w:hint="eastAsia" w:ascii="宋体" w:hAnsi="宋体" w:eastAsia="宋体" w:cs="宋体"/>
          <w:caps w:val="0"/>
          <w:smallCaps w:val="0"/>
          <w:snapToGrid w:val="0"/>
          <w:color w:val="auto"/>
          <w:spacing w:val="0"/>
          <w:kern w:val="0"/>
          <w:highlight w:val="none"/>
          <w:u w:val="single"/>
        </w:rPr>
        <w:t xml:space="preserve"> </w:t>
      </w:r>
      <w:r>
        <w:rPr>
          <w:rFonts w:hint="eastAsia" w:ascii="宋体" w:hAnsi="宋体" w:eastAsia="宋体" w:cs="宋体"/>
          <w:caps w:val="0"/>
          <w:smallCaps w:val="0"/>
          <w:snapToGrid w:val="0"/>
          <w:color w:val="auto"/>
          <w:spacing w:val="0"/>
          <w:kern w:val="0"/>
          <w:highlight w:val="none"/>
          <w:u w:val="single"/>
          <w:lang w:val="en-US" w:eastAsia="zh-CN"/>
        </w:rPr>
        <w:t>60</w:t>
      </w:r>
      <w:r>
        <w:rPr>
          <w:rFonts w:hint="eastAsia" w:ascii="宋体" w:hAnsi="宋体" w:eastAsia="宋体" w:cs="宋体"/>
          <w:caps w:val="0"/>
          <w:smallCaps w:val="0"/>
          <w:snapToGrid w:val="0"/>
          <w:color w:val="auto"/>
          <w:spacing w:val="0"/>
          <w:kern w:val="0"/>
          <w:highlight w:val="none"/>
          <w:u w:val="single"/>
        </w:rPr>
        <w:t xml:space="preserve"> </w:t>
      </w:r>
      <w:r>
        <w:rPr>
          <w:rFonts w:hint="eastAsia" w:ascii="宋体" w:hAnsi="宋体" w:eastAsia="宋体" w:cs="宋体"/>
          <w:caps w:val="0"/>
          <w:smallCaps w:val="0"/>
          <w:snapToGrid w:val="0"/>
          <w:color w:val="auto"/>
          <w:spacing w:val="0"/>
          <w:kern w:val="0"/>
          <w:highlight w:val="none"/>
        </w:rPr>
        <w:t>%</w:t>
      </w:r>
      <w:r>
        <w:rPr>
          <w:rFonts w:hint="eastAsia" w:ascii="宋体" w:hAnsi="宋体" w:eastAsia="宋体" w:cs="宋体"/>
          <w:caps w:val="0"/>
          <w:smallCaps w:val="0"/>
          <w:snapToGrid w:val="0"/>
          <w:color w:val="auto"/>
          <w:spacing w:val="0"/>
          <w:kern w:val="0"/>
          <w:highlight w:val="none"/>
          <w:lang w:eastAsia="zh-CN"/>
        </w:rPr>
        <w:t>。两大部分权重之和应为100%。</w:t>
      </w:r>
    </w:p>
    <w:p w14:paraId="790F369F">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480"/>
        <w:jc w:val="both"/>
        <w:textAlignment w:val="auto"/>
        <w:outlineLvl w:val="9"/>
        <w:rPr>
          <w:rFonts w:hint="eastAsia" w:ascii="宋体" w:hAnsi="宋体" w:eastAsia="宋体" w:cs="宋体"/>
          <w:b w:val="0"/>
          <w:bCs w:val="0"/>
          <w:caps w:val="0"/>
          <w:smallCaps w:val="0"/>
          <w:snapToGrid w:val="0"/>
          <w:color w:val="auto"/>
          <w:spacing w:val="0"/>
          <w:kern w:val="0"/>
          <w:highlight w:val="none"/>
          <w:lang w:eastAsia="zh-CN"/>
        </w:rPr>
      </w:pPr>
      <w:r>
        <w:rPr>
          <w:rFonts w:hint="eastAsia" w:ascii="宋体" w:hAnsi="宋体" w:eastAsia="宋体" w:cs="宋体"/>
          <w:caps w:val="0"/>
          <w:smallCaps w:val="0"/>
          <w:snapToGrid w:val="0"/>
          <w:color w:val="auto"/>
          <w:spacing w:val="0"/>
          <w:kern w:val="0"/>
          <w:highlight w:val="none"/>
          <w:lang w:eastAsia="zh-CN"/>
        </w:rPr>
        <w:t>除特别注明外，综合得分以及</w:t>
      </w:r>
      <w:r>
        <w:rPr>
          <w:rFonts w:hint="eastAsia" w:ascii="宋体" w:hAnsi="宋体" w:eastAsia="宋体" w:cs="宋体"/>
          <w:caps w:val="0"/>
          <w:smallCaps w:val="0"/>
          <w:snapToGrid w:val="0"/>
          <w:color w:val="auto"/>
          <w:spacing w:val="0"/>
          <w:kern w:val="0"/>
          <w:highlight w:val="none"/>
        </w:rPr>
        <w:t>商务技术得分</w:t>
      </w: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rPr>
        <w:t>投标报价得分</w:t>
      </w:r>
      <w:r>
        <w:rPr>
          <w:rFonts w:hint="eastAsia" w:ascii="宋体" w:hAnsi="宋体" w:eastAsia="宋体" w:cs="宋体"/>
          <w:caps w:val="0"/>
          <w:smallCaps w:val="0"/>
          <w:snapToGrid w:val="0"/>
          <w:color w:val="auto"/>
          <w:spacing w:val="0"/>
          <w:kern w:val="0"/>
          <w:highlight w:val="none"/>
          <w:lang w:eastAsia="zh-CN"/>
        </w:rPr>
        <w:t>的中间过程计算值和最终值，均按“</w:t>
      </w:r>
      <w:r>
        <w:rPr>
          <w:rFonts w:hint="eastAsia" w:ascii="宋体" w:hAnsi="宋体" w:eastAsia="宋体" w:cs="宋体"/>
          <w:caps w:val="0"/>
          <w:smallCaps w:val="0"/>
          <w:snapToGrid w:val="0"/>
          <w:color w:val="auto"/>
          <w:spacing w:val="0"/>
          <w:kern w:val="0"/>
          <w:highlight w:val="none"/>
        </w:rPr>
        <w:t>四舍五</w:t>
      </w:r>
      <w:r>
        <w:rPr>
          <w:rFonts w:hint="eastAsia" w:ascii="宋体" w:hAnsi="宋体" w:eastAsia="宋体" w:cs="宋体"/>
          <w:caps w:val="0"/>
          <w:smallCaps w:val="0"/>
          <w:snapToGrid w:val="0"/>
          <w:color w:val="auto"/>
          <w:spacing w:val="0"/>
          <w:kern w:val="0"/>
          <w:highlight w:val="none"/>
          <w:lang w:eastAsia="zh-CN"/>
        </w:rPr>
        <w:t>入”原则</w:t>
      </w:r>
      <w:r>
        <w:rPr>
          <w:rFonts w:hint="eastAsia" w:ascii="宋体" w:hAnsi="宋体" w:eastAsia="宋体" w:cs="宋体"/>
          <w:caps w:val="0"/>
          <w:smallCaps w:val="0"/>
          <w:snapToGrid w:val="0"/>
          <w:color w:val="auto"/>
          <w:spacing w:val="0"/>
          <w:kern w:val="0"/>
          <w:highlight w:val="none"/>
        </w:rPr>
        <w:t>精确到</w:t>
      </w:r>
      <w:r>
        <w:rPr>
          <w:rFonts w:hint="eastAsia" w:ascii="宋体" w:hAnsi="宋体" w:eastAsia="宋体" w:cs="宋体"/>
          <w:caps w:val="0"/>
          <w:smallCaps w:val="0"/>
          <w:snapToGrid w:val="0"/>
          <w:color w:val="auto"/>
          <w:spacing w:val="0"/>
          <w:kern w:val="0"/>
          <w:highlight w:val="none"/>
          <w:lang w:eastAsia="zh-CN"/>
        </w:rPr>
        <w:t>两位</w:t>
      </w:r>
      <w:r>
        <w:rPr>
          <w:rFonts w:hint="eastAsia" w:ascii="宋体" w:hAnsi="宋体" w:eastAsia="宋体" w:cs="宋体"/>
          <w:caps w:val="0"/>
          <w:smallCaps w:val="0"/>
          <w:snapToGrid w:val="0"/>
          <w:color w:val="auto"/>
          <w:spacing w:val="0"/>
          <w:kern w:val="0"/>
          <w:highlight w:val="none"/>
        </w:rPr>
        <w:t>小数</w:t>
      </w:r>
      <w:r>
        <w:rPr>
          <w:rFonts w:hint="eastAsia" w:ascii="宋体" w:hAnsi="宋体" w:eastAsia="宋体" w:cs="宋体"/>
          <w:caps w:val="0"/>
          <w:smallCaps w:val="0"/>
          <w:snapToGrid w:val="0"/>
          <w:color w:val="auto"/>
          <w:spacing w:val="0"/>
          <w:kern w:val="0"/>
          <w:highlight w:val="none"/>
          <w:lang w:eastAsia="zh-CN"/>
        </w:rPr>
        <w:t>。</w:t>
      </w:r>
    </w:p>
    <w:p w14:paraId="578A1DED">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textAlignment w:val="auto"/>
        <w:rPr>
          <w:rFonts w:hint="eastAsia" w:ascii="宋体" w:hAnsi="宋体" w:eastAsia="宋体" w:cs="宋体"/>
          <w:caps w:val="0"/>
          <w:smallCaps w:val="0"/>
          <w:snapToGrid w:val="0"/>
          <w:color w:val="auto"/>
          <w:spacing w:val="0"/>
          <w:kern w:val="0"/>
          <w:highlight w:val="none"/>
          <w:lang w:eastAsia="zh-CN"/>
        </w:rPr>
      </w:pP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lang w:val="en-US" w:eastAsia="zh-CN"/>
        </w:rPr>
        <w:t>1</w:t>
      </w:r>
      <w:r>
        <w:rPr>
          <w:rFonts w:hint="eastAsia" w:ascii="宋体" w:hAnsi="宋体" w:eastAsia="宋体" w:cs="宋体"/>
          <w:caps w:val="0"/>
          <w:smallCaps w:val="0"/>
          <w:snapToGrid w:val="0"/>
          <w:color w:val="auto"/>
          <w:spacing w:val="0"/>
          <w:kern w:val="0"/>
          <w:highlight w:val="none"/>
          <w:lang w:eastAsia="zh-CN"/>
        </w:rPr>
        <w:t>）商务技术得分</w:t>
      </w:r>
      <w:r>
        <w:rPr>
          <w:rFonts w:hint="eastAsia" w:ascii="宋体" w:hAnsi="宋体" w:eastAsia="宋体" w:cs="宋体"/>
          <w:caps w:val="0"/>
          <w:smallCaps w:val="0"/>
          <w:snapToGrid w:val="0"/>
          <w:color w:val="auto"/>
          <w:spacing w:val="0"/>
          <w:kern w:val="0"/>
          <w:highlight w:val="none"/>
          <w:lang w:val="en-US" w:eastAsia="zh-CN"/>
        </w:rPr>
        <w:t>M</w:t>
      </w:r>
    </w:p>
    <w:p w14:paraId="5E483DA0">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2" w:firstLineChars="200"/>
        <w:textAlignment w:val="auto"/>
        <w:rPr>
          <w:rFonts w:hint="eastAsia" w:ascii="宋体" w:hAnsi="宋体" w:eastAsia="宋体" w:cs="宋体"/>
          <w:caps w:val="0"/>
          <w:smallCaps w:val="0"/>
          <w:snapToGrid w:val="0"/>
          <w:color w:val="auto"/>
          <w:spacing w:val="0"/>
          <w:kern w:val="0"/>
          <w:highlight w:val="none"/>
          <w:lang w:eastAsia="zh-CN"/>
        </w:rPr>
      </w:pPr>
      <w:r>
        <w:rPr>
          <w:rFonts w:hint="eastAsia" w:ascii="宋体" w:hAnsi="宋体" w:eastAsia="宋体" w:cs="宋体"/>
          <w:b/>
          <w:bCs/>
          <w:smallCaps w:val="0"/>
          <w:snapToGrid w:val="0"/>
          <w:color w:val="auto"/>
          <w:spacing w:val="0"/>
          <w:kern w:val="0"/>
          <w:highlight w:val="none"/>
          <w:lang w:val="en-US" w:eastAsia="zh-CN"/>
        </w:rPr>
        <w:t>a</w:t>
      </w:r>
      <w:r>
        <w:rPr>
          <w:rFonts w:hint="eastAsia" w:ascii="宋体" w:hAnsi="宋体" w:eastAsia="宋体" w:cs="宋体"/>
          <w:caps w:val="0"/>
          <w:smallCaps w:val="0"/>
          <w:snapToGrid w:val="0"/>
          <w:color w:val="auto"/>
          <w:spacing w:val="0"/>
          <w:kern w:val="0"/>
          <w:highlight w:val="none"/>
          <w:lang w:val="en-US" w:eastAsia="zh-CN"/>
        </w:rPr>
        <w:t>．评标委员会</w:t>
      </w:r>
      <w:r>
        <w:rPr>
          <w:rFonts w:hint="eastAsia" w:ascii="宋体" w:hAnsi="宋体" w:eastAsia="宋体" w:cs="宋体"/>
          <w:caps w:val="0"/>
          <w:smallCaps w:val="0"/>
          <w:snapToGrid w:val="0"/>
          <w:color w:val="auto"/>
          <w:spacing w:val="0"/>
          <w:kern w:val="0"/>
          <w:highlight w:val="none"/>
          <w:lang w:eastAsia="zh-CN"/>
        </w:rPr>
        <w:t>按照《综合评分表》商务部分指定的评分标准对各评分因素进行打分。各评分因素得分之和即为某投标人的商务得分</w:t>
      </w:r>
      <w:r>
        <w:rPr>
          <w:rFonts w:hint="eastAsia" w:ascii="宋体" w:hAnsi="宋体" w:eastAsia="宋体" w:cs="宋体"/>
          <w:caps w:val="0"/>
          <w:smallCaps w:val="0"/>
          <w:snapToGrid w:val="0"/>
          <w:color w:val="auto"/>
          <w:spacing w:val="0"/>
          <w:kern w:val="0"/>
          <w:highlight w:val="none"/>
          <w:lang w:val="en-US" w:eastAsia="zh-CN"/>
        </w:rPr>
        <w:t>M</w:t>
      </w:r>
      <w:r>
        <w:rPr>
          <w:rFonts w:hint="eastAsia" w:ascii="宋体" w:hAnsi="宋体" w:eastAsia="宋体" w:cs="宋体"/>
          <w:caps w:val="0"/>
          <w:smallCaps w:val="0"/>
          <w:snapToGrid w:val="0"/>
          <w:color w:val="auto"/>
          <w:spacing w:val="0"/>
          <w:kern w:val="0"/>
          <w:highlight w:val="none"/>
          <w:vertAlign w:val="subscript"/>
          <w:lang w:val="en-US" w:eastAsia="zh-CN"/>
        </w:rPr>
        <w:t>1</w:t>
      </w:r>
      <w:r>
        <w:rPr>
          <w:rFonts w:hint="eastAsia" w:ascii="宋体" w:hAnsi="宋体" w:eastAsia="宋体" w:cs="宋体"/>
          <w:caps w:val="0"/>
          <w:smallCaps w:val="0"/>
          <w:snapToGrid w:val="0"/>
          <w:color w:val="auto"/>
          <w:spacing w:val="0"/>
          <w:kern w:val="0"/>
          <w:highlight w:val="none"/>
          <w:lang w:eastAsia="zh-CN"/>
        </w:rPr>
        <w:t>。</w:t>
      </w:r>
    </w:p>
    <w:p w14:paraId="37749232">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2" w:firstLineChars="200"/>
        <w:textAlignment w:val="auto"/>
        <w:rPr>
          <w:rFonts w:hint="eastAsia" w:ascii="宋体" w:hAnsi="宋体" w:eastAsia="宋体" w:cs="宋体"/>
          <w:caps w:val="0"/>
          <w:smallCaps w:val="0"/>
          <w:snapToGrid w:val="0"/>
          <w:color w:val="auto"/>
          <w:spacing w:val="0"/>
          <w:kern w:val="0"/>
          <w:highlight w:val="none"/>
          <w:lang w:eastAsia="zh-CN"/>
        </w:rPr>
      </w:pPr>
      <w:r>
        <w:rPr>
          <w:rFonts w:hint="eastAsia" w:ascii="宋体" w:hAnsi="宋体" w:eastAsia="宋体" w:cs="宋体"/>
          <w:b/>
          <w:bCs/>
          <w:smallCaps w:val="0"/>
          <w:snapToGrid w:val="0"/>
          <w:color w:val="auto"/>
          <w:spacing w:val="0"/>
          <w:kern w:val="0"/>
          <w:highlight w:val="none"/>
          <w:lang w:val="en-US" w:eastAsia="zh-CN"/>
        </w:rPr>
        <w:t>b</w:t>
      </w:r>
      <w:r>
        <w:rPr>
          <w:rFonts w:hint="eastAsia" w:ascii="宋体" w:hAnsi="宋体" w:eastAsia="宋体" w:cs="宋体"/>
          <w:caps w:val="0"/>
          <w:smallCaps w:val="0"/>
          <w:snapToGrid w:val="0"/>
          <w:color w:val="auto"/>
          <w:spacing w:val="0"/>
          <w:kern w:val="0"/>
          <w:highlight w:val="none"/>
          <w:lang w:val="en-US" w:eastAsia="zh-CN"/>
        </w:rPr>
        <w:t>．评标委员会</w:t>
      </w:r>
      <w:r>
        <w:rPr>
          <w:rFonts w:hint="eastAsia" w:ascii="宋体" w:hAnsi="宋体" w:eastAsia="宋体" w:cs="宋体"/>
          <w:caps w:val="0"/>
          <w:smallCaps w:val="0"/>
          <w:snapToGrid w:val="0"/>
          <w:color w:val="auto"/>
          <w:spacing w:val="0"/>
          <w:kern w:val="0"/>
          <w:highlight w:val="none"/>
          <w:lang w:eastAsia="zh-CN"/>
        </w:rPr>
        <w:t>各成员独立按照《综合评分表》技术部分（施工组织设计）指定的评分标准对各评分因素进行打分，累加后得出技术评分。将评标委员会所有成员的技术评分去掉最高分和最低分后，取算术平均值，即为某投标人的技术得分</w:t>
      </w:r>
      <w:r>
        <w:rPr>
          <w:rFonts w:hint="eastAsia" w:ascii="宋体" w:hAnsi="宋体" w:eastAsia="宋体" w:cs="宋体"/>
          <w:caps w:val="0"/>
          <w:smallCaps w:val="0"/>
          <w:snapToGrid w:val="0"/>
          <w:color w:val="auto"/>
          <w:spacing w:val="0"/>
          <w:kern w:val="0"/>
          <w:highlight w:val="none"/>
          <w:lang w:val="en-US" w:eastAsia="zh-CN"/>
        </w:rPr>
        <w:t>M</w:t>
      </w:r>
      <w:r>
        <w:rPr>
          <w:rFonts w:hint="eastAsia" w:ascii="宋体" w:hAnsi="宋体" w:eastAsia="宋体" w:cs="宋体"/>
          <w:caps w:val="0"/>
          <w:smallCaps w:val="0"/>
          <w:snapToGrid w:val="0"/>
          <w:color w:val="auto"/>
          <w:spacing w:val="0"/>
          <w:kern w:val="0"/>
          <w:highlight w:val="none"/>
          <w:vertAlign w:val="subscript"/>
          <w:lang w:val="en-US" w:eastAsia="zh-CN"/>
        </w:rPr>
        <w:t>2</w:t>
      </w:r>
      <w:r>
        <w:rPr>
          <w:rFonts w:hint="eastAsia" w:ascii="宋体" w:hAnsi="宋体" w:eastAsia="宋体" w:cs="宋体"/>
          <w:caps w:val="0"/>
          <w:smallCaps w:val="0"/>
          <w:snapToGrid w:val="0"/>
          <w:color w:val="auto"/>
          <w:spacing w:val="0"/>
          <w:kern w:val="0"/>
          <w:highlight w:val="none"/>
          <w:lang w:eastAsia="zh-CN"/>
        </w:rPr>
        <w:t>。</w:t>
      </w:r>
    </w:p>
    <w:p w14:paraId="7FBEB594">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2" w:firstLineChars="200"/>
        <w:textAlignment w:val="auto"/>
        <w:rPr>
          <w:rFonts w:hint="eastAsia" w:ascii="宋体" w:hAnsi="宋体" w:eastAsia="宋体" w:cs="宋体"/>
          <w:caps w:val="0"/>
          <w:smallCaps w:val="0"/>
          <w:snapToGrid w:val="0"/>
          <w:color w:val="auto"/>
          <w:spacing w:val="0"/>
          <w:kern w:val="0"/>
          <w:highlight w:val="none"/>
          <w:lang w:val="en-US" w:eastAsia="zh-CN"/>
        </w:rPr>
      </w:pPr>
      <w:r>
        <w:rPr>
          <w:rFonts w:hint="eastAsia" w:ascii="宋体" w:hAnsi="宋体" w:eastAsia="宋体" w:cs="宋体"/>
          <w:b/>
          <w:bCs/>
          <w:smallCaps w:val="0"/>
          <w:snapToGrid w:val="0"/>
          <w:color w:val="auto"/>
          <w:spacing w:val="0"/>
          <w:kern w:val="0"/>
          <w:highlight w:val="none"/>
          <w:lang w:val="en-US" w:eastAsia="zh-CN"/>
        </w:rPr>
        <w:t>c</w:t>
      </w:r>
      <w:r>
        <w:rPr>
          <w:rFonts w:hint="eastAsia" w:ascii="宋体" w:hAnsi="宋体" w:eastAsia="宋体" w:cs="宋体"/>
          <w:caps w:val="0"/>
          <w:smallCaps w:val="0"/>
          <w:snapToGrid w:val="0"/>
          <w:color w:val="auto"/>
          <w:spacing w:val="0"/>
          <w:kern w:val="0"/>
          <w:highlight w:val="none"/>
          <w:lang w:val="en-US" w:eastAsia="zh-CN"/>
        </w:rPr>
        <w:t>．M＝M</w:t>
      </w:r>
      <w:r>
        <w:rPr>
          <w:rFonts w:hint="eastAsia" w:ascii="宋体" w:hAnsi="宋体" w:eastAsia="宋体" w:cs="宋体"/>
          <w:caps w:val="0"/>
          <w:smallCaps w:val="0"/>
          <w:snapToGrid w:val="0"/>
          <w:color w:val="auto"/>
          <w:spacing w:val="0"/>
          <w:kern w:val="0"/>
          <w:highlight w:val="none"/>
          <w:vertAlign w:val="subscript"/>
          <w:lang w:val="en-US" w:eastAsia="zh-CN"/>
        </w:rPr>
        <w:t>1</w:t>
      </w:r>
      <w:r>
        <w:rPr>
          <w:rFonts w:hint="eastAsia" w:ascii="宋体" w:hAnsi="宋体" w:eastAsia="宋体" w:cs="宋体"/>
          <w:caps w:val="0"/>
          <w:smallCaps w:val="0"/>
          <w:snapToGrid w:val="0"/>
          <w:color w:val="auto"/>
          <w:spacing w:val="0"/>
          <w:kern w:val="0"/>
          <w:highlight w:val="none"/>
          <w:lang w:val="en-US" w:eastAsia="zh-CN"/>
        </w:rPr>
        <w:t>＋M</w:t>
      </w:r>
      <w:r>
        <w:rPr>
          <w:rFonts w:hint="eastAsia" w:ascii="宋体" w:hAnsi="宋体" w:eastAsia="宋体" w:cs="宋体"/>
          <w:caps w:val="0"/>
          <w:smallCaps w:val="0"/>
          <w:snapToGrid w:val="0"/>
          <w:color w:val="auto"/>
          <w:spacing w:val="0"/>
          <w:kern w:val="0"/>
          <w:highlight w:val="none"/>
          <w:vertAlign w:val="subscript"/>
          <w:lang w:val="en-US" w:eastAsia="zh-CN"/>
        </w:rPr>
        <w:t>2</w:t>
      </w:r>
    </w:p>
    <w:p w14:paraId="2DD3241C">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textAlignment w:val="auto"/>
        <w:rPr>
          <w:rFonts w:hint="eastAsia" w:ascii="宋体" w:hAnsi="宋体" w:eastAsia="宋体" w:cs="宋体"/>
          <w:caps w:val="0"/>
          <w:smallCaps w:val="0"/>
          <w:snapToGrid w:val="0"/>
          <w:color w:val="auto"/>
          <w:spacing w:val="0"/>
          <w:kern w:val="0"/>
          <w:highlight w:val="none"/>
          <w:lang w:val="en-US" w:eastAsia="zh-CN"/>
        </w:rPr>
      </w:pPr>
      <w:r>
        <w:rPr>
          <w:rFonts w:hint="eastAsia" w:ascii="宋体" w:hAnsi="宋体" w:eastAsia="宋体" w:cs="宋体"/>
          <w:caps w:val="0"/>
          <w:smallCaps w:val="0"/>
          <w:snapToGrid w:val="0"/>
          <w:color w:val="auto"/>
          <w:spacing w:val="0"/>
          <w:kern w:val="0"/>
          <w:highlight w:val="none"/>
          <w:lang w:val="en-US" w:eastAsia="zh-CN"/>
        </w:rPr>
        <w:t>式中：M</w:t>
      </w:r>
      <w:r>
        <w:rPr>
          <w:rFonts w:hint="eastAsia" w:ascii="宋体" w:hAnsi="宋体" w:eastAsia="宋体" w:cs="宋体"/>
          <w:caps w:val="0"/>
          <w:smallCaps w:val="0"/>
          <w:snapToGrid w:val="0"/>
          <w:color w:val="auto"/>
          <w:spacing w:val="0"/>
          <w:kern w:val="0"/>
          <w:highlight w:val="none"/>
          <w:vertAlign w:val="subscript"/>
          <w:lang w:val="en-US" w:eastAsia="zh-CN"/>
        </w:rPr>
        <w:t>1</w:t>
      </w:r>
      <w:r>
        <w:rPr>
          <w:rFonts w:hint="eastAsia" w:ascii="宋体" w:hAnsi="宋体" w:eastAsia="宋体" w:cs="宋体"/>
          <w:caps w:val="0"/>
          <w:smallCaps w:val="0"/>
          <w:snapToGrid w:val="0"/>
          <w:color w:val="auto"/>
          <w:spacing w:val="0"/>
          <w:kern w:val="0"/>
          <w:highlight w:val="none"/>
          <w:lang w:val="en-US" w:eastAsia="zh-CN"/>
        </w:rPr>
        <w:t>为</w:t>
      </w:r>
      <w:r>
        <w:rPr>
          <w:rFonts w:hint="eastAsia" w:ascii="宋体" w:hAnsi="宋体" w:eastAsia="宋体" w:cs="宋体"/>
          <w:caps w:val="0"/>
          <w:smallCaps w:val="0"/>
          <w:snapToGrid w:val="0"/>
          <w:color w:val="auto"/>
          <w:spacing w:val="0"/>
          <w:kern w:val="0"/>
          <w:highlight w:val="none"/>
          <w:lang w:eastAsia="zh-CN"/>
        </w:rPr>
        <w:t>某投标人的商务得分，</w:t>
      </w:r>
      <w:r>
        <w:rPr>
          <w:rFonts w:hint="eastAsia" w:ascii="宋体" w:hAnsi="宋体" w:eastAsia="宋体" w:cs="宋体"/>
          <w:caps w:val="0"/>
          <w:smallCaps w:val="0"/>
          <w:snapToGrid w:val="0"/>
          <w:color w:val="auto"/>
          <w:spacing w:val="0"/>
          <w:kern w:val="0"/>
          <w:highlight w:val="none"/>
          <w:lang w:val="en-US" w:eastAsia="zh-CN"/>
        </w:rPr>
        <w:t>M</w:t>
      </w:r>
      <w:r>
        <w:rPr>
          <w:rFonts w:hint="eastAsia" w:ascii="宋体" w:hAnsi="宋体" w:eastAsia="宋体" w:cs="宋体"/>
          <w:caps w:val="0"/>
          <w:smallCaps w:val="0"/>
          <w:snapToGrid w:val="0"/>
          <w:color w:val="auto"/>
          <w:spacing w:val="0"/>
          <w:kern w:val="0"/>
          <w:highlight w:val="none"/>
          <w:vertAlign w:val="subscript"/>
          <w:lang w:val="en-US" w:eastAsia="zh-CN"/>
        </w:rPr>
        <w:t>2</w:t>
      </w:r>
      <w:r>
        <w:rPr>
          <w:rFonts w:hint="eastAsia" w:ascii="宋体" w:hAnsi="宋体" w:eastAsia="宋体" w:cs="宋体"/>
          <w:caps w:val="0"/>
          <w:smallCaps w:val="0"/>
          <w:snapToGrid w:val="0"/>
          <w:color w:val="auto"/>
          <w:spacing w:val="0"/>
          <w:kern w:val="0"/>
          <w:highlight w:val="none"/>
          <w:lang w:val="en-US" w:eastAsia="zh-CN"/>
        </w:rPr>
        <w:t>为</w:t>
      </w:r>
      <w:r>
        <w:rPr>
          <w:rFonts w:hint="eastAsia" w:ascii="宋体" w:hAnsi="宋体" w:eastAsia="宋体" w:cs="宋体"/>
          <w:caps w:val="0"/>
          <w:smallCaps w:val="0"/>
          <w:snapToGrid w:val="0"/>
          <w:color w:val="auto"/>
          <w:spacing w:val="0"/>
          <w:kern w:val="0"/>
          <w:highlight w:val="none"/>
          <w:lang w:eastAsia="zh-CN"/>
        </w:rPr>
        <w:t>某投标人的技术得分。</w:t>
      </w:r>
    </w:p>
    <w:p w14:paraId="1C2757EE">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textAlignment w:val="auto"/>
        <w:rPr>
          <w:rFonts w:hint="eastAsia" w:ascii="宋体" w:hAnsi="宋体" w:eastAsia="宋体" w:cs="宋体"/>
          <w:caps w:val="0"/>
          <w:smallCaps w:val="0"/>
          <w:snapToGrid w:val="0"/>
          <w:color w:val="auto"/>
          <w:spacing w:val="0"/>
          <w:kern w:val="0"/>
          <w:highlight w:val="none"/>
          <w:lang w:eastAsia="zh-CN"/>
        </w:rPr>
      </w:pP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lang w:val="en-US" w:eastAsia="zh-CN"/>
        </w:rPr>
        <w:t>2</w:t>
      </w:r>
      <w:r>
        <w:rPr>
          <w:rFonts w:hint="eastAsia" w:ascii="宋体" w:hAnsi="宋体" w:eastAsia="宋体" w:cs="宋体"/>
          <w:caps w:val="0"/>
          <w:smallCaps w:val="0"/>
          <w:snapToGrid w:val="0"/>
          <w:color w:val="auto"/>
          <w:spacing w:val="0"/>
          <w:kern w:val="0"/>
          <w:highlight w:val="none"/>
          <w:lang w:eastAsia="zh-CN"/>
        </w:rPr>
        <w:t>）投标报价得分</w:t>
      </w:r>
      <w:r>
        <w:rPr>
          <w:rFonts w:hint="eastAsia" w:ascii="宋体" w:hAnsi="宋体" w:eastAsia="宋体" w:cs="宋体"/>
          <w:caps w:val="0"/>
          <w:smallCaps w:val="0"/>
          <w:snapToGrid w:val="0"/>
          <w:color w:val="auto"/>
          <w:spacing w:val="0"/>
          <w:kern w:val="0"/>
          <w:highlight w:val="none"/>
          <w:lang w:val="en-US" w:eastAsia="zh-CN"/>
        </w:rPr>
        <w:t>N</w:t>
      </w:r>
    </w:p>
    <w:p w14:paraId="22BCDB32">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2" w:firstLineChars="200"/>
        <w:textAlignment w:val="auto"/>
        <w:rPr>
          <w:rFonts w:hint="eastAsia" w:ascii="宋体" w:hAnsi="宋体" w:eastAsia="宋体" w:cs="宋体"/>
          <w:caps w:val="0"/>
          <w:smallCaps w:val="0"/>
          <w:snapToGrid w:val="0"/>
          <w:color w:val="auto"/>
          <w:spacing w:val="0"/>
          <w:kern w:val="0"/>
          <w:highlight w:val="none"/>
          <w:lang w:eastAsia="zh-CN"/>
        </w:rPr>
      </w:pPr>
      <w:r>
        <w:rPr>
          <w:rFonts w:hint="eastAsia" w:ascii="宋体" w:hAnsi="宋体" w:eastAsia="宋体" w:cs="宋体"/>
          <w:b/>
          <w:bCs/>
          <w:smallCaps w:val="0"/>
          <w:snapToGrid w:val="0"/>
          <w:color w:val="auto"/>
          <w:spacing w:val="0"/>
          <w:kern w:val="0"/>
          <w:highlight w:val="none"/>
          <w:lang w:val="en-US" w:eastAsia="zh-CN"/>
        </w:rPr>
        <w:t>a</w:t>
      </w:r>
      <w:r>
        <w:rPr>
          <w:rFonts w:hint="eastAsia" w:ascii="宋体" w:hAnsi="宋体" w:eastAsia="宋体" w:cs="宋体"/>
          <w:caps w:val="0"/>
          <w:smallCaps w:val="0"/>
          <w:snapToGrid w:val="0"/>
          <w:color w:val="auto"/>
          <w:spacing w:val="0"/>
          <w:kern w:val="0"/>
          <w:highlight w:val="none"/>
          <w:lang w:val="en-US" w:eastAsia="zh-CN"/>
        </w:rPr>
        <w:t>．评标委员会</w:t>
      </w:r>
      <w:r>
        <w:rPr>
          <w:rFonts w:hint="eastAsia" w:ascii="宋体" w:hAnsi="宋体" w:eastAsia="宋体" w:cs="宋体"/>
          <w:caps w:val="0"/>
          <w:smallCaps w:val="0"/>
          <w:snapToGrid w:val="0"/>
          <w:color w:val="auto"/>
          <w:spacing w:val="0"/>
          <w:kern w:val="0"/>
          <w:highlight w:val="none"/>
          <w:lang w:eastAsia="zh-CN"/>
        </w:rPr>
        <w:t>按照《综合评分表》投标报价部分指定的方法计算评标基准价</w:t>
      </w:r>
      <w:r>
        <w:rPr>
          <w:rFonts w:hint="eastAsia" w:ascii="宋体" w:hAnsi="宋体" w:eastAsia="宋体" w:cs="宋体"/>
          <w:caps w:val="0"/>
          <w:smallCaps w:val="0"/>
          <w:snapToGrid w:val="0"/>
          <w:color w:val="auto"/>
          <w:spacing w:val="0"/>
          <w:kern w:val="0"/>
          <w:highlight w:val="none"/>
          <w:lang w:val="en-US" w:eastAsia="zh-CN"/>
        </w:rPr>
        <w:t>D</w:t>
      </w:r>
      <w:r>
        <w:rPr>
          <w:rFonts w:hint="eastAsia" w:ascii="宋体" w:hAnsi="宋体" w:eastAsia="宋体" w:cs="宋体"/>
          <w:caps w:val="0"/>
          <w:smallCaps w:val="0"/>
          <w:snapToGrid w:val="0"/>
          <w:color w:val="auto"/>
          <w:spacing w:val="0"/>
          <w:kern w:val="0"/>
          <w:highlight w:val="none"/>
          <w:lang w:eastAsia="zh-CN"/>
        </w:rPr>
        <w:t>。</w:t>
      </w:r>
    </w:p>
    <w:p w14:paraId="0A3FCAF8">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2" w:firstLineChars="200"/>
        <w:textAlignment w:val="auto"/>
        <w:rPr>
          <w:rFonts w:hint="eastAsia" w:ascii="宋体" w:hAnsi="宋体" w:eastAsia="宋体" w:cs="宋体"/>
          <w:caps w:val="0"/>
          <w:smallCaps w:val="0"/>
          <w:snapToGrid w:val="0"/>
          <w:color w:val="auto"/>
          <w:spacing w:val="0"/>
          <w:kern w:val="0"/>
          <w:highlight w:val="none"/>
          <w:lang w:val="en-US" w:eastAsia="zh-CN"/>
        </w:rPr>
      </w:pPr>
      <w:r>
        <w:rPr>
          <w:rFonts w:hint="eastAsia" w:ascii="宋体" w:hAnsi="宋体" w:eastAsia="宋体" w:cs="宋体"/>
          <w:b/>
          <w:bCs/>
          <w:smallCaps w:val="0"/>
          <w:snapToGrid w:val="0"/>
          <w:color w:val="auto"/>
          <w:spacing w:val="0"/>
          <w:kern w:val="0"/>
          <w:highlight w:val="none"/>
          <w:lang w:val="en-US" w:eastAsia="zh-CN"/>
        </w:rPr>
        <w:t>b</w:t>
      </w:r>
      <w:r>
        <w:rPr>
          <w:rFonts w:hint="eastAsia" w:ascii="宋体" w:hAnsi="宋体" w:eastAsia="宋体" w:cs="宋体"/>
          <w:caps w:val="0"/>
          <w:smallCaps w:val="0"/>
          <w:snapToGrid w:val="0"/>
          <w:color w:val="auto"/>
          <w:spacing w:val="0"/>
          <w:kern w:val="0"/>
          <w:highlight w:val="none"/>
          <w:lang w:val="en-US" w:eastAsia="zh-CN"/>
        </w:rPr>
        <w:t>．采用内插法计算某投标人的投标报价得分N，即</w:t>
      </w:r>
      <w:r>
        <w:rPr>
          <w:rFonts w:hint="eastAsia" w:ascii="宋体" w:hAnsi="宋体" w:eastAsia="宋体" w:cs="宋体"/>
          <w:caps w:val="0"/>
          <w:smallCaps w:val="0"/>
          <w:snapToGrid w:val="0"/>
          <w:color w:val="auto"/>
          <w:spacing w:val="0"/>
          <w:kern w:val="0"/>
          <w:highlight w:val="none"/>
          <w:lang w:eastAsia="zh-CN"/>
        </w:rPr>
        <w:t>当投标人的投标总价等于评标基准价时得</w:t>
      </w:r>
      <w:r>
        <w:rPr>
          <w:rFonts w:hint="eastAsia" w:ascii="宋体" w:hAnsi="宋体" w:eastAsia="宋体" w:cs="宋体"/>
          <w:caps w:val="0"/>
          <w:smallCaps w:val="0"/>
          <w:snapToGrid w:val="0"/>
          <w:color w:val="auto"/>
          <w:spacing w:val="0"/>
          <w:kern w:val="0"/>
          <w:highlight w:val="none"/>
          <w:lang w:val="en-US" w:eastAsia="zh-CN"/>
        </w:rPr>
        <w:t>100</w:t>
      </w:r>
      <w:r>
        <w:rPr>
          <w:rFonts w:hint="eastAsia" w:ascii="宋体" w:hAnsi="宋体" w:eastAsia="宋体" w:cs="宋体"/>
          <w:caps w:val="0"/>
          <w:smallCaps w:val="0"/>
          <w:snapToGrid w:val="0"/>
          <w:color w:val="auto"/>
          <w:spacing w:val="0"/>
          <w:kern w:val="0"/>
          <w:highlight w:val="none"/>
          <w:lang w:eastAsia="zh-CN"/>
        </w:rPr>
        <w:t>分，每高于评标基准价一个百分点扣</w:t>
      </w:r>
      <w:r>
        <w:rPr>
          <w:rFonts w:hint="eastAsia" w:ascii="宋体" w:hAnsi="宋体" w:eastAsia="宋体" w:cs="宋体"/>
          <w:b/>
          <w:bCs/>
          <w:caps w:val="0"/>
          <w:smallCaps w:val="0"/>
          <w:snapToGrid w:val="0"/>
          <w:color w:val="auto"/>
          <w:spacing w:val="0"/>
          <w:kern w:val="0"/>
          <w:highlight w:val="none"/>
          <w:lang w:val="en-US" w:eastAsia="zh-CN"/>
        </w:rPr>
        <w:t>1</w:t>
      </w:r>
      <w:r>
        <w:rPr>
          <w:rFonts w:hint="eastAsia" w:ascii="宋体" w:hAnsi="宋体" w:eastAsia="宋体" w:cs="宋体"/>
          <w:b/>
          <w:bCs/>
          <w:caps w:val="0"/>
          <w:smallCaps w:val="0"/>
          <w:snapToGrid w:val="0"/>
          <w:color w:val="auto"/>
          <w:spacing w:val="0"/>
          <w:kern w:val="0"/>
          <w:highlight w:val="none"/>
          <w:lang w:eastAsia="zh-CN"/>
        </w:rPr>
        <w:t>分,</w:t>
      </w:r>
      <w:r>
        <w:rPr>
          <w:rFonts w:hint="eastAsia" w:ascii="宋体" w:hAnsi="宋体" w:eastAsia="宋体" w:cs="宋体"/>
          <w:caps w:val="0"/>
          <w:smallCaps w:val="0"/>
          <w:snapToGrid w:val="0"/>
          <w:color w:val="auto"/>
          <w:spacing w:val="0"/>
          <w:kern w:val="0"/>
          <w:highlight w:val="none"/>
          <w:lang w:eastAsia="zh-CN"/>
        </w:rPr>
        <w:t xml:space="preserve"> 每低于评标基准价一个百分点扣</w:t>
      </w:r>
      <w:r>
        <w:rPr>
          <w:rFonts w:hint="eastAsia" w:ascii="宋体" w:hAnsi="宋体" w:eastAsia="宋体" w:cs="宋体"/>
          <w:b/>
          <w:bCs/>
          <w:caps w:val="0"/>
          <w:smallCaps w:val="0"/>
          <w:snapToGrid w:val="0"/>
          <w:color w:val="auto"/>
          <w:spacing w:val="0"/>
          <w:kern w:val="0"/>
          <w:highlight w:val="none"/>
          <w:lang w:val="en-US" w:eastAsia="zh-CN"/>
        </w:rPr>
        <w:t>0.5</w:t>
      </w:r>
      <w:r>
        <w:rPr>
          <w:rFonts w:hint="eastAsia" w:ascii="宋体" w:hAnsi="宋体" w:eastAsia="宋体" w:cs="宋体"/>
          <w:b/>
          <w:bCs/>
          <w:caps w:val="0"/>
          <w:smallCaps w:val="0"/>
          <w:snapToGrid w:val="0"/>
          <w:color w:val="auto"/>
          <w:spacing w:val="0"/>
          <w:kern w:val="0"/>
          <w:highlight w:val="none"/>
          <w:lang w:eastAsia="zh-CN"/>
        </w:rPr>
        <w:t>分</w:t>
      </w:r>
      <w:r>
        <w:rPr>
          <w:rFonts w:hint="eastAsia" w:ascii="宋体" w:hAnsi="宋体" w:eastAsia="宋体" w:cs="宋体"/>
          <w:caps w:val="0"/>
          <w:smallCaps w:val="0"/>
          <w:snapToGrid w:val="0"/>
          <w:color w:val="auto"/>
          <w:spacing w:val="0"/>
          <w:kern w:val="0"/>
          <w:highlight w:val="none"/>
          <w:lang w:eastAsia="zh-CN"/>
        </w:rPr>
        <w:t>，扣完为止。</w:t>
      </w:r>
      <w:r>
        <w:rPr>
          <w:rFonts w:hint="eastAsia" w:ascii="宋体" w:hAnsi="宋体" w:eastAsia="宋体" w:cs="宋体"/>
          <w:caps w:val="0"/>
          <w:smallCaps w:val="0"/>
          <w:snapToGrid w:val="0"/>
          <w:color w:val="auto"/>
          <w:spacing w:val="0"/>
          <w:kern w:val="0"/>
          <w:highlight w:val="none"/>
          <w:lang w:val="en-US" w:eastAsia="zh-CN"/>
        </w:rPr>
        <w:t>公式如下：</w:t>
      </w:r>
    </w:p>
    <w:p w14:paraId="0881FA56">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jc w:val="center"/>
        <w:textAlignment w:val="auto"/>
        <w:rPr>
          <w:rFonts w:hint="eastAsia" w:ascii="宋体" w:hAnsi="宋体" w:eastAsia="宋体" w:cs="宋体"/>
          <w:caps w:val="0"/>
          <w:smallCaps w:val="0"/>
          <w:snapToGrid w:val="0"/>
          <w:color w:val="auto"/>
          <w:spacing w:val="0"/>
          <w:kern w:val="0"/>
          <w:highlight w:val="none"/>
          <w:lang w:eastAsia="zh-CN"/>
        </w:rPr>
      </w:pPr>
      <w:r>
        <w:rPr>
          <w:rFonts w:hint="eastAsia" w:ascii="宋体" w:hAnsi="宋体" w:eastAsia="宋体" w:cs="宋体"/>
          <w:caps w:val="0"/>
          <w:smallCaps w:val="0"/>
          <w:snapToGrid w:val="0"/>
          <w:color w:val="auto"/>
          <w:spacing w:val="0"/>
          <w:kern w:val="0"/>
          <w:highlight w:val="none"/>
          <w:lang w:val="en-US" w:eastAsia="zh-CN"/>
        </w:rPr>
        <w:t>N＝</w:t>
      </w:r>
      <w:r>
        <w:rPr>
          <w:rFonts w:hint="eastAsia" w:ascii="宋体" w:hAnsi="宋体" w:eastAsia="宋体" w:cs="宋体"/>
          <w:caps w:val="0"/>
          <w:smallCaps w:val="0"/>
          <w:snapToGrid w:val="0"/>
          <w:color w:val="auto"/>
          <w:spacing w:val="0"/>
          <w:kern w:val="0"/>
          <w:highlight w:val="none"/>
          <w:lang w:eastAsia="zh-CN"/>
        </w:rPr>
        <w:t>100</w:t>
      </w:r>
      <w:r>
        <w:rPr>
          <w:rFonts w:hint="eastAsia" w:ascii="宋体" w:hAnsi="宋体" w:eastAsia="宋体" w:cs="宋体"/>
          <w:caps w:val="0"/>
          <w:smallCaps w:val="0"/>
          <w:snapToGrid w:val="0"/>
          <w:color w:val="auto"/>
          <w:spacing w:val="0"/>
          <w:kern w:val="0"/>
          <w:highlight w:val="none"/>
          <w:lang w:val="en-US" w:eastAsia="zh-CN"/>
        </w:rPr>
        <w:t>－</w:t>
      </w: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lang w:val="en-US" w:eastAsia="zh-CN"/>
        </w:rPr>
        <w:t xml:space="preserve">| </w:t>
      </w:r>
      <w:r>
        <w:rPr>
          <w:rFonts w:hint="eastAsia" w:ascii="宋体" w:hAnsi="宋体" w:eastAsia="宋体" w:cs="宋体"/>
          <w:caps w:val="0"/>
          <w:smallCaps w:val="0"/>
          <w:snapToGrid w:val="0"/>
          <w:color w:val="auto"/>
          <w:spacing w:val="0"/>
          <w:kern w:val="0"/>
          <w:highlight w:val="none"/>
          <w:lang w:eastAsia="zh-CN"/>
        </w:rPr>
        <w:t>Di</w:t>
      </w:r>
      <w:r>
        <w:rPr>
          <w:rFonts w:hint="eastAsia" w:ascii="宋体" w:hAnsi="宋体" w:eastAsia="宋体" w:cs="宋体"/>
          <w:caps w:val="0"/>
          <w:smallCaps w:val="0"/>
          <w:snapToGrid w:val="0"/>
          <w:color w:val="auto"/>
          <w:spacing w:val="0"/>
          <w:kern w:val="0"/>
          <w:highlight w:val="none"/>
          <w:lang w:val="en-US" w:eastAsia="zh-CN"/>
        </w:rPr>
        <w:t>－</w:t>
      </w:r>
      <w:r>
        <w:rPr>
          <w:rFonts w:hint="eastAsia" w:ascii="宋体" w:hAnsi="宋体" w:eastAsia="宋体" w:cs="宋体"/>
          <w:caps w:val="0"/>
          <w:smallCaps w:val="0"/>
          <w:snapToGrid w:val="0"/>
          <w:color w:val="auto"/>
          <w:spacing w:val="0"/>
          <w:kern w:val="0"/>
          <w:highlight w:val="none"/>
          <w:lang w:eastAsia="zh-CN"/>
        </w:rPr>
        <w:t>D</w:t>
      </w:r>
      <w:r>
        <w:rPr>
          <w:rFonts w:hint="eastAsia" w:ascii="宋体" w:hAnsi="宋体" w:eastAsia="宋体" w:cs="宋体"/>
          <w:caps w:val="0"/>
          <w:smallCaps w:val="0"/>
          <w:snapToGrid w:val="0"/>
          <w:color w:val="auto"/>
          <w:spacing w:val="0"/>
          <w:kern w:val="0"/>
          <w:highlight w:val="none"/>
          <w:lang w:val="en-US" w:eastAsia="zh-CN"/>
        </w:rPr>
        <w:t xml:space="preserve"> </w:t>
      </w: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lang w:val="en-US" w:eastAsia="zh-CN"/>
        </w:rPr>
        <w:t xml:space="preserve"> ÷</w:t>
      </w:r>
      <w:r>
        <w:rPr>
          <w:rFonts w:hint="eastAsia" w:ascii="宋体" w:hAnsi="宋体" w:eastAsia="宋体" w:cs="宋体"/>
          <w:caps w:val="0"/>
          <w:smallCaps w:val="0"/>
          <w:snapToGrid w:val="0"/>
          <w:color w:val="auto"/>
          <w:spacing w:val="0"/>
          <w:kern w:val="0"/>
          <w:highlight w:val="none"/>
          <w:lang w:eastAsia="zh-CN"/>
        </w:rPr>
        <w:t>D）</w:t>
      </w:r>
      <w:r>
        <w:rPr>
          <w:rFonts w:hint="eastAsia" w:ascii="宋体" w:hAnsi="宋体" w:eastAsia="宋体" w:cs="宋体"/>
          <w:caps w:val="0"/>
          <w:smallCaps w:val="0"/>
          <w:snapToGrid w:val="0"/>
          <w:color w:val="auto"/>
          <w:spacing w:val="0"/>
          <w:kern w:val="0"/>
          <w:highlight w:val="none"/>
          <w:lang w:val="en-US" w:eastAsia="zh-CN"/>
        </w:rPr>
        <w:t>×</w:t>
      </w:r>
      <w:r>
        <w:rPr>
          <w:rFonts w:hint="eastAsia" w:ascii="宋体" w:hAnsi="宋体" w:eastAsia="宋体" w:cs="宋体"/>
          <w:caps w:val="0"/>
          <w:smallCaps w:val="0"/>
          <w:snapToGrid w:val="0"/>
          <w:color w:val="auto"/>
          <w:spacing w:val="0"/>
          <w:kern w:val="0"/>
          <w:highlight w:val="none"/>
          <w:lang w:eastAsia="zh-CN"/>
        </w:rPr>
        <w:t>100</w:t>
      </w:r>
      <w:r>
        <w:rPr>
          <w:rFonts w:hint="eastAsia" w:ascii="宋体" w:hAnsi="宋体" w:eastAsia="宋体" w:cs="宋体"/>
          <w:caps w:val="0"/>
          <w:smallCaps w:val="0"/>
          <w:snapToGrid w:val="0"/>
          <w:color w:val="auto"/>
          <w:spacing w:val="0"/>
          <w:kern w:val="0"/>
          <w:highlight w:val="none"/>
          <w:lang w:val="en-US" w:eastAsia="zh-CN"/>
        </w:rPr>
        <w:t>×</w:t>
      </w:r>
      <w:r>
        <w:rPr>
          <w:rFonts w:hint="eastAsia" w:ascii="宋体" w:hAnsi="宋体" w:eastAsia="宋体" w:cs="宋体"/>
          <w:caps w:val="0"/>
          <w:smallCaps w:val="0"/>
          <w:snapToGrid w:val="0"/>
          <w:color w:val="auto"/>
          <w:spacing w:val="0"/>
          <w:kern w:val="0"/>
          <w:highlight w:val="none"/>
          <w:lang w:eastAsia="zh-CN"/>
        </w:rPr>
        <w:t>E</w:t>
      </w:r>
    </w:p>
    <w:p w14:paraId="760A2A9B">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textAlignment w:val="auto"/>
        <w:rPr>
          <w:rFonts w:hint="eastAsia" w:ascii="宋体" w:hAnsi="宋体" w:eastAsia="宋体" w:cs="宋体"/>
          <w:caps w:val="0"/>
          <w:smallCaps w:val="0"/>
          <w:snapToGrid w:val="0"/>
          <w:color w:val="auto"/>
          <w:spacing w:val="0"/>
          <w:kern w:val="0"/>
          <w:highlight w:val="none"/>
        </w:rPr>
      </w:pPr>
      <w:r>
        <w:rPr>
          <w:rFonts w:hint="eastAsia" w:ascii="宋体" w:hAnsi="宋体" w:eastAsia="宋体" w:cs="宋体"/>
          <w:caps w:val="0"/>
          <w:smallCaps w:val="0"/>
          <w:snapToGrid w:val="0"/>
          <w:color w:val="auto"/>
          <w:spacing w:val="0"/>
          <w:kern w:val="0"/>
          <w:highlight w:val="none"/>
          <w:lang w:eastAsia="zh-CN"/>
        </w:rPr>
        <w:t>式中：</w:t>
      </w:r>
      <w:r>
        <w:rPr>
          <w:rFonts w:hint="eastAsia" w:ascii="宋体" w:hAnsi="宋体" w:eastAsia="宋体" w:cs="宋体"/>
          <w:caps w:val="0"/>
          <w:smallCaps w:val="0"/>
          <w:snapToGrid w:val="0"/>
          <w:color w:val="auto"/>
          <w:spacing w:val="0"/>
          <w:kern w:val="0"/>
          <w:highlight w:val="none"/>
          <w:lang w:val="en-US" w:eastAsia="zh-CN"/>
        </w:rPr>
        <w:t>D为评标基准价；</w:t>
      </w:r>
      <w:r>
        <w:rPr>
          <w:rFonts w:hint="eastAsia" w:ascii="宋体" w:hAnsi="宋体" w:eastAsia="宋体" w:cs="宋体"/>
          <w:caps w:val="0"/>
          <w:smallCaps w:val="0"/>
          <w:snapToGrid w:val="0"/>
          <w:color w:val="auto"/>
          <w:spacing w:val="0"/>
          <w:kern w:val="0"/>
          <w:highlight w:val="none"/>
          <w:lang w:eastAsia="zh-CN"/>
        </w:rPr>
        <w:t>Di为某投标人的投标总价；</w:t>
      </w:r>
      <w:r>
        <w:rPr>
          <w:rFonts w:hint="eastAsia" w:ascii="宋体" w:hAnsi="宋体" w:eastAsia="宋体" w:cs="宋体"/>
          <w:caps w:val="0"/>
          <w:smallCaps w:val="0"/>
          <w:snapToGrid w:val="0"/>
          <w:color w:val="auto"/>
          <w:spacing w:val="0"/>
          <w:kern w:val="0"/>
          <w:highlight w:val="none"/>
          <w:lang w:val="en-US" w:eastAsia="zh-CN"/>
        </w:rPr>
        <w:t>E为扣分因子，当</w:t>
      </w:r>
      <w:r>
        <w:rPr>
          <w:rFonts w:hint="eastAsia" w:ascii="宋体" w:hAnsi="宋体" w:eastAsia="宋体" w:cs="宋体"/>
          <w:caps w:val="0"/>
          <w:smallCaps w:val="0"/>
          <w:snapToGrid w:val="0"/>
          <w:color w:val="auto"/>
          <w:spacing w:val="0"/>
          <w:kern w:val="0"/>
          <w:highlight w:val="none"/>
          <w:lang w:eastAsia="zh-CN"/>
        </w:rPr>
        <w:t>Di</w:t>
      </w:r>
      <w:r>
        <w:rPr>
          <w:rFonts w:hint="eastAsia" w:ascii="宋体" w:hAnsi="宋体" w:eastAsia="宋体" w:cs="宋体"/>
          <w:caps w:val="0"/>
          <w:smallCaps w:val="0"/>
          <w:snapToGrid w:val="0"/>
          <w:color w:val="auto"/>
          <w:spacing w:val="0"/>
          <w:kern w:val="0"/>
          <w:highlight w:val="none"/>
          <w:lang w:val="en-US" w:eastAsia="zh-CN"/>
        </w:rPr>
        <w:t>＞</w:t>
      </w:r>
      <w:r>
        <w:rPr>
          <w:rFonts w:hint="eastAsia" w:ascii="宋体" w:hAnsi="宋体" w:eastAsia="宋体" w:cs="宋体"/>
          <w:caps w:val="0"/>
          <w:smallCaps w:val="0"/>
          <w:snapToGrid w:val="0"/>
          <w:color w:val="auto"/>
          <w:spacing w:val="0"/>
          <w:kern w:val="0"/>
          <w:highlight w:val="none"/>
          <w:lang w:eastAsia="zh-CN"/>
        </w:rPr>
        <w:t>D时，E</w:t>
      </w:r>
      <w:r>
        <w:rPr>
          <w:rFonts w:hint="eastAsia" w:ascii="宋体" w:hAnsi="宋体" w:eastAsia="宋体" w:cs="宋体"/>
          <w:caps w:val="0"/>
          <w:smallCaps w:val="0"/>
          <w:snapToGrid w:val="0"/>
          <w:color w:val="auto"/>
          <w:spacing w:val="0"/>
          <w:kern w:val="0"/>
          <w:highlight w:val="none"/>
          <w:lang w:val="en-US" w:eastAsia="zh-CN"/>
        </w:rPr>
        <w:t>＝1</w:t>
      </w:r>
      <w:r>
        <w:rPr>
          <w:rFonts w:hint="eastAsia" w:ascii="宋体" w:hAnsi="宋体" w:eastAsia="宋体" w:cs="宋体"/>
          <w:caps w:val="0"/>
          <w:smallCaps w:val="0"/>
          <w:snapToGrid w:val="0"/>
          <w:color w:val="auto"/>
          <w:spacing w:val="0"/>
          <w:kern w:val="0"/>
          <w:highlight w:val="none"/>
          <w:lang w:eastAsia="zh-CN"/>
        </w:rPr>
        <w:t>；当Di</w:t>
      </w:r>
      <w:r>
        <w:rPr>
          <w:rFonts w:hint="eastAsia" w:ascii="宋体" w:hAnsi="宋体" w:eastAsia="宋体" w:cs="宋体"/>
          <w:caps w:val="0"/>
          <w:smallCaps w:val="0"/>
          <w:snapToGrid w:val="0"/>
          <w:color w:val="auto"/>
          <w:spacing w:val="0"/>
          <w:kern w:val="0"/>
          <w:highlight w:val="none"/>
          <w:lang w:val="en-US" w:eastAsia="zh-CN"/>
        </w:rPr>
        <w:t>＜</w:t>
      </w:r>
      <w:r>
        <w:rPr>
          <w:rFonts w:hint="eastAsia" w:ascii="宋体" w:hAnsi="宋体" w:eastAsia="宋体" w:cs="宋体"/>
          <w:caps w:val="0"/>
          <w:smallCaps w:val="0"/>
          <w:snapToGrid w:val="0"/>
          <w:color w:val="auto"/>
          <w:spacing w:val="0"/>
          <w:kern w:val="0"/>
          <w:highlight w:val="none"/>
          <w:lang w:eastAsia="zh-CN"/>
        </w:rPr>
        <w:t>D时，E</w:t>
      </w:r>
      <w:r>
        <w:rPr>
          <w:rFonts w:hint="eastAsia" w:ascii="宋体" w:hAnsi="宋体" w:eastAsia="宋体" w:cs="宋体"/>
          <w:caps w:val="0"/>
          <w:smallCaps w:val="0"/>
          <w:snapToGrid w:val="0"/>
          <w:color w:val="auto"/>
          <w:spacing w:val="0"/>
          <w:kern w:val="0"/>
          <w:highlight w:val="none"/>
          <w:lang w:val="en-US" w:eastAsia="zh-CN"/>
        </w:rPr>
        <w:t>＝0.5</w:t>
      </w:r>
      <w:r>
        <w:rPr>
          <w:rFonts w:hint="eastAsia" w:ascii="宋体" w:hAnsi="宋体" w:eastAsia="宋体" w:cs="宋体"/>
          <w:caps w:val="0"/>
          <w:smallCaps w:val="0"/>
          <w:snapToGrid w:val="0"/>
          <w:color w:val="auto"/>
          <w:spacing w:val="0"/>
          <w:kern w:val="0"/>
          <w:highlight w:val="none"/>
          <w:lang w:eastAsia="zh-CN"/>
        </w:rPr>
        <w:t>。</w:t>
      </w:r>
    </w:p>
    <w:p w14:paraId="62C3A19C">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480"/>
        <w:jc w:val="both"/>
        <w:textAlignment w:val="auto"/>
        <w:outlineLvl w:val="9"/>
        <w:rPr>
          <w:rFonts w:hint="eastAsia" w:ascii="宋体" w:hAnsi="宋体" w:eastAsia="宋体" w:cs="宋体"/>
          <w:caps w:val="0"/>
          <w:smallCaps w:val="0"/>
          <w:snapToGrid w:val="0"/>
          <w:color w:val="auto"/>
          <w:spacing w:val="0"/>
          <w:kern w:val="0"/>
          <w:highlight w:val="none"/>
          <w:lang w:eastAsia="zh-CN"/>
        </w:rPr>
      </w:pP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lang w:val="en-US" w:eastAsia="zh-CN"/>
        </w:rPr>
        <w:t>3</w:t>
      </w: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rPr>
        <w:t>综合得分</w:t>
      </w:r>
    </w:p>
    <w:p w14:paraId="541E55A8">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left="0" w:leftChars="0" w:right="0" w:rightChars="0" w:firstLine="480"/>
        <w:jc w:val="both"/>
        <w:textAlignment w:val="auto"/>
        <w:outlineLvl w:val="9"/>
        <w:rPr>
          <w:rFonts w:hint="eastAsia" w:ascii="宋体" w:hAnsi="宋体" w:eastAsia="宋体" w:cs="宋体"/>
          <w:caps w:val="0"/>
          <w:smallCaps w:val="0"/>
          <w:snapToGrid w:val="0"/>
          <w:color w:val="auto"/>
          <w:spacing w:val="0"/>
          <w:kern w:val="0"/>
          <w:highlight w:val="none"/>
          <w:lang w:val="en-US" w:eastAsia="zh-CN"/>
        </w:rPr>
      </w:pPr>
      <w:r>
        <w:rPr>
          <w:rFonts w:hint="eastAsia" w:ascii="宋体" w:hAnsi="宋体" w:eastAsia="宋体" w:cs="宋体"/>
          <w:caps w:val="0"/>
          <w:smallCaps w:val="0"/>
          <w:snapToGrid w:val="0"/>
          <w:color w:val="auto"/>
          <w:spacing w:val="0"/>
          <w:kern w:val="0"/>
          <w:highlight w:val="none"/>
        </w:rPr>
        <w:t>综合得分</w:t>
      </w:r>
      <w:r>
        <w:rPr>
          <w:rFonts w:hint="eastAsia" w:ascii="宋体" w:hAnsi="宋体" w:eastAsia="宋体" w:cs="宋体"/>
          <w:caps w:val="0"/>
          <w:smallCaps w:val="0"/>
          <w:snapToGrid w:val="0"/>
          <w:color w:val="auto"/>
          <w:spacing w:val="0"/>
          <w:kern w:val="0"/>
          <w:highlight w:val="none"/>
          <w:lang w:eastAsia="zh-CN"/>
        </w:rPr>
        <w:t>换算为百</w:t>
      </w:r>
      <w:r>
        <w:rPr>
          <w:rFonts w:hint="eastAsia" w:ascii="宋体" w:hAnsi="宋体" w:eastAsia="宋体" w:cs="宋体"/>
          <w:caps w:val="0"/>
          <w:smallCaps w:val="0"/>
          <w:snapToGrid w:val="0"/>
          <w:color w:val="auto"/>
          <w:spacing w:val="0"/>
          <w:kern w:val="0"/>
          <w:highlight w:val="none"/>
          <w:lang w:val="en-US" w:eastAsia="zh-CN"/>
        </w:rPr>
        <w:t>分制，满分100分，公式如下：</w:t>
      </w:r>
    </w:p>
    <w:p w14:paraId="24225536">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jc w:val="center"/>
        <w:textAlignment w:val="auto"/>
        <w:outlineLvl w:val="9"/>
        <w:rPr>
          <w:rFonts w:hint="eastAsia" w:ascii="宋体" w:hAnsi="宋体" w:eastAsia="宋体" w:cs="宋体"/>
          <w:caps w:val="0"/>
          <w:smallCaps w:val="0"/>
          <w:snapToGrid w:val="0"/>
          <w:color w:val="auto"/>
          <w:spacing w:val="0"/>
          <w:kern w:val="0"/>
          <w:highlight w:val="none"/>
          <w:lang w:eastAsia="zh-CN"/>
        </w:rPr>
      </w:pPr>
      <w:r>
        <w:rPr>
          <w:rFonts w:hint="eastAsia" w:ascii="宋体" w:hAnsi="宋体" w:eastAsia="宋体" w:cs="宋体"/>
          <w:caps w:val="0"/>
          <w:smallCaps w:val="0"/>
          <w:snapToGrid w:val="0"/>
          <w:color w:val="auto"/>
          <w:spacing w:val="0"/>
          <w:kern w:val="0"/>
          <w:highlight w:val="none"/>
        </w:rPr>
        <w:t>综合得分</w:t>
      </w:r>
      <w:r>
        <w:rPr>
          <w:rFonts w:hint="eastAsia" w:ascii="宋体" w:hAnsi="宋体" w:eastAsia="宋体" w:cs="宋体"/>
          <w:caps w:val="0"/>
          <w:smallCaps w:val="0"/>
          <w:snapToGrid w:val="0"/>
          <w:color w:val="auto"/>
          <w:spacing w:val="0"/>
          <w:kern w:val="0"/>
          <w:highlight w:val="none"/>
          <w:lang w:val="en-US" w:eastAsia="zh-CN"/>
        </w:rPr>
        <w:t>＝M÷商务技术合计满分</w:t>
      </w:r>
      <w:r>
        <w:rPr>
          <w:rFonts w:hint="eastAsia" w:ascii="宋体" w:hAnsi="宋体" w:eastAsia="宋体" w:cs="宋体"/>
          <w:caps w:val="0"/>
          <w:smallCaps w:val="0"/>
          <w:snapToGrid w:val="0"/>
          <w:color w:val="auto"/>
          <w:spacing w:val="0"/>
          <w:kern w:val="0"/>
          <w:highlight w:val="none"/>
        </w:rPr>
        <w:t>×100×商务技术权重</w:t>
      </w:r>
      <w:r>
        <w:rPr>
          <w:rFonts w:hint="eastAsia" w:ascii="宋体" w:hAnsi="宋体" w:eastAsia="宋体" w:cs="宋体"/>
          <w:caps w:val="0"/>
          <w:smallCaps w:val="0"/>
          <w:snapToGrid w:val="0"/>
          <w:color w:val="auto"/>
          <w:spacing w:val="0"/>
          <w:kern w:val="0"/>
          <w:highlight w:val="none"/>
          <w:lang w:val="en-US" w:eastAsia="zh-CN"/>
        </w:rPr>
        <w:t>＋N</w:t>
      </w:r>
      <w:r>
        <w:rPr>
          <w:rFonts w:hint="eastAsia" w:ascii="宋体" w:hAnsi="宋体" w:eastAsia="宋体" w:cs="宋体"/>
          <w:caps w:val="0"/>
          <w:smallCaps w:val="0"/>
          <w:snapToGrid w:val="0"/>
          <w:color w:val="auto"/>
          <w:spacing w:val="0"/>
          <w:kern w:val="0"/>
          <w:highlight w:val="none"/>
        </w:rPr>
        <w:t>×投标报价权重</w:t>
      </w:r>
    </w:p>
    <w:p w14:paraId="0CBDE4B8">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textAlignment w:val="auto"/>
        <w:rPr>
          <w:rFonts w:hint="eastAsia" w:ascii="宋体" w:hAnsi="宋体" w:eastAsia="宋体" w:cs="宋体"/>
          <w:caps w:val="0"/>
          <w:smallCaps w:val="0"/>
          <w:snapToGrid w:val="0"/>
          <w:color w:val="auto"/>
          <w:spacing w:val="0"/>
          <w:kern w:val="0"/>
          <w:highlight w:val="none"/>
          <w:lang w:eastAsia="zh-CN"/>
        </w:rPr>
      </w:pPr>
      <w:r>
        <w:rPr>
          <w:rFonts w:hint="eastAsia" w:ascii="宋体" w:hAnsi="宋体" w:eastAsia="宋体" w:cs="宋体"/>
          <w:caps w:val="0"/>
          <w:smallCaps w:val="0"/>
          <w:snapToGrid w:val="0"/>
          <w:color w:val="auto"/>
          <w:spacing w:val="0"/>
          <w:kern w:val="0"/>
          <w:highlight w:val="none"/>
          <w:lang w:eastAsia="zh-CN"/>
        </w:rPr>
        <w:t>式中：</w:t>
      </w:r>
      <w:r>
        <w:rPr>
          <w:rFonts w:hint="eastAsia" w:ascii="宋体" w:hAnsi="宋体" w:eastAsia="宋体" w:cs="宋体"/>
          <w:caps w:val="0"/>
          <w:smallCaps w:val="0"/>
          <w:snapToGrid w:val="0"/>
          <w:color w:val="auto"/>
          <w:spacing w:val="0"/>
          <w:kern w:val="0"/>
          <w:highlight w:val="none"/>
          <w:lang w:val="en-US" w:eastAsia="zh-CN"/>
        </w:rPr>
        <w:t>M为</w:t>
      </w:r>
      <w:r>
        <w:rPr>
          <w:rFonts w:hint="eastAsia" w:ascii="宋体" w:hAnsi="宋体" w:eastAsia="宋体" w:cs="宋体"/>
          <w:caps w:val="0"/>
          <w:smallCaps w:val="0"/>
          <w:snapToGrid w:val="0"/>
          <w:color w:val="auto"/>
          <w:spacing w:val="0"/>
          <w:kern w:val="0"/>
          <w:highlight w:val="none"/>
          <w:lang w:eastAsia="zh-CN"/>
        </w:rPr>
        <w:t>商务技术得分，</w:t>
      </w:r>
      <w:r>
        <w:rPr>
          <w:rFonts w:hint="eastAsia" w:ascii="宋体" w:hAnsi="宋体" w:eastAsia="宋体" w:cs="宋体"/>
          <w:caps w:val="0"/>
          <w:smallCaps w:val="0"/>
          <w:snapToGrid w:val="0"/>
          <w:color w:val="auto"/>
          <w:spacing w:val="0"/>
          <w:kern w:val="0"/>
          <w:highlight w:val="none"/>
          <w:lang w:val="en-US" w:eastAsia="zh-CN"/>
        </w:rPr>
        <w:t>N为</w:t>
      </w:r>
      <w:r>
        <w:rPr>
          <w:rFonts w:hint="eastAsia" w:ascii="宋体" w:hAnsi="宋体" w:eastAsia="宋体" w:cs="宋体"/>
          <w:caps w:val="0"/>
          <w:smallCaps w:val="0"/>
          <w:snapToGrid w:val="0"/>
          <w:color w:val="auto"/>
          <w:spacing w:val="0"/>
          <w:kern w:val="0"/>
          <w:highlight w:val="none"/>
          <w:lang w:eastAsia="zh-CN"/>
        </w:rPr>
        <w:t>投标报价得分。</w:t>
      </w:r>
    </w:p>
    <w:p w14:paraId="58D7BC9A">
      <w:pPr>
        <w:keepNext w:val="0"/>
        <w:keepLines w:val="0"/>
        <w:pageBreakBefore w:val="0"/>
        <w:widowControl w:val="0"/>
        <w:numPr>
          <w:ilvl w:val="0"/>
          <w:numId w:val="0"/>
        </w:numPr>
        <w:kinsoku/>
        <w:wordWrap w:val="0"/>
        <w:overflowPunct/>
        <w:topLinePunct w:val="0"/>
        <w:autoSpaceDE/>
        <w:autoSpaceDN/>
        <w:bidi w:val="0"/>
        <w:adjustRightInd w:val="0"/>
        <w:snapToGrid w:val="0"/>
        <w:spacing w:before="0" w:beforeLines="0" w:after="0" w:afterLines="0" w:line="360" w:lineRule="auto"/>
        <w:ind w:right="0" w:rightChars="0" w:firstLine="480" w:firstLineChars="200"/>
        <w:textAlignment w:val="auto"/>
        <w:rPr>
          <w:rFonts w:hint="eastAsia" w:ascii="宋体" w:hAnsi="宋体" w:eastAsia="宋体" w:cs="宋体"/>
          <w:caps w:val="0"/>
          <w:smallCaps w:val="0"/>
          <w:snapToGrid w:val="0"/>
          <w:color w:val="auto"/>
          <w:spacing w:val="0"/>
          <w:kern w:val="0"/>
          <w:szCs w:val="24"/>
          <w:highlight w:val="none"/>
          <w:lang w:eastAsia="zh-CN"/>
        </w:rPr>
      </w:pP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lang w:val="en-US" w:eastAsia="zh-CN"/>
        </w:rPr>
        <w:t>4</w:t>
      </w:r>
      <w:r>
        <w:rPr>
          <w:rFonts w:hint="eastAsia" w:ascii="宋体" w:hAnsi="宋体" w:eastAsia="宋体" w:cs="宋体"/>
          <w:caps w:val="0"/>
          <w:smallCaps w:val="0"/>
          <w:snapToGrid w:val="0"/>
          <w:color w:val="auto"/>
          <w:spacing w:val="0"/>
          <w:kern w:val="0"/>
          <w:highlight w:val="none"/>
          <w:lang w:eastAsia="zh-CN"/>
        </w:rPr>
        <w:t>）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w:t>
      </w:r>
      <w:r>
        <w:rPr>
          <w:rFonts w:hint="eastAsia" w:ascii="宋体" w:hAnsi="宋体" w:eastAsia="宋体" w:cs="宋体"/>
          <w:caps w:val="0"/>
          <w:smallCaps w:val="0"/>
          <w:snapToGrid w:val="0"/>
          <w:color w:val="auto"/>
          <w:spacing w:val="0"/>
          <w:kern w:val="0"/>
          <w:szCs w:val="24"/>
          <w:highlight w:val="none"/>
          <w:lang w:eastAsia="zh-CN"/>
        </w:rPr>
        <w:t>由评标委员会投票确定。</w:t>
      </w:r>
    </w:p>
    <w:p w14:paraId="2DA34D4A">
      <w:pPr>
        <w:keepNext w:val="0"/>
        <w:keepLines w:val="0"/>
        <w:pageBreakBefore w:val="0"/>
        <w:widowControl w:val="0"/>
        <w:numPr>
          <w:ilvl w:val="0"/>
          <w:numId w:val="0"/>
        </w:numPr>
        <w:kinsoku/>
        <w:wordWrap w:val="0"/>
        <w:overflowPunct/>
        <w:topLinePunct w:val="0"/>
        <w:autoSpaceDE/>
        <w:autoSpaceDN/>
        <w:bidi w:val="0"/>
        <w:adjustRightInd w:val="0"/>
        <w:snapToGrid w:val="0"/>
        <w:spacing w:before="0" w:beforeLines="0" w:after="0" w:afterLines="0" w:line="360" w:lineRule="auto"/>
        <w:ind w:right="0" w:rightChars="0"/>
        <w:jc w:val="both"/>
        <w:textAlignment w:val="auto"/>
        <w:rPr>
          <w:rFonts w:hint="eastAsia" w:ascii="宋体" w:hAnsi="宋体" w:eastAsia="宋体" w:cs="宋体"/>
          <w:caps w:val="0"/>
          <w:smallCaps w:val="0"/>
          <w:snapToGrid w:val="0"/>
          <w:color w:val="auto"/>
          <w:spacing w:val="0"/>
          <w:kern w:val="0"/>
          <w:szCs w:val="24"/>
          <w:highlight w:val="none"/>
          <w:lang w:eastAsia="zh-CN"/>
        </w:rPr>
      </w:pPr>
    </w:p>
    <w:p w14:paraId="3A221DDA">
      <w:pPr>
        <w:keepNext w:val="0"/>
        <w:keepLines w:val="0"/>
        <w:pageBreakBefore w:val="0"/>
        <w:widowControl w:val="0"/>
        <w:numPr>
          <w:ilvl w:val="0"/>
          <w:numId w:val="0"/>
        </w:numPr>
        <w:kinsoku/>
        <w:wordWrap w:val="0"/>
        <w:overflowPunct/>
        <w:topLinePunct w:val="0"/>
        <w:autoSpaceDE/>
        <w:autoSpaceDN/>
        <w:bidi w:val="0"/>
        <w:adjustRightInd w:val="0"/>
        <w:snapToGrid w:val="0"/>
        <w:spacing w:before="0" w:beforeLines="0" w:after="0" w:afterLines="0" w:line="360" w:lineRule="auto"/>
        <w:ind w:right="0" w:rightChars="0"/>
        <w:jc w:val="both"/>
        <w:textAlignment w:val="auto"/>
        <w:rPr>
          <w:rFonts w:hint="eastAsia" w:ascii="宋体" w:hAnsi="宋体" w:eastAsia="宋体" w:cs="宋体"/>
          <w:caps w:val="0"/>
          <w:smallCaps w:val="0"/>
          <w:snapToGrid w:val="0"/>
          <w:color w:val="auto"/>
          <w:spacing w:val="0"/>
          <w:kern w:val="0"/>
          <w:szCs w:val="24"/>
          <w:highlight w:val="none"/>
          <w:lang w:eastAsia="zh-CN"/>
        </w:rPr>
      </w:pPr>
    </w:p>
    <w:p w14:paraId="5DF7D6A1">
      <w:pPr>
        <w:keepNext w:val="0"/>
        <w:keepLines w:val="0"/>
        <w:pageBreakBefore w:val="0"/>
        <w:widowControl w:val="0"/>
        <w:numPr>
          <w:ilvl w:val="0"/>
          <w:numId w:val="0"/>
        </w:numPr>
        <w:kinsoku/>
        <w:wordWrap w:val="0"/>
        <w:overflowPunct/>
        <w:topLinePunct w:val="0"/>
        <w:autoSpaceDE/>
        <w:autoSpaceDN/>
        <w:bidi w:val="0"/>
        <w:adjustRightInd w:val="0"/>
        <w:snapToGrid w:val="0"/>
        <w:spacing w:before="0" w:beforeLines="0" w:after="0" w:afterLines="0" w:line="360" w:lineRule="auto"/>
        <w:ind w:right="0" w:rightChars="0"/>
        <w:jc w:val="both"/>
        <w:textAlignment w:val="auto"/>
        <w:rPr>
          <w:rFonts w:hint="eastAsia" w:ascii="宋体" w:hAnsi="宋体" w:eastAsia="宋体" w:cs="宋体"/>
          <w:caps w:val="0"/>
          <w:smallCaps w:val="0"/>
          <w:snapToGrid w:val="0"/>
          <w:color w:val="auto"/>
          <w:spacing w:val="0"/>
          <w:kern w:val="0"/>
          <w:szCs w:val="24"/>
          <w:highlight w:val="none"/>
          <w:lang w:eastAsia="zh-CN"/>
        </w:rPr>
      </w:pPr>
    </w:p>
    <w:p w14:paraId="6DC509CF">
      <w:pPr>
        <w:keepNext w:val="0"/>
        <w:keepLines w:val="0"/>
        <w:pageBreakBefore w:val="0"/>
        <w:widowControl w:val="0"/>
        <w:numPr>
          <w:ilvl w:val="0"/>
          <w:numId w:val="0"/>
        </w:numPr>
        <w:kinsoku/>
        <w:wordWrap w:val="0"/>
        <w:overflowPunct/>
        <w:topLinePunct w:val="0"/>
        <w:autoSpaceDE/>
        <w:autoSpaceDN/>
        <w:bidi w:val="0"/>
        <w:adjustRightInd w:val="0"/>
        <w:snapToGrid w:val="0"/>
        <w:spacing w:before="0" w:beforeLines="0" w:after="0" w:afterLines="0" w:line="360" w:lineRule="auto"/>
        <w:ind w:right="0" w:rightChars="0"/>
        <w:jc w:val="both"/>
        <w:textAlignment w:val="auto"/>
        <w:rPr>
          <w:rFonts w:hint="eastAsia" w:ascii="宋体" w:hAnsi="宋体" w:eastAsia="宋体" w:cs="宋体"/>
          <w:caps w:val="0"/>
          <w:smallCaps w:val="0"/>
          <w:snapToGrid w:val="0"/>
          <w:color w:val="auto"/>
          <w:spacing w:val="0"/>
          <w:kern w:val="0"/>
          <w:szCs w:val="24"/>
          <w:highlight w:val="none"/>
          <w:lang w:eastAsia="zh-CN"/>
        </w:rPr>
      </w:pPr>
    </w:p>
    <w:p w14:paraId="1DB431DA">
      <w:pPr>
        <w:jc w:val="center"/>
        <w:rPr>
          <w:rFonts w:hint="eastAsia"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rPr>
        <w:t>综合评分表</w:t>
      </w:r>
    </w:p>
    <w:tbl>
      <w:tblPr>
        <w:tblStyle w:val="17"/>
        <w:tblW w:w="100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3695"/>
        <w:gridCol w:w="5111"/>
      </w:tblGrid>
      <w:tr w14:paraId="0DA6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5" w:type="dxa"/>
            <w:gridSpan w:val="3"/>
          </w:tcPr>
          <w:p w14:paraId="7BD947A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商务部分，满分：80分。</w:t>
            </w:r>
          </w:p>
        </w:tc>
      </w:tr>
      <w:tr w14:paraId="15AE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092829FF">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评分因素</w:t>
            </w:r>
          </w:p>
        </w:tc>
        <w:tc>
          <w:tcPr>
            <w:tcW w:w="3695" w:type="dxa"/>
            <w:shd w:val="clear" w:color="auto" w:fill="auto"/>
            <w:vAlign w:val="center"/>
          </w:tcPr>
          <w:p w14:paraId="11CFF44B">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评分标准</w:t>
            </w:r>
          </w:p>
        </w:tc>
        <w:tc>
          <w:tcPr>
            <w:tcW w:w="5111" w:type="dxa"/>
            <w:shd w:val="clear" w:color="auto" w:fill="auto"/>
            <w:vAlign w:val="center"/>
          </w:tcPr>
          <w:p w14:paraId="1F1BE431">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备注</w:t>
            </w:r>
          </w:p>
        </w:tc>
      </w:tr>
      <w:tr w14:paraId="0CF3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203EF796">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企业奖项</w:t>
            </w:r>
          </w:p>
          <w:p w14:paraId="4F4130CC">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（10分）</w:t>
            </w:r>
          </w:p>
        </w:tc>
        <w:tc>
          <w:tcPr>
            <w:tcW w:w="3695" w:type="dxa"/>
            <w:shd w:val="clear" w:color="auto" w:fill="auto"/>
            <w:vAlign w:val="center"/>
          </w:tcPr>
          <w:p w14:paraId="2B0C3EF8">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企业近5年来（2020年1月1日至今）获得市政工程类奖项情况：</w:t>
            </w:r>
          </w:p>
          <w:p w14:paraId="19DF188B">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1.获得国家级奖项的，每个得8分。</w:t>
            </w:r>
          </w:p>
          <w:p w14:paraId="1E40AB25">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2.获得省级奖项的，每个得6分。</w:t>
            </w:r>
          </w:p>
          <w:p w14:paraId="1D0E74D4">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3.获得地市级奖项的，每个得4分。</w:t>
            </w:r>
          </w:p>
          <w:p w14:paraId="3757D26E">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4．以上奖项均未获得的，不予计分。</w:t>
            </w:r>
          </w:p>
          <w:p w14:paraId="53150B9E">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5.本项最高得10分。</w:t>
            </w:r>
          </w:p>
        </w:tc>
        <w:tc>
          <w:tcPr>
            <w:tcW w:w="5111" w:type="dxa"/>
            <w:shd w:val="clear" w:color="auto" w:fill="auto"/>
            <w:vAlign w:val="center"/>
          </w:tcPr>
          <w:p w14:paraId="6826FC09">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1.允许投标人提交多个业绩，但同一业绩只按最高级别奖项计分一次。</w:t>
            </w:r>
          </w:p>
          <w:p w14:paraId="42E09D8E">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2.需附有关奖项证明彩色扫描件，同时提供原件供核对。（奖项为电子证书的除外）</w:t>
            </w:r>
          </w:p>
          <w:p w14:paraId="2ED25CC1">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3.颁发机构限定以下范围：</w:t>
            </w:r>
          </w:p>
          <w:p w14:paraId="2DCF36C2">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①国家级奖项：国务院、住建部、中国建筑业协会；（相关协会需经民政部门备案）</w:t>
            </w:r>
          </w:p>
          <w:p w14:paraId="5CA6C529">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②省级奖项：省级人民政府、省级住建部门、省级市政行业协会；（相关协会需经民政部门备案）</w:t>
            </w:r>
          </w:p>
          <w:p w14:paraId="713F3250">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③地市级奖项：地市级人民政府、地市级住建部门、地市级建筑协会。（相关协会需经民政部门备案）</w:t>
            </w:r>
          </w:p>
          <w:p w14:paraId="641EB7C2">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4.获奖时间以奖项证明的落款日期为准。</w:t>
            </w:r>
          </w:p>
          <w:p w14:paraId="4B28EE6F">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5.任一奖项有以下情形之一的，该奖项视为无效，不予计分：</w:t>
            </w:r>
          </w:p>
          <w:p w14:paraId="697A9CF4">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①未提供奖项原件的；</w:t>
            </w:r>
          </w:p>
          <w:p w14:paraId="36394570">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②奖项不属于指定类别的；</w:t>
            </w:r>
          </w:p>
          <w:p w14:paraId="57C7F455">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③颁发机构不符合要求的；</w:t>
            </w:r>
          </w:p>
          <w:p w14:paraId="02D07CD0">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④获奖时间不符合要求的。</w:t>
            </w:r>
          </w:p>
          <w:p w14:paraId="5A1741D9">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说明：以上所称“要求”均指本表评分标准及备注的要求，下同。</w:t>
            </w:r>
          </w:p>
        </w:tc>
      </w:tr>
      <w:tr w14:paraId="242F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3C126D46">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项目经理</w:t>
            </w:r>
          </w:p>
          <w:p w14:paraId="42F851B4">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综合素质</w:t>
            </w:r>
          </w:p>
          <w:p w14:paraId="444EEC1E">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（10分）</w:t>
            </w:r>
          </w:p>
        </w:tc>
        <w:tc>
          <w:tcPr>
            <w:tcW w:w="3695" w:type="dxa"/>
            <w:shd w:val="clear" w:color="auto" w:fill="auto"/>
            <w:vAlign w:val="center"/>
          </w:tcPr>
          <w:p w14:paraId="7FFE2DB9">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项目经理工程类技术职称情况：</w:t>
            </w:r>
          </w:p>
          <w:p w14:paraId="7F81E21C">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1.具备工程师或以上职称的，得10分。</w:t>
            </w:r>
          </w:p>
          <w:p w14:paraId="1EC29340">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2.具备助理工程师职称的，得5分。</w:t>
            </w:r>
          </w:p>
          <w:p w14:paraId="5CF5A877">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3.不具备以上职称的，或未提供职称证原件的，不予计分。</w:t>
            </w:r>
          </w:p>
        </w:tc>
        <w:tc>
          <w:tcPr>
            <w:tcW w:w="5111" w:type="dxa"/>
            <w:shd w:val="clear" w:color="auto" w:fill="auto"/>
            <w:vAlign w:val="center"/>
          </w:tcPr>
          <w:p w14:paraId="755EA8C7">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需附职称证彩色扫描件，同时提供原件供核对。（职称证为电子证书打印件的除外）。</w:t>
            </w:r>
          </w:p>
        </w:tc>
      </w:tr>
      <w:tr w14:paraId="44D6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0DF2E3BC">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企业业绩</w:t>
            </w:r>
          </w:p>
          <w:p w14:paraId="3E0BFEC9">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（10分）</w:t>
            </w:r>
          </w:p>
        </w:tc>
        <w:tc>
          <w:tcPr>
            <w:tcW w:w="3695" w:type="dxa"/>
            <w:shd w:val="clear" w:color="auto" w:fill="auto"/>
            <w:vAlign w:val="center"/>
          </w:tcPr>
          <w:p w14:paraId="307AAAD4">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企业近5年来（2020年1月1日至今）业绩情况：</w:t>
            </w:r>
          </w:p>
          <w:p w14:paraId="5CD02E02">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1.承接过类似工程的，每个得5分。</w:t>
            </w:r>
          </w:p>
          <w:p w14:paraId="7C0BD632">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2.未承接过类似工程的，不予计分。</w:t>
            </w:r>
          </w:p>
          <w:p w14:paraId="7C0576D9">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3.本项最高得10分。</w:t>
            </w:r>
          </w:p>
        </w:tc>
        <w:tc>
          <w:tcPr>
            <w:tcW w:w="5111" w:type="dxa"/>
            <w:shd w:val="clear" w:color="auto" w:fill="auto"/>
            <w:vAlign w:val="center"/>
          </w:tcPr>
          <w:p w14:paraId="73FF39A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1.类似工程指：类似工程指：合同金额≥1000万元的市政工程类施工总承包工程或设计、施工总承包工程或勘察、设计、施工总承包工程。</w:t>
            </w:r>
          </w:p>
          <w:p w14:paraId="59220AAA">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2.需附有关业绩（仅限于以施工总承包单位身份参建的项目）合同协议书彩色扫描件，同时提供原件供核对。</w:t>
            </w:r>
          </w:p>
          <w:p w14:paraId="65DA4406">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3.业绩时间以合同协议书日期为准。</w:t>
            </w:r>
          </w:p>
          <w:p w14:paraId="0B6DA5C8">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4.任一业绩有以下情形之一的，该业绩视为无效，不予计分：</w:t>
            </w:r>
          </w:p>
          <w:p w14:paraId="5ED7678D">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①未提供业绩证明材料原件的；</w:t>
            </w:r>
          </w:p>
          <w:p w14:paraId="127922B6">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②业绩不属于类似工程的；</w:t>
            </w:r>
          </w:p>
          <w:p w14:paraId="3D57ED98">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③不是以指定身份参建的；</w:t>
            </w:r>
          </w:p>
          <w:p w14:paraId="4E756889">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④业绩时间不符合要求的。</w:t>
            </w:r>
          </w:p>
        </w:tc>
      </w:tr>
      <w:tr w14:paraId="7A64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76D26565">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企业银行</w:t>
            </w:r>
          </w:p>
          <w:p w14:paraId="1F6795DD">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资信评级</w:t>
            </w:r>
          </w:p>
          <w:p w14:paraId="7C315FA1">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（5分）</w:t>
            </w:r>
          </w:p>
        </w:tc>
        <w:tc>
          <w:tcPr>
            <w:tcW w:w="3695" w:type="dxa"/>
            <w:shd w:val="clear" w:color="auto" w:fill="auto"/>
            <w:vAlign w:val="center"/>
          </w:tcPr>
          <w:p w14:paraId="601D2C06">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1.银行资信评级AAA的，得5分；</w:t>
            </w:r>
          </w:p>
          <w:p w14:paraId="6DD8068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2.银行资信评级AA（含AA＋、AA－）的，得4分。</w:t>
            </w:r>
          </w:p>
          <w:p w14:paraId="283119FF">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3.银行资信评级A（含A＋、A－）的，得3分。</w:t>
            </w:r>
          </w:p>
          <w:p w14:paraId="39DF02DA">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4.未获得过以上评级的，或评级证书无效的，不予计分。</w:t>
            </w:r>
          </w:p>
        </w:tc>
        <w:tc>
          <w:tcPr>
            <w:tcW w:w="5111" w:type="dxa"/>
            <w:shd w:val="clear" w:color="auto" w:fill="auto"/>
            <w:vAlign w:val="center"/>
          </w:tcPr>
          <w:p w14:paraId="28C8F009">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1.需附在有效期内的资信评级证书（证明）彩色扫描件，同时提供原件供核对。</w:t>
            </w:r>
          </w:p>
          <w:p w14:paraId="42AB243D">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2.评级证书（证明）须由金融机构出具。</w:t>
            </w:r>
          </w:p>
          <w:p w14:paraId="0E787CAD">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3.评级证书（证明）有以下情形之一的，视为无效：</w:t>
            </w:r>
          </w:p>
          <w:p w14:paraId="4BF7BE60">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①未提供评级证书（证明）原件的；</w:t>
            </w:r>
          </w:p>
          <w:p w14:paraId="2002CF2A">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②评级证书（证明）不在有效期内的；</w:t>
            </w:r>
          </w:p>
          <w:p w14:paraId="494ADD61">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③出具机构不符合要求的。</w:t>
            </w:r>
          </w:p>
        </w:tc>
      </w:tr>
      <w:tr w14:paraId="4154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65DBB0AB">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企业管理</w:t>
            </w:r>
          </w:p>
          <w:p w14:paraId="52488B8F">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体系认证</w:t>
            </w:r>
          </w:p>
          <w:p w14:paraId="258E2345">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（9分）</w:t>
            </w:r>
          </w:p>
        </w:tc>
        <w:tc>
          <w:tcPr>
            <w:tcW w:w="3695" w:type="dxa"/>
            <w:shd w:val="clear" w:color="auto" w:fill="auto"/>
            <w:vAlign w:val="center"/>
          </w:tcPr>
          <w:p w14:paraId="1F358022">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1.质量管理体系认证、职业健康安全管理体系认证、环境管理体系认证中，每获得1项认证得3分，最高得9分。</w:t>
            </w:r>
          </w:p>
          <w:p w14:paraId="38D90348">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2.未获得以上认证的，不予计分。</w:t>
            </w:r>
          </w:p>
        </w:tc>
        <w:tc>
          <w:tcPr>
            <w:tcW w:w="5111" w:type="dxa"/>
            <w:shd w:val="clear" w:color="auto" w:fill="auto"/>
            <w:vAlign w:val="center"/>
          </w:tcPr>
          <w:p w14:paraId="1F355EDB">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1．需附在有效期内的认证证书彩色扫描件，同时提供原件供核对。（证书为电子证书的除外）</w:t>
            </w:r>
          </w:p>
          <w:p w14:paraId="01122047">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2.任一认证证书有以下情形之一的，该认证证书视为无效，不予计分：</w:t>
            </w:r>
          </w:p>
          <w:p w14:paraId="470250D6">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①未提供认证证书原件的；</w:t>
            </w:r>
          </w:p>
          <w:p w14:paraId="4AA2F78D">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②认证证书不在有效期内的。</w:t>
            </w:r>
          </w:p>
        </w:tc>
      </w:tr>
      <w:tr w14:paraId="2E7D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vMerge w:val="restart"/>
            <w:vAlign w:val="center"/>
          </w:tcPr>
          <w:p w14:paraId="11A750BD">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招标人</w:t>
            </w:r>
          </w:p>
          <w:p w14:paraId="54DB94A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自选项</w:t>
            </w:r>
          </w:p>
          <w:p w14:paraId="591B516C">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（36分）</w:t>
            </w:r>
          </w:p>
        </w:tc>
        <w:tc>
          <w:tcPr>
            <w:tcW w:w="3695" w:type="dxa"/>
            <w:shd w:val="clear" w:color="auto" w:fill="auto"/>
            <w:vAlign w:val="center"/>
          </w:tcPr>
          <w:p w14:paraId="4347B5CC">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企业连续10年或10年以上（含10年）获得纳税信用A级纳税人的，得8分；(其中必须有2024年度)</w:t>
            </w:r>
          </w:p>
        </w:tc>
        <w:tc>
          <w:tcPr>
            <w:tcW w:w="5111" w:type="dxa"/>
            <w:shd w:val="clear" w:color="auto" w:fill="auto"/>
            <w:vAlign w:val="center"/>
          </w:tcPr>
          <w:p w14:paraId="4E8036FA">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1.必须提供企业纳税信用A级纳税人证明材料（或证书）彩色扫描件，否则不得分。</w:t>
            </w:r>
          </w:p>
          <w:p w14:paraId="75E3C81C">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2.只计算投标人自身（不计算投标人的分公司、子公司及分支机构）</w:t>
            </w:r>
          </w:p>
        </w:tc>
      </w:tr>
      <w:tr w14:paraId="03A3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vMerge w:val="continue"/>
          </w:tcPr>
          <w:p w14:paraId="549833FA">
            <w:pPr>
              <w:spacing w:line="360" w:lineRule="auto"/>
              <w:rPr>
                <w:rFonts w:hint="eastAsia" w:ascii="宋体" w:hAnsi="宋体" w:eastAsia="宋体" w:cs="宋体"/>
                <w:color w:val="auto"/>
                <w:sz w:val="24"/>
                <w:szCs w:val="24"/>
                <w:highlight w:val="none"/>
              </w:rPr>
            </w:pPr>
          </w:p>
        </w:tc>
        <w:tc>
          <w:tcPr>
            <w:tcW w:w="3695" w:type="dxa"/>
            <w:shd w:val="clear" w:color="auto" w:fill="auto"/>
            <w:vAlign w:val="center"/>
          </w:tcPr>
          <w:p w14:paraId="341A3058">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近5年来（2020年1月1日至今）企业获得过专精特新中小企业的，得7分。</w:t>
            </w:r>
          </w:p>
        </w:tc>
        <w:tc>
          <w:tcPr>
            <w:tcW w:w="5111" w:type="dxa"/>
            <w:shd w:val="clear" w:color="auto" w:fill="auto"/>
            <w:vAlign w:val="center"/>
          </w:tcPr>
          <w:p w14:paraId="6F12D4C0">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需提供省级或以上政府评定部门网站的通告或通知截图，否则不得分。</w:t>
            </w:r>
          </w:p>
        </w:tc>
      </w:tr>
      <w:tr w14:paraId="017B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vMerge w:val="continue"/>
          </w:tcPr>
          <w:p w14:paraId="2A9A0823">
            <w:pPr>
              <w:spacing w:line="360" w:lineRule="auto"/>
              <w:rPr>
                <w:rFonts w:hint="eastAsia" w:ascii="宋体" w:hAnsi="宋体" w:eastAsia="宋体" w:cs="宋体"/>
                <w:color w:val="auto"/>
                <w:sz w:val="24"/>
                <w:szCs w:val="24"/>
                <w:highlight w:val="none"/>
              </w:rPr>
            </w:pPr>
          </w:p>
        </w:tc>
        <w:tc>
          <w:tcPr>
            <w:tcW w:w="3695" w:type="dxa"/>
            <w:shd w:val="clear" w:color="auto" w:fill="auto"/>
            <w:vAlign w:val="center"/>
          </w:tcPr>
          <w:p w14:paraId="3FF2AE56">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近5年来（2020年1月1日至今）企业连续两年以上（含两年）获得地级市及以上建筑协会颁发的“优秀典型施工企业”，得7分。</w:t>
            </w:r>
          </w:p>
        </w:tc>
        <w:tc>
          <w:tcPr>
            <w:tcW w:w="5111" w:type="dxa"/>
            <w:shd w:val="clear" w:color="auto" w:fill="auto"/>
            <w:vAlign w:val="center"/>
          </w:tcPr>
          <w:p w14:paraId="407EBC86">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1.需提供证书彩色扫描件，同时提供证书原件供核对（证书为电子证书的除外）,否则不得分。</w:t>
            </w:r>
          </w:p>
          <w:p w14:paraId="7EA3D2E3">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2.需提供地级市及以上相关政府部门或地级市及以上建筑协会网站截图打印页,否则不得分。</w:t>
            </w:r>
          </w:p>
          <w:p w14:paraId="629921D8">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（相关协会需经民政部门备案）</w:t>
            </w:r>
          </w:p>
        </w:tc>
      </w:tr>
      <w:tr w14:paraId="4635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vMerge w:val="continue"/>
          </w:tcPr>
          <w:p w14:paraId="4038B5E1">
            <w:pPr>
              <w:spacing w:line="360" w:lineRule="auto"/>
              <w:rPr>
                <w:rFonts w:hint="eastAsia" w:ascii="宋体" w:hAnsi="宋体" w:eastAsia="宋体" w:cs="宋体"/>
                <w:color w:val="auto"/>
                <w:sz w:val="24"/>
                <w:szCs w:val="24"/>
                <w:highlight w:val="none"/>
              </w:rPr>
            </w:pPr>
          </w:p>
        </w:tc>
        <w:tc>
          <w:tcPr>
            <w:tcW w:w="3695" w:type="dxa"/>
            <w:shd w:val="clear" w:color="auto" w:fill="auto"/>
            <w:vAlign w:val="center"/>
          </w:tcPr>
          <w:p w14:paraId="60589505">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1.企业近5年度（2020年度至今）获得过“中国建筑业协会”颁发的企业信用等级AAA级证书的，得7分；</w:t>
            </w:r>
          </w:p>
          <w:p w14:paraId="23506E52">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2.其他情形的，不予计分。</w:t>
            </w:r>
          </w:p>
        </w:tc>
        <w:tc>
          <w:tcPr>
            <w:tcW w:w="5111" w:type="dxa"/>
            <w:shd w:val="clear" w:color="auto" w:fill="auto"/>
            <w:vAlign w:val="center"/>
          </w:tcPr>
          <w:p w14:paraId="609ABD12">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1.证书由“中国建筑业协会”颁发，须提供有关证书彩色扫描件，同时提供原件核对。</w:t>
            </w:r>
          </w:p>
          <w:p w14:paraId="5BA36559">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2.未提供原件的，颁发机构不符合要求的，按第2项标准处理。</w:t>
            </w:r>
          </w:p>
        </w:tc>
      </w:tr>
      <w:tr w14:paraId="5E91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vMerge w:val="continue"/>
          </w:tcPr>
          <w:p w14:paraId="3308AA23">
            <w:pPr>
              <w:spacing w:line="360" w:lineRule="auto"/>
              <w:rPr>
                <w:rFonts w:hint="eastAsia" w:ascii="宋体" w:hAnsi="宋体" w:eastAsia="宋体" w:cs="宋体"/>
                <w:color w:val="auto"/>
                <w:sz w:val="24"/>
                <w:szCs w:val="24"/>
                <w:highlight w:val="none"/>
              </w:rPr>
            </w:pPr>
          </w:p>
        </w:tc>
        <w:tc>
          <w:tcPr>
            <w:tcW w:w="3695" w:type="dxa"/>
            <w:shd w:val="clear" w:color="auto" w:fill="auto"/>
            <w:vAlign w:val="center"/>
          </w:tcPr>
          <w:p w14:paraId="554AEE2A">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1.企业近5年度（2020年度至今）获得过省级或以上商业联合会颁发的诚信兴商企业证书的得7分。</w:t>
            </w:r>
          </w:p>
          <w:p w14:paraId="3393450D">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2.其他情形的，不予计分。</w:t>
            </w:r>
          </w:p>
        </w:tc>
        <w:tc>
          <w:tcPr>
            <w:tcW w:w="5111" w:type="dxa"/>
            <w:shd w:val="clear" w:color="auto" w:fill="auto"/>
            <w:vAlign w:val="center"/>
          </w:tcPr>
          <w:p w14:paraId="3E8F8F89">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1.证书由省级或以上商业联合会颁发，须提供有关证书彩色扫描件，同时提供原件核对。</w:t>
            </w:r>
          </w:p>
          <w:p w14:paraId="750D5F6C">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2.未提供原件的，颁发机构不符合要求的，按第2项标准处理。</w:t>
            </w:r>
          </w:p>
        </w:tc>
      </w:tr>
      <w:tr w14:paraId="078D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5" w:type="dxa"/>
            <w:gridSpan w:val="3"/>
            <w:shd w:val="clear" w:color="auto" w:fill="auto"/>
            <w:vAlign w:val="top"/>
          </w:tcPr>
          <w:p w14:paraId="2BB60B8C">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技术部分（施工组织设计），满分：20分。</w:t>
            </w:r>
          </w:p>
        </w:tc>
      </w:tr>
      <w:tr w14:paraId="5B1A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384BB424">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评分因素</w:t>
            </w:r>
          </w:p>
        </w:tc>
        <w:tc>
          <w:tcPr>
            <w:tcW w:w="3695" w:type="dxa"/>
            <w:shd w:val="clear" w:color="auto" w:fill="auto"/>
            <w:vAlign w:val="center"/>
          </w:tcPr>
          <w:p w14:paraId="65D285A3">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评分标准</w:t>
            </w:r>
          </w:p>
        </w:tc>
        <w:tc>
          <w:tcPr>
            <w:tcW w:w="5111" w:type="dxa"/>
            <w:shd w:val="clear" w:color="auto" w:fill="auto"/>
            <w:vAlign w:val="center"/>
          </w:tcPr>
          <w:p w14:paraId="512AFE1F">
            <w:p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备注</w:t>
            </w:r>
          </w:p>
        </w:tc>
      </w:tr>
      <w:tr w14:paraId="0793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1E66BA1E">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总体概述</w:t>
            </w:r>
          </w:p>
          <w:p w14:paraId="5E89B6F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（3分）</w:t>
            </w:r>
          </w:p>
        </w:tc>
        <w:tc>
          <w:tcPr>
            <w:tcW w:w="3695" w:type="dxa"/>
            <w:shd w:val="clear" w:color="auto" w:fill="auto"/>
            <w:vAlign w:val="center"/>
          </w:tcPr>
          <w:p w14:paraId="4E725DD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【优】得该项因素分的90%～100%（含90%）；</w:t>
            </w:r>
          </w:p>
          <w:p w14:paraId="6C97B9A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【良】得该项因素分的80%～90%（含80%）；</w:t>
            </w:r>
          </w:p>
          <w:p w14:paraId="41A4950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【中】得该项因素分的70%～80%（含70%）；</w:t>
            </w:r>
          </w:p>
          <w:p w14:paraId="5F535FD8">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【差】得该项因素分的60%～70%（含60%）。</w:t>
            </w:r>
          </w:p>
        </w:tc>
        <w:tc>
          <w:tcPr>
            <w:tcW w:w="5111" w:type="dxa"/>
            <w:shd w:val="clear" w:color="auto" w:fill="auto"/>
            <w:vAlign w:val="center"/>
          </w:tcPr>
          <w:p w14:paraId="3CE7753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0B0B7A2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【良】对项目总体有一定认识，表述清晰、完整，措施具体有效；施工段划分呼应总体表述，划分清晰，符合规范要求。</w:t>
            </w:r>
          </w:p>
          <w:p w14:paraId="651A503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【中】对项目总体有认识，有一定的措施但部分不具体；施工段划分较合理，符合规范要求。</w:t>
            </w:r>
          </w:p>
          <w:p w14:paraId="0EE5DCB4">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【差】对项目认识不足，表述不清晰，措施不具体；施工段划分不合理。</w:t>
            </w:r>
          </w:p>
        </w:tc>
      </w:tr>
      <w:tr w14:paraId="58D6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5BC54038">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施工总进度计划及保证措施</w:t>
            </w:r>
          </w:p>
          <w:p w14:paraId="55F1374C">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（3分）</w:t>
            </w:r>
          </w:p>
        </w:tc>
        <w:tc>
          <w:tcPr>
            <w:tcW w:w="3695" w:type="dxa"/>
            <w:shd w:val="clear" w:color="auto" w:fill="auto"/>
            <w:vAlign w:val="center"/>
          </w:tcPr>
          <w:p w14:paraId="7A54725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【优】得该项因素分的90%～100%（含90%）；</w:t>
            </w:r>
          </w:p>
          <w:p w14:paraId="3AF024A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【良】得该项因素分的80%～90%（含80%）；</w:t>
            </w:r>
          </w:p>
          <w:p w14:paraId="7AD7B8C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【中】得该项因素分的70%～80%（含70%）；</w:t>
            </w:r>
          </w:p>
          <w:p w14:paraId="22C7819F">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【差】得该项因素分的60%～70%（含60%）。</w:t>
            </w:r>
          </w:p>
        </w:tc>
        <w:tc>
          <w:tcPr>
            <w:tcW w:w="5111" w:type="dxa"/>
            <w:shd w:val="clear" w:color="auto" w:fill="auto"/>
            <w:vAlign w:val="center"/>
          </w:tcPr>
          <w:p w14:paraId="7F07B4C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49D52A6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2A1A706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【中】关键线路基本准确，计划编制基本合理。关键节点的控制措施基本可行。人、材、机需求和进场计划与进度计划相呼应，基本满足施工需要，调配投入计划基本合理。进度违约责任承诺具体。</w:t>
            </w:r>
          </w:p>
          <w:p w14:paraId="2B212A22">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【差】关键线路不准确，计划编制不合理。关键节点的控制不可行。人、材、机需求和进场计划与进度计划不相呼应，不能满足施工需要。没有违约责任承诺。</w:t>
            </w:r>
          </w:p>
        </w:tc>
      </w:tr>
      <w:tr w14:paraId="1552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7C5C06CE">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质量保证措施</w:t>
            </w:r>
          </w:p>
          <w:p w14:paraId="549A227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（4分）</w:t>
            </w:r>
          </w:p>
        </w:tc>
        <w:tc>
          <w:tcPr>
            <w:tcW w:w="3695" w:type="dxa"/>
            <w:shd w:val="clear" w:color="auto" w:fill="auto"/>
            <w:vAlign w:val="center"/>
          </w:tcPr>
          <w:p w14:paraId="53C25E0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【优】得该项因素分的90%～100%（含90%）；</w:t>
            </w:r>
          </w:p>
          <w:p w14:paraId="20B92AC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【良】得该项因素分的80%～90%（含80%）；</w:t>
            </w:r>
          </w:p>
          <w:p w14:paraId="1001CCE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【中】得该项因素分的70%～80%（含70%）；</w:t>
            </w:r>
          </w:p>
          <w:p w14:paraId="7B210F30">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【差】得该项因素分的60%～70%（含60%）。</w:t>
            </w:r>
          </w:p>
        </w:tc>
        <w:tc>
          <w:tcPr>
            <w:tcW w:w="5111" w:type="dxa"/>
            <w:shd w:val="clear" w:color="auto" w:fill="auto"/>
            <w:vAlign w:val="center"/>
          </w:tcPr>
          <w:p w14:paraId="5A748F9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应用新技术、新工艺、新材料、新设备，针对项目实际提出先进、可行、具体的保证措施。超过招标文件的质量要求。投标人企业注册地或分支机构所在地与项目所在地的距离或全资子公司与项目所在地距离100公里内、投标人在相同地质条件业绩情况等相关证明资料。</w:t>
            </w:r>
          </w:p>
          <w:p w14:paraId="6ED204B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针对项目实际提出先进、可行、具体的保证措施。满足招标文件的质量要求。投标人企业注册地或分支机构所在地与项目所在地的距离或全资子公司与项目所在地距离200公里内、投标人在相同地质条件业绩情况等相关证明资料。</w:t>
            </w:r>
          </w:p>
          <w:p w14:paraId="30F66BF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【中】具体措施可行。满足招标文件的质量要求。投标人企业注册地或分支机构所在地与项目所在地的距离或全资子公司与项目所在地距离300公里内、投标人在相同地质条件业绩情况等相关证明资料。</w:t>
            </w:r>
          </w:p>
          <w:p w14:paraId="76999C86">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【差】措施不可行，没有质量违约责任承诺。</w:t>
            </w:r>
          </w:p>
        </w:tc>
      </w:tr>
      <w:tr w14:paraId="3D93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1118E4D2">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施工技术措施</w:t>
            </w:r>
          </w:p>
          <w:p w14:paraId="50CCBBB2">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（2分）</w:t>
            </w:r>
          </w:p>
        </w:tc>
        <w:tc>
          <w:tcPr>
            <w:tcW w:w="3695" w:type="dxa"/>
            <w:shd w:val="clear" w:color="auto" w:fill="auto"/>
            <w:vAlign w:val="center"/>
          </w:tcPr>
          <w:p w14:paraId="0BFF525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【优】得该项因素分的90%～100%（含90%）；</w:t>
            </w:r>
          </w:p>
          <w:p w14:paraId="3FB74E2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【良】得该项因素分的80%～90%（含80%）；</w:t>
            </w:r>
          </w:p>
          <w:p w14:paraId="293065E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【中】得该项因素分的70%～80%（含70%）；</w:t>
            </w:r>
          </w:p>
          <w:p w14:paraId="13AA350F">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【差】得该项因素分的60%～70%（含60%）。</w:t>
            </w:r>
          </w:p>
        </w:tc>
        <w:tc>
          <w:tcPr>
            <w:tcW w:w="5111" w:type="dxa"/>
            <w:shd w:val="clear" w:color="auto" w:fill="auto"/>
            <w:vAlign w:val="center"/>
          </w:tcPr>
          <w:p w14:paraId="19FF80F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3D73945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7775B59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5B49D079">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【差】对项目关键技术有表述，对重点、难点有建议，解决方案不可行。采用的新技术针对性不强或验证材料不可靠，对节约投资、工期没有具体收益。无违约责任承诺。</w:t>
            </w:r>
          </w:p>
        </w:tc>
      </w:tr>
      <w:tr w14:paraId="6F5C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598D9042">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绿色施工、安全防护、文明施工措施计划</w:t>
            </w:r>
          </w:p>
          <w:p w14:paraId="597A66D1">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（3分）</w:t>
            </w:r>
          </w:p>
        </w:tc>
        <w:tc>
          <w:tcPr>
            <w:tcW w:w="3695" w:type="dxa"/>
            <w:shd w:val="clear" w:color="auto" w:fill="auto"/>
            <w:vAlign w:val="center"/>
          </w:tcPr>
          <w:p w14:paraId="62D0AF7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【优】得该项因素分的90%～100%（含90%）；</w:t>
            </w:r>
          </w:p>
          <w:p w14:paraId="34968CB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【良】得该项因素分的80%～90%（含80%）；</w:t>
            </w:r>
          </w:p>
          <w:p w14:paraId="231C7D8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【中】得该项因素分的70%～80%（含70%）；</w:t>
            </w:r>
          </w:p>
          <w:p w14:paraId="0846E4B7">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【差】得该项因素分的60%～70%（含60%）。</w:t>
            </w:r>
          </w:p>
        </w:tc>
        <w:tc>
          <w:tcPr>
            <w:tcW w:w="5111" w:type="dxa"/>
            <w:shd w:val="clear" w:color="auto" w:fill="auto"/>
            <w:vAlign w:val="center"/>
          </w:tcPr>
          <w:p w14:paraId="731DC0E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【优】针对项目实际情况，有先进、具体、完整、可行的措施，采用规范准确、清晰。</w:t>
            </w:r>
          </w:p>
          <w:p w14:paraId="386C454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【良】针对项目实际情况，有合理的措施且具体、完整，采用规范准确。</w:t>
            </w:r>
          </w:p>
          <w:p w14:paraId="38A8469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【中】有基本合理的措施，采用规范准确。</w:t>
            </w:r>
          </w:p>
          <w:p w14:paraId="62D94055">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【差】措施不力，采用规范不正确。</w:t>
            </w:r>
          </w:p>
        </w:tc>
      </w:tr>
      <w:tr w14:paraId="5412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58CF9AC4">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施工平面布置和临时设施布置</w:t>
            </w:r>
          </w:p>
          <w:p w14:paraId="30E4678B">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（2分）</w:t>
            </w:r>
          </w:p>
        </w:tc>
        <w:tc>
          <w:tcPr>
            <w:tcW w:w="3695" w:type="dxa"/>
            <w:shd w:val="clear" w:color="auto" w:fill="auto"/>
            <w:vAlign w:val="center"/>
          </w:tcPr>
          <w:p w14:paraId="60D9014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【优】得该项因素分的90%～100%（含90%）；</w:t>
            </w:r>
          </w:p>
          <w:p w14:paraId="734603F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【良】得该项因素分的80%～90%（含80%）；</w:t>
            </w:r>
          </w:p>
          <w:p w14:paraId="03B7E64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【中】得该项因素分的70%～80%（含70%）；</w:t>
            </w:r>
          </w:p>
          <w:p w14:paraId="55A9FBBF">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【差】得该项因素分的60%～70%（含60%）。</w:t>
            </w:r>
          </w:p>
        </w:tc>
        <w:tc>
          <w:tcPr>
            <w:tcW w:w="5111" w:type="dxa"/>
            <w:shd w:val="clear" w:color="auto" w:fill="auto"/>
            <w:vAlign w:val="center"/>
          </w:tcPr>
          <w:p w14:paraId="4A90880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【优】总体布置有针对性、合理，较好满足施工需要，符合绿色施工、安全防护、文明施工要求。</w:t>
            </w:r>
          </w:p>
          <w:p w14:paraId="3F519F3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【良】总体布置合理，能满足施工需要，基本符合绿色施工、安全防护、文明施工要求。</w:t>
            </w:r>
          </w:p>
          <w:p w14:paraId="7F6C501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【中】总体布置基本合理，基本满足施工需要。</w:t>
            </w:r>
          </w:p>
          <w:p w14:paraId="3AB27798">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【差】总体布置不合理，不符合绿色施工、安全防护、文明施工要求。</w:t>
            </w:r>
          </w:p>
        </w:tc>
      </w:tr>
      <w:tr w14:paraId="4FCD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10F9CD3E">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项目管理机构</w:t>
            </w:r>
          </w:p>
          <w:p w14:paraId="61B77DF6">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（3分）</w:t>
            </w:r>
          </w:p>
        </w:tc>
        <w:tc>
          <w:tcPr>
            <w:tcW w:w="3695" w:type="dxa"/>
            <w:shd w:val="clear" w:color="auto" w:fill="auto"/>
            <w:vAlign w:val="center"/>
          </w:tcPr>
          <w:p w14:paraId="21D159A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【优】得该项因素分的90%～100%（含90%）；</w:t>
            </w:r>
          </w:p>
          <w:p w14:paraId="7D422AC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【良】得该项因素分的80%～90%（含80%）；</w:t>
            </w:r>
          </w:p>
          <w:p w14:paraId="394B837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【中】得该项因素分的70%～80%（含70%）；</w:t>
            </w:r>
          </w:p>
          <w:p w14:paraId="719D8D0D">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【差】得该项因素分的60%～70%（含60%）。</w:t>
            </w:r>
          </w:p>
        </w:tc>
        <w:tc>
          <w:tcPr>
            <w:tcW w:w="5111" w:type="dxa"/>
            <w:shd w:val="clear" w:color="auto" w:fill="auto"/>
            <w:vAlign w:val="center"/>
          </w:tcPr>
          <w:p w14:paraId="2377B3D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组织机构形式合理，有完善的指挥系统，生产及质量、绿色施工、安全、文明施工、创优达标监控系统、联络协调系统，项目管理人员内高级职称人员20%（含20%）以上、中级职称人员及以上职称60%（含60%）以上。</w:t>
            </w:r>
          </w:p>
          <w:p w14:paraId="7F95C22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组织机构形式合理，指挥系统，生产及质量、绿色施工、安全、文明施工、创优达标监控系统、联络协调系统齐全，项目管理人员内高级职称人员15%～20%（含15%）、中级职称人员及以上职称50%～60%（含50%）。</w:t>
            </w:r>
          </w:p>
          <w:p w14:paraId="72979A3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组织机构形式基本合理，有指挥系统，生产及质量、绿色施工、安全、文明施工、创优达标监控系统、联络协调系统，项目管理人员内高级职称人员10%～15%（含10%）、中级职称人员及以上职称40%～50%（含40%）。</w:t>
            </w:r>
          </w:p>
          <w:p w14:paraId="6080875B">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【差】组织机构形式合理，指挥系统，生产及质量、绿色施工、安全、文明施工、创优达标监控系统、联络协调系统不齐全，项目管理人员内高级职称人员10%以下、中级职称人员及以上职称40%以下。</w:t>
            </w:r>
          </w:p>
        </w:tc>
      </w:tr>
      <w:tr w14:paraId="5D50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5" w:type="dxa"/>
            <w:gridSpan w:val="3"/>
            <w:shd w:val="clear" w:color="auto" w:fill="auto"/>
            <w:vAlign w:val="top"/>
          </w:tcPr>
          <w:p w14:paraId="7A00B04A">
            <w:pPr>
              <w:spacing w:line="360"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投标报价部分，满分：100分。</w:t>
            </w:r>
          </w:p>
        </w:tc>
      </w:tr>
      <w:tr w14:paraId="4FF00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189599B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评分事项</w:t>
            </w:r>
          </w:p>
        </w:tc>
        <w:tc>
          <w:tcPr>
            <w:tcW w:w="8806" w:type="dxa"/>
            <w:gridSpan w:val="2"/>
            <w:shd w:val="clear" w:color="auto" w:fill="auto"/>
            <w:vAlign w:val="center"/>
          </w:tcPr>
          <w:p w14:paraId="011CC0C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评分方法</w:t>
            </w:r>
          </w:p>
        </w:tc>
      </w:tr>
      <w:tr w14:paraId="4190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573F8C88">
            <w:pPr>
              <w:pStyle w:val="30"/>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评标基准价</w:t>
            </w:r>
            <w:r>
              <w:rPr>
                <w:rFonts w:hint="eastAsia" w:ascii="宋体" w:hAnsi="宋体" w:eastAsia="宋体" w:cs="宋体"/>
                <w:color w:val="auto"/>
                <w:kern w:val="0"/>
                <w:sz w:val="24"/>
                <w:szCs w:val="24"/>
                <w:highlight w:val="none"/>
              </w:rPr>
              <w:t>D</w:t>
            </w:r>
          </w:p>
        </w:tc>
        <w:tc>
          <w:tcPr>
            <w:tcW w:w="8806" w:type="dxa"/>
            <w:gridSpan w:val="2"/>
            <w:shd w:val="clear" w:color="auto" w:fill="auto"/>
            <w:vAlign w:val="center"/>
          </w:tcPr>
          <w:p w14:paraId="0E009ACB">
            <w:pPr>
              <w:wordWrap w:val="0"/>
              <w:adjustRightInd w:val="0"/>
              <w:snapToGrid w:val="0"/>
              <w:spacing w:line="24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（1）确定招标控制价下浮系数n：用1～21号球分别代表一个下浮系数，由评委代表从这21个号码中随机抽取</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次，每次抽取1个号码，抽出的号球不参与下次抽取。所抽取的3个号码对应下浮系数的算术平均值作为招标控制价下浮系数n。具体号码对应的下浮系数可参考下表。</w:t>
            </w:r>
          </w:p>
          <w:tbl>
            <w:tblPr>
              <w:tblStyle w:val="16"/>
              <w:tblW w:w="0" w:type="auto"/>
              <w:jc w:val="center"/>
              <w:tblLayout w:type="autofit"/>
              <w:tblCellMar>
                <w:top w:w="0" w:type="dxa"/>
                <w:left w:w="108" w:type="dxa"/>
                <w:bottom w:w="0" w:type="dxa"/>
                <w:right w:w="108" w:type="dxa"/>
              </w:tblCellMar>
            </w:tblPr>
            <w:tblGrid>
              <w:gridCol w:w="1775"/>
              <w:gridCol w:w="794"/>
              <w:gridCol w:w="830"/>
              <w:gridCol w:w="864"/>
              <w:gridCol w:w="848"/>
              <w:gridCol w:w="882"/>
              <w:gridCol w:w="829"/>
              <w:gridCol w:w="819"/>
            </w:tblGrid>
            <w:tr w14:paraId="265E6502">
              <w:tblPrEx>
                <w:tblCellMar>
                  <w:top w:w="0" w:type="dxa"/>
                  <w:left w:w="108" w:type="dxa"/>
                  <w:bottom w:w="0" w:type="dxa"/>
                  <w:right w:w="108" w:type="dxa"/>
                </w:tblCellMar>
              </w:tblPrEx>
              <w:trPr>
                <w:trHeight w:val="90" w:hRule="atLeast"/>
                <w:jc w:val="center"/>
              </w:trPr>
              <w:tc>
                <w:tcPr>
                  <w:tcW w:w="1775" w:type="dxa"/>
                  <w:tcBorders>
                    <w:top w:val="single" w:color="000000" w:sz="4" w:space="0"/>
                    <w:left w:val="single" w:color="000000" w:sz="4" w:space="0"/>
                    <w:bottom w:val="single" w:color="000000" w:sz="4" w:space="0"/>
                    <w:right w:val="single" w:color="000000" w:sz="4" w:space="0"/>
                  </w:tcBorders>
                  <w:vAlign w:val="center"/>
                </w:tcPr>
                <w:p w14:paraId="1AA5F404">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77507490">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w:t>
                  </w:r>
                </w:p>
              </w:tc>
              <w:tc>
                <w:tcPr>
                  <w:tcW w:w="830" w:type="dxa"/>
                  <w:tcBorders>
                    <w:top w:val="single" w:color="000000" w:sz="4" w:space="0"/>
                    <w:left w:val="single" w:color="000000" w:sz="4" w:space="0"/>
                    <w:bottom w:val="single" w:color="000000" w:sz="4" w:space="0"/>
                    <w:right w:val="single" w:color="000000" w:sz="4" w:space="0"/>
                  </w:tcBorders>
                  <w:vAlign w:val="center"/>
                </w:tcPr>
                <w:p w14:paraId="164E97A3">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2</w:t>
                  </w:r>
                </w:p>
              </w:tc>
              <w:tc>
                <w:tcPr>
                  <w:tcW w:w="864" w:type="dxa"/>
                  <w:tcBorders>
                    <w:top w:val="single" w:color="000000" w:sz="4" w:space="0"/>
                    <w:left w:val="single" w:color="000000" w:sz="4" w:space="0"/>
                    <w:bottom w:val="single" w:color="000000" w:sz="4" w:space="0"/>
                    <w:right w:val="single" w:color="000000" w:sz="4" w:space="0"/>
                  </w:tcBorders>
                  <w:vAlign w:val="center"/>
                </w:tcPr>
                <w:p w14:paraId="72634935">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w:t>
                  </w:r>
                </w:p>
              </w:tc>
              <w:tc>
                <w:tcPr>
                  <w:tcW w:w="848" w:type="dxa"/>
                  <w:tcBorders>
                    <w:top w:val="single" w:color="000000" w:sz="4" w:space="0"/>
                    <w:left w:val="single" w:color="000000" w:sz="4" w:space="0"/>
                    <w:bottom w:val="single" w:color="000000" w:sz="4" w:space="0"/>
                    <w:right w:val="single" w:color="000000" w:sz="4" w:space="0"/>
                  </w:tcBorders>
                  <w:vAlign w:val="center"/>
                </w:tcPr>
                <w:p w14:paraId="769618A3">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w:t>
                  </w:r>
                </w:p>
              </w:tc>
              <w:tc>
                <w:tcPr>
                  <w:tcW w:w="882" w:type="dxa"/>
                  <w:tcBorders>
                    <w:top w:val="single" w:color="000000" w:sz="4" w:space="0"/>
                    <w:left w:val="single" w:color="000000" w:sz="4" w:space="0"/>
                    <w:bottom w:val="single" w:color="000000" w:sz="4" w:space="0"/>
                    <w:right w:val="single" w:color="000000" w:sz="4" w:space="0"/>
                  </w:tcBorders>
                  <w:vAlign w:val="center"/>
                </w:tcPr>
                <w:p w14:paraId="1593D19F">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5</w:t>
                  </w:r>
                </w:p>
              </w:tc>
              <w:tc>
                <w:tcPr>
                  <w:tcW w:w="829" w:type="dxa"/>
                  <w:tcBorders>
                    <w:top w:val="single" w:color="000000" w:sz="4" w:space="0"/>
                    <w:left w:val="single" w:color="000000" w:sz="4" w:space="0"/>
                    <w:bottom w:val="single" w:color="000000" w:sz="4" w:space="0"/>
                    <w:right w:val="single" w:color="000000" w:sz="4" w:space="0"/>
                  </w:tcBorders>
                  <w:vAlign w:val="center"/>
                </w:tcPr>
                <w:p w14:paraId="04723598">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6</w:t>
                  </w:r>
                </w:p>
              </w:tc>
              <w:tc>
                <w:tcPr>
                  <w:tcW w:w="819" w:type="dxa"/>
                  <w:tcBorders>
                    <w:top w:val="single" w:color="000000" w:sz="4" w:space="0"/>
                    <w:left w:val="single" w:color="000000" w:sz="4" w:space="0"/>
                    <w:bottom w:val="single" w:color="000000" w:sz="4" w:space="0"/>
                    <w:right w:val="single" w:color="000000" w:sz="4" w:space="0"/>
                  </w:tcBorders>
                  <w:vAlign w:val="center"/>
                </w:tcPr>
                <w:p w14:paraId="7C4C1C37">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7</w:t>
                  </w:r>
                </w:p>
              </w:tc>
            </w:tr>
            <w:tr w14:paraId="16D7978B">
              <w:tblPrEx>
                <w:tblCellMar>
                  <w:top w:w="0" w:type="dxa"/>
                  <w:left w:w="108" w:type="dxa"/>
                  <w:bottom w:w="0" w:type="dxa"/>
                  <w:right w:w="108" w:type="dxa"/>
                </w:tblCellMar>
              </w:tblPrEx>
              <w:trPr>
                <w:trHeight w:val="90" w:hRule="atLeast"/>
                <w:jc w:val="center"/>
              </w:trPr>
              <w:tc>
                <w:tcPr>
                  <w:tcW w:w="1775" w:type="dxa"/>
                  <w:tcBorders>
                    <w:top w:val="single" w:color="000000" w:sz="4" w:space="0"/>
                    <w:left w:val="single" w:color="000000" w:sz="4" w:space="0"/>
                    <w:bottom w:val="single" w:color="000000" w:sz="4" w:space="0"/>
                    <w:right w:val="single" w:color="000000" w:sz="4" w:space="0"/>
                  </w:tcBorders>
                  <w:vAlign w:val="center"/>
                </w:tcPr>
                <w:p w14:paraId="22D7B558">
                  <w:pPr>
                    <w:wordWrap w:val="0"/>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r>
                    <w:rPr>
                      <w:rFonts w:hint="eastAsia" w:ascii="宋体" w:hAnsi="宋体" w:eastAsia="宋体" w:cs="宋体"/>
                      <w:color w:val="auto"/>
                      <w:kern w:val="0"/>
                      <w:sz w:val="24"/>
                      <w:szCs w:val="24"/>
                      <w:highlight w:val="none"/>
                    </w:rPr>
                    <w:t>%</w:t>
                  </w:r>
                  <w:r>
                    <w:rPr>
                      <w:rFonts w:hint="eastAsia" w:ascii="宋体" w:hAnsi="宋体" w:eastAsia="宋体" w:cs="宋体"/>
                      <w:snapToGrid w:val="0"/>
                      <w:color w:val="auto"/>
                      <w:kern w:val="0"/>
                      <w:sz w:val="24"/>
                      <w:szCs w:val="24"/>
                      <w:highlight w:val="none"/>
                    </w:rPr>
                    <w:t>）</w:t>
                  </w:r>
                </w:p>
              </w:tc>
              <w:tc>
                <w:tcPr>
                  <w:tcW w:w="794" w:type="dxa"/>
                  <w:tcBorders>
                    <w:top w:val="single" w:color="000000" w:sz="4" w:space="0"/>
                    <w:left w:val="single" w:color="000000" w:sz="4" w:space="0"/>
                    <w:bottom w:val="single" w:color="000000" w:sz="4" w:space="0"/>
                    <w:right w:val="single" w:color="000000" w:sz="4" w:space="0"/>
                  </w:tcBorders>
                  <w:vAlign w:val="center"/>
                </w:tcPr>
                <w:p w14:paraId="1965917E">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3.0</w:t>
                  </w:r>
                </w:p>
              </w:tc>
              <w:tc>
                <w:tcPr>
                  <w:tcW w:w="830" w:type="dxa"/>
                  <w:tcBorders>
                    <w:top w:val="single" w:color="000000" w:sz="4" w:space="0"/>
                    <w:left w:val="single" w:color="000000" w:sz="4" w:space="0"/>
                    <w:bottom w:val="single" w:color="000000" w:sz="4" w:space="0"/>
                    <w:right w:val="single" w:color="000000" w:sz="4" w:space="0"/>
                  </w:tcBorders>
                  <w:vAlign w:val="center"/>
                </w:tcPr>
                <w:p w14:paraId="6A6F628F">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3.1</w:t>
                  </w:r>
                </w:p>
              </w:tc>
              <w:tc>
                <w:tcPr>
                  <w:tcW w:w="864" w:type="dxa"/>
                  <w:tcBorders>
                    <w:top w:val="single" w:color="000000" w:sz="4" w:space="0"/>
                    <w:left w:val="single" w:color="000000" w:sz="4" w:space="0"/>
                    <w:bottom w:val="single" w:color="000000" w:sz="4" w:space="0"/>
                    <w:right w:val="single" w:color="000000" w:sz="4" w:space="0"/>
                  </w:tcBorders>
                  <w:vAlign w:val="center"/>
                </w:tcPr>
                <w:p w14:paraId="0C3DF4D9">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3.2</w:t>
                  </w:r>
                </w:p>
              </w:tc>
              <w:tc>
                <w:tcPr>
                  <w:tcW w:w="848" w:type="dxa"/>
                  <w:tcBorders>
                    <w:top w:val="single" w:color="000000" w:sz="4" w:space="0"/>
                    <w:left w:val="single" w:color="000000" w:sz="4" w:space="0"/>
                    <w:bottom w:val="single" w:color="000000" w:sz="4" w:space="0"/>
                    <w:right w:val="single" w:color="000000" w:sz="4" w:space="0"/>
                  </w:tcBorders>
                  <w:vAlign w:val="center"/>
                </w:tcPr>
                <w:p w14:paraId="0B4BF661">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3.3</w:t>
                  </w:r>
                </w:p>
              </w:tc>
              <w:tc>
                <w:tcPr>
                  <w:tcW w:w="882" w:type="dxa"/>
                  <w:tcBorders>
                    <w:top w:val="single" w:color="000000" w:sz="4" w:space="0"/>
                    <w:left w:val="single" w:color="000000" w:sz="4" w:space="0"/>
                    <w:bottom w:val="single" w:color="000000" w:sz="4" w:space="0"/>
                    <w:right w:val="single" w:color="000000" w:sz="4" w:space="0"/>
                  </w:tcBorders>
                  <w:vAlign w:val="center"/>
                </w:tcPr>
                <w:p w14:paraId="66E5A281">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3.4</w:t>
                  </w:r>
                </w:p>
              </w:tc>
              <w:tc>
                <w:tcPr>
                  <w:tcW w:w="829" w:type="dxa"/>
                  <w:tcBorders>
                    <w:top w:val="single" w:color="000000" w:sz="4" w:space="0"/>
                    <w:left w:val="single" w:color="000000" w:sz="4" w:space="0"/>
                    <w:bottom w:val="single" w:color="000000" w:sz="4" w:space="0"/>
                    <w:right w:val="single" w:color="000000" w:sz="4" w:space="0"/>
                  </w:tcBorders>
                  <w:vAlign w:val="center"/>
                </w:tcPr>
                <w:p w14:paraId="49C89409">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3.5</w:t>
                  </w:r>
                </w:p>
              </w:tc>
              <w:tc>
                <w:tcPr>
                  <w:tcW w:w="819" w:type="dxa"/>
                  <w:tcBorders>
                    <w:top w:val="single" w:color="000000" w:sz="4" w:space="0"/>
                    <w:left w:val="single" w:color="000000" w:sz="4" w:space="0"/>
                    <w:bottom w:val="single" w:color="000000" w:sz="4" w:space="0"/>
                    <w:right w:val="single" w:color="000000" w:sz="4" w:space="0"/>
                  </w:tcBorders>
                  <w:vAlign w:val="center"/>
                </w:tcPr>
                <w:p w14:paraId="31C987E3">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3.6</w:t>
                  </w:r>
                </w:p>
              </w:tc>
            </w:tr>
            <w:tr w14:paraId="6A6ED0A7">
              <w:tblPrEx>
                <w:tblCellMar>
                  <w:top w:w="0" w:type="dxa"/>
                  <w:left w:w="108" w:type="dxa"/>
                  <w:bottom w:w="0" w:type="dxa"/>
                  <w:right w:w="108" w:type="dxa"/>
                </w:tblCellMar>
              </w:tblPrEx>
              <w:trPr>
                <w:trHeight w:val="142" w:hRule="atLeast"/>
                <w:jc w:val="center"/>
              </w:trPr>
              <w:tc>
                <w:tcPr>
                  <w:tcW w:w="1775" w:type="dxa"/>
                  <w:tcBorders>
                    <w:top w:val="single" w:color="000000" w:sz="4" w:space="0"/>
                    <w:left w:val="single" w:color="000000" w:sz="4" w:space="0"/>
                    <w:bottom w:val="single" w:color="000000" w:sz="4" w:space="0"/>
                    <w:right w:val="single" w:color="000000" w:sz="4" w:space="0"/>
                  </w:tcBorders>
                  <w:vAlign w:val="center"/>
                </w:tcPr>
                <w:p w14:paraId="7C9BBD78">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1BD65E1E">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8</w:t>
                  </w:r>
                </w:p>
              </w:tc>
              <w:tc>
                <w:tcPr>
                  <w:tcW w:w="830" w:type="dxa"/>
                  <w:tcBorders>
                    <w:top w:val="single" w:color="000000" w:sz="4" w:space="0"/>
                    <w:left w:val="single" w:color="000000" w:sz="4" w:space="0"/>
                    <w:bottom w:val="single" w:color="000000" w:sz="4" w:space="0"/>
                    <w:right w:val="single" w:color="000000" w:sz="4" w:space="0"/>
                  </w:tcBorders>
                  <w:vAlign w:val="center"/>
                </w:tcPr>
                <w:p w14:paraId="15C3AC57">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9</w:t>
                  </w:r>
                </w:p>
              </w:tc>
              <w:tc>
                <w:tcPr>
                  <w:tcW w:w="864" w:type="dxa"/>
                  <w:tcBorders>
                    <w:top w:val="single" w:color="000000" w:sz="4" w:space="0"/>
                    <w:left w:val="single" w:color="000000" w:sz="4" w:space="0"/>
                    <w:bottom w:val="single" w:color="000000" w:sz="4" w:space="0"/>
                    <w:right w:val="single" w:color="000000" w:sz="4" w:space="0"/>
                  </w:tcBorders>
                  <w:vAlign w:val="center"/>
                </w:tcPr>
                <w:p w14:paraId="5D3A20EA">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10</w:t>
                  </w:r>
                </w:p>
              </w:tc>
              <w:tc>
                <w:tcPr>
                  <w:tcW w:w="848" w:type="dxa"/>
                  <w:tcBorders>
                    <w:top w:val="single" w:color="000000" w:sz="4" w:space="0"/>
                    <w:left w:val="single" w:color="000000" w:sz="4" w:space="0"/>
                    <w:bottom w:val="single" w:color="000000" w:sz="4" w:space="0"/>
                    <w:right w:val="single" w:color="000000" w:sz="4" w:space="0"/>
                  </w:tcBorders>
                  <w:vAlign w:val="center"/>
                </w:tcPr>
                <w:p w14:paraId="710AD430">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11</w:t>
                  </w:r>
                </w:p>
              </w:tc>
              <w:tc>
                <w:tcPr>
                  <w:tcW w:w="882" w:type="dxa"/>
                  <w:tcBorders>
                    <w:top w:val="single" w:color="000000" w:sz="4" w:space="0"/>
                    <w:left w:val="single" w:color="000000" w:sz="4" w:space="0"/>
                    <w:bottom w:val="single" w:color="000000" w:sz="4" w:space="0"/>
                    <w:right w:val="single" w:color="000000" w:sz="4" w:space="0"/>
                  </w:tcBorders>
                  <w:vAlign w:val="center"/>
                </w:tcPr>
                <w:p w14:paraId="28C8F737">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12</w:t>
                  </w:r>
                </w:p>
              </w:tc>
              <w:tc>
                <w:tcPr>
                  <w:tcW w:w="829" w:type="dxa"/>
                  <w:tcBorders>
                    <w:top w:val="single" w:color="000000" w:sz="4" w:space="0"/>
                    <w:left w:val="single" w:color="000000" w:sz="4" w:space="0"/>
                    <w:bottom w:val="single" w:color="000000" w:sz="4" w:space="0"/>
                    <w:right w:val="single" w:color="000000" w:sz="4" w:space="0"/>
                  </w:tcBorders>
                  <w:vAlign w:val="center"/>
                </w:tcPr>
                <w:p w14:paraId="2081256D">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13</w:t>
                  </w:r>
                </w:p>
              </w:tc>
              <w:tc>
                <w:tcPr>
                  <w:tcW w:w="819" w:type="dxa"/>
                  <w:tcBorders>
                    <w:top w:val="single" w:color="000000" w:sz="4" w:space="0"/>
                    <w:left w:val="single" w:color="000000" w:sz="4" w:space="0"/>
                    <w:bottom w:val="single" w:color="000000" w:sz="4" w:space="0"/>
                    <w:right w:val="single" w:color="000000" w:sz="4" w:space="0"/>
                  </w:tcBorders>
                  <w:vAlign w:val="center"/>
                </w:tcPr>
                <w:p w14:paraId="7F97255B">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14</w:t>
                  </w:r>
                </w:p>
              </w:tc>
            </w:tr>
            <w:tr w14:paraId="5D190279">
              <w:tblPrEx>
                <w:tblCellMar>
                  <w:top w:w="0" w:type="dxa"/>
                  <w:left w:w="108" w:type="dxa"/>
                  <w:bottom w:w="0" w:type="dxa"/>
                  <w:right w:w="108" w:type="dxa"/>
                </w:tblCellMar>
              </w:tblPrEx>
              <w:trPr>
                <w:trHeight w:val="118" w:hRule="atLeast"/>
                <w:jc w:val="center"/>
              </w:trPr>
              <w:tc>
                <w:tcPr>
                  <w:tcW w:w="1775" w:type="dxa"/>
                  <w:tcBorders>
                    <w:top w:val="single" w:color="000000" w:sz="4" w:space="0"/>
                    <w:left w:val="single" w:color="000000" w:sz="4" w:space="0"/>
                    <w:bottom w:val="single" w:color="000000" w:sz="4" w:space="0"/>
                    <w:right w:val="single" w:color="000000" w:sz="4" w:space="0"/>
                  </w:tcBorders>
                  <w:vAlign w:val="center"/>
                </w:tcPr>
                <w:p w14:paraId="0BF1062C">
                  <w:pPr>
                    <w:wordWrap w:val="0"/>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r>
                    <w:rPr>
                      <w:rFonts w:hint="eastAsia" w:ascii="宋体" w:hAnsi="宋体" w:eastAsia="宋体" w:cs="宋体"/>
                      <w:color w:val="auto"/>
                      <w:kern w:val="0"/>
                      <w:sz w:val="24"/>
                      <w:szCs w:val="24"/>
                      <w:highlight w:val="none"/>
                    </w:rPr>
                    <w:t>%</w:t>
                  </w:r>
                  <w:r>
                    <w:rPr>
                      <w:rFonts w:hint="eastAsia" w:ascii="宋体" w:hAnsi="宋体" w:eastAsia="宋体" w:cs="宋体"/>
                      <w:snapToGrid w:val="0"/>
                      <w:color w:val="auto"/>
                      <w:kern w:val="0"/>
                      <w:sz w:val="24"/>
                      <w:szCs w:val="24"/>
                      <w:highlight w:val="none"/>
                    </w:rPr>
                    <w:t>）</w:t>
                  </w:r>
                </w:p>
              </w:tc>
              <w:tc>
                <w:tcPr>
                  <w:tcW w:w="794" w:type="dxa"/>
                  <w:tcBorders>
                    <w:top w:val="single" w:color="000000" w:sz="4" w:space="0"/>
                    <w:left w:val="single" w:color="000000" w:sz="4" w:space="0"/>
                    <w:bottom w:val="single" w:color="000000" w:sz="4" w:space="0"/>
                    <w:right w:val="single" w:color="000000" w:sz="4" w:space="0"/>
                  </w:tcBorders>
                  <w:vAlign w:val="center"/>
                </w:tcPr>
                <w:p w14:paraId="3012E6E3">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3.7</w:t>
                  </w:r>
                </w:p>
              </w:tc>
              <w:tc>
                <w:tcPr>
                  <w:tcW w:w="830" w:type="dxa"/>
                  <w:tcBorders>
                    <w:top w:val="single" w:color="000000" w:sz="4" w:space="0"/>
                    <w:left w:val="single" w:color="000000" w:sz="4" w:space="0"/>
                    <w:bottom w:val="single" w:color="000000" w:sz="4" w:space="0"/>
                    <w:right w:val="single" w:color="000000" w:sz="4" w:space="0"/>
                  </w:tcBorders>
                  <w:vAlign w:val="center"/>
                </w:tcPr>
                <w:p w14:paraId="5F653750">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3.8</w:t>
                  </w:r>
                </w:p>
              </w:tc>
              <w:tc>
                <w:tcPr>
                  <w:tcW w:w="864" w:type="dxa"/>
                  <w:tcBorders>
                    <w:top w:val="single" w:color="000000" w:sz="4" w:space="0"/>
                    <w:left w:val="single" w:color="000000" w:sz="4" w:space="0"/>
                    <w:bottom w:val="single" w:color="000000" w:sz="4" w:space="0"/>
                    <w:right w:val="single" w:color="000000" w:sz="4" w:space="0"/>
                  </w:tcBorders>
                  <w:vAlign w:val="center"/>
                </w:tcPr>
                <w:p w14:paraId="0CDA1BF2">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3.9</w:t>
                  </w:r>
                </w:p>
              </w:tc>
              <w:tc>
                <w:tcPr>
                  <w:tcW w:w="848" w:type="dxa"/>
                  <w:tcBorders>
                    <w:top w:val="single" w:color="000000" w:sz="4" w:space="0"/>
                    <w:left w:val="single" w:color="000000" w:sz="4" w:space="0"/>
                    <w:bottom w:val="single" w:color="000000" w:sz="4" w:space="0"/>
                    <w:right w:val="single" w:color="000000" w:sz="4" w:space="0"/>
                  </w:tcBorders>
                  <w:vAlign w:val="center"/>
                </w:tcPr>
                <w:p w14:paraId="3A6B73EF">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4.0</w:t>
                  </w:r>
                </w:p>
              </w:tc>
              <w:tc>
                <w:tcPr>
                  <w:tcW w:w="882" w:type="dxa"/>
                  <w:tcBorders>
                    <w:top w:val="single" w:color="000000" w:sz="4" w:space="0"/>
                    <w:left w:val="single" w:color="000000" w:sz="4" w:space="0"/>
                    <w:bottom w:val="single" w:color="000000" w:sz="4" w:space="0"/>
                    <w:right w:val="single" w:color="000000" w:sz="4" w:space="0"/>
                  </w:tcBorders>
                  <w:vAlign w:val="center"/>
                </w:tcPr>
                <w:p w14:paraId="48F4F6E7">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4.1</w:t>
                  </w:r>
                </w:p>
              </w:tc>
              <w:tc>
                <w:tcPr>
                  <w:tcW w:w="829" w:type="dxa"/>
                  <w:tcBorders>
                    <w:top w:val="single" w:color="000000" w:sz="4" w:space="0"/>
                    <w:left w:val="single" w:color="000000" w:sz="4" w:space="0"/>
                    <w:bottom w:val="single" w:color="000000" w:sz="4" w:space="0"/>
                    <w:right w:val="single" w:color="000000" w:sz="4" w:space="0"/>
                  </w:tcBorders>
                  <w:vAlign w:val="center"/>
                </w:tcPr>
                <w:p w14:paraId="4B65DC45">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4.2</w:t>
                  </w:r>
                </w:p>
              </w:tc>
              <w:tc>
                <w:tcPr>
                  <w:tcW w:w="819" w:type="dxa"/>
                  <w:tcBorders>
                    <w:top w:val="single" w:color="000000" w:sz="4" w:space="0"/>
                    <w:left w:val="single" w:color="000000" w:sz="4" w:space="0"/>
                    <w:bottom w:val="single" w:color="000000" w:sz="4" w:space="0"/>
                    <w:right w:val="single" w:color="000000" w:sz="4" w:space="0"/>
                  </w:tcBorders>
                  <w:vAlign w:val="center"/>
                </w:tcPr>
                <w:p w14:paraId="24089107">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4.3</w:t>
                  </w:r>
                </w:p>
              </w:tc>
            </w:tr>
            <w:tr w14:paraId="23350573">
              <w:tblPrEx>
                <w:tblCellMar>
                  <w:top w:w="0" w:type="dxa"/>
                  <w:left w:w="108" w:type="dxa"/>
                  <w:bottom w:w="0" w:type="dxa"/>
                  <w:right w:w="108" w:type="dxa"/>
                </w:tblCellMar>
              </w:tblPrEx>
              <w:trPr>
                <w:trHeight w:val="90" w:hRule="atLeast"/>
                <w:jc w:val="center"/>
              </w:trPr>
              <w:tc>
                <w:tcPr>
                  <w:tcW w:w="1775" w:type="dxa"/>
                  <w:tcBorders>
                    <w:top w:val="single" w:color="000000" w:sz="4" w:space="0"/>
                    <w:left w:val="single" w:color="000000" w:sz="4" w:space="0"/>
                    <w:bottom w:val="single" w:color="000000" w:sz="4" w:space="0"/>
                    <w:right w:val="single" w:color="000000" w:sz="4" w:space="0"/>
                  </w:tcBorders>
                  <w:vAlign w:val="center"/>
                </w:tcPr>
                <w:p w14:paraId="5871E2AD">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2096E6A8">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15</w:t>
                  </w:r>
                </w:p>
              </w:tc>
              <w:tc>
                <w:tcPr>
                  <w:tcW w:w="830" w:type="dxa"/>
                  <w:tcBorders>
                    <w:top w:val="single" w:color="000000" w:sz="4" w:space="0"/>
                    <w:left w:val="single" w:color="000000" w:sz="4" w:space="0"/>
                    <w:bottom w:val="single" w:color="000000" w:sz="4" w:space="0"/>
                    <w:right w:val="single" w:color="000000" w:sz="4" w:space="0"/>
                  </w:tcBorders>
                  <w:vAlign w:val="center"/>
                </w:tcPr>
                <w:p w14:paraId="17098E4E">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16</w:t>
                  </w:r>
                </w:p>
              </w:tc>
              <w:tc>
                <w:tcPr>
                  <w:tcW w:w="864" w:type="dxa"/>
                  <w:tcBorders>
                    <w:top w:val="single" w:color="000000" w:sz="4" w:space="0"/>
                    <w:left w:val="single" w:color="000000" w:sz="4" w:space="0"/>
                    <w:bottom w:val="single" w:color="000000" w:sz="4" w:space="0"/>
                    <w:right w:val="single" w:color="000000" w:sz="4" w:space="0"/>
                  </w:tcBorders>
                  <w:vAlign w:val="center"/>
                </w:tcPr>
                <w:p w14:paraId="31C9369B">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17</w:t>
                  </w:r>
                </w:p>
              </w:tc>
              <w:tc>
                <w:tcPr>
                  <w:tcW w:w="848" w:type="dxa"/>
                  <w:tcBorders>
                    <w:top w:val="single" w:color="000000" w:sz="4" w:space="0"/>
                    <w:left w:val="single" w:color="000000" w:sz="4" w:space="0"/>
                    <w:bottom w:val="single" w:color="000000" w:sz="4" w:space="0"/>
                    <w:right w:val="single" w:color="000000" w:sz="4" w:space="0"/>
                  </w:tcBorders>
                  <w:vAlign w:val="center"/>
                </w:tcPr>
                <w:p w14:paraId="1ED43407">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18</w:t>
                  </w:r>
                </w:p>
              </w:tc>
              <w:tc>
                <w:tcPr>
                  <w:tcW w:w="882" w:type="dxa"/>
                  <w:tcBorders>
                    <w:top w:val="single" w:color="000000" w:sz="4" w:space="0"/>
                    <w:left w:val="single" w:color="000000" w:sz="4" w:space="0"/>
                    <w:bottom w:val="single" w:color="000000" w:sz="4" w:space="0"/>
                    <w:right w:val="single" w:color="000000" w:sz="4" w:space="0"/>
                  </w:tcBorders>
                  <w:vAlign w:val="center"/>
                </w:tcPr>
                <w:p w14:paraId="2160173E">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19</w:t>
                  </w:r>
                </w:p>
              </w:tc>
              <w:tc>
                <w:tcPr>
                  <w:tcW w:w="829" w:type="dxa"/>
                  <w:tcBorders>
                    <w:top w:val="single" w:color="000000" w:sz="4" w:space="0"/>
                    <w:left w:val="single" w:color="000000" w:sz="4" w:space="0"/>
                    <w:bottom w:val="single" w:color="000000" w:sz="4" w:space="0"/>
                    <w:right w:val="single" w:color="000000" w:sz="4" w:space="0"/>
                  </w:tcBorders>
                  <w:vAlign w:val="center"/>
                </w:tcPr>
                <w:p w14:paraId="7AD8D339">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20</w:t>
                  </w:r>
                </w:p>
              </w:tc>
              <w:tc>
                <w:tcPr>
                  <w:tcW w:w="819" w:type="dxa"/>
                  <w:tcBorders>
                    <w:top w:val="single" w:color="000000" w:sz="4" w:space="0"/>
                    <w:left w:val="single" w:color="000000" w:sz="4" w:space="0"/>
                    <w:bottom w:val="single" w:color="000000" w:sz="4" w:space="0"/>
                    <w:right w:val="single" w:color="000000" w:sz="4" w:space="0"/>
                  </w:tcBorders>
                  <w:vAlign w:val="center"/>
                </w:tcPr>
                <w:p w14:paraId="57B80B4C">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r>
            <w:tr w14:paraId="05ED75C0">
              <w:tblPrEx>
                <w:tblCellMar>
                  <w:top w:w="0" w:type="dxa"/>
                  <w:left w:w="108" w:type="dxa"/>
                  <w:bottom w:w="0" w:type="dxa"/>
                  <w:right w:w="108" w:type="dxa"/>
                </w:tblCellMar>
              </w:tblPrEx>
              <w:trPr>
                <w:trHeight w:val="425" w:hRule="atLeast"/>
                <w:jc w:val="center"/>
              </w:trPr>
              <w:tc>
                <w:tcPr>
                  <w:tcW w:w="1775" w:type="dxa"/>
                  <w:tcBorders>
                    <w:top w:val="single" w:color="000000" w:sz="4" w:space="0"/>
                    <w:left w:val="single" w:color="000000" w:sz="4" w:space="0"/>
                    <w:bottom w:val="single" w:color="000000" w:sz="4" w:space="0"/>
                    <w:right w:val="single" w:color="000000" w:sz="4" w:space="0"/>
                  </w:tcBorders>
                  <w:vAlign w:val="center"/>
                </w:tcPr>
                <w:p w14:paraId="68110A04">
                  <w:pPr>
                    <w:wordWrap w:val="0"/>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r>
                    <w:rPr>
                      <w:rFonts w:hint="eastAsia" w:ascii="宋体" w:hAnsi="宋体" w:eastAsia="宋体" w:cs="宋体"/>
                      <w:color w:val="auto"/>
                      <w:kern w:val="0"/>
                      <w:sz w:val="24"/>
                      <w:szCs w:val="24"/>
                      <w:highlight w:val="none"/>
                    </w:rPr>
                    <w:t>%</w:t>
                  </w:r>
                  <w:r>
                    <w:rPr>
                      <w:rFonts w:hint="eastAsia" w:ascii="宋体" w:hAnsi="宋体" w:eastAsia="宋体" w:cs="宋体"/>
                      <w:snapToGrid w:val="0"/>
                      <w:color w:val="auto"/>
                      <w:kern w:val="0"/>
                      <w:sz w:val="24"/>
                      <w:szCs w:val="24"/>
                      <w:highlight w:val="none"/>
                    </w:rPr>
                    <w:t>）</w:t>
                  </w:r>
                </w:p>
              </w:tc>
              <w:tc>
                <w:tcPr>
                  <w:tcW w:w="794" w:type="dxa"/>
                  <w:tcBorders>
                    <w:top w:val="single" w:color="000000" w:sz="4" w:space="0"/>
                    <w:left w:val="single" w:color="000000" w:sz="4" w:space="0"/>
                    <w:bottom w:val="single" w:color="000000" w:sz="4" w:space="0"/>
                    <w:right w:val="single" w:color="000000" w:sz="4" w:space="0"/>
                  </w:tcBorders>
                  <w:vAlign w:val="center"/>
                </w:tcPr>
                <w:p w14:paraId="4D0A7981">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4.4</w:t>
                  </w:r>
                </w:p>
              </w:tc>
              <w:tc>
                <w:tcPr>
                  <w:tcW w:w="830" w:type="dxa"/>
                  <w:tcBorders>
                    <w:top w:val="single" w:color="000000" w:sz="4" w:space="0"/>
                    <w:left w:val="single" w:color="000000" w:sz="4" w:space="0"/>
                    <w:bottom w:val="single" w:color="000000" w:sz="4" w:space="0"/>
                    <w:right w:val="single" w:color="000000" w:sz="4" w:space="0"/>
                  </w:tcBorders>
                  <w:vAlign w:val="center"/>
                </w:tcPr>
                <w:p w14:paraId="3384E2E9">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4.5</w:t>
                  </w:r>
                </w:p>
              </w:tc>
              <w:tc>
                <w:tcPr>
                  <w:tcW w:w="864" w:type="dxa"/>
                  <w:tcBorders>
                    <w:top w:val="single" w:color="000000" w:sz="4" w:space="0"/>
                    <w:left w:val="single" w:color="000000" w:sz="4" w:space="0"/>
                    <w:bottom w:val="single" w:color="000000" w:sz="4" w:space="0"/>
                    <w:right w:val="single" w:color="000000" w:sz="4" w:space="0"/>
                  </w:tcBorders>
                  <w:vAlign w:val="center"/>
                </w:tcPr>
                <w:p w14:paraId="3A33701F">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4.6</w:t>
                  </w:r>
                </w:p>
              </w:tc>
              <w:tc>
                <w:tcPr>
                  <w:tcW w:w="848" w:type="dxa"/>
                  <w:tcBorders>
                    <w:top w:val="single" w:color="000000" w:sz="4" w:space="0"/>
                    <w:left w:val="single" w:color="000000" w:sz="4" w:space="0"/>
                    <w:bottom w:val="single" w:color="000000" w:sz="4" w:space="0"/>
                    <w:right w:val="single" w:color="000000" w:sz="4" w:space="0"/>
                  </w:tcBorders>
                  <w:vAlign w:val="center"/>
                </w:tcPr>
                <w:p w14:paraId="481B9426">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4.7</w:t>
                  </w:r>
                </w:p>
              </w:tc>
              <w:tc>
                <w:tcPr>
                  <w:tcW w:w="882" w:type="dxa"/>
                  <w:tcBorders>
                    <w:top w:val="single" w:color="000000" w:sz="4" w:space="0"/>
                    <w:left w:val="single" w:color="000000" w:sz="4" w:space="0"/>
                    <w:bottom w:val="single" w:color="000000" w:sz="4" w:space="0"/>
                    <w:right w:val="single" w:color="000000" w:sz="4" w:space="0"/>
                  </w:tcBorders>
                  <w:vAlign w:val="center"/>
                </w:tcPr>
                <w:p w14:paraId="42630EE4">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4.8</w:t>
                  </w:r>
                </w:p>
              </w:tc>
              <w:tc>
                <w:tcPr>
                  <w:tcW w:w="829" w:type="dxa"/>
                  <w:tcBorders>
                    <w:top w:val="single" w:color="000000" w:sz="4" w:space="0"/>
                    <w:left w:val="single" w:color="000000" w:sz="4" w:space="0"/>
                    <w:bottom w:val="single" w:color="000000" w:sz="4" w:space="0"/>
                    <w:right w:val="single" w:color="000000" w:sz="4" w:space="0"/>
                  </w:tcBorders>
                  <w:vAlign w:val="center"/>
                </w:tcPr>
                <w:p w14:paraId="4D0B31B9">
                  <w:pPr>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4.9</w:t>
                  </w:r>
                </w:p>
              </w:tc>
              <w:tc>
                <w:tcPr>
                  <w:tcW w:w="819" w:type="dxa"/>
                  <w:tcBorders>
                    <w:top w:val="single" w:color="000000" w:sz="4" w:space="0"/>
                    <w:left w:val="single" w:color="000000" w:sz="4" w:space="0"/>
                    <w:bottom w:val="single" w:color="000000" w:sz="4" w:space="0"/>
                    <w:right w:val="single" w:color="000000" w:sz="4" w:space="0"/>
                  </w:tcBorders>
                  <w:vAlign w:val="center"/>
                </w:tcPr>
                <w:p w14:paraId="49D23857">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5.0</w:t>
                  </w:r>
                </w:p>
              </w:tc>
            </w:tr>
          </w:tbl>
          <w:p w14:paraId="6EFA6CFA">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（2）评标基准价D＝招标控制价×（1－n）</w:t>
            </w:r>
          </w:p>
        </w:tc>
      </w:tr>
      <w:tr w14:paraId="7111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9" w:type="dxa"/>
            <w:shd w:val="clear" w:color="auto" w:fill="auto"/>
            <w:vAlign w:val="center"/>
          </w:tcPr>
          <w:p w14:paraId="4A527BF7">
            <w:pPr>
              <w:pStyle w:val="30"/>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w:t>
            </w:r>
          </w:p>
          <w:p w14:paraId="5E87DA86">
            <w:pPr>
              <w:pStyle w:val="30"/>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得分N</w:t>
            </w:r>
          </w:p>
        </w:tc>
        <w:tc>
          <w:tcPr>
            <w:tcW w:w="8806" w:type="dxa"/>
            <w:gridSpan w:val="2"/>
            <w:shd w:val="clear" w:color="auto" w:fill="auto"/>
            <w:vAlign w:val="center"/>
          </w:tcPr>
          <w:p w14:paraId="0BEAA934">
            <w:pPr>
              <w:wordWrap w:val="0"/>
              <w:adjustRightInd w:val="0"/>
              <w:snapToGrid w:val="0"/>
              <w:spacing w:line="24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采用内插法计算某投标人的投标报价得分N，即当投标人的投标总价等于评标基准价时得100分，每高于评标基准价一个百分点扣1分,每低于评标基准价一个百分点扣0.5分，扣完为止。公式如下：</w:t>
            </w:r>
          </w:p>
          <w:p w14:paraId="59E7C35F">
            <w:pPr>
              <w:wordWrap w:val="0"/>
              <w:adjustRightInd w:val="0"/>
              <w:snapToGrid w:val="0"/>
              <w:spacing w:line="24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N＝100－（|Di－D|÷D）×100×E</w:t>
            </w:r>
          </w:p>
          <w:p w14:paraId="37661615">
            <w:pPr>
              <w:wordWrap w:val="0"/>
              <w:adjustRightInd w:val="0"/>
              <w:snapToGrid w:val="0"/>
              <w:spacing w:line="240" w:lineRule="auto"/>
              <w:ind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式中：D为评标基准价；Di为某投标人的投标总价；E为扣分因子，当Di＞D时，E＝1；当Di＜D时，E＝0.5。</w:t>
            </w:r>
          </w:p>
        </w:tc>
      </w:tr>
    </w:tbl>
    <w:p w14:paraId="53CCC284">
      <w:pPr>
        <w:spacing w:line="360" w:lineRule="auto"/>
        <w:ind w:firstLine="482" w:firstLineChars="200"/>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u w:val="single"/>
        </w:rPr>
        <w:t>注：技术部分（施工组织设计）评分：各投标人的技术文件的最终评分低于技术部分满分（20分）的65%或高于95%的，评委必须详细阐述具体理由（字数不少于50字）。</w:t>
      </w:r>
    </w:p>
    <w:p w14:paraId="16F5D315">
      <w:pPr>
        <w:rPr>
          <w:rFonts w:hint="eastAsia" w:ascii="宋体" w:hAnsi="宋体" w:eastAsia="宋体" w:cs="宋体"/>
          <w:color w:val="auto"/>
          <w:highlight w:val="none"/>
        </w:rPr>
      </w:pPr>
    </w:p>
    <w:p w14:paraId="7D5F3855">
      <w:pPr>
        <w:pageBreakBefore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15.5.2 </w:t>
      </w:r>
      <w:r>
        <w:rPr>
          <w:rFonts w:hint="eastAsia" w:ascii="宋体" w:hAnsi="宋体" w:eastAsia="宋体" w:cs="宋体"/>
          <w:snapToGrid w:val="0"/>
          <w:color w:val="auto"/>
          <w:kern w:val="0"/>
          <w:highlight w:val="none"/>
        </w:rPr>
        <w:t>否决投标说明</w:t>
      </w:r>
    </w:p>
    <w:p w14:paraId="786C4978">
      <w:pPr>
        <w:pageBreakBefore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详细评审阶段否决投标的全部条件，在本章第四节“否决投标条件”第 4 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202CDF18">
      <w:pPr>
        <w:pageBreakBefore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color w:val="auto"/>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1AE1166F">
      <w:pPr>
        <w:pStyle w:val="5"/>
        <w:keepNext/>
        <w:keepLines/>
        <w:pageBreakBefore w:val="0"/>
        <w:widowControl/>
        <w:kinsoku/>
        <w:wordWrap w:val="0"/>
        <w:overflowPunct/>
        <w:topLinePunct w:val="0"/>
        <w:autoSpaceDE/>
        <w:autoSpaceDN/>
        <w:bidi w:val="0"/>
        <w:adjustRightInd/>
        <w:snapToGrid w:val="0"/>
        <w:spacing w:before="0" w:after="0" w:line="500" w:lineRule="exact"/>
        <w:ind w:firstLine="482"/>
        <w:jc w:val="both"/>
        <w:textAlignment w:val="auto"/>
        <w:outlineLvl w:val="2"/>
        <w:rPr>
          <w:rFonts w:hint="eastAsia" w:ascii="宋体" w:hAnsi="宋体" w:eastAsia="宋体" w:cs="宋体"/>
          <w:b/>
          <w:snapToGrid w:val="0"/>
          <w:color w:val="auto"/>
          <w:highlight w:val="none"/>
        </w:rPr>
      </w:pPr>
      <w:bookmarkStart w:id="97" w:name="_Toc30540"/>
      <w:r>
        <w:rPr>
          <w:rFonts w:hint="eastAsia" w:ascii="宋体" w:hAnsi="宋体" w:eastAsia="宋体" w:cs="宋体"/>
          <w:b/>
          <w:snapToGrid w:val="0"/>
          <w:color w:val="auto"/>
          <w:highlight w:val="none"/>
        </w:rPr>
        <w:t>16．中标候选人公示</w:t>
      </w:r>
      <w:bookmarkEnd w:id="97"/>
    </w:p>
    <w:p w14:paraId="0188A747">
      <w:pPr>
        <w:pageBreakBefore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bCs/>
          <w:snapToGrid w:val="0"/>
          <w:color w:val="auto"/>
          <w:kern w:val="0"/>
          <w:highlight w:val="none"/>
        </w:rPr>
        <w:t xml:space="preserve"> </w:t>
      </w:r>
      <w:r>
        <w:rPr>
          <w:rFonts w:hint="eastAsia" w:ascii="宋体" w:hAnsi="宋体" w:eastAsia="宋体" w:cs="宋体"/>
          <w:snapToGrid w:val="0"/>
          <w:color w:val="auto"/>
          <w:kern w:val="0"/>
          <w:highlight w:val="none"/>
        </w:rPr>
        <w:t>招标人自收到评标委员会提交的书面评标报告和中标候选人名单之日起3日内，将评标结果（即中标候选人名单）、中标候选人投标文件（商务标书分册）、评标过程（评标专家姓名用代码标记）一并在广东省招标投标监管网（</w:t>
      </w:r>
      <w:r>
        <w:rPr>
          <w:rFonts w:hint="eastAsia" w:ascii="宋体" w:hAnsi="宋体" w:eastAsia="宋体" w:cs="宋体"/>
          <w:i w:val="0"/>
          <w:color w:val="auto"/>
          <w:kern w:val="0"/>
          <w:sz w:val="24"/>
          <w:szCs w:val="24"/>
          <w:highlight w:val="none"/>
          <w:u w:val="none"/>
          <w:lang w:val="en-US" w:eastAsia="zh-CN" w:bidi="ar"/>
        </w:rPr>
        <w:t>http://zbtb.gd.gov.cn/login</w:t>
      </w:r>
      <w:r>
        <w:rPr>
          <w:rFonts w:hint="eastAsia" w:ascii="宋体" w:hAnsi="宋体" w:eastAsia="宋体" w:cs="宋体"/>
          <w:snapToGrid w:val="0"/>
          <w:color w:val="auto"/>
          <w:kern w:val="0"/>
          <w:highlight w:val="none"/>
        </w:rPr>
        <w:t>）及</w:t>
      </w:r>
      <w:r>
        <w:rPr>
          <w:rFonts w:hint="eastAsia" w:ascii="宋体" w:hAnsi="宋体" w:eastAsia="宋体" w:cs="宋体"/>
          <w:snapToGrid w:val="0"/>
          <w:color w:val="auto"/>
          <w:kern w:val="0"/>
          <w:sz w:val="24"/>
          <w:szCs w:val="24"/>
          <w:highlight w:val="none"/>
          <w:lang w:val="en-US" w:eastAsia="zh-CN"/>
        </w:rPr>
        <w:t>全国公共资源交易平台（广东省·韶关市）</w:t>
      </w:r>
      <w:r>
        <w:rPr>
          <w:rFonts w:hint="eastAsia" w:ascii="宋体" w:hAnsi="宋体" w:eastAsia="宋体" w:cs="宋体"/>
          <w:caps w:val="0"/>
          <w:smallCaps w:val="0"/>
          <w:snapToGrid w:val="0"/>
          <w:color w:val="auto"/>
          <w:spacing w:val="0"/>
          <w:kern w:val="0"/>
          <w:sz w:val="24"/>
          <w:highlight w:val="none"/>
          <w:lang w:val="en-US" w:eastAsia="zh-CN"/>
        </w:rPr>
        <w:t>（https://ygp.gdzwfw.gov.cn/ggzy-portal/#/440200/index）</w:t>
      </w:r>
      <w:r>
        <w:rPr>
          <w:rFonts w:hint="eastAsia" w:ascii="宋体" w:hAnsi="宋体" w:eastAsia="宋体" w:cs="宋体"/>
          <w:snapToGrid w:val="0"/>
          <w:color w:val="auto"/>
          <w:kern w:val="0"/>
          <w:highlight w:val="none"/>
        </w:rPr>
        <w:t>进行公示，公示期不得少于3天。</w:t>
      </w:r>
    </w:p>
    <w:p w14:paraId="58CB5B1B">
      <w:pPr>
        <w:pageBreakBefore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w:t>
      </w:r>
      <w:r>
        <w:rPr>
          <w:rFonts w:hint="eastAsia" w:ascii="宋体" w:hAnsi="宋体" w:eastAsia="宋体" w:cs="宋体"/>
          <w:b/>
          <w:bCs/>
          <w:snapToGrid w:val="0"/>
          <w:color w:val="auto"/>
          <w:kern w:val="0"/>
          <w:highlight w:val="none"/>
          <w:lang w:val="en-US" w:eastAsia="zh-CN"/>
        </w:rPr>
        <w:t>2</w:t>
      </w:r>
      <w:r>
        <w:rPr>
          <w:rFonts w:hint="eastAsia" w:ascii="宋体" w:hAnsi="宋体" w:eastAsia="宋体" w:cs="宋体"/>
          <w:snapToGrid w:val="0"/>
          <w:color w:val="auto"/>
          <w:kern w:val="0"/>
          <w:highlight w:val="none"/>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 号）执行。如通过交易服务平台提出异议，投标人必须上传提交异议书扫描件（作为附件），异议书格式内容按照《韶关市工程建设项目招标投标活动异议和投诉处理办法》（韶法审〔2020〕19 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25735911">
      <w:pPr>
        <w:pageBreakBefore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w:t>
      </w:r>
      <w:r>
        <w:rPr>
          <w:rFonts w:hint="eastAsia" w:ascii="宋体" w:hAnsi="宋体" w:eastAsia="宋体" w:cs="宋体"/>
          <w:b/>
          <w:bCs/>
          <w:snapToGrid w:val="0"/>
          <w:color w:val="auto"/>
          <w:kern w:val="0"/>
          <w:highlight w:val="none"/>
          <w:lang w:val="en-US" w:eastAsia="zh-CN"/>
        </w:rPr>
        <w:t>3</w:t>
      </w:r>
      <w:r>
        <w:rPr>
          <w:rFonts w:hint="eastAsia" w:ascii="宋体" w:hAnsi="宋体" w:eastAsia="宋体" w:cs="宋体"/>
          <w:snapToGrid w:val="0"/>
          <w:color w:val="auto"/>
          <w:kern w:val="0"/>
          <w:highlight w:val="none"/>
        </w:rPr>
        <w:t>中标候选人公示期满无异议（投诉）后，招标人确定第一中标候选人为中标人，并在中标人确定之日起7日内向中标人发出中标通知书。在中标通知书发出后5个工作日内，韶关市公共资源交易中心将投标保证金退还给中标候选人以外的投标人。</w:t>
      </w:r>
    </w:p>
    <w:p w14:paraId="788C5C80">
      <w:pPr>
        <w:rPr>
          <w:rFonts w:hint="eastAsia" w:ascii="宋体" w:hAnsi="宋体" w:eastAsia="宋体" w:cs="宋体"/>
          <w:snapToGrid w:val="0"/>
          <w:color w:val="auto"/>
          <w:kern w:val="0"/>
          <w:highlight w:val="none"/>
        </w:rPr>
      </w:pPr>
    </w:p>
    <w:p w14:paraId="101630C9">
      <w:pPr>
        <w:rPr>
          <w:rFonts w:hint="eastAsia" w:ascii="宋体" w:hAnsi="宋体" w:eastAsia="宋体" w:cs="宋体"/>
          <w:snapToGrid w:val="0"/>
          <w:color w:val="auto"/>
          <w:kern w:val="0"/>
          <w:highlight w:val="none"/>
        </w:rPr>
      </w:pPr>
    </w:p>
    <w:p w14:paraId="2BE4BCD1">
      <w:pPr>
        <w:pStyle w:val="4"/>
        <w:pageBreakBefore w:val="0"/>
        <w:kinsoku/>
        <w:overflowPunct/>
        <w:topLinePunct w:val="0"/>
        <w:bidi w:val="0"/>
        <w:spacing w:line="500" w:lineRule="exact"/>
        <w:textAlignment w:val="auto"/>
        <w:outlineLvl w:val="1"/>
        <w:rPr>
          <w:rFonts w:hint="eastAsia" w:ascii="宋体" w:hAnsi="宋体" w:eastAsia="宋体" w:cs="宋体"/>
          <w:b/>
          <w:bCs/>
          <w:color w:val="auto"/>
          <w:highlight w:val="none"/>
        </w:rPr>
      </w:pPr>
      <w:bookmarkStart w:id="98" w:name="_Toc13522"/>
      <w:r>
        <w:rPr>
          <w:rFonts w:hint="eastAsia" w:ascii="宋体" w:hAnsi="宋体" w:eastAsia="宋体" w:cs="宋体"/>
          <w:b/>
          <w:bCs/>
          <w:color w:val="auto"/>
          <w:highlight w:val="none"/>
        </w:rPr>
        <w:t>第四节</w:t>
      </w: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rPr>
        <w:t>否决投标条件</w:t>
      </w:r>
      <w:bookmarkEnd w:id="98"/>
    </w:p>
    <w:p w14:paraId="24D0F529">
      <w:pPr>
        <w:pageBreakBefore w:val="0"/>
        <w:kinsoku/>
        <w:wordWrap w:val="0"/>
        <w:overflowPunct/>
        <w:topLinePunct w:val="0"/>
        <w:bidi w:val="0"/>
        <w:adjustRightInd w:val="0"/>
        <w:snapToGrid w:val="0"/>
        <w:spacing w:line="500" w:lineRule="exac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3EA07BAD">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rPr>
      </w:pPr>
      <w:bookmarkStart w:id="99" w:name="_Toc30132"/>
      <w:r>
        <w:rPr>
          <w:rFonts w:hint="eastAsia" w:ascii="宋体" w:hAnsi="宋体" w:eastAsia="宋体" w:cs="宋体"/>
          <w:b/>
          <w:snapToGrid w:val="0"/>
          <w:color w:val="auto"/>
          <w:highlight w:val="none"/>
        </w:rPr>
        <w:t>1．资格评审环节</w:t>
      </w:r>
      <w:bookmarkEnd w:id="99"/>
    </w:p>
    <w:p w14:paraId="4A873F36">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5B8038C3">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（1）有本章第三节第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条“禁止投标条款”规定的任何一种情形；</w:t>
      </w:r>
    </w:p>
    <w:p w14:paraId="30D9FE0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（2）投标人资质不符合</w:t>
      </w:r>
      <w:r>
        <w:rPr>
          <w:rFonts w:hint="eastAsia" w:ascii="宋体" w:hAnsi="宋体" w:eastAsia="宋体" w:cs="宋体"/>
          <w:snapToGrid w:val="0"/>
          <w:color w:val="auto"/>
          <w:kern w:val="0"/>
          <w:szCs w:val="18"/>
          <w:highlight w:val="none"/>
        </w:rPr>
        <w:t>规定的；</w:t>
      </w:r>
    </w:p>
    <w:p w14:paraId="0203316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含实时网页查询页，可参考网址https://zlaq.mohurd.gov.cn/fwmh/bjxcjgl/fwmh/pages/construction_safety/qyaqscxkz/qyaqscxkz）被吊销、暂扣或不在有效期内的；</w:t>
      </w:r>
    </w:p>
    <w:p w14:paraId="1DD1B684">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72898196">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caps w:val="0"/>
          <w:smallCaps w:val="0"/>
          <w:snapToGrid w:val="0"/>
          <w:color w:val="auto"/>
          <w:spacing w:val="0"/>
          <w:kern w:val="0"/>
          <w:highlight w:val="none"/>
          <w:lang w:val="en-US" w:eastAsia="zh-CN"/>
        </w:rPr>
      </w:pPr>
      <w:r>
        <w:rPr>
          <w:rFonts w:hint="eastAsia" w:ascii="宋体" w:hAnsi="宋体" w:eastAsia="宋体" w:cs="宋体"/>
          <w:b/>
          <w:bCs/>
          <w:snapToGrid w:val="0"/>
          <w:color w:val="auto"/>
          <w:kern w:val="0"/>
          <w:highlight w:val="none"/>
        </w:rPr>
        <w:t xml:space="preserve"> 投标人的企业相关证书到期的，均按该证书的发证机构相关行业主管部门最新文件执行（如自动顺延或资质延续有关事项的通知），投标人必须将相关文件（经核准延续的资质证书或提供了延续申请的相关证明材料，如“三库一平台”提交申请截图、申请回执等）附在该证书后面中，证明在开标日继续有效。</w:t>
      </w:r>
    </w:p>
    <w:p w14:paraId="5DAEEA56">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（4）拟派项目经理、项目技术负责人、专职安全员的条件不符合规定的；拟派专职安全员数量不符合规定的；技术负责人未在投标文件《项目技术负责人简历表》中签字确认；</w:t>
      </w:r>
    </w:p>
    <w:p w14:paraId="0D549628">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i/>
          <w:iCs/>
          <w:snapToGrid w:val="0"/>
          <w:color w:val="auto"/>
          <w:kern w:val="0"/>
          <w:highlight w:val="none"/>
        </w:rPr>
      </w:pPr>
      <w:r>
        <w:rPr>
          <w:rFonts w:hint="eastAsia" w:ascii="宋体" w:hAnsi="宋体" w:eastAsia="宋体" w:cs="宋体"/>
          <w:b/>
          <w:bCs/>
          <w:i w:val="0"/>
          <w:iCs w:val="0"/>
          <w:snapToGrid w:val="0"/>
          <w:color w:val="auto"/>
          <w:kern w:val="0"/>
          <w:highlight w:val="none"/>
        </w:rPr>
        <w:t>温馨提示：建造师打印电子证书后，应在个人签名处手写本人签名，未手写签名或与签名图像笔迹不一致的，该电子证书无效。</w:t>
      </w:r>
    </w:p>
    <w:p w14:paraId="5C49F8F3">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w:t>
      </w:r>
      <w:r>
        <w:rPr>
          <w:rFonts w:hint="eastAsia" w:ascii="宋体" w:hAnsi="宋体" w:eastAsia="宋体" w:cs="宋体"/>
          <w:b w:val="0"/>
          <w:bCs w:val="0"/>
          <w:caps w:val="0"/>
          <w:smallCaps w:val="0"/>
          <w:snapToGrid w:val="0"/>
          <w:color w:val="auto"/>
          <w:spacing w:val="0"/>
          <w:kern w:val="0"/>
          <w:highlight w:val="none"/>
          <w:lang w:val="en-US" w:eastAsia="zh-CN"/>
        </w:rPr>
        <w:t>《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w:t>
      </w:r>
      <w:r>
        <w:rPr>
          <w:rFonts w:hint="eastAsia" w:ascii="宋体" w:hAnsi="宋体" w:eastAsia="宋体" w:cs="宋体"/>
          <w:snapToGrid w:val="0"/>
          <w:color w:val="auto"/>
          <w:kern w:val="0"/>
          <w:highlight w:val="none"/>
          <w:lang w:val="en-US" w:eastAsia="zh-CN"/>
        </w:rPr>
        <w:t>（建造师注册证书不在使用有效期内的）；</w:t>
      </w:r>
      <w:r>
        <w:rPr>
          <w:rFonts w:hint="eastAsia" w:ascii="宋体" w:hAnsi="宋体" w:eastAsia="宋体" w:cs="宋体"/>
          <w:b w:val="0"/>
          <w:bCs w:val="0"/>
          <w:caps w:val="0"/>
          <w:smallCaps w:val="0"/>
          <w:snapToGrid w:val="0"/>
          <w:color w:val="auto"/>
          <w:spacing w:val="0"/>
          <w:kern w:val="0"/>
          <w:highlight w:val="none"/>
          <w:lang w:val="en-US" w:eastAsia="zh-CN"/>
        </w:rPr>
        <w:t>擅自修改、遗漏《项目经理任职声明》实质性内容的；</w:t>
      </w:r>
    </w:p>
    <w:p w14:paraId="7C4FE5E4">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注：投标人已经工商变更，但其员工执业资格注册证书的注册单位名称未完成变更的，不得否决其投标。</w:t>
      </w:r>
    </w:p>
    <w:p w14:paraId="28EA1C9A">
      <w:pPr>
        <w:pageBreakBefore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（6）招标文件规定不接受联合体投标，但以联合体投标的；</w:t>
      </w:r>
    </w:p>
    <w:p w14:paraId="633625EE">
      <w:pPr>
        <w:pageBreakBefore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）投标人为外省建筑企业，但未提供“进粤企业和人员诚信信息登记平台”企业</w:t>
      </w:r>
      <w:r>
        <w:rPr>
          <w:rFonts w:hint="eastAsia" w:ascii="宋体" w:hAnsi="宋体" w:eastAsia="宋体" w:cs="宋体"/>
          <w:snapToGrid w:val="0"/>
          <w:color w:val="auto"/>
          <w:kern w:val="0"/>
          <w:highlight w:val="none"/>
          <w:lang w:val="en-US" w:eastAsia="zh-CN"/>
        </w:rPr>
        <w:t>和拟派人员</w:t>
      </w:r>
      <w:r>
        <w:rPr>
          <w:rFonts w:hint="eastAsia" w:ascii="宋体" w:hAnsi="宋体" w:eastAsia="宋体" w:cs="宋体"/>
          <w:snapToGrid w:val="0"/>
          <w:color w:val="auto"/>
          <w:kern w:val="0"/>
          <w:highlight w:val="none"/>
        </w:rPr>
        <w:t>信息情况打印页或网页截图的。</w:t>
      </w:r>
    </w:p>
    <w:p w14:paraId="34347453">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rPr>
      </w:pPr>
      <w:bookmarkStart w:id="100" w:name="_Toc7139"/>
      <w:r>
        <w:rPr>
          <w:rFonts w:hint="eastAsia" w:ascii="宋体" w:hAnsi="宋体" w:eastAsia="宋体" w:cs="宋体"/>
          <w:b/>
          <w:snapToGrid w:val="0"/>
          <w:color w:val="auto"/>
          <w:highlight w:val="none"/>
        </w:rPr>
        <w:t>2．形式评审环节</w:t>
      </w:r>
      <w:bookmarkEnd w:id="100"/>
    </w:p>
    <w:p w14:paraId="2B82D2E3">
      <w:pPr>
        <w:pageBreakBefore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4AB37749">
      <w:pPr>
        <w:pageBreakBefore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各</w:t>
      </w:r>
      <w:r>
        <w:rPr>
          <w:rFonts w:hint="eastAsia" w:ascii="宋体" w:hAnsi="宋体" w:eastAsia="宋体" w:cs="宋体"/>
          <w:snapToGrid w:val="0"/>
          <w:color w:val="auto"/>
          <w:kern w:val="0"/>
          <w:highlight w:val="none"/>
        </w:rPr>
        <w:t>分册</w:t>
      </w:r>
      <w:r>
        <w:rPr>
          <w:rFonts w:hint="eastAsia" w:ascii="宋体" w:hAnsi="宋体" w:eastAsia="宋体" w:cs="宋体"/>
          <w:snapToGrid w:val="0"/>
          <w:color w:val="auto"/>
          <w:kern w:val="0"/>
          <w:highlight w:val="none"/>
          <w:lang w:val="en-US" w:eastAsia="zh-CN"/>
        </w:rPr>
        <w:t>未</w:t>
      </w:r>
      <w:r>
        <w:rPr>
          <w:rFonts w:hint="eastAsia" w:ascii="宋体" w:hAnsi="宋体" w:eastAsia="宋体" w:cs="宋体"/>
          <w:snapToGrid w:val="0"/>
          <w:color w:val="auto"/>
          <w:kern w:val="0"/>
          <w:highlight w:val="none"/>
        </w:rPr>
        <w:t>按招标文件规定加盖电子印章</w:t>
      </w:r>
      <w:r>
        <w:rPr>
          <w:rFonts w:hint="eastAsia" w:ascii="宋体" w:hAnsi="宋体" w:eastAsia="宋体" w:cs="宋体"/>
          <w:snapToGrid w:val="0"/>
          <w:color w:val="auto"/>
          <w:kern w:val="0"/>
          <w:highlight w:val="none"/>
          <w:lang w:val="en-US" w:eastAsia="zh-CN"/>
        </w:rPr>
        <w:t>的</w:t>
      </w:r>
      <w:r>
        <w:rPr>
          <w:rFonts w:hint="eastAsia" w:ascii="宋体" w:hAnsi="宋体" w:eastAsia="宋体" w:cs="宋体"/>
          <w:snapToGrid w:val="0"/>
          <w:color w:val="auto"/>
          <w:kern w:val="0"/>
          <w:highlight w:val="none"/>
        </w:rPr>
        <w:t>；</w:t>
      </w:r>
    </w:p>
    <w:p w14:paraId="5A763CE7">
      <w:pPr>
        <w:pageBreakBefore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第</w:t>
      </w: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目、第</w:t>
      </w: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目中规定的“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4A32F069">
      <w:pPr>
        <w:pageBreakBefore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）关键字迹模糊、无法辨认，</w:t>
      </w:r>
      <w:r>
        <w:rPr>
          <w:rFonts w:hint="eastAsia" w:ascii="宋体" w:hAnsi="宋体" w:eastAsia="宋体" w:cs="宋体"/>
          <w:b/>
          <w:bCs/>
          <w:snapToGrid w:val="0"/>
          <w:color w:val="auto"/>
          <w:kern w:val="0"/>
          <w:highlight w:val="none"/>
        </w:rPr>
        <w:t>且该种过错将导致评标委员会无法判断投标文件是否响应招标文件实质性要求的</w:t>
      </w:r>
      <w:r>
        <w:rPr>
          <w:rFonts w:hint="eastAsia" w:ascii="宋体" w:hAnsi="宋体" w:eastAsia="宋体" w:cs="宋体"/>
          <w:snapToGrid w:val="0"/>
          <w:color w:val="auto"/>
          <w:kern w:val="0"/>
          <w:highlight w:val="none"/>
        </w:rPr>
        <w:t>；有涂改、行间插字或删除，但未加盖单位章或由投标人的法定代表人或其委托代理人签字确认的；</w:t>
      </w:r>
    </w:p>
    <w:p w14:paraId="01C057E5">
      <w:pPr>
        <w:pageBreakBefore w:val="0"/>
        <w:kinsoku/>
        <w:overflowPunct/>
        <w:topLinePunct w:val="0"/>
        <w:bidi w:val="0"/>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）投标文件未按规定签字、盖章的。</w:t>
      </w:r>
    </w:p>
    <w:p w14:paraId="401FF3FC">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rPr>
      </w:pPr>
      <w:bookmarkStart w:id="101" w:name="_Toc12102"/>
      <w:r>
        <w:rPr>
          <w:rFonts w:hint="eastAsia" w:ascii="宋体" w:hAnsi="宋体" w:eastAsia="宋体" w:cs="宋体"/>
          <w:b/>
          <w:snapToGrid w:val="0"/>
          <w:color w:val="auto"/>
          <w:highlight w:val="none"/>
        </w:rPr>
        <w:t>3．响应性评审环节</w:t>
      </w:r>
      <w:bookmarkEnd w:id="101"/>
    </w:p>
    <w:p w14:paraId="7EE39F85">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41EBEE36">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）承诺的投标有效期短于规定的；质量标准低于规定的；工期超出规定的；擅自修改、遗漏《投标函》《各项承诺一览表》实质性内容的；</w:t>
      </w:r>
    </w:p>
    <w:p w14:paraId="386427AD">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）编制《投标总价》的</w:t>
      </w:r>
      <w:r>
        <w:rPr>
          <w:rFonts w:hint="eastAsia" w:ascii="宋体" w:hAnsi="宋体" w:eastAsia="宋体" w:cs="宋体"/>
          <w:snapToGrid w:val="0"/>
          <w:color w:val="auto"/>
          <w:kern w:val="0"/>
          <w:szCs w:val="18"/>
          <w:highlight w:val="none"/>
        </w:rPr>
        <w:t>造价工程师，其注册证书不是</w:t>
      </w:r>
      <w:r>
        <w:rPr>
          <w:rFonts w:hint="eastAsia" w:ascii="宋体" w:hAnsi="宋体" w:eastAsia="宋体" w:cs="宋体"/>
          <w:snapToGrid w:val="0"/>
          <w:color w:val="auto"/>
          <w:kern w:val="0"/>
          <w:szCs w:val="18"/>
          <w:highlight w:val="none"/>
          <w:lang w:val="en-US" w:eastAsia="zh-CN"/>
        </w:rPr>
        <w:t>住建部门</w:t>
      </w:r>
      <w:r>
        <w:rPr>
          <w:rFonts w:hint="eastAsia" w:ascii="宋体" w:hAnsi="宋体" w:eastAsia="宋体" w:cs="宋体"/>
          <w:snapToGrid w:val="0"/>
          <w:color w:val="auto"/>
          <w:kern w:val="0"/>
          <w:szCs w:val="18"/>
          <w:highlight w:val="none"/>
        </w:rPr>
        <w:t>颁发的；其注册单位与投标人（或造价咨询人）不一致的；其注册证书</w:t>
      </w:r>
      <w:r>
        <w:rPr>
          <w:rFonts w:hint="eastAsia" w:ascii="宋体" w:hAnsi="宋体" w:eastAsia="宋体" w:cs="宋体"/>
          <w:snapToGrid w:val="0"/>
          <w:color w:val="auto"/>
          <w:kern w:val="0"/>
          <w:highlight w:val="none"/>
        </w:rPr>
        <w:t>不在有效期内的。</w:t>
      </w:r>
    </w:p>
    <w:p w14:paraId="3A52B11A">
      <w:pPr>
        <w:pStyle w:val="8"/>
        <w:spacing w:before="158" w:line="338" w:lineRule="auto"/>
        <w:ind w:left="14" w:right="237" w:firstLine="477"/>
        <w:jc w:val="both"/>
        <w:rPr>
          <w:rFonts w:hint="eastAsia" w:ascii="宋体" w:hAnsi="宋体" w:eastAsia="宋体" w:cs="宋体"/>
          <w:color w:val="auto"/>
          <w:highlight w:val="none"/>
        </w:rPr>
      </w:pPr>
      <w:r>
        <w:rPr>
          <w:rFonts w:hint="eastAsia" w:ascii="宋体" w:hAnsi="宋体" w:eastAsia="宋体" w:cs="宋体"/>
          <w:b/>
          <w:bCs/>
          <w:color w:val="auto"/>
          <w:spacing w:val="1"/>
          <w:highlight w:val="none"/>
        </w:rPr>
        <w:t>注：投标人（或造价咨询人）已经工商交更，但其员工的执业资格注册证书的注册单位</w:t>
      </w:r>
      <w:r>
        <w:rPr>
          <w:rFonts w:hint="eastAsia" w:ascii="宋体" w:hAnsi="宋体" w:eastAsia="宋体" w:cs="宋体"/>
          <w:color w:val="auto"/>
          <w:highlight w:val="none"/>
        </w:rPr>
        <w:t xml:space="preserve"> </w:t>
      </w:r>
      <w:r>
        <w:rPr>
          <w:rFonts w:hint="eastAsia" w:ascii="宋体" w:hAnsi="宋体" w:eastAsia="宋体" w:cs="宋体"/>
          <w:b/>
          <w:bCs/>
          <w:color w:val="auto"/>
          <w:highlight w:val="none"/>
        </w:rPr>
        <w:t>名称未完成变更的，不得否决其投标。此条与</w:t>
      </w:r>
      <w:r>
        <w:rPr>
          <w:rFonts w:hint="eastAsia" w:ascii="宋体" w:hAnsi="宋体" w:eastAsia="宋体" w:cs="宋体"/>
          <w:color w:val="auto"/>
          <w:spacing w:val="-39"/>
          <w:highlight w:val="none"/>
        </w:rPr>
        <w:t xml:space="preserve"> </w:t>
      </w:r>
      <w:r>
        <w:rPr>
          <w:rFonts w:hint="eastAsia" w:ascii="宋体" w:hAnsi="宋体" w:eastAsia="宋体" w:cs="宋体"/>
          <w:b/>
          <w:bCs/>
          <w:color w:val="auto"/>
          <w:highlight w:val="none"/>
        </w:rPr>
        <w:t>10</w:t>
      </w:r>
      <w:r>
        <w:rPr>
          <w:rFonts w:hint="eastAsia" w:ascii="宋体" w:hAnsi="宋体" w:eastAsia="宋体" w:cs="宋体"/>
          <w:b/>
          <w:bCs/>
          <w:color w:val="auto"/>
          <w:spacing w:val="-1"/>
          <w:highlight w:val="none"/>
        </w:rPr>
        <w:t>.3.1</w:t>
      </w:r>
      <w:r>
        <w:rPr>
          <w:rFonts w:hint="eastAsia" w:ascii="宋体" w:hAnsi="宋体" w:eastAsia="宋体" w:cs="宋体"/>
          <w:b/>
          <w:bCs/>
          <w:color w:val="auto"/>
          <w:spacing w:val="37"/>
          <w:highlight w:val="none"/>
        </w:rPr>
        <w:t xml:space="preserve"> </w:t>
      </w:r>
      <w:r>
        <w:rPr>
          <w:rFonts w:hint="eastAsia" w:ascii="宋体" w:hAnsi="宋体" w:eastAsia="宋体" w:cs="宋体"/>
          <w:b/>
          <w:bCs/>
          <w:color w:val="auto"/>
          <w:spacing w:val="-1"/>
          <w:highlight w:val="none"/>
        </w:rPr>
        <w:t>中的造价工程师执业（含二级造价工程</w:t>
      </w:r>
      <w:r>
        <w:rPr>
          <w:rFonts w:hint="eastAsia" w:ascii="宋体" w:hAnsi="宋体" w:eastAsia="宋体" w:cs="宋体"/>
          <w:color w:val="auto"/>
          <w:highlight w:val="none"/>
        </w:rPr>
        <w:t xml:space="preserve"> </w:t>
      </w:r>
      <w:r>
        <w:rPr>
          <w:rFonts w:hint="eastAsia" w:ascii="宋体" w:hAnsi="宋体" w:eastAsia="宋体" w:cs="宋体"/>
          <w:b/>
          <w:bCs/>
          <w:color w:val="auto"/>
          <w:spacing w:val="-4"/>
          <w:highlight w:val="none"/>
        </w:rPr>
        <w:t>师）指引相一致。</w:t>
      </w:r>
    </w:p>
    <w:p w14:paraId="62A3DF3B">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投标人委托造价咨询单位编制《投标总价》，但未在《投标总价扉页》（即扉—3）“投标人”栏目加盖造价咨询人公章的；未提供造价咨询人的营业执照副本</w:t>
      </w:r>
      <w:r>
        <w:rPr>
          <w:rFonts w:hint="eastAsia" w:ascii="宋体" w:hAnsi="宋体" w:eastAsia="宋体" w:cs="宋体"/>
          <w:b w:val="0"/>
          <w:bCs w:val="0"/>
          <w:snapToGrid w:val="0"/>
          <w:color w:val="auto"/>
          <w:kern w:val="0"/>
          <w:sz w:val="24"/>
          <w:szCs w:val="24"/>
          <w:highlight w:val="none"/>
          <w:lang w:val="en-US" w:eastAsia="zh-CN"/>
        </w:rPr>
        <w:t>彩色扫描件</w:t>
      </w:r>
      <w:r>
        <w:rPr>
          <w:rFonts w:hint="eastAsia" w:ascii="宋体" w:hAnsi="宋体" w:eastAsia="宋体" w:cs="宋体"/>
          <w:snapToGrid w:val="0"/>
          <w:color w:val="auto"/>
          <w:kern w:val="0"/>
          <w:highlight w:val="none"/>
          <w:lang w:val="en-US" w:eastAsia="zh-CN"/>
        </w:rPr>
        <w:t>；</w:t>
      </w:r>
    </w:p>
    <w:p w14:paraId="1DC80B27">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出现两个或两个以上投标总价的（同一个投标总价大、小写不一致的除外）；投标总价超出招标控制价的；安全生产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67D7043E">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highlight w:val="none"/>
        </w:rPr>
        <w:t>且该种过错将导致工程质量、进度管理目标无法实现的</w:t>
      </w:r>
      <w:r>
        <w:rPr>
          <w:rFonts w:hint="eastAsia" w:ascii="宋体" w:hAnsi="宋体" w:eastAsia="宋体" w:cs="宋体"/>
          <w:snapToGrid w:val="0"/>
          <w:color w:val="auto"/>
          <w:kern w:val="0"/>
          <w:highlight w:val="none"/>
        </w:rPr>
        <w:t>。</w:t>
      </w:r>
    </w:p>
    <w:p w14:paraId="1158F8A8">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rPr>
      </w:pPr>
      <w:bookmarkStart w:id="102" w:name="_Toc25085"/>
      <w:r>
        <w:rPr>
          <w:rFonts w:hint="eastAsia" w:ascii="宋体" w:hAnsi="宋体" w:eastAsia="宋体" w:cs="宋体"/>
          <w:b/>
          <w:snapToGrid w:val="0"/>
          <w:color w:val="auto"/>
          <w:highlight w:val="none"/>
        </w:rPr>
        <w:t>4．其他</w:t>
      </w:r>
      <w:bookmarkEnd w:id="102"/>
    </w:p>
    <w:p w14:paraId="143B4DFB">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26595A5D">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）不按评标委员会要求澄清、说明或补正的；</w:t>
      </w:r>
    </w:p>
    <w:p w14:paraId="15C4222B">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）有下列情形之一，被评标委员会认定属于串通投标的：</w:t>
      </w:r>
    </w:p>
    <w:p w14:paraId="0766469C">
      <w:pPr>
        <w:pageBreakBefore w:val="0"/>
        <w:kinsoku/>
        <w:wordWrap w:val="0"/>
        <w:overflowPunct/>
        <w:topLinePunct w:val="0"/>
        <w:bidi w:val="0"/>
        <w:adjustRightInd w:val="0"/>
        <w:snapToGrid w:val="0"/>
        <w:spacing w:line="500" w:lineRule="exac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①不同投标人的投标文件两处以上（含两处）错、漏一致；</w:t>
      </w:r>
    </w:p>
    <w:p w14:paraId="747F3322">
      <w:pPr>
        <w:pageBreakBefore w:val="0"/>
        <w:kinsoku/>
        <w:wordWrap w:val="0"/>
        <w:overflowPunct/>
        <w:topLinePunct w:val="0"/>
        <w:bidi w:val="0"/>
        <w:adjustRightInd w:val="0"/>
        <w:snapToGrid w:val="0"/>
        <w:spacing w:line="500" w:lineRule="exac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②不同投标人的投标总价相近且各分项报价、综合单价分析表内容混乱不能相互对应、乱调乱压或乱抬的，而在询标时没有合理的解释或者不能提供计算依据和报价依据；</w:t>
      </w:r>
    </w:p>
    <w:p w14:paraId="1858445D">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③不同投标人的投标各项报价存在异常一致或者呈规律性变化；</w:t>
      </w:r>
    </w:p>
    <w:p w14:paraId="54F7B33F">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④不同投标人的投标文件由同一单位或者同一个人编制；</w:t>
      </w:r>
    </w:p>
    <w:p w14:paraId="262B721F">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⑤不同投标人的投标文件中投标资料（包括电子资料）相互混装或项目班子成员出现同一人；</w:t>
      </w:r>
    </w:p>
    <w:p w14:paraId="693BD1DD">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⑥不同投标人的投标文件由同一电脑编制或同一台附属设备打印，或投标报价用同一个预算编制软件密码锁制作或出自同一电子文档；</w:t>
      </w:r>
    </w:p>
    <w:p w14:paraId="760173DE">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⑦不同投标人的投标保证由同一企业或同一账户资金缴纳；</w:t>
      </w:r>
    </w:p>
    <w:p w14:paraId="05F8620D">
      <w:pPr>
        <w:pageBreakBefore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⑧不同投标人委托同一个人或注册在同一家企业的注册人员或同一家企业为其投标提供投标咨询、商务报价、技术咨询（招标工程本身要求采用专有技术的除外）等服务</w:t>
      </w:r>
      <w:bookmarkEnd w:id="96"/>
      <w:r>
        <w:rPr>
          <w:rFonts w:hint="eastAsia" w:ascii="宋体" w:hAnsi="宋体" w:eastAsia="宋体" w:cs="宋体"/>
          <w:snapToGrid w:val="0"/>
          <w:color w:val="auto"/>
          <w:kern w:val="0"/>
          <w:highlight w:val="none"/>
        </w:rPr>
        <w:t>。</w:t>
      </w:r>
    </w:p>
    <w:p w14:paraId="506A4898">
      <w:pPr>
        <w:rPr>
          <w:rFonts w:hint="eastAsia" w:ascii="宋体" w:hAnsi="宋体" w:eastAsia="宋体" w:cs="宋体"/>
          <w:color w:val="auto"/>
          <w:highlight w:val="none"/>
        </w:rPr>
      </w:pPr>
    </w:p>
    <w:p w14:paraId="641512C9">
      <w:pPr>
        <w:rPr>
          <w:rFonts w:hint="eastAsia" w:ascii="宋体" w:hAnsi="宋体" w:eastAsia="宋体" w:cs="宋体"/>
          <w:color w:val="auto"/>
          <w:highlight w:val="none"/>
        </w:rPr>
      </w:pPr>
    </w:p>
    <w:p w14:paraId="1E7165A1">
      <w:pPr>
        <w:pStyle w:val="3"/>
        <w:wordWrap w:val="0"/>
        <w:autoSpaceDE/>
        <w:autoSpaceDN/>
        <w:snapToGrid w:val="0"/>
        <w:spacing w:line="440" w:lineRule="exact"/>
        <w:jc w:val="center"/>
        <w:rPr>
          <w:rFonts w:hint="eastAsia" w:ascii="宋体" w:hAnsi="宋体" w:eastAsia="宋体" w:cs="宋体"/>
          <w:b/>
          <w:snapToGrid w:val="0"/>
          <w:color w:val="auto"/>
          <w:kern w:val="0"/>
          <w:highlight w:val="none"/>
        </w:rPr>
      </w:pPr>
      <w:bookmarkStart w:id="103" w:name="_Hlt87952408"/>
      <w:bookmarkEnd w:id="103"/>
      <w:bookmarkStart w:id="104" w:name="_Hlt69669771"/>
      <w:bookmarkEnd w:id="104"/>
      <w:bookmarkStart w:id="105" w:name="_Hlt70150994"/>
      <w:bookmarkEnd w:id="105"/>
      <w:bookmarkStart w:id="106" w:name="_Hlt112206772"/>
      <w:bookmarkEnd w:id="106"/>
      <w:bookmarkStart w:id="107" w:name="_Toc18214"/>
      <w:bookmarkStart w:id="108" w:name="_Hlt69698769"/>
      <w:bookmarkStart w:id="109" w:name="_Hlt69698722"/>
      <w:bookmarkStart w:id="110" w:name="_Hlt69698741"/>
      <w:r>
        <w:rPr>
          <w:rFonts w:hint="eastAsia" w:ascii="宋体" w:hAnsi="宋体" w:eastAsia="宋体" w:cs="宋体"/>
          <w:b/>
          <w:snapToGrid w:val="0"/>
          <w:color w:val="auto"/>
          <w:sz w:val="30"/>
          <w:szCs w:val="30"/>
          <w:highlight w:val="none"/>
        </w:rPr>
        <w:t>第</w:t>
      </w:r>
      <w:bookmarkStart w:id="111" w:name="_Hlt69669171"/>
      <w:bookmarkEnd w:id="111"/>
      <w:r>
        <w:rPr>
          <w:rFonts w:hint="eastAsia" w:ascii="宋体" w:hAnsi="宋体" w:eastAsia="宋体" w:cs="宋体"/>
          <w:b/>
          <w:snapToGrid w:val="0"/>
          <w:color w:val="auto"/>
          <w:sz w:val="30"/>
          <w:szCs w:val="30"/>
          <w:highlight w:val="none"/>
        </w:rPr>
        <w:t>二章</w:t>
      </w:r>
      <w:bookmarkStart w:id="112" w:name="_Hlt87793839"/>
      <w:bookmarkEnd w:id="112"/>
      <w:r>
        <w:rPr>
          <w:rFonts w:hint="eastAsia" w:ascii="宋体" w:hAnsi="宋体" w:eastAsia="宋体" w:cs="宋体"/>
          <w:b/>
          <w:snapToGrid w:val="0"/>
          <w:color w:val="auto"/>
          <w:sz w:val="30"/>
          <w:szCs w:val="30"/>
          <w:highlight w:val="none"/>
          <w:lang w:val="en-US" w:eastAsia="zh-CN"/>
        </w:rPr>
        <w:t xml:space="preserve">   </w:t>
      </w:r>
      <w:r>
        <w:rPr>
          <w:rFonts w:hint="eastAsia" w:ascii="宋体" w:hAnsi="宋体" w:eastAsia="宋体" w:cs="宋体"/>
          <w:b/>
          <w:snapToGrid w:val="0"/>
          <w:color w:val="auto"/>
          <w:sz w:val="30"/>
          <w:szCs w:val="30"/>
          <w:highlight w:val="none"/>
        </w:rPr>
        <w:t>中标人须知</w:t>
      </w:r>
      <w:bookmarkEnd w:id="107"/>
      <w:bookmarkEnd w:id="108"/>
      <w:bookmarkEnd w:id="109"/>
      <w:bookmarkEnd w:id="110"/>
    </w:p>
    <w:p w14:paraId="4B0233A1">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rPr>
      </w:pPr>
      <w:bookmarkStart w:id="113" w:name="_Toc5102"/>
      <w:r>
        <w:rPr>
          <w:rFonts w:hint="eastAsia" w:ascii="宋体" w:hAnsi="宋体" w:eastAsia="宋体" w:cs="宋体"/>
          <w:b/>
          <w:snapToGrid w:val="0"/>
          <w:color w:val="auto"/>
          <w:highlight w:val="none"/>
        </w:rPr>
        <w:t>1．中标通知书</w:t>
      </w:r>
      <w:bookmarkEnd w:id="113"/>
    </w:p>
    <w:p w14:paraId="1FC227D2">
      <w:pPr>
        <w:keepNext w:val="0"/>
        <w:keepLines w:val="0"/>
        <w:pageBreakBefore w:val="0"/>
        <w:widowControl w:val="0"/>
        <w:kinsoku/>
        <w:wordWrap w:val="0"/>
        <w:overflowPunct/>
        <w:topLinePunct w:val="0"/>
        <w:bidi w:val="0"/>
        <w:adjustRightInd w:val="0"/>
        <w:snapToGrid w:val="0"/>
        <w:spacing w:line="500" w:lineRule="exact"/>
        <w:ind w:firstLine="562"/>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11801CC6">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rPr>
      </w:pPr>
      <w:bookmarkStart w:id="114" w:name="_Toc7231"/>
      <w:r>
        <w:rPr>
          <w:rFonts w:hint="eastAsia" w:ascii="宋体" w:hAnsi="宋体" w:eastAsia="宋体" w:cs="宋体"/>
          <w:b/>
          <w:snapToGrid w:val="0"/>
          <w:color w:val="auto"/>
          <w:highlight w:val="none"/>
        </w:rPr>
        <w:t>2．中标结果公示</w:t>
      </w:r>
      <w:bookmarkEnd w:id="114"/>
    </w:p>
    <w:p w14:paraId="087109E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中标通知书发出后15日内，招标人应将中标结果在广东省招标投标监管网（</w:t>
      </w:r>
      <w:r>
        <w:rPr>
          <w:rFonts w:hint="eastAsia" w:ascii="宋体" w:hAnsi="宋体" w:eastAsia="宋体" w:cs="宋体"/>
          <w:i w:val="0"/>
          <w:color w:val="auto"/>
          <w:kern w:val="0"/>
          <w:sz w:val="24"/>
          <w:szCs w:val="24"/>
          <w:highlight w:val="none"/>
          <w:u w:val="none"/>
          <w:lang w:val="en-US" w:eastAsia="zh-CN" w:bidi="ar"/>
        </w:rPr>
        <w:t>http://zbtb.gd.gov.cn/login</w:t>
      </w:r>
      <w:r>
        <w:rPr>
          <w:rFonts w:hint="eastAsia" w:ascii="宋体" w:hAnsi="宋体" w:eastAsia="宋体" w:cs="宋体"/>
          <w:snapToGrid w:val="0"/>
          <w:color w:val="auto"/>
          <w:kern w:val="0"/>
          <w:highlight w:val="none"/>
        </w:rPr>
        <w:t>）及</w:t>
      </w:r>
      <w:r>
        <w:rPr>
          <w:rFonts w:hint="eastAsia" w:ascii="宋体" w:hAnsi="宋体" w:eastAsia="宋体" w:cs="宋体"/>
          <w:snapToGrid w:val="0"/>
          <w:color w:val="auto"/>
          <w:kern w:val="0"/>
          <w:sz w:val="24"/>
          <w:szCs w:val="24"/>
          <w:highlight w:val="none"/>
          <w:lang w:val="en-US" w:eastAsia="zh-CN"/>
        </w:rPr>
        <w:t>全国公共资源交易平台（广东省·韶关市）</w:t>
      </w:r>
      <w:r>
        <w:rPr>
          <w:rFonts w:hint="eastAsia" w:ascii="宋体" w:hAnsi="宋体" w:eastAsia="宋体" w:cs="宋体"/>
          <w:caps w:val="0"/>
          <w:smallCaps w:val="0"/>
          <w:snapToGrid w:val="0"/>
          <w:color w:val="auto"/>
          <w:spacing w:val="0"/>
          <w:kern w:val="0"/>
          <w:sz w:val="24"/>
          <w:highlight w:val="none"/>
          <w:lang w:val="en-US" w:eastAsia="zh-CN"/>
        </w:rPr>
        <w:t>（https://ygp.gdzwfw.gov.cn/ggzy-portal/#/440200/index）</w:t>
      </w:r>
      <w:r>
        <w:rPr>
          <w:rFonts w:hint="eastAsia" w:ascii="宋体" w:hAnsi="宋体" w:eastAsia="宋体" w:cs="宋体"/>
          <w:snapToGrid w:val="0"/>
          <w:color w:val="auto"/>
          <w:kern w:val="0"/>
          <w:highlight w:val="none"/>
        </w:rPr>
        <w:t>进行公示。</w:t>
      </w:r>
    </w:p>
    <w:p w14:paraId="7400AC31">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rPr>
      </w:pPr>
      <w:bookmarkStart w:id="115" w:name="_Toc19712"/>
      <w:r>
        <w:rPr>
          <w:rFonts w:hint="eastAsia" w:ascii="宋体" w:hAnsi="宋体" w:eastAsia="宋体" w:cs="宋体"/>
          <w:b/>
          <w:snapToGrid w:val="0"/>
          <w:color w:val="auto"/>
          <w:highlight w:val="none"/>
        </w:rPr>
        <w:t>3．履约保证</w:t>
      </w:r>
      <w:bookmarkEnd w:id="115"/>
    </w:p>
    <w:p w14:paraId="015CC2D4">
      <w:pPr>
        <w:keepNext w:val="0"/>
        <w:keepLines w:val="0"/>
        <w:pageBreakBefore w:val="0"/>
        <w:widowControl w:val="0"/>
        <w:kinsoku/>
        <w:wordWrap w:val="0"/>
        <w:overflowPunct/>
        <w:topLinePunct w:val="0"/>
        <w:autoSpaceDE/>
        <w:autoSpaceDN/>
        <w:bidi w:val="0"/>
        <w:adjustRightInd w:val="0"/>
        <w:snapToGrid w:val="0"/>
        <w:spacing w:line="500" w:lineRule="exact"/>
        <w:ind w:firstLine="562"/>
        <w:textAlignment w:val="auto"/>
        <w:rPr>
          <w:rFonts w:hint="eastAsia" w:ascii="宋体" w:hAnsi="宋体" w:eastAsia="宋体" w:cs="宋体"/>
          <w:color w:val="auto"/>
          <w:spacing w:val="-7"/>
          <w:highlight w:val="none"/>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highlight w:val="none"/>
        </w:rPr>
        <w:t xml:space="preserve"> </w:t>
      </w:r>
      <w:r>
        <w:rPr>
          <w:rFonts w:hint="eastAsia" w:ascii="宋体" w:hAnsi="宋体" w:eastAsia="宋体" w:cs="宋体"/>
          <w:color w:val="auto"/>
          <w:spacing w:val="-3"/>
          <w:highlight w:val="none"/>
        </w:rPr>
        <w:t>中标人须在领取中标通知书之日起</w:t>
      </w:r>
      <w:r>
        <w:rPr>
          <w:rFonts w:hint="eastAsia" w:ascii="宋体" w:hAnsi="宋体" w:eastAsia="宋体" w:cs="宋体"/>
          <w:color w:val="auto"/>
          <w:spacing w:val="-60"/>
          <w:highlight w:val="none"/>
        </w:rPr>
        <w:t xml:space="preserve"> </w:t>
      </w:r>
      <w:r>
        <w:rPr>
          <w:rFonts w:hint="eastAsia" w:ascii="宋体" w:hAnsi="宋体" w:eastAsia="宋体" w:cs="宋体"/>
          <w:color w:val="auto"/>
          <w:spacing w:val="-32"/>
          <w:highlight w:val="none"/>
          <w:u w:val="single" w:color="auto"/>
        </w:rPr>
        <w:t xml:space="preserve"> </w:t>
      </w:r>
      <w:r>
        <w:rPr>
          <w:rFonts w:hint="eastAsia" w:ascii="宋体" w:hAnsi="宋体" w:eastAsia="宋体" w:cs="宋体"/>
          <w:color w:val="auto"/>
          <w:spacing w:val="-3"/>
          <w:highlight w:val="none"/>
          <w:u w:val="single" w:color="auto"/>
        </w:rPr>
        <w:t xml:space="preserve">10 </w:t>
      </w:r>
      <w:r>
        <w:rPr>
          <w:rFonts w:hint="eastAsia" w:ascii="宋体" w:hAnsi="宋体" w:eastAsia="宋体" w:cs="宋体"/>
          <w:color w:val="auto"/>
          <w:spacing w:val="-3"/>
          <w:highlight w:val="none"/>
        </w:rPr>
        <w:t>个工作日内、签订合同前向招标人提交金额为</w:t>
      </w:r>
      <w:r>
        <w:rPr>
          <w:rFonts w:hint="eastAsia" w:ascii="宋体" w:hAnsi="宋体" w:eastAsia="宋体" w:cs="宋体"/>
          <w:color w:val="auto"/>
          <w:spacing w:val="-7"/>
          <w:highlight w:val="none"/>
        </w:rPr>
        <w:t>中标价</w:t>
      </w:r>
      <w:r>
        <w:rPr>
          <w:rFonts w:hint="eastAsia" w:ascii="宋体" w:hAnsi="宋体" w:eastAsia="宋体" w:cs="宋体"/>
          <w:color w:val="auto"/>
          <w:spacing w:val="18"/>
          <w:highlight w:val="none"/>
          <w:u w:val="single" w:color="auto"/>
        </w:rPr>
        <w:t xml:space="preserve"> </w:t>
      </w:r>
      <w:r>
        <w:rPr>
          <w:rFonts w:hint="eastAsia" w:ascii="宋体" w:hAnsi="宋体" w:eastAsia="宋体" w:cs="宋体"/>
          <w:color w:val="auto"/>
          <w:spacing w:val="-7"/>
          <w:highlight w:val="none"/>
          <w:u w:val="single" w:color="auto"/>
        </w:rPr>
        <w:t xml:space="preserve">10 </w:t>
      </w:r>
      <w:r>
        <w:rPr>
          <w:rFonts w:hint="eastAsia" w:ascii="宋体" w:hAnsi="宋体" w:eastAsia="宋体" w:cs="宋体"/>
          <w:color w:val="auto"/>
          <w:spacing w:val="-7"/>
          <w:highlight w:val="none"/>
        </w:rPr>
        <w:t>%的履约保证。</w:t>
      </w:r>
    </w:p>
    <w:p w14:paraId="5D245391">
      <w:pPr>
        <w:wordWrap w:val="0"/>
        <w:adjustRightInd w:val="0"/>
        <w:snapToGrid w:val="0"/>
        <w:spacing w:line="440" w:lineRule="exact"/>
        <w:ind w:firstLine="562"/>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3.2</w:t>
      </w:r>
      <w:r>
        <w:rPr>
          <w:rFonts w:hint="eastAsia" w:ascii="宋体" w:hAnsi="宋体" w:eastAsia="宋体" w:cs="宋体"/>
          <w:snapToGrid w:val="0"/>
          <w:color w:val="auto"/>
          <w:kern w:val="0"/>
          <w:highlight w:val="none"/>
        </w:rPr>
        <w:t xml:space="preserve"> </w:t>
      </w:r>
      <w:r>
        <w:rPr>
          <w:rFonts w:hint="eastAsia" w:ascii="宋体" w:hAnsi="宋体" w:eastAsia="宋体" w:cs="宋体"/>
          <w:color w:val="auto"/>
          <w:spacing w:val="-2"/>
          <w:highlight w:val="none"/>
        </w:rPr>
        <w:t>中标人根据《关于统一在市公共资源交易一体化服务平台</w:t>
      </w:r>
      <w:r>
        <w:rPr>
          <w:rFonts w:hint="eastAsia" w:ascii="宋体" w:hAnsi="宋体" w:eastAsia="宋体" w:cs="宋体"/>
          <w:color w:val="auto"/>
          <w:spacing w:val="-3"/>
          <w:highlight w:val="none"/>
        </w:rPr>
        <w:t>缴退工程建设项目履约保证</w:t>
      </w:r>
      <w:r>
        <w:rPr>
          <w:rFonts w:hint="eastAsia" w:ascii="宋体" w:hAnsi="宋体" w:eastAsia="宋体" w:cs="宋体"/>
          <w:color w:val="auto"/>
          <w:spacing w:val="-2"/>
          <w:highlight w:val="none"/>
        </w:rPr>
        <w:t>金的通知》办理相关手续，履约保证的形式</w:t>
      </w:r>
      <w:r>
        <w:rPr>
          <w:rFonts w:hint="eastAsia" w:ascii="宋体" w:hAnsi="宋体" w:eastAsia="宋体" w:cs="宋体"/>
          <w:color w:val="auto"/>
          <w:spacing w:val="-3"/>
          <w:highlight w:val="none"/>
        </w:rPr>
        <w:t>包括履约保证金、履约保证担保、履约保证保险三</w:t>
      </w:r>
      <w:r>
        <w:rPr>
          <w:rFonts w:hint="eastAsia" w:ascii="宋体" w:hAnsi="宋体" w:eastAsia="宋体" w:cs="宋体"/>
          <w:color w:val="auto"/>
          <w:spacing w:val="-2"/>
          <w:highlight w:val="none"/>
        </w:rPr>
        <w:t>种，由中标人自主选择。商业保函</w:t>
      </w:r>
      <w:r>
        <w:rPr>
          <w:rFonts w:hint="eastAsia" w:ascii="宋体" w:hAnsi="宋体" w:eastAsia="宋体" w:cs="宋体"/>
          <w:color w:val="auto"/>
          <w:spacing w:val="-2"/>
          <w:highlight w:val="none"/>
          <w:lang w:eastAsia="zh-CN"/>
        </w:rPr>
        <w:t>（</w:t>
      </w:r>
      <w:r>
        <w:rPr>
          <w:rFonts w:hint="eastAsia" w:ascii="宋体" w:hAnsi="宋体" w:eastAsia="宋体" w:cs="宋体"/>
          <w:color w:val="auto"/>
          <w:spacing w:val="-2"/>
          <w:highlight w:val="none"/>
          <w:lang w:val="en-US" w:eastAsia="zh-CN"/>
        </w:rPr>
        <w:t>含担保保函</w:t>
      </w:r>
      <w:r>
        <w:rPr>
          <w:rFonts w:hint="eastAsia" w:ascii="宋体" w:hAnsi="宋体" w:eastAsia="宋体" w:cs="宋体"/>
          <w:color w:val="auto"/>
          <w:spacing w:val="-2"/>
          <w:highlight w:val="none"/>
          <w:lang w:eastAsia="zh-CN"/>
        </w:rPr>
        <w:t>）</w:t>
      </w:r>
      <w:r>
        <w:rPr>
          <w:rFonts w:hint="eastAsia" w:ascii="宋体" w:hAnsi="宋体" w:eastAsia="宋体" w:cs="宋体"/>
          <w:color w:val="auto"/>
          <w:spacing w:val="-2"/>
          <w:highlight w:val="none"/>
        </w:rPr>
        <w:t>、银行保</w:t>
      </w:r>
      <w:r>
        <w:rPr>
          <w:rFonts w:hint="eastAsia" w:ascii="宋体" w:hAnsi="宋体" w:eastAsia="宋体" w:cs="宋体"/>
          <w:color w:val="auto"/>
          <w:spacing w:val="-3"/>
          <w:highlight w:val="none"/>
        </w:rPr>
        <w:t>函或保险合同（或保险单）的有效期应当自合同生</w:t>
      </w:r>
      <w:r>
        <w:rPr>
          <w:rFonts w:hint="eastAsia" w:ascii="宋体" w:hAnsi="宋体" w:eastAsia="宋体" w:cs="宋体"/>
          <w:color w:val="auto"/>
          <w:highlight w:val="none"/>
        </w:rPr>
        <w:t xml:space="preserve"> 效之日起至项目通过竣工验收之日后28天止。项目竣工</w:t>
      </w:r>
      <w:r>
        <w:rPr>
          <w:rFonts w:hint="eastAsia" w:ascii="宋体" w:hAnsi="宋体" w:eastAsia="宋体" w:cs="宋体"/>
          <w:color w:val="auto"/>
          <w:spacing w:val="-1"/>
          <w:highlight w:val="none"/>
        </w:rPr>
        <w:t>后，由招标人发起退保。</w:t>
      </w:r>
    </w:p>
    <w:p w14:paraId="3913432B">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highlight w:val="none"/>
        </w:rPr>
        <w:t>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并由招标人通报建设行政管理部门。如采用商业保函、银行保函或保险合同方式缴纳履约保证金，在保函或保险合同到期前一个月，中标人须主动办理续期手续或提交新的商业保函、银行保函或保险合同。</w:t>
      </w:r>
    </w:p>
    <w:p w14:paraId="47063548">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3.4</w:t>
      </w:r>
      <w:r>
        <w:rPr>
          <w:rFonts w:hint="eastAsia" w:ascii="宋体" w:hAnsi="宋体" w:eastAsia="宋体" w:cs="宋体"/>
          <w:snapToGrid w:val="0"/>
          <w:color w:val="auto"/>
          <w:kern w:val="0"/>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5409E9BE">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highlight w:val="none"/>
        </w:rPr>
        <w:t>3.5</w:t>
      </w:r>
      <w:r>
        <w:rPr>
          <w:rFonts w:hint="eastAsia" w:ascii="宋体" w:hAnsi="宋体" w:eastAsia="宋体" w:cs="宋体"/>
          <w:snapToGrid w:val="0"/>
          <w:color w:val="auto"/>
          <w:kern w:val="0"/>
          <w:highlight w:val="none"/>
        </w:rPr>
        <w:t xml:space="preserve"> 项目通过竣工验收之日后28天内，发包人将履约保证退还给承包人。</w:t>
      </w:r>
    </w:p>
    <w:p w14:paraId="32330285">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rPr>
      </w:pPr>
      <w:bookmarkStart w:id="116" w:name="_Toc23699"/>
      <w:r>
        <w:rPr>
          <w:rFonts w:hint="eastAsia" w:ascii="宋体" w:hAnsi="宋体" w:eastAsia="宋体" w:cs="宋体"/>
          <w:b/>
          <w:bCs/>
          <w:snapToGrid w:val="0"/>
          <w:color w:val="auto"/>
          <w:kern w:val="0"/>
          <w:highlight w:val="none"/>
        </w:rPr>
        <w:t>4．合同订立</w:t>
      </w:r>
      <w:bookmarkEnd w:id="116"/>
    </w:p>
    <w:p w14:paraId="064851B2">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4.1</w:t>
      </w:r>
      <w:r>
        <w:rPr>
          <w:rFonts w:hint="eastAsia" w:ascii="宋体" w:hAnsi="宋体" w:eastAsia="宋体" w:cs="宋体"/>
          <w:snapToGrid w:val="0"/>
          <w:color w:val="auto"/>
          <w:kern w:val="0"/>
          <w:highlight w:val="none"/>
        </w:rPr>
        <w:t xml:space="preserve"> 招标人应当自中标通知书发出之日起</w:t>
      </w:r>
      <w:r>
        <w:rPr>
          <w:rFonts w:hint="eastAsia" w:ascii="宋体" w:hAnsi="宋体" w:eastAsia="宋体" w:cs="宋体"/>
          <w:snapToGrid w:val="0"/>
          <w:color w:val="auto"/>
          <w:kern w:val="0"/>
          <w:highlight w:val="none"/>
          <w:u w:val="single"/>
        </w:rPr>
        <w:t>30</w:t>
      </w:r>
      <w:r>
        <w:rPr>
          <w:rFonts w:hint="eastAsia" w:ascii="宋体" w:hAnsi="宋体" w:eastAsia="宋体" w:cs="宋体"/>
          <w:snapToGrid w:val="0"/>
          <w:color w:val="auto"/>
          <w:kern w:val="0"/>
          <w:highlight w:val="none"/>
        </w:rPr>
        <w:t>日内，按照招标文件、中标人的投标文件与中标人订立书面合同。</w:t>
      </w:r>
    </w:p>
    <w:p w14:paraId="3B09723F">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w:t>
      </w:r>
      <w:r>
        <w:rPr>
          <w:rFonts w:hint="eastAsia" w:ascii="宋体" w:hAnsi="宋体" w:eastAsia="宋体" w:cs="宋体"/>
          <w:snapToGrid w:val="0"/>
          <w:color w:val="auto"/>
          <w:kern w:val="0"/>
          <w:highlight w:val="none"/>
        </w:rPr>
        <w:t xml:space="preserve"> 不正常报价的梳理和确认</w:t>
      </w:r>
    </w:p>
    <w:p w14:paraId="429D483A">
      <w:pPr>
        <w:keepNext w:val="0"/>
        <w:keepLines w:val="0"/>
        <w:pageBreakBefore w:val="0"/>
        <w:widowControl w:val="0"/>
        <w:kinsoku/>
        <w:wordWrap w:val="0"/>
        <w:overflowPunct/>
        <w:topLinePunct w:val="0"/>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4.2.1</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highlight w:val="none"/>
        </w:rPr>
        <w:t>招标人不具备以上能力的，可授权编制本项目招标控制价的造价咨询单位实施。</w:t>
      </w:r>
    </w:p>
    <w:p w14:paraId="76730CE5">
      <w:pPr>
        <w:keepNext w:val="0"/>
        <w:keepLines w:val="0"/>
        <w:pageBreakBefore w:val="0"/>
        <w:widowControl w:val="0"/>
        <w:kinsoku/>
        <w:wordWrap w:val="0"/>
        <w:overflowPunct/>
        <w:topLinePunct w:val="0"/>
        <w:bidi w:val="0"/>
        <w:adjustRightInd w:val="0"/>
        <w:snapToGrid w:val="0"/>
        <w:spacing w:line="50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4.2.2</w:t>
      </w:r>
      <w:r>
        <w:rPr>
          <w:rFonts w:hint="eastAsia" w:ascii="宋体" w:hAnsi="宋体" w:eastAsia="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0A651729">
      <w:pPr>
        <w:keepNext w:val="0"/>
        <w:keepLines w:val="0"/>
        <w:pageBreakBefore w:val="0"/>
        <w:widowControl w:val="0"/>
        <w:kinsoku/>
        <w:wordWrap w:val="0"/>
        <w:overflowPunct/>
        <w:topLinePunct w:val="0"/>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4.2.3</w:t>
      </w:r>
      <w:r>
        <w:rPr>
          <w:rFonts w:hint="eastAsia" w:ascii="宋体" w:hAnsi="宋体" w:eastAsia="宋体" w:cs="宋体"/>
          <w:snapToGrid w:val="0"/>
          <w:color w:val="auto"/>
          <w:kern w:val="0"/>
          <w:highlight w:val="none"/>
        </w:rPr>
        <w:t xml:space="preserve"> 错漏项的认定。中标人已标价工程量清单中，任一清单项目未填报价格或价格为零的，视为错漏项。</w:t>
      </w:r>
    </w:p>
    <w:p w14:paraId="3697A027">
      <w:pPr>
        <w:keepNext w:val="0"/>
        <w:keepLines w:val="0"/>
        <w:pageBreakBefore w:val="0"/>
        <w:widowControl w:val="0"/>
        <w:kinsoku/>
        <w:wordWrap w:val="0"/>
        <w:overflowPunct/>
        <w:topLinePunct w:val="0"/>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u w:val="single"/>
        </w:rPr>
      </w:pPr>
      <w:r>
        <w:rPr>
          <w:rFonts w:hint="eastAsia" w:ascii="宋体" w:hAnsi="宋体" w:eastAsia="宋体" w:cs="宋体"/>
          <w:b/>
          <w:bCs/>
          <w:snapToGrid w:val="0"/>
          <w:color w:val="auto"/>
          <w:kern w:val="0"/>
          <w:highlight w:val="none"/>
        </w:rPr>
        <w:t>4.2.4</w:t>
      </w:r>
      <w:r>
        <w:rPr>
          <w:rFonts w:hint="eastAsia" w:ascii="宋体" w:hAnsi="宋体" w:eastAsia="宋体" w:cs="宋体"/>
          <w:snapToGrid w:val="0"/>
          <w:color w:val="auto"/>
          <w:kern w:val="0"/>
          <w:highlight w:val="none"/>
        </w:rPr>
        <w:t xml:space="preserve"> 不平衡报价的认定。经修正算术性错误后的中标人已标价工程量清单中，</w:t>
      </w:r>
      <w:r>
        <w:rPr>
          <w:rFonts w:hint="eastAsia" w:ascii="宋体" w:hAnsi="宋体" w:eastAsia="宋体" w:cs="宋体"/>
          <w:snapToGrid w:val="0"/>
          <w:color w:val="auto"/>
          <w:kern w:val="0"/>
          <w:highlight w:val="none"/>
          <w:u w:val="single"/>
        </w:rPr>
        <w:t>对于投标报价中综合单价相对招标控制价《分部分项工程和单价措施项目清单与计价表》中对应综合单价的偏差大于±15%的</w:t>
      </w:r>
      <w:r>
        <w:rPr>
          <w:rFonts w:hint="eastAsia" w:ascii="宋体" w:hAnsi="宋体" w:eastAsia="宋体" w:cs="宋体"/>
          <w:snapToGrid w:val="0"/>
          <w:color w:val="auto"/>
          <w:kern w:val="0"/>
          <w:highlight w:val="none"/>
          <w:u w:val="none"/>
        </w:rPr>
        <w:t>清单项目，视为不平衡报价项目。</w:t>
      </w:r>
    </w:p>
    <w:p w14:paraId="55C41CC7">
      <w:pPr>
        <w:keepNext w:val="0"/>
        <w:keepLines w:val="0"/>
        <w:pageBreakBefore w:val="0"/>
        <w:widowControl w:val="0"/>
        <w:kinsoku/>
        <w:wordWrap w:val="0"/>
        <w:overflowPunct/>
        <w:topLinePunct w:val="0"/>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4.2.5</w:t>
      </w:r>
      <w:r>
        <w:rPr>
          <w:rFonts w:hint="eastAsia" w:ascii="宋体" w:hAnsi="宋体" w:eastAsia="宋体" w:cs="宋体"/>
          <w:snapToGrid w:val="0"/>
          <w:color w:val="auto"/>
          <w:kern w:val="0"/>
          <w:highlight w:val="none"/>
        </w:rPr>
        <w:t xml:space="preserve"> 施工合同签订前，招标人或其授权的造价咨询单位应就发现的以上所有不平衡报价进行修正，形成《不平衡报价修正报告》，并由招标人和中标人共同签章确认，构成施工合同的组成部分。</w:t>
      </w:r>
    </w:p>
    <w:p w14:paraId="0604DB32">
      <w:pPr>
        <w:keepNext w:val="0"/>
        <w:keepLines w:val="0"/>
        <w:pageBreakBefore w:val="0"/>
        <w:widowControl w:val="0"/>
        <w:kinsoku/>
        <w:wordWrap w:val="0"/>
        <w:overflowPunct/>
        <w:topLinePunct w:val="0"/>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4.2.6</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合同履行过程中，被认定为错漏项的清单项目，结算时按照第三章“拟签订合同的主要条款”规定处理。</w:t>
      </w:r>
    </w:p>
    <w:p w14:paraId="12B46A1B">
      <w:pPr>
        <w:keepNext w:val="0"/>
        <w:keepLines w:val="0"/>
        <w:pageBreakBefore w:val="0"/>
        <w:widowControl w:val="0"/>
        <w:kinsoku/>
        <w:wordWrap w:val="0"/>
        <w:overflowPunct/>
        <w:topLinePunct w:val="0"/>
        <w:bidi w:val="0"/>
        <w:adjustRightInd w:val="0"/>
        <w:snapToGrid w:val="0"/>
        <w:spacing w:line="500" w:lineRule="exact"/>
        <w:ind w:firstLine="482" w:firstLineChars="200"/>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有关规定调整合同价款。</w:t>
      </w:r>
    </w:p>
    <w:p w14:paraId="221D174C">
      <w:pPr>
        <w:keepNext w:val="0"/>
        <w:keepLines w:val="0"/>
        <w:pageBreakBefore w:val="0"/>
        <w:widowControl w:val="0"/>
        <w:kinsoku/>
        <w:wordWrap w:val="0"/>
        <w:overflowPunct/>
        <w:topLinePunct w:val="0"/>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4.3 </w:t>
      </w:r>
      <w:r>
        <w:rPr>
          <w:rFonts w:hint="eastAsia" w:ascii="宋体" w:hAnsi="宋体" w:eastAsia="宋体" w:cs="宋体"/>
          <w:snapToGrid w:val="0"/>
          <w:color w:val="auto"/>
          <w:kern w:val="0"/>
          <w:highlight w:val="none"/>
        </w:rPr>
        <w:t>本招标项目合同计价方式为：</w:t>
      </w:r>
      <w:r>
        <w:rPr>
          <w:rFonts w:hint="eastAsia" w:ascii="宋体" w:hAnsi="宋体" w:eastAsia="宋体" w:cs="宋体"/>
          <w:snapToGrid w:val="0"/>
          <w:color w:val="auto"/>
          <w:kern w:val="0"/>
          <w:highlight w:val="none"/>
          <w:u w:val="single"/>
        </w:rPr>
        <w:t xml:space="preserve"> 单价 </w:t>
      </w:r>
      <w:r>
        <w:rPr>
          <w:rFonts w:hint="eastAsia" w:ascii="宋体" w:hAnsi="宋体" w:eastAsia="宋体" w:cs="宋体"/>
          <w:snapToGrid w:val="0"/>
          <w:color w:val="auto"/>
          <w:kern w:val="0"/>
          <w:highlight w:val="none"/>
        </w:rPr>
        <w:t>合同。</w:t>
      </w:r>
    </w:p>
    <w:p w14:paraId="146BF17C">
      <w:pPr>
        <w:keepNext w:val="0"/>
        <w:keepLines w:val="0"/>
        <w:pageBreakBefore w:val="0"/>
        <w:widowControl w:val="0"/>
        <w:kinsoku/>
        <w:wordWrap w:val="0"/>
        <w:overflowPunct/>
        <w:topLinePunct w:val="0"/>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4.4</w:t>
      </w:r>
      <w:r>
        <w:rPr>
          <w:rFonts w:hint="eastAsia" w:ascii="宋体" w:hAnsi="宋体" w:eastAsia="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2577C3ED">
      <w:pPr>
        <w:keepNext w:val="0"/>
        <w:keepLines w:val="0"/>
        <w:pageBreakBefore w:val="0"/>
        <w:widowControl w:val="0"/>
        <w:kinsoku/>
        <w:wordWrap w:val="0"/>
        <w:overflowPunct/>
        <w:topLinePunct w:val="0"/>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4.5</w:t>
      </w:r>
      <w:r>
        <w:rPr>
          <w:rFonts w:hint="eastAsia" w:ascii="宋体" w:hAnsi="宋体" w:eastAsia="宋体" w:cs="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15FFF846">
      <w:pPr>
        <w:keepNext w:val="0"/>
        <w:keepLines w:val="0"/>
        <w:pageBreakBefore w:val="0"/>
        <w:widowControl w:val="0"/>
        <w:kinsoku/>
        <w:wordWrap w:val="0"/>
        <w:overflowPunct/>
        <w:topLinePunct w:val="0"/>
        <w:bidi w:val="0"/>
        <w:adjustRightInd w:val="0"/>
        <w:snapToGrid w:val="0"/>
        <w:spacing w:line="500" w:lineRule="exact"/>
        <w:ind w:firstLine="482" w:firstLineChars="200"/>
        <w:textAlignment w:val="auto"/>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4.6</w:t>
      </w:r>
      <w:r>
        <w:rPr>
          <w:rFonts w:hint="eastAsia" w:ascii="宋体" w:hAnsi="宋体" w:eastAsia="宋体" w:cs="宋体"/>
          <w:snapToGrid w:val="0"/>
          <w:color w:val="auto"/>
          <w:kern w:val="0"/>
          <w:highlight w:val="none"/>
        </w:rPr>
        <w:t xml:space="preserve"> 在书面合同订立之日起2个工作日内，由中标人将合同上传至建设工程交易系统，并发起退还投标保证的申请。韶关市公共资源交易中心在收到申请之日起3个工作日内，将投标保证金退还给中标人和其他中标候选人。</w:t>
      </w:r>
    </w:p>
    <w:p w14:paraId="227F5289">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rPr>
      </w:pPr>
      <w:bookmarkStart w:id="117" w:name="_Toc2950"/>
      <w:r>
        <w:rPr>
          <w:rFonts w:hint="eastAsia" w:ascii="宋体" w:hAnsi="宋体" w:eastAsia="宋体" w:cs="宋体"/>
          <w:b/>
          <w:snapToGrid w:val="0"/>
          <w:color w:val="auto"/>
          <w:highlight w:val="none"/>
        </w:rPr>
        <w:t>5．放弃中标的处理</w:t>
      </w:r>
      <w:bookmarkEnd w:id="117"/>
    </w:p>
    <w:p w14:paraId="6B662206">
      <w:pPr>
        <w:keepNext w:val="0"/>
        <w:keepLines w:val="0"/>
        <w:pageBreakBefore w:val="0"/>
        <w:widowControl w:val="0"/>
        <w:kinsoku/>
        <w:wordWrap w:val="0"/>
        <w:overflowPunct/>
        <w:topLinePunct w:val="0"/>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highlight w:val="none"/>
        </w:rPr>
        <w:t xml:space="preserve"> 中标人</w:t>
      </w:r>
      <w:r>
        <w:rPr>
          <w:rFonts w:hint="eastAsia" w:ascii="宋体" w:hAnsi="宋体" w:eastAsia="宋体" w:cs="宋体"/>
          <w:snapToGrid w:val="0"/>
          <w:color w:val="auto"/>
          <w:highlight w:val="none"/>
        </w:rPr>
        <w:t>无正当理由放弃中标的，</w:t>
      </w:r>
      <w:r>
        <w:rPr>
          <w:rFonts w:hint="eastAsia" w:ascii="宋体" w:hAnsi="宋体" w:eastAsia="宋体" w:cs="宋体"/>
          <w:snapToGrid w:val="0"/>
          <w:color w:val="auto"/>
          <w:kern w:val="0"/>
          <w:highlight w:val="none"/>
        </w:rPr>
        <w:t>取消其中标资格，其投标保证不予退还，给招标人造成的损失超过投标保证金额的，弃标人还应当对超过部分予以赔偿。招标人可按照评标委员会提出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highlight w:val="none"/>
        </w:rPr>
        <w:t>因此种情况造成招标人重新招标的</w:t>
      </w:r>
      <w:r>
        <w:rPr>
          <w:rFonts w:hint="eastAsia" w:ascii="宋体" w:hAnsi="宋体" w:eastAsia="宋体" w:cs="宋体"/>
          <w:snapToGrid w:val="0"/>
          <w:color w:val="auto"/>
          <w:kern w:val="0"/>
          <w:highlight w:val="none"/>
        </w:rPr>
        <w:t>，招标人可不接受该弃标人再次投标。同时，招标人应将该弃标人的失信行为向行政监督部门报告。</w:t>
      </w:r>
    </w:p>
    <w:p w14:paraId="50630AEA">
      <w:pPr>
        <w:keepNext w:val="0"/>
        <w:keepLines w:val="0"/>
        <w:pageBreakBefore w:val="0"/>
        <w:widowControl w:val="0"/>
        <w:kinsoku/>
        <w:wordWrap w:val="0"/>
        <w:overflowPunct/>
        <w:topLinePunct w:val="0"/>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45EA2F82">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118" w:name="_Toc23578"/>
      <w:bookmarkStart w:id="119" w:name="_Hlt69698713"/>
      <w:bookmarkStart w:id="120" w:name="_Toc3198"/>
      <w:bookmarkStart w:id="121" w:name="_Hlt69698765"/>
      <w:bookmarkStart w:id="122" w:name="_Hlt69698776"/>
      <w:r>
        <w:rPr>
          <w:rFonts w:hint="eastAsia" w:ascii="宋体" w:hAnsi="宋体" w:eastAsia="宋体" w:cs="宋体"/>
          <w:b/>
          <w:snapToGrid w:val="0"/>
          <w:color w:val="auto"/>
          <w:highlight w:val="none"/>
          <w:lang w:val="en-US" w:eastAsia="zh-CN"/>
        </w:rPr>
        <w:t>6</w:t>
      </w:r>
      <w:r>
        <w:rPr>
          <w:rFonts w:hint="eastAsia" w:ascii="宋体" w:hAnsi="宋体" w:eastAsia="宋体" w:cs="宋体"/>
          <w:b/>
          <w:snapToGrid w:val="0"/>
          <w:color w:val="auto"/>
          <w:highlight w:val="none"/>
        </w:rPr>
        <w:t>．</w:t>
      </w:r>
      <w:r>
        <w:rPr>
          <w:rFonts w:hint="eastAsia" w:ascii="宋体" w:hAnsi="宋体" w:eastAsia="宋体" w:cs="宋体"/>
          <w:b/>
          <w:snapToGrid w:val="0"/>
          <w:color w:val="auto"/>
          <w:highlight w:val="none"/>
          <w:lang w:val="en-US" w:eastAsia="zh-CN"/>
        </w:rPr>
        <w:t>其他</w:t>
      </w:r>
      <w:bookmarkEnd w:id="118"/>
    </w:p>
    <w:p w14:paraId="0D79D4DE">
      <w:pPr>
        <w:keepNext w:val="0"/>
        <w:keepLines w:val="0"/>
        <w:pageBreakBefore w:val="0"/>
        <w:widowControl w:val="0"/>
        <w:kinsoku/>
        <w:wordWrap w:val="0"/>
        <w:overflowPunct/>
        <w:topLinePunct w:val="0"/>
        <w:bidi w:val="0"/>
        <w:adjustRightInd w:val="0"/>
        <w:snapToGrid w:val="0"/>
        <w:spacing w:line="500" w:lineRule="exact"/>
        <w:ind w:firstLine="480"/>
        <w:textAlignment w:val="auto"/>
        <w:rPr>
          <w:rFonts w:hint="eastAsia" w:ascii="宋体" w:hAnsi="宋体" w:eastAsia="宋体" w:cs="宋体"/>
          <w:b w:val="0"/>
          <w:bCs w:val="0"/>
          <w:snapToGrid w:val="0"/>
          <w:color w:val="auto"/>
          <w:kern w:val="0"/>
          <w:highlight w:val="none"/>
          <w:lang w:val="en-US" w:eastAsia="zh-CN"/>
        </w:rPr>
      </w:pPr>
      <w:r>
        <w:rPr>
          <w:rFonts w:hint="eastAsia" w:ascii="宋体" w:hAnsi="宋体" w:eastAsia="宋体" w:cs="宋体"/>
          <w:b w:val="0"/>
          <w:bCs w:val="0"/>
          <w:snapToGrid w:val="0"/>
          <w:color w:val="auto"/>
          <w:kern w:val="0"/>
          <w:highlight w:val="none"/>
          <w:lang w:val="en-US" w:eastAsia="zh-CN"/>
        </w:rPr>
        <w:t>本工程的评标专家酬劳由中标人支付，该费用不再另行报价，由投标人在投标报价时综合考虑在内，中标人在领取中标通知书前须向招标代理机构一次性支付（评标专家酬劳先由招标代理垫付，评标专家酬劳以评标结束当日的评标专家酬劳签收表总额为准）。</w:t>
      </w:r>
    </w:p>
    <w:p w14:paraId="1AC17FF1">
      <w:pPr>
        <w:rPr>
          <w:rFonts w:hint="eastAsia" w:ascii="宋体" w:hAnsi="宋体" w:eastAsia="宋体" w:cs="宋体"/>
          <w:color w:val="auto"/>
          <w:highlight w:val="none"/>
        </w:rPr>
      </w:pPr>
    </w:p>
    <w:p w14:paraId="7F3FE8EA">
      <w:pPr>
        <w:rPr>
          <w:rFonts w:hint="eastAsia" w:ascii="宋体" w:hAnsi="宋体" w:eastAsia="宋体" w:cs="宋体"/>
          <w:color w:val="auto"/>
          <w:highlight w:val="none"/>
        </w:rPr>
      </w:pPr>
    </w:p>
    <w:p w14:paraId="1C4EE88C">
      <w:pPr>
        <w:rPr>
          <w:rFonts w:hint="eastAsia" w:ascii="宋体" w:hAnsi="宋体" w:eastAsia="宋体" w:cs="宋体"/>
          <w:color w:val="auto"/>
          <w:highlight w:val="none"/>
        </w:rPr>
      </w:pPr>
    </w:p>
    <w:p w14:paraId="60826D3C">
      <w:pPr>
        <w:rPr>
          <w:rFonts w:hint="eastAsia" w:ascii="宋体" w:hAnsi="宋体" w:eastAsia="宋体" w:cs="宋体"/>
          <w:color w:val="auto"/>
          <w:highlight w:val="none"/>
        </w:rPr>
      </w:pPr>
    </w:p>
    <w:p w14:paraId="23FBDD4C">
      <w:pPr>
        <w:rPr>
          <w:rFonts w:hint="eastAsia" w:ascii="宋体" w:hAnsi="宋体" w:eastAsia="宋体" w:cs="宋体"/>
          <w:color w:val="auto"/>
          <w:highlight w:val="none"/>
        </w:rPr>
      </w:pPr>
    </w:p>
    <w:p w14:paraId="26B2188F">
      <w:pPr>
        <w:pStyle w:val="3"/>
        <w:keepNext w:val="0"/>
        <w:keepLines w:val="0"/>
        <w:pageBreakBefore w:val="0"/>
        <w:widowControl w:val="0"/>
        <w:kinsoku/>
        <w:wordWrap/>
        <w:overflowPunct/>
        <w:topLinePunct w:val="0"/>
        <w:autoSpaceDE w:val="0"/>
        <w:autoSpaceDN w:val="0"/>
        <w:bidi w:val="0"/>
        <w:adjustRightInd w:val="0"/>
        <w:snapToGrid/>
        <w:spacing w:line="500" w:lineRule="exact"/>
        <w:jc w:val="center"/>
        <w:textAlignment w:val="auto"/>
        <w:outlineLvl w:val="0"/>
        <w:rPr>
          <w:rFonts w:hint="eastAsia" w:ascii="宋体" w:hAnsi="宋体" w:eastAsia="宋体" w:cs="宋体"/>
          <w:b/>
          <w:snapToGrid w:val="0"/>
          <w:color w:val="auto"/>
          <w:highlight w:val="none"/>
        </w:rPr>
      </w:pPr>
      <w:bookmarkStart w:id="123" w:name="_Toc11968"/>
      <w:r>
        <w:rPr>
          <w:rFonts w:hint="eastAsia" w:ascii="宋体" w:hAnsi="宋体" w:eastAsia="宋体" w:cs="宋体"/>
          <w:b/>
          <w:snapToGrid w:val="0"/>
          <w:color w:val="auto"/>
          <w:sz w:val="30"/>
          <w:szCs w:val="30"/>
          <w:highlight w:val="none"/>
        </w:rPr>
        <w:t>第三章</w:t>
      </w:r>
      <w:bookmarkStart w:id="124" w:name="_Hlt87793831"/>
      <w:bookmarkEnd w:id="124"/>
      <w:r>
        <w:rPr>
          <w:rFonts w:hint="eastAsia" w:ascii="宋体" w:hAnsi="宋体" w:eastAsia="宋体" w:cs="宋体"/>
          <w:b/>
          <w:snapToGrid w:val="0"/>
          <w:color w:val="auto"/>
          <w:sz w:val="30"/>
          <w:szCs w:val="30"/>
          <w:highlight w:val="none"/>
          <w:lang w:val="en-US" w:eastAsia="zh-CN"/>
        </w:rPr>
        <w:t xml:space="preserve">   </w:t>
      </w:r>
      <w:r>
        <w:rPr>
          <w:rFonts w:hint="eastAsia" w:ascii="宋体" w:hAnsi="宋体" w:eastAsia="宋体" w:cs="宋体"/>
          <w:b/>
          <w:snapToGrid w:val="0"/>
          <w:color w:val="auto"/>
          <w:sz w:val="30"/>
          <w:szCs w:val="30"/>
          <w:highlight w:val="none"/>
        </w:rPr>
        <w:t>拟签订合同的主要条款</w:t>
      </w:r>
      <w:bookmarkEnd w:id="119"/>
      <w:bookmarkEnd w:id="120"/>
      <w:bookmarkEnd w:id="121"/>
      <w:bookmarkEnd w:id="123"/>
      <w:bookmarkStart w:id="125" w:name="_Toc322793288"/>
      <w:bookmarkStart w:id="126" w:name="_Toc326916629"/>
    </w:p>
    <w:p w14:paraId="7E4FB331">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127" w:name="_Toc20638"/>
      <w:bookmarkStart w:id="128" w:name="_Toc5017"/>
      <w:r>
        <w:rPr>
          <w:rFonts w:hint="eastAsia" w:ascii="宋体" w:hAnsi="宋体" w:eastAsia="宋体" w:cs="宋体"/>
          <w:b/>
          <w:snapToGrid w:val="0"/>
          <w:color w:val="auto"/>
          <w:highlight w:val="none"/>
          <w:lang w:val="en-US" w:eastAsia="zh-CN"/>
        </w:rPr>
        <w:t>1．工程承包方式</w:t>
      </w:r>
      <w:bookmarkEnd w:id="125"/>
      <w:bookmarkEnd w:id="126"/>
      <w:bookmarkEnd w:id="127"/>
      <w:bookmarkEnd w:id="128"/>
    </w:p>
    <w:p w14:paraId="3DA12518">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w:t>
      </w:r>
      <w:r>
        <w:rPr>
          <w:rFonts w:hint="eastAsia" w:ascii="宋体" w:hAnsi="宋体" w:eastAsia="宋体" w:cs="宋体"/>
          <w:snapToGrid w:val="0"/>
          <w:color w:val="auto"/>
          <w:kern w:val="0"/>
          <w:highlight w:val="none"/>
        </w:rPr>
        <w:t xml:space="preserve"> 承包人以中标价按包工</w:t>
      </w:r>
      <w:bookmarkStart w:id="129" w:name="_Hlt87948212"/>
      <w:bookmarkEnd w:id="129"/>
      <w:r>
        <w:rPr>
          <w:rFonts w:hint="eastAsia" w:ascii="宋体" w:hAnsi="宋体" w:eastAsia="宋体" w:cs="宋体"/>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749D05BB">
      <w:pPr>
        <w:keepNext w:val="0"/>
        <w:keepLines w:val="0"/>
        <w:pageBreakBefore w:val="0"/>
        <w:widowControl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1.1.1</w:t>
      </w:r>
      <w:r>
        <w:rPr>
          <w:rFonts w:hint="eastAsia" w:ascii="宋体" w:hAnsi="宋体" w:eastAsia="宋体" w:cs="宋体"/>
          <w:snapToGrid w:val="0"/>
          <w:color w:val="auto"/>
          <w:kern w:val="0"/>
          <w:highlight w:val="none"/>
        </w:rPr>
        <w:t xml:space="preserve"> 包工包料：材料符合招标文件要求并报验使用；办理用工保险。</w:t>
      </w:r>
    </w:p>
    <w:p w14:paraId="0BC5192A">
      <w:pPr>
        <w:keepNext w:val="0"/>
        <w:keepLines w:val="0"/>
        <w:pageBreakBefore w:val="0"/>
        <w:widowControl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1.1.2</w:t>
      </w:r>
      <w:r>
        <w:rPr>
          <w:rFonts w:hint="eastAsia" w:ascii="宋体" w:hAnsi="宋体" w:eastAsia="宋体" w:cs="宋体"/>
          <w:snapToGrid w:val="0"/>
          <w:color w:val="auto"/>
          <w:kern w:val="0"/>
          <w:highlight w:val="none"/>
        </w:rPr>
        <w:t xml:space="preserve"> 包质量：符合招标文件要求。</w:t>
      </w:r>
    </w:p>
    <w:p w14:paraId="5E192686">
      <w:pPr>
        <w:keepNext w:val="0"/>
        <w:keepLines w:val="0"/>
        <w:pageBreakBefore w:val="0"/>
        <w:widowControl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1.1.3</w:t>
      </w:r>
      <w:r>
        <w:rPr>
          <w:rFonts w:hint="eastAsia" w:ascii="宋体" w:hAnsi="宋体" w:eastAsia="宋体" w:cs="宋体"/>
          <w:snapToGrid w:val="0"/>
          <w:color w:val="auto"/>
          <w:kern w:val="0"/>
          <w:highlight w:val="none"/>
        </w:rPr>
        <w:t xml:space="preserve"> 包安全包文明施工：符合招标文件要求。</w:t>
      </w:r>
    </w:p>
    <w:p w14:paraId="70645038">
      <w:pPr>
        <w:keepNext w:val="0"/>
        <w:keepLines w:val="0"/>
        <w:pageBreakBefore w:val="0"/>
        <w:widowControl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1.1.4 </w:t>
      </w:r>
      <w:r>
        <w:rPr>
          <w:rFonts w:hint="eastAsia" w:ascii="宋体" w:hAnsi="宋体" w:eastAsia="宋体" w:cs="宋体"/>
          <w:snapToGrid w:val="0"/>
          <w:color w:val="auto"/>
          <w:kern w:val="0"/>
          <w:highlight w:val="none"/>
        </w:rPr>
        <w:t>包工期：本招标项目施工必须在招标工期内完成。</w:t>
      </w:r>
    </w:p>
    <w:p w14:paraId="15151B63">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130" w:name="_2、工程结算原则"/>
      <w:bookmarkEnd w:id="130"/>
      <w:bookmarkStart w:id="131" w:name="_Toc326916630"/>
      <w:bookmarkStart w:id="132" w:name="_Toc5555"/>
      <w:bookmarkStart w:id="133" w:name="_Toc322793289"/>
      <w:bookmarkStart w:id="134" w:name="_Toc4320"/>
      <w:bookmarkStart w:id="135" w:name="_Hlt87948447"/>
      <w:bookmarkStart w:id="136" w:name="_Hlt87948449"/>
      <w:bookmarkStart w:id="137" w:name="_Toc4363"/>
      <w:bookmarkStart w:id="138" w:name="_Toc14079373"/>
      <w:r>
        <w:rPr>
          <w:rFonts w:hint="eastAsia" w:ascii="宋体" w:hAnsi="宋体" w:eastAsia="宋体" w:cs="宋体"/>
          <w:b/>
          <w:snapToGrid w:val="0"/>
          <w:color w:val="auto"/>
          <w:highlight w:val="none"/>
          <w:lang w:val="en-US" w:eastAsia="zh-CN"/>
        </w:rPr>
        <w:t>2．工程结算原则</w:t>
      </w:r>
      <w:bookmarkEnd w:id="131"/>
      <w:bookmarkEnd w:id="132"/>
      <w:bookmarkEnd w:id="133"/>
      <w:bookmarkEnd w:id="134"/>
    </w:p>
    <w:p w14:paraId="3AA2832E">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24"/>
          <w:highlight w:val="none"/>
        </w:rPr>
      </w:pPr>
      <w:bookmarkStart w:id="139" w:name="_Hlt88974053"/>
      <w:bookmarkEnd w:id="139"/>
      <w:r>
        <w:rPr>
          <w:rFonts w:hint="eastAsia" w:ascii="宋体" w:hAnsi="宋体" w:eastAsia="宋体" w:cs="宋体"/>
          <w:b/>
          <w:bCs/>
          <w:snapToGrid w:val="0"/>
          <w:color w:val="auto"/>
          <w:kern w:val="0"/>
          <w:szCs w:val="24"/>
          <w:highlight w:val="none"/>
        </w:rPr>
        <w:t>2.1</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人的投标总价为中标价，即为签约合同价。</w:t>
      </w:r>
    </w:p>
    <w:p w14:paraId="62E32640">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2.2</w:t>
      </w:r>
      <w:r>
        <w:rPr>
          <w:rFonts w:hint="eastAsia" w:ascii="宋体" w:hAnsi="宋体" w:eastAsia="宋体" w:cs="宋体"/>
          <w:snapToGrid w:val="0"/>
          <w:color w:val="auto"/>
          <w:kern w:val="0"/>
          <w:szCs w:val="24"/>
          <w:highlight w:val="none"/>
        </w:rPr>
        <w:t xml:space="preserve"> 招标工程量清单标明的工程量是投标人投标报价的共同基础，竣工结算的工程量按《建设工程工程量清单计价标准》（GB50500—2024）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2336E57A">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w:t>
      </w:r>
      <w:r>
        <w:rPr>
          <w:rFonts w:hint="eastAsia" w:ascii="宋体" w:hAnsi="宋体" w:eastAsia="宋体" w:cs="宋体"/>
          <w:snapToGrid w:val="0"/>
          <w:color w:val="auto"/>
          <w:kern w:val="0"/>
          <w:szCs w:val="24"/>
          <w:highlight w:val="none"/>
        </w:rPr>
        <w:t xml:space="preserve"> 施工合同履行期间，若出现下列情形的，发、承包双方应当按照以下规定调整合同价款：</w:t>
      </w:r>
    </w:p>
    <w:p w14:paraId="417E858F">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w:t>
      </w:r>
      <w:r>
        <w:rPr>
          <w:rFonts w:hint="eastAsia" w:ascii="宋体" w:hAnsi="宋体" w:eastAsia="宋体" w:cs="宋体"/>
          <w:snapToGrid w:val="0"/>
          <w:color w:val="auto"/>
          <w:kern w:val="0"/>
          <w:szCs w:val="24"/>
          <w:highlight w:val="none"/>
        </w:rPr>
        <w:t xml:space="preserve"> 法律法规变化</w:t>
      </w:r>
    </w:p>
    <w:p w14:paraId="28DB873A">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42036DB1">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highlight w:val="none"/>
          <w:u w:val="single"/>
          <w:lang w:eastAsia="zh-CN"/>
        </w:rPr>
      </w:pPr>
      <w:r>
        <w:rPr>
          <w:rFonts w:hint="eastAsia" w:ascii="宋体" w:hAnsi="宋体" w:eastAsia="宋体" w:cs="宋体"/>
          <w:b/>
          <w:bCs/>
          <w:snapToGrid w:val="0"/>
          <w:color w:val="auto"/>
          <w:kern w:val="0"/>
          <w:highlight w:val="none"/>
        </w:rPr>
        <w:t>注：本招标文件所称“基准日”，均指投标文件</w:t>
      </w:r>
      <w:r>
        <w:rPr>
          <w:rFonts w:hint="eastAsia" w:ascii="宋体" w:hAnsi="宋体" w:eastAsia="宋体" w:cs="宋体"/>
          <w:b/>
          <w:bCs/>
          <w:snapToGrid w:val="0"/>
          <w:color w:val="auto"/>
          <w:kern w:val="0"/>
          <w:highlight w:val="none"/>
          <w:lang w:val="en-US" w:eastAsia="zh-CN"/>
        </w:rPr>
        <w:t>提</w:t>
      </w:r>
      <w:r>
        <w:rPr>
          <w:rFonts w:hint="eastAsia" w:ascii="宋体" w:hAnsi="宋体" w:eastAsia="宋体" w:cs="宋体"/>
          <w:b/>
          <w:bCs/>
          <w:snapToGrid w:val="0"/>
          <w:color w:val="auto"/>
          <w:kern w:val="0"/>
          <w:highlight w:val="none"/>
        </w:rPr>
        <w:t>交截止时间（见第一章第二节“重要事项时间地点一览表”）前28天</w:t>
      </w:r>
      <w:r>
        <w:rPr>
          <w:rFonts w:hint="eastAsia" w:ascii="宋体" w:hAnsi="宋体" w:eastAsia="宋体" w:cs="宋体"/>
          <w:b/>
          <w:bCs/>
          <w:snapToGrid w:val="0"/>
          <w:color w:val="auto"/>
          <w:kern w:val="0"/>
          <w:highlight w:val="none"/>
          <w:lang w:eastAsia="zh-CN"/>
        </w:rPr>
        <w:t>。</w:t>
      </w:r>
    </w:p>
    <w:p w14:paraId="54B10397">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2.3.1.2</w:t>
      </w:r>
      <w:r>
        <w:rPr>
          <w:rFonts w:hint="eastAsia" w:ascii="宋体" w:hAnsi="宋体" w:eastAsia="宋体" w:cs="宋体"/>
          <w:snapToGrid w:val="0"/>
          <w:color w:val="auto"/>
          <w:kern w:val="0"/>
          <w:szCs w:val="24"/>
          <w:highlight w:val="none"/>
        </w:rPr>
        <w:t xml:space="preserve"> 因承包人原因导致工程延误，本章第</w:t>
      </w: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2D45F178">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w:t>
      </w:r>
      <w:r>
        <w:rPr>
          <w:rFonts w:hint="eastAsia" w:ascii="宋体" w:hAnsi="宋体" w:eastAsia="宋体" w:cs="宋体"/>
          <w:snapToGrid w:val="0"/>
          <w:color w:val="auto"/>
          <w:kern w:val="0"/>
          <w:szCs w:val="24"/>
          <w:highlight w:val="none"/>
        </w:rPr>
        <w:t xml:space="preserve"> 工程量偏差或变化</w:t>
      </w:r>
    </w:p>
    <w:p w14:paraId="74EF1F30">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338EF5EB">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对于合理报价的清单项目，当工程量增加超过15%时，增加部分的工程量的综合单价以投标报价《分部分项工程和单价措施项目清单与计价表》中综合单价为基价调低3%；当工程量减少超过15%时，减少后剩余部分的工程量的综合单价以投标报价《分部分项工程和单价措施项目清单与计价表》中综合单价为基价调高3%。</w:t>
      </w:r>
    </w:p>
    <w:p w14:paraId="63B26090">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对于按照第二章“中标人须知”第 4.2 条被认定为不平衡报价的清单项目，其综合单价按照以下方法调整：</w:t>
      </w:r>
    </w:p>
    <w:p w14:paraId="5BD5F2E8">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以招标控制价中《分部分项工程和单价措施项目清单与计价表》子目相对应综合单价×（1-中标下浮率）。</w:t>
      </w:r>
    </w:p>
    <w:p w14:paraId="7E00D5F1">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中标下浮率=[1-（中标价-中标安全生产措施费-暂列金额-暂估价）/（招标控制价-控制价安全生产措施费-暂列金额-暂估价）]×100%</w:t>
      </w:r>
    </w:p>
    <w:p w14:paraId="7678E60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val="0"/>
          <w:snapToGrid w:val="0"/>
          <w:color w:val="auto"/>
          <w:kern w:val="0"/>
          <w:szCs w:val="24"/>
          <w:highlight w:val="none"/>
        </w:rPr>
      </w:pPr>
      <w:r>
        <w:rPr>
          <w:rFonts w:hint="eastAsia" w:ascii="宋体" w:hAnsi="宋体" w:eastAsia="宋体" w:cs="宋体"/>
          <w:b w:val="0"/>
          <w:bCs w:val="0"/>
          <w:snapToGrid w:val="0"/>
          <w:color w:val="auto"/>
          <w:kern w:val="0"/>
          <w:szCs w:val="24"/>
          <w:highlight w:val="none"/>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048A6784">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2.3.2.2</w:t>
      </w:r>
      <w:r>
        <w:rPr>
          <w:rFonts w:hint="eastAsia" w:ascii="宋体" w:hAnsi="宋体" w:eastAsia="宋体" w:cs="宋体"/>
          <w:snapToGrid w:val="0"/>
          <w:color w:val="auto"/>
          <w:kern w:val="0"/>
          <w:szCs w:val="24"/>
          <w:highlight w:val="none"/>
        </w:rPr>
        <w:t xml:space="preserve"> 如果工程量出现本章第</w:t>
      </w: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0D6F2A15">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 xml:space="preserve"> 工程变更</w:t>
      </w:r>
    </w:p>
    <w:p w14:paraId="634EF246">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 xml:space="preserve"> 合同履行期间，因工程变更引起已标价工程量清单项目发生变化时，按照以下规定调整：</w:t>
      </w:r>
    </w:p>
    <w:p w14:paraId="4846BCEE">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bCs/>
          <w:snapToGrid w:val="0"/>
          <w:color w:val="auto"/>
          <w:kern w:val="0"/>
          <w:szCs w:val="24"/>
          <w:highlight w:val="none"/>
        </w:rPr>
      </w:pPr>
      <w:r>
        <w:rPr>
          <w:rFonts w:hint="eastAsia" w:ascii="宋体" w:hAnsi="宋体" w:eastAsia="宋体" w:cs="宋体"/>
          <w:snapToGrid w:val="0"/>
          <w:color w:val="auto"/>
          <w:kern w:val="0"/>
          <w:szCs w:val="24"/>
          <w:highlight w:val="none"/>
        </w:rPr>
        <w:t>（1）已标价工程量清单中有适用于变更工程项目的，采用该项目的单价。</w:t>
      </w:r>
      <w:r>
        <w:rPr>
          <w:rFonts w:hint="eastAsia" w:ascii="宋体" w:hAnsi="宋体" w:eastAsia="宋体" w:cs="宋体"/>
          <w:b/>
          <w:bCs/>
          <w:snapToGrid w:val="0"/>
          <w:color w:val="auto"/>
          <w:kern w:val="0"/>
          <w:szCs w:val="24"/>
          <w:highlight w:val="none"/>
        </w:rPr>
        <w:t>但如果被采用的项目属于按照第二章“中标人须知”第4.2条被认定为不平衡报价的清单项目，变更工程项目的单价按照本章2.3.2.1的方法调整。</w:t>
      </w:r>
    </w:p>
    <w:p w14:paraId="1567688E">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bCs/>
          <w:snapToGrid w:val="0"/>
          <w:color w:val="auto"/>
          <w:kern w:val="0"/>
          <w:szCs w:val="24"/>
          <w:highlight w:val="none"/>
        </w:rPr>
      </w:pPr>
      <w:r>
        <w:rPr>
          <w:rFonts w:hint="eastAsia" w:ascii="宋体" w:hAnsi="宋体" w:eastAsia="宋体" w:cs="宋体"/>
          <w:snapToGrid w:val="0"/>
          <w:color w:val="auto"/>
          <w:kern w:val="0"/>
          <w:szCs w:val="24"/>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Cs w:val="24"/>
          <w:highlight w:val="none"/>
        </w:rPr>
        <w:t>但如果被参考的类似项目属于按照第二章“中标人须知”第4.2条被认定为不平衡报价的清单项目，变更工程项目的单价按照本章2.3.2.1的方法调整。</w:t>
      </w:r>
    </w:p>
    <w:p w14:paraId="0292FD63">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0" w:firstLineChars="200"/>
        <w:jc w:val="both"/>
        <w:textAlignment w:val="auto"/>
        <w:outlineLvl w:val="9"/>
        <w:rPr>
          <w:rFonts w:hint="eastAsia" w:ascii="宋体" w:hAnsi="宋体" w:eastAsia="宋体" w:cs="宋体"/>
          <w:snapToGrid w:val="0"/>
          <w:color w:val="auto"/>
          <w:kern w:val="0"/>
          <w:szCs w:val="24"/>
          <w:highlight w:val="none"/>
          <w:lang w:eastAsia="zh-CN"/>
        </w:rPr>
      </w:pPr>
      <w:r>
        <w:rPr>
          <w:rFonts w:hint="eastAsia" w:ascii="宋体" w:hAnsi="宋体" w:eastAsia="宋体" w:cs="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w:t>
      </w:r>
      <w:r>
        <w:rPr>
          <w:rFonts w:hint="eastAsia" w:ascii="宋体" w:hAnsi="宋体" w:eastAsia="宋体" w:cs="宋体"/>
          <w:snapToGrid w:val="0"/>
          <w:color w:val="auto"/>
          <w:kern w:val="0"/>
          <w:szCs w:val="24"/>
          <w:highlight w:val="none"/>
          <w:lang w:eastAsia="zh-CN"/>
        </w:rPr>
        <w:t>中标下浮率的计算公式如下：</w:t>
      </w:r>
    </w:p>
    <w:p w14:paraId="53E02FFC">
      <w:pPr>
        <w:keepNext w:val="0"/>
        <w:keepLines w:val="0"/>
        <w:pageBreakBefore w:val="0"/>
        <w:widowControl w:val="0"/>
        <w:kinsoku/>
        <w:wordWrap w:val="0"/>
        <w:overflowPunct/>
        <w:topLinePunct w:val="0"/>
        <w:autoSpaceDE/>
        <w:autoSpaceDN/>
        <w:bidi w:val="0"/>
        <w:adjustRightInd w:val="0"/>
        <w:snapToGrid w:val="0"/>
        <w:spacing w:before="0" w:beforeLines="0" w:after="0" w:afterLines="0" w:line="500" w:lineRule="exact"/>
        <w:ind w:right="0" w:rightChars="0" w:firstLine="482" w:firstLineChars="200"/>
        <w:jc w:val="left"/>
        <w:textAlignment w:val="auto"/>
        <w:outlineLvl w:val="9"/>
        <w:rPr>
          <w:rFonts w:hint="eastAsia" w:ascii="宋体" w:hAnsi="宋体" w:eastAsia="宋体" w:cs="宋体"/>
          <w:b/>
          <w:bCs/>
          <w:snapToGrid w:val="0"/>
          <w:color w:val="auto"/>
          <w:kern w:val="0"/>
          <w:szCs w:val="24"/>
          <w:highlight w:val="none"/>
          <w:lang w:eastAsia="zh-CN"/>
        </w:rPr>
      </w:pPr>
      <w:r>
        <w:rPr>
          <w:rFonts w:hint="eastAsia" w:ascii="宋体" w:hAnsi="宋体" w:eastAsia="宋体" w:cs="宋体"/>
          <w:b/>
          <w:bCs/>
          <w:snapToGrid w:val="0"/>
          <w:color w:val="auto"/>
          <w:kern w:val="0"/>
          <w:szCs w:val="24"/>
          <w:highlight w:val="none"/>
          <w:lang w:eastAsia="zh-CN"/>
        </w:rPr>
        <w:t>中标下浮率=[1-（中标价-中标安全生产措施费-暂列金额-暂估价）/（招标控制价-控制价安全生产措施费-暂列金额-暂估价）]×100%</w:t>
      </w:r>
    </w:p>
    <w:p w14:paraId="0F6091E1">
      <w:pPr>
        <w:keepNext w:val="0"/>
        <w:keepLines w:val="0"/>
        <w:pageBreakBefore w:val="0"/>
        <w:widowControl w:val="0"/>
        <w:numPr>
          <w:ilvl w:val="0"/>
          <w:numId w:val="1"/>
        </w:numPr>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760D106F">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0807F606">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（1）安全生产措施费应按照实际发生变化的措施项目计算。</w:t>
      </w:r>
    </w:p>
    <w:p w14:paraId="159EDFFA">
      <w:pPr>
        <w:keepNext w:val="0"/>
        <w:keepLines w:val="0"/>
        <w:pageBreakBefore w:val="0"/>
        <w:widowControl w:val="0"/>
        <w:kinsoku/>
        <w:wordWrap w:val="0"/>
        <w:overflowPunct/>
        <w:topLinePunct w:val="0"/>
        <w:autoSpaceDE/>
        <w:autoSpaceDN/>
        <w:bidi w:val="0"/>
        <w:adjustRightInd w:val="0"/>
        <w:snapToGrid w:val="0"/>
        <w:spacing w:line="500" w:lineRule="exact"/>
        <w:ind w:left="0" w:leftChars="0"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（2）采用单价计算的措施项目费，应按照实际发生变化的措施项目，按本章第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w:t>
      </w:r>
    </w:p>
    <w:p w14:paraId="2D2B2B22">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（3）按总价或系数计算的措施项目费，应按照实际发生变化的措施项目费调整并考虑中标下浮率因素，即调整金额</w:t>
      </w:r>
      <w:r>
        <w:rPr>
          <w:rFonts w:hint="eastAsia" w:ascii="宋体" w:hAnsi="宋体" w:eastAsia="宋体" w:cs="宋体"/>
          <w:bCs/>
          <w:snapToGrid w:val="0"/>
          <w:color w:val="auto"/>
          <w:kern w:val="0"/>
          <w:szCs w:val="28"/>
          <w:highlight w:val="none"/>
        </w:rPr>
        <w:t>＝按照实际变化调整</w:t>
      </w:r>
      <w:r>
        <w:rPr>
          <w:rFonts w:hint="eastAsia" w:ascii="宋体" w:hAnsi="宋体" w:eastAsia="宋体" w:cs="宋体"/>
          <w:snapToGrid w:val="0"/>
          <w:color w:val="auto"/>
          <w:kern w:val="0"/>
          <w:szCs w:val="24"/>
          <w:highlight w:val="none"/>
        </w:rPr>
        <w:t>后的金额</w:t>
      </w:r>
      <w:r>
        <w:rPr>
          <w:rFonts w:hint="eastAsia" w:ascii="宋体" w:hAnsi="宋体" w:eastAsia="宋体" w:cs="宋体"/>
          <w:bCs/>
          <w:snapToGrid w:val="0"/>
          <w:color w:val="auto"/>
          <w:kern w:val="0"/>
          <w:szCs w:val="28"/>
          <w:highlight w:val="none"/>
        </w:rPr>
        <w:t>×</w:t>
      </w:r>
      <w:r>
        <w:rPr>
          <w:rFonts w:hint="eastAsia" w:ascii="宋体" w:hAnsi="宋体" w:eastAsia="宋体" w:cs="宋体"/>
          <w:bCs/>
          <w:snapToGrid w:val="0"/>
          <w:color w:val="auto"/>
          <w:kern w:val="0"/>
          <w:szCs w:val="28"/>
          <w:highlight w:val="none"/>
          <w:lang w:eastAsia="zh-CN"/>
        </w:rPr>
        <w:t>（</w:t>
      </w:r>
      <w:r>
        <w:rPr>
          <w:rFonts w:hint="eastAsia" w:ascii="宋体" w:hAnsi="宋体" w:eastAsia="宋体" w:cs="宋体"/>
          <w:bCs/>
          <w:snapToGrid w:val="0"/>
          <w:color w:val="auto"/>
          <w:kern w:val="0"/>
          <w:szCs w:val="28"/>
          <w:highlight w:val="none"/>
          <w:lang w:val="en-US" w:eastAsia="zh-CN"/>
        </w:rPr>
        <w:t>1-</w:t>
      </w:r>
      <w:r>
        <w:rPr>
          <w:rFonts w:hint="eastAsia" w:ascii="宋体" w:hAnsi="宋体" w:eastAsia="宋体" w:cs="宋体"/>
          <w:snapToGrid w:val="0"/>
          <w:color w:val="auto"/>
          <w:kern w:val="0"/>
          <w:szCs w:val="24"/>
          <w:highlight w:val="none"/>
        </w:rPr>
        <w:t>中标下浮率</w:t>
      </w:r>
      <w:r>
        <w:rPr>
          <w:rFonts w:hint="eastAsia" w:ascii="宋体" w:hAnsi="宋体" w:eastAsia="宋体" w:cs="宋体"/>
          <w:bCs/>
          <w:snapToGrid w:val="0"/>
          <w:color w:val="auto"/>
          <w:kern w:val="0"/>
          <w:szCs w:val="28"/>
          <w:highlight w:val="none"/>
          <w:lang w:eastAsia="zh-CN"/>
        </w:rPr>
        <w:t>）</w:t>
      </w:r>
      <w:r>
        <w:rPr>
          <w:rFonts w:hint="eastAsia" w:ascii="宋体" w:hAnsi="宋体" w:eastAsia="宋体" w:cs="宋体"/>
          <w:snapToGrid w:val="0"/>
          <w:color w:val="auto"/>
          <w:kern w:val="0"/>
          <w:szCs w:val="24"/>
          <w:highlight w:val="none"/>
        </w:rPr>
        <w:t>。</w:t>
      </w:r>
    </w:p>
    <w:p w14:paraId="51EDAA5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如果承包人未事先将拟实施的方案提交发包人确认，视为工程变更不引起措施项目费的调整或承包人放弃调整措施项目费的权利。</w:t>
      </w:r>
    </w:p>
    <w:p w14:paraId="547D002C">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7A4F1E4C">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2.3.4</w:t>
      </w:r>
      <w:r>
        <w:rPr>
          <w:rFonts w:hint="eastAsia" w:ascii="宋体" w:hAnsi="宋体" w:eastAsia="宋体" w:cs="宋体"/>
          <w:snapToGrid w:val="0"/>
          <w:color w:val="auto"/>
          <w:kern w:val="0"/>
          <w:szCs w:val="24"/>
          <w:highlight w:val="none"/>
        </w:rPr>
        <w:t xml:space="preserve"> 项目特征不符</w:t>
      </w:r>
    </w:p>
    <w:p w14:paraId="30CBF5F0">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目相关条款的规定重新确定相应工程量清单项目的综合单价，并调整合同价款。</w:t>
      </w:r>
    </w:p>
    <w:p w14:paraId="452EB113">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w:t>
      </w:r>
      <w:r>
        <w:rPr>
          <w:rFonts w:hint="eastAsia" w:ascii="宋体" w:hAnsi="宋体" w:eastAsia="宋体" w:cs="宋体"/>
          <w:snapToGrid w:val="0"/>
          <w:color w:val="auto"/>
          <w:kern w:val="0"/>
          <w:szCs w:val="24"/>
          <w:highlight w:val="none"/>
        </w:rPr>
        <w:t xml:space="preserve"> 招标工程量清单缺项</w:t>
      </w:r>
    </w:p>
    <w:p w14:paraId="75DA7061">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2.3.5.1</w:t>
      </w:r>
      <w:r>
        <w:rPr>
          <w:rFonts w:hint="eastAsia" w:ascii="宋体" w:hAnsi="宋体" w:eastAsia="宋体" w:cs="宋体"/>
          <w:snapToGrid w:val="0"/>
          <w:color w:val="auto"/>
          <w:kern w:val="0"/>
          <w:szCs w:val="24"/>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子目的规定确定单价，并调整合同价款。</w:t>
      </w:r>
    </w:p>
    <w:p w14:paraId="0D3315C0">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2.3.5.2</w:t>
      </w:r>
      <w:r>
        <w:rPr>
          <w:rFonts w:hint="eastAsia" w:ascii="宋体" w:hAnsi="宋体" w:eastAsia="宋体" w:cs="宋体"/>
          <w:snapToGrid w:val="0"/>
          <w:color w:val="auto"/>
          <w:kern w:val="0"/>
          <w:szCs w:val="24"/>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子目的规定，在承包人提交的实施方案被发包人批准后调整合同价款。</w:t>
      </w:r>
    </w:p>
    <w:p w14:paraId="3158CD14">
      <w:pPr>
        <w:keepNext w:val="0"/>
        <w:keepLines w:val="0"/>
        <w:pageBreakBefore w:val="0"/>
        <w:widowControl w:val="0"/>
        <w:kinsoku/>
        <w:wordWrap w:val="0"/>
        <w:overflowPunct/>
        <w:topLinePunct w:val="0"/>
        <w:autoSpaceDE/>
        <w:autoSpaceDN/>
        <w:bidi w:val="0"/>
        <w:adjustRightInd w:val="0"/>
        <w:snapToGrid w:val="0"/>
        <w:spacing w:line="500" w:lineRule="exact"/>
        <w:ind w:right="0"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2.3.5.3</w:t>
      </w:r>
      <w:r>
        <w:rPr>
          <w:rFonts w:hint="eastAsia" w:ascii="宋体" w:hAnsi="宋体" w:eastAsia="宋体" w:cs="宋体"/>
          <w:snapToGrid w:val="0"/>
          <w:color w:val="auto"/>
          <w:kern w:val="0"/>
          <w:szCs w:val="24"/>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子目的规定调整合同价款。</w:t>
      </w:r>
    </w:p>
    <w:p w14:paraId="05205310">
      <w:pPr>
        <w:keepNext w:val="0"/>
        <w:keepLines w:val="0"/>
        <w:pageBreakBefore w:val="0"/>
        <w:widowControl w:val="0"/>
        <w:kinsoku/>
        <w:wordWrap w:val="0"/>
        <w:overflowPunct/>
        <w:topLinePunct w:val="0"/>
        <w:autoSpaceDE/>
        <w:autoSpaceDN/>
        <w:bidi w:val="0"/>
        <w:adjustRightInd w:val="0"/>
        <w:snapToGrid w:val="0"/>
        <w:spacing w:line="500" w:lineRule="exact"/>
        <w:ind w:right="0" w:firstLine="482" w:firstLineChars="200"/>
        <w:textAlignment w:val="auto"/>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w:t>
      </w:r>
      <w:r>
        <w:rPr>
          <w:rFonts w:hint="eastAsia" w:ascii="宋体" w:hAnsi="宋体" w:eastAsia="宋体" w:cs="宋体"/>
          <w:bCs/>
          <w:snapToGrid w:val="0"/>
          <w:color w:val="auto"/>
          <w:kern w:val="0"/>
          <w:szCs w:val="28"/>
          <w:highlight w:val="none"/>
        </w:rPr>
        <w:t xml:space="preserve"> 物价变化</w:t>
      </w:r>
    </w:p>
    <w:p w14:paraId="1AD7B8CC">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合同履行期间，项目所在地工程造价管理机构发布的动态人工调整系数发生变化时，如果承包人投标报价中人工费（以下简称“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中标人工费</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4"/>
          <w:sz w:val="24"/>
          <w:szCs w:val="24"/>
          <w:highlight w:val="none"/>
        </w:rPr>
        <w:t>等于或超过施工当</w:t>
      </w:r>
      <w:r>
        <w:rPr>
          <w:rFonts w:hint="eastAsia" w:ascii="宋体" w:hAnsi="宋体" w:eastAsia="宋体" w:cs="宋体"/>
          <w:color w:val="auto"/>
          <w:spacing w:val="-2"/>
          <w:sz w:val="24"/>
          <w:szCs w:val="24"/>
          <w:highlight w:val="none"/>
        </w:rPr>
        <w:t>月经动态调整后的定额人工费，该清单项目中标人工费不予调整；如果中标人工费低于施工当月经动态调整后的定额人工费，该清单项目中标人工费可以调整，相关费用按有</w:t>
      </w:r>
      <w:r>
        <w:rPr>
          <w:rFonts w:hint="eastAsia" w:ascii="宋体" w:hAnsi="宋体" w:eastAsia="宋体" w:cs="宋体"/>
          <w:color w:val="auto"/>
          <w:spacing w:val="-1"/>
          <w:sz w:val="24"/>
          <w:szCs w:val="24"/>
          <w:highlight w:val="none"/>
        </w:rPr>
        <w:t>关规定进行相应调整。结算人工费调整公式为：</w:t>
      </w:r>
    </w:p>
    <w:p w14:paraId="1921419D">
      <w:pPr>
        <w:keepNext w:val="0"/>
        <w:keepLines w:val="0"/>
        <w:pageBreakBefore w:val="0"/>
        <w:widowControl w:val="0"/>
        <w:kinsoku/>
        <w:wordWrap/>
        <w:overflowPunct/>
        <w:topLinePunct w:val="0"/>
        <w:autoSpaceDE/>
        <w:autoSpaceDN/>
        <w:bidi w:val="0"/>
        <w:adjustRightInd/>
        <w:snapToGrid/>
        <w:spacing w:line="500" w:lineRule="exact"/>
        <w:ind w:right="0" w:firstLine="476" w:firstLineChars="200"/>
        <w:jc w:val="center"/>
        <w:textAlignment w:val="auto"/>
        <w:rPr>
          <w:rFonts w:hint="eastAsia" w:ascii="宋体" w:hAnsi="宋体" w:eastAsia="宋体" w:cs="宋体"/>
          <w:color w:val="auto"/>
          <w:sz w:val="15"/>
          <w:szCs w:val="15"/>
          <w:highlight w:val="none"/>
        </w:rPr>
      </w:pPr>
      <w:r>
        <w:rPr>
          <w:rFonts w:hint="eastAsia" w:ascii="宋体" w:hAnsi="宋体" w:eastAsia="宋体" w:cs="宋体"/>
          <w:color w:val="auto"/>
          <w:spacing w:val="-1"/>
          <w:sz w:val="24"/>
          <w:szCs w:val="24"/>
          <w:highlight w:val="none"/>
        </w:rPr>
        <w:t>结算人工费＝中标人工费×F</w:t>
      </w:r>
      <w:r>
        <w:rPr>
          <w:rFonts w:hint="eastAsia" w:ascii="宋体" w:hAnsi="宋体" w:eastAsia="宋体" w:cs="宋体"/>
          <w:color w:val="auto"/>
          <w:spacing w:val="-1"/>
          <w:position w:val="-1"/>
          <w:sz w:val="15"/>
          <w:szCs w:val="15"/>
          <w:highlight w:val="none"/>
        </w:rPr>
        <w:t>1</w:t>
      </w:r>
    </w:p>
    <w:p w14:paraId="1CBCFF48">
      <w:pPr>
        <w:keepNext w:val="0"/>
        <w:keepLines w:val="0"/>
        <w:pageBreakBefore w:val="0"/>
        <w:widowControl w:val="0"/>
        <w:kinsoku/>
        <w:wordWrap/>
        <w:overflowPunct/>
        <w:topLinePunct w:val="0"/>
        <w:autoSpaceDE/>
        <w:autoSpaceDN/>
        <w:bidi w:val="0"/>
        <w:adjustRightInd/>
        <w:snapToGrid/>
        <w:spacing w:line="500" w:lineRule="exact"/>
        <w:ind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式中，F</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23"/>
          <w:w w:val="101"/>
          <w:position w:val="-1"/>
          <w:sz w:val="15"/>
          <w:szCs w:val="15"/>
          <w:highlight w:val="none"/>
        </w:rPr>
        <w:t xml:space="preserve"> </w:t>
      </w:r>
      <w:r>
        <w:rPr>
          <w:rFonts w:hint="eastAsia" w:ascii="宋体" w:hAnsi="宋体" w:eastAsia="宋体" w:cs="宋体"/>
          <w:color w:val="auto"/>
          <w:spacing w:val="-1"/>
          <w:sz w:val="24"/>
          <w:szCs w:val="24"/>
          <w:highlight w:val="none"/>
        </w:rPr>
        <w:t>为施工当月项目所在地工程造价管理机构发布的动态人工调整系数。</w:t>
      </w:r>
    </w:p>
    <w:p w14:paraId="40EC0F32">
      <w:pPr>
        <w:keepNext w:val="0"/>
        <w:keepLines w:val="0"/>
        <w:pageBreakBefore w:val="0"/>
        <w:widowControl w:val="0"/>
        <w:kinsoku/>
        <w:wordWrap/>
        <w:overflowPunct/>
        <w:topLinePunct w:val="0"/>
        <w:autoSpaceDE/>
        <w:autoSpaceDN/>
        <w:bidi w:val="0"/>
        <w:adjustRightInd/>
        <w:snapToGrid/>
        <w:spacing w:line="500" w:lineRule="exact"/>
        <w:ind w:left="0" w:right="0" w:firstLine="478"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fldChar w:fldCharType="begin"/>
      </w:r>
      <w:r>
        <w:rPr>
          <w:rFonts w:hint="eastAsia" w:ascii="宋体" w:hAnsi="宋体" w:eastAsia="宋体" w:cs="宋体"/>
          <w:b/>
          <w:bCs/>
          <w:color w:val="auto"/>
          <w:spacing w:val="-1"/>
          <w:sz w:val="24"/>
          <w:szCs w:val="24"/>
          <w:highlight w:val="none"/>
        </w:rPr>
        <w:instrText xml:space="preserve"> HYPERLINK "2.3.6.2" </w:instrText>
      </w:r>
      <w:r>
        <w:rPr>
          <w:rFonts w:hint="eastAsia" w:ascii="宋体" w:hAnsi="宋体" w:eastAsia="宋体" w:cs="宋体"/>
          <w:b/>
          <w:bCs/>
          <w:color w:val="auto"/>
          <w:spacing w:val="-1"/>
          <w:sz w:val="24"/>
          <w:szCs w:val="24"/>
          <w:highlight w:val="none"/>
        </w:rPr>
        <w:fldChar w:fldCharType="separate"/>
      </w:r>
      <w:r>
        <w:rPr>
          <w:rFonts w:hint="eastAsia" w:ascii="宋体" w:hAnsi="宋体" w:eastAsia="宋体" w:cs="宋体"/>
          <w:b/>
          <w:bCs/>
          <w:color w:val="auto"/>
          <w:spacing w:val="-1"/>
          <w:sz w:val="24"/>
          <w:szCs w:val="24"/>
          <w:highlight w:val="none"/>
        </w:rPr>
        <w:t>2.3.6.2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本招标项目约定，材料、工程设备</w:t>
      </w:r>
      <w:r>
        <w:rPr>
          <w:rFonts w:hint="eastAsia" w:ascii="宋体" w:hAnsi="宋体" w:eastAsia="宋体" w:cs="宋体"/>
          <w:color w:val="auto"/>
          <w:spacing w:val="-2"/>
          <w:sz w:val="24"/>
          <w:szCs w:val="24"/>
          <w:highlight w:val="none"/>
        </w:rPr>
        <w:t>单价涨跌风险幅度值</w:t>
      </w:r>
      <w:r>
        <w:rPr>
          <w:rFonts w:hint="eastAsia" w:ascii="宋体" w:hAnsi="宋体" w:eastAsia="宋体" w:cs="宋体"/>
          <w:color w:val="auto"/>
          <w:spacing w:val="-59"/>
          <w:sz w:val="24"/>
          <w:szCs w:val="24"/>
          <w:highlight w:val="none"/>
        </w:rPr>
        <w:t xml:space="preserve"> </w:t>
      </w:r>
      <w:r>
        <w:rPr>
          <w:rFonts w:hint="eastAsia" w:ascii="宋体" w:hAnsi="宋体" w:eastAsia="宋体" w:cs="宋体"/>
          <w:color w:val="auto"/>
          <w:spacing w:val="-2"/>
          <w:sz w:val="24"/>
          <w:szCs w:val="24"/>
          <w:highlight w:val="none"/>
        </w:rPr>
        <w:t>A 为</w:t>
      </w:r>
      <w:r>
        <w:rPr>
          <w:rFonts w:hint="eastAsia" w:ascii="宋体" w:hAnsi="宋体" w:eastAsia="宋体" w:cs="宋体"/>
          <w:color w:val="auto"/>
          <w:spacing w:val="-2"/>
          <w:sz w:val="24"/>
          <w:szCs w:val="24"/>
          <w:highlight w:val="none"/>
          <w:u w:val="single"/>
        </w:rPr>
        <w:t xml:space="preserve"> 5% </w:t>
      </w:r>
      <w:r>
        <w:rPr>
          <w:rFonts w:hint="eastAsia" w:ascii="宋体" w:hAnsi="宋体" w:eastAsia="宋体" w:cs="宋体"/>
          <w:color w:val="auto"/>
          <w:spacing w:val="-2"/>
          <w:sz w:val="24"/>
          <w:szCs w:val="24"/>
          <w:highlight w:val="none"/>
        </w:rPr>
        <w:t>。合同履</w:t>
      </w:r>
      <w:r>
        <w:rPr>
          <w:rFonts w:hint="eastAsia" w:ascii="宋体" w:hAnsi="宋体" w:eastAsia="宋体" w:cs="宋体"/>
          <w:color w:val="auto"/>
          <w:spacing w:val="-1"/>
          <w:sz w:val="24"/>
          <w:szCs w:val="24"/>
          <w:highlight w:val="none"/>
        </w:rPr>
        <w:t>行期间，当《</w:t>
      </w:r>
      <w:r>
        <w:rPr>
          <w:rFonts w:hint="eastAsia" w:ascii="宋体" w:hAnsi="宋体" w:eastAsia="宋体" w:cs="宋体"/>
          <w:color w:val="auto"/>
          <w:spacing w:val="-1"/>
          <w:sz w:val="24"/>
          <w:szCs w:val="24"/>
          <w:highlight w:val="none"/>
          <w:lang w:eastAsia="zh-CN"/>
        </w:rPr>
        <w:t>承包人提供可调价主要材料表一</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详见招标工程量清单）中的材</w:t>
      </w:r>
      <w:r>
        <w:rPr>
          <w:rFonts w:hint="eastAsia" w:ascii="宋体" w:hAnsi="宋体" w:eastAsia="宋体" w:cs="宋体"/>
          <w:color w:val="auto"/>
          <w:spacing w:val="-3"/>
          <w:sz w:val="24"/>
          <w:szCs w:val="24"/>
          <w:highlight w:val="none"/>
        </w:rPr>
        <w:t>料、工程设备单价涨跌幅度等于或低于</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A 值时，该材料、工程设备单价不予调整；超过</w:t>
      </w:r>
      <w:r>
        <w:rPr>
          <w:rFonts w:hint="eastAsia" w:ascii="宋体" w:hAnsi="宋体" w:eastAsia="宋体" w:cs="宋体"/>
          <w:color w:val="auto"/>
          <w:sz w:val="24"/>
          <w:szCs w:val="24"/>
          <w:highlight w:val="none"/>
        </w:rPr>
        <w:t>A 值时，其超过部分可以调整。相关费用按有关规定进行相</w:t>
      </w:r>
      <w:r>
        <w:rPr>
          <w:rFonts w:hint="eastAsia" w:ascii="宋体" w:hAnsi="宋体" w:eastAsia="宋体" w:cs="宋体"/>
          <w:color w:val="auto"/>
          <w:spacing w:val="-1"/>
          <w:sz w:val="24"/>
          <w:szCs w:val="24"/>
          <w:highlight w:val="none"/>
        </w:rPr>
        <w:t>应调整。</w:t>
      </w:r>
    </w:p>
    <w:p w14:paraId="4C8B5E5F">
      <w:pPr>
        <w:keepNext w:val="0"/>
        <w:keepLines w:val="0"/>
        <w:pageBreakBefore w:val="0"/>
        <w:widowControl w:val="0"/>
        <w:kinsoku/>
        <w:wordWrap/>
        <w:overflowPunct/>
        <w:topLinePunct w:val="0"/>
        <w:autoSpaceDE/>
        <w:autoSpaceDN/>
        <w:bidi w:val="0"/>
        <w:adjustRightInd/>
        <w:snapToGrid/>
        <w:spacing w:line="500" w:lineRule="exact"/>
        <w:ind w:left="0"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val="en-US" w:eastAsia="zh-CN"/>
        </w:rPr>
        <w:t>a.</w:t>
      </w:r>
      <w:r>
        <w:rPr>
          <w:rFonts w:hint="eastAsia" w:ascii="宋体" w:hAnsi="宋体" w:eastAsia="宋体" w:cs="宋体"/>
          <w:snapToGrid w:val="0"/>
          <w:color w:val="auto"/>
          <w:kern w:val="0"/>
          <w:sz w:val="24"/>
          <w:szCs w:val="24"/>
          <w:highlight w:val="none"/>
          <w:lang w:eastAsia="zh-CN"/>
        </w:rPr>
        <w:t>如果承包人投标报价中材料、工程设备单价（以下简称“中标单价”）低于基准日当月项目所在地工程造价管理机构发布的对应材料、工程设备单价（以下简称“基准单价 ”），该材料、工程设备的结算单价调整公式为：</w:t>
      </w:r>
    </w:p>
    <w:p w14:paraId="73546DEE">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a．涨价时，</w:t>
      </w:r>
      <w:r>
        <w:rPr>
          <w:rFonts w:hint="eastAsia" w:ascii="宋体" w:hAnsi="宋体" w:eastAsia="宋体" w:cs="宋体"/>
          <w:snapToGrid w:val="0"/>
          <w:color w:val="auto"/>
          <w:kern w:val="0"/>
          <w:position w:val="-30"/>
          <w:sz w:val="24"/>
          <w:szCs w:val="24"/>
          <w:highlight w:val="none"/>
        </w:rPr>
        <w:object>
          <v:shape id="_x0000_i1025" o:spt="75" type="#_x0000_t75" style="height:33.95pt;width:200.95pt;" o:ole="t" filled="f" o:preferrelative="t" stroked="f" coordsize="21600,21600">
            <v:path/>
            <v:fill on="f" focussize="0,0"/>
            <v:stroke on="f"/>
            <v:imagedata r:id="rId11" embosscolor="#FFFFFF" o:title=""/>
            <o:lock v:ext="edit" grouping="f" rotation="f" text="f" aspectratio="t"/>
            <w10:wrap type="none"/>
            <w10:anchorlock/>
          </v:shape>
          <o:OLEObject Type="Embed" ProgID="Equation.KSEE3" ShapeID="_x0000_i1025" DrawAspect="Content" ObjectID="_1468075725" r:id="rId10">
            <o:LockedField>false</o:LockedField>
          </o:OLEObject>
        </w:object>
      </w:r>
    </w:p>
    <w:p w14:paraId="02A96EA0">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6" o:spt="75" type="#_x0000_t75" style="height:33.95pt;width:198.95pt;" o:ole="t" filled="f" o:preferrelative="t" stroked="f" coordsize="21600,21600">
            <v:path/>
            <v:fill on="f" focussize="0,0"/>
            <v:stroke on="f"/>
            <v:imagedata r:id="rId13" embosscolor="#FFFFFF" o:title=""/>
            <o:lock v:ext="edit" grouping="f" rotation="f" text="f" aspectratio="t"/>
            <w10:wrap type="none"/>
            <w10:anchorlock/>
          </v:shape>
          <o:OLEObject Type="Embed" ProgID="Equation.KSEE3" ShapeID="_x0000_i1026" DrawAspect="Content" ObjectID="_1468075726" r:id="rId12">
            <o:LockedField>false</o:LockedField>
          </o:OLEObject>
        </w:object>
      </w:r>
    </w:p>
    <w:p w14:paraId="67C9A4E1">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b．涨价时，</w:t>
      </w:r>
      <w:r>
        <w:rPr>
          <w:rFonts w:hint="eastAsia" w:ascii="宋体" w:hAnsi="宋体" w:eastAsia="宋体" w:cs="宋体"/>
          <w:snapToGrid w:val="0"/>
          <w:color w:val="auto"/>
          <w:kern w:val="0"/>
          <w:position w:val="-30"/>
          <w:sz w:val="24"/>
          <w:szCs w:val="24"/>
          <w:highlight w:val="none"/>
        </w:rPr>
        <w:object>
          <v:shape id="_x0000_i1027" o:spt="75" type="#_x0000_t75" style="height:33.95pt;width:198.95pt;" o:ole="t" filled="f" o:preferrelative="t" stroked="f" coordsize="21600,21600">
            <v:path/>
            <v:fill on="f" focussize="0,0"/>
            <v:stroke on="f"/>
            <v:imagedata r:id="rId15" embosscolor="#FFFFFF" o:title=""/>
            <o:lock v:ext="edit" grouping="f" rotation="f" text="f" aspectratio="t"/>
            <w10:wrap type="none"/>
            <w10:anchorlock/>
          </v:shape>
          <o:OLEObject Type="Embed" ProgID="Equation.KSEE3" ShapeID="_x0000_i1027" DrawAspect="Content" ObjectID="_1468075727" r:id="rId14">
            <o:LockedField>false</o:LockedField>
          </o:OLEObject>
        </w:object>
      </w:r>
    </w:p>
    <w:p w14:paraId="0B56706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8" o:spt="75" type="#_x0000_t75" style="height:33.95pt;width:200.95pt;" o:ole="t" filled="f" o:preferrelative="t" stroked="f" coordsize="21600,21600">
            <v:path/>
            <v:fill on="f" focussize="0,0"/>
            <v:stroke on="f"/>
            <v:imagedata r:id="rId17" embosscolor="#FFFFFF" o:title=""/>
            <o:lock v:ext="edit" grouping="f" rotation="f" text="f" aspectratio="t"/>
            <w10:wrap type="none"/>
            <w10:anchorlock/>
          </v:shape>
          <o:OLEObject Type="Embed" ProgID="Equation.KSEE3" ShapeID="_x0000_i1028" DrawAspect="Content" ObjectID="_1468075728" r:id="rId16">
            <o:LockedField>false</o:LockedField>
          </o:OLEObject>
        </w:object>
      </w:r>
    </w:p>
    <w:p w14:paraId="09AE1CD6">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c．涨价时，</w:t>
      </w:r>
      <w:r>
        <w:rPr>
          <w:rFonts w:hint="eastAsia" w:ascii="宋体" w:hAnsi="宋体" w:eastAsia="宋体" w:cs="宋体"/>
          <w:snapToGrid w:val="0"/>
          <w:color w:val="auto"/>
          <w:kern w:val="0"/>
          <w:position w:val="-30"/>
          <w:sz w:val="24"/>
          <w:szCs w:val="24"/>
          <w:highlight w:val="none"/>
        </w:rPr>
        <w:object>
          <v:shape id="_x0000_i1029" o:spt="75" type="#_x0000_t75" style="height:33.95pt;width:200.95pt;" o:ole="t" filled="f" o:preferrelative="t" stroked="f" coordsize="21600,21600">
            <v:path/>
            <v:fill on="f" focussize="0,0"/>
            <v:stroke on="f"/>
            <v:imagedata r:id="rId19" embosscolor="#FFFFFF" o:title=""/>
            <o:lock v:ext="edit" grouping="f" rotation="f" text="f" aspectratio="t"/>
            <w10:wrap type="none"/>
            <w10:anchorlock/>
          </v:shape>
          <o:OLEObject Type="Embed" ProgID="Equation.KSEE3" ShapeID="_x0000_i1029" DrawAspect="Content" ObjectID="_1468075729" r:id="rId18">
            <o:LockedField>false</o:LockedField>
          </o:OLEObject>
        </w:object>
      </w:r>
    </w:p>
    <w:p w14:paraId="2E756C1C">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0" o:spt="75" type="#_x0000_t75" style="height:33.95pt;width:200.95pt;" o:ole="t" filled="f" o:preferrelative="t" stroked="f" coordsize="21600,21600">
            <v:path/>
            <v:fill on="f" focussize="0,0"/>
            <v:stroke on="f"/>
            <v:imagedata r:id="rId21" embosscolor="#FFFFFF" o:title=""/>
            <o:lock v:ext="edit" grouping="f" rotation="f" text="f" aspectratio="t"/>
            <w10:wrap type="none"/>
            <w10:anchorlock/>
          </v:shape>
          <o:OLEObject Type="Embed" ProgID="Equation.KSEE3" ShapeID="_x0000_i1030" DrawAspect="Content" ObjectID="_1468075730" r:id="rId20">
            <o:LockedField>false</o:LockedField>
          </o:OLEObject>
        </w:object>
      </w:r>
    </w:p>
    <w:p w14:paraId="4D06844A">
      <w:pPr>
        <w:keepNext w:val="0"/>
        <w:keepLines w:val="0"/>
        <w:pageBreakBefore w:val="0"/>
        <w:widowControl w:val="0"/>
        <w:kinsoku/>
        <w:wordWrap/>
        <w:overflowPunct/>
        <w:topLinePunct w:val="0"/>
        <w:autoSpaceDE/>
        <w:autoSpaceDN/>
        <w:bidi w:val="0"/>
        <w:adjustRightInd/>
        <w:snapToGrid/>
        <w:spacing w:line="500" w:lineRule="exact"/>
        <w:ind w:right="0" w:firstLine="464"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理机构发布的材料、工程设备单价；A为合同约定的材料</w:t>
      </w:r>
      <w:r>
        <w:rPr>
          <w:rFonts w:hint="eastAsia" w:ascii="宋体" w:hAnsi="宋体" w:eastAsia="宋体" w:cs="宋体"/>
          <w:color w:val="auto"/>
          <w:spacing w:val="-2"/>
          <w:sz w:val="24"/>
          <w:szCs w:val="24"/>
          <w:highlight w:val="none"/>
        </w:rPr>
        <w:t>、工程设备单价涨跌风险幅度</w:t>
      </w:r>
      <w:r>
        <w:rPr>
          <w:rFonts w:hint="eastAsia" w:ascii="宋体" w:hAnsi="宋体" w:eastAsia="宋体" w:cs="宋体"/>
          <w:color w:val="auto"/>
          <w:spacing w:val="-5"/>
          <w:sz w:val="24"/>
          <w:szCs w:val="24"/>
          <w:highlight w:val="none"/>
        </w:rPr>
        <w:t>值。</w:t>
      </w:r>
    </w:p>
    <w:p w14:paraId="4831EAD5">
      <w:pPr>
        <w:keepNext w:val="0"/>
        <w:keepLines w:val="0"/>
        <w:pageBreakBefore w:val="0"/>
        <w:widowControl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合同履行期间，当《发包人提供材料和工程设备一览表》（详见招标工程量</w:t>
      </w:r>
      <w:r>
        <w:rPr>
          <w:rFonts w:hint="eastAsia" w:ascii="宋体" w:hAnsi="宋体" w:eastAsia="宋体" w:cs="宋体"/>
          <w:color w:val="auto"/>
          <w:spacing w:val="-2"/>
          <w:sz w:val="24"/>
          <w:szCs w:val="24"/>
          <w:highlight w:val="none"/>
        </w:rPr>
        <w:t>清单）中的材料、工程设备单价发生变化时，由发包人按照实际变化调整，并列入合同</w:t>
      </w:r>
      <w:r>
        <w:rPr>
          <w:rFonts w:hint="eastAsia" w:ascii="宋体" w:hAnsi="宋体" w:eastAsia="宋体" w:cs="宋体"/>
          <w:color w:val="auto"/>
          <w:spacing w:val="-4"/>
          <w:sz w:val="24"/>
          <w:szCs w:val="24"/>
          <w:highlight w:val="none"/>
        </w:rPr>
        <w:t>价款。</w:t>
      </w:r>
    </w:p>
    <w:p w14:paraId="5C546FD5">
      <w:pPr>
        <w:keepNext w:val="0"/>
        <w:keepLines w:val="0"/>
        <w:pageBreakBefore w:val="0"/>
        <w:widowControl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"2.3.6.4"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2.3.6.4</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本招标项目约定，施工机具台班单价涨跌风险幅度值</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B</w:t>
      </w:r>
      <w:r>
        <w:rPr>
          <w:rFonts w:hint="eastAsia" w:ascii="宋体" w:hAnsi="宋体" w:eastAsia="宋体" w:cs="宋体"/>
          <w:color w:val="auto"/>
          <w:spacing w:val="-4"/>
          <w:sz w:val="24"/>
          <w:szCs w:val="24"/>
          <w:highlight w:val="none"/>
        </w:rPr>
        <w:t xml:space="preserve"> 为</w:t>
      </w:r>
      <w:r>
        <w:rPr>
          <w:rFonts w:hint="eastAsia" w:ascii="宋体" w:hAnsi="宋体" w:eastAsia="宋体" w:cs="宋体"/>
          <w:color w:val="auto"/>
          <w:spacing w:val="14"/>
          <w:sz w:val="24"/>
          <w:szCs w:val="24"/>
          <w:highlight w:val="none"/>
          <w:u w:val="single"/>
        </w:rPr>
        <w:t xml:space="preserve"> </w:t>
      </w:r>
      <w:r>
        <w:rPr>
          <w:rFonts w:hint="eastAsia" w:ascii="宋体" w:hAnsi="宋体" w:eastAsia="宋体" w:cs="宋体"/>
          <w:color w:val="auto"/>
          <w:spacing w:val="-4"/>
          <w:sz w:val="24"/>
          <w:szCs w:val="24"/>
          <w:highlight w:val="none"/>
          <w:u w:val="single"/>
        </w:rPr>
        <w:t xml:space="preserve">10% </w:t>
      </w:r>
      <w:r>
        <w:rPr>
          <w:rFonts w:hint="eastAsia" w:ascii="宋体" w:hAnsi="宋体" w:eastAsia="宋体" w:cs="宋体"/>
          <w:color w:val="auto"/>
          <w:spacing w:val="-4"/>
          <w:sz w:val="24"/>
          <w:szCs w:val="24"/>
          <w:highlight w:val="none"/>
        </w:rPr>
        <w:t>。合同履行</w:t>
      </w:r>
      <w:r>
        <w:rPr>
          <w:rFonts w:hint="eastAsia" w:ascii="宋体" w:hAnsi="宋体" w:eastAsia="宋体" w:cs="宋体"/>
          <w:color w:val="auto"/>
          <w:spacing w:val="-7"/>
          <w:sz w:val="24"/>
          <w:szCs w:val="24"/>
          <w:highlight w:val="none"/>
        </w:rPr>
        <w:t>期间，当施工机具台班单价涨跌幅度等于或低于</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7"/>
          <w:sz w:val="24"/>
          <w:szCs w:val="24"/>
          <w:highlight w:val="none"/>
        </w:rPr>
        <w:t>B 值时，该施工机具台班单价不予调</w:t>
      </w:r>
      <w:r>
        <w:rPr>
          <w:rFonts w:hint="eastAsia" w:ascii="宋体" w:hAnsi="宋体" w:eastAsia="宋体" w:cs="宋体"/>
          <w:color w:val="auto"/>
          <w:spacing w:val="-8"/>
          <w:sz w:val="24"/>
          <w:szCs w:val="24"/>
          <w:highlight w:val="none"/>
        </w:rPr>
        <w:t>整；</w:t>
      </w:r>
      <w:r>
        <w:rPr>
          <w:rFonts w:hint="eastAsia" w:ascii="宋体" w:hAnsi="宋体" w:eastAsia="宋体" w:cs="宋体"/>
          <w:color w:val="auto"/>
          <w:sz w:val="24"/>
          <w:szCs w:val="24"/>
          <w:highlight w:val="none"/>
        </w:rPr>
        <w:t>超过</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z w:val="24"/>
          <w:szCs w:val="24"/>
          <w:highlight w:val="none"/>
        </w:rPr>
        <w:t>B 值时，其超过部分可以调整。相关费</w:t>
      </w:r>
      <w:r>
        <w:rPr>
          <w:rFonts w:hint="eastAsia" w:ascii="宋体" w:hAnsi="宋体" w:eastAsia="宋体" w:cs="宋体"/>
          <w:color w:val="auto"/>
          <w:spacing w:val="-1"/>
          <w:sz w:val="24"/>
          <w:szCs w:val="24"/>
          <w:highlight w:val="none"/>
        </w:rPr>
        <w:t>用按有关规定进行相应调整。</w:t>
      </w:r>
    </w:p>
    <w:p w14:paraId="7C0C288F">
      <w:pPr>
        <w:keepNext w:val="0"/>
        <w:keepLines w:val="0"/>
        <w:pageBreakBefore w:val="0"/>
        <w:widowControl w:val="0"/>
        <w:kinsoku/>
        <w:wordWrap/>
        <w:overflowPunct/>
        <w:topLinePunct w:val="0"/>
        <w:autoSpaceDE/>
        <w:autoSpaceDN/>
        <w:bidi w:val="0"/>
        <w:adjustRightInd/>
        <w:snapToGrid/>
        <w:spacing w:line="500" w:lineRule="exact"/>
        <w:ind w:left="42" w:right="59" w:firstLine="478"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color w:val="auto"/>
          <w:spacing w:val="-1"/>
          <w:sz w:val="24"/>
          <w:szCs w:val="24"/>
          <w:highlight w:val="none"/>
        </w:rPr>
        <w:t>．如果承包人投标报价中施工机具台班单价（以下简称“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中标单价</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）低于基准</w:t>
      </w:r>
      <w:r>
        <w:rPr>
          <w:rFonts w:hint="eastAsia" w:ascii="宋体" w:hAnsi="宋体" w:eastAsia="宋体" w:cs="宋体"/>
          <w:color w:val="auto"/>
          <w:spacing w:val="-3"/>
          <w:sz w:val="24"/>
          <w:szCs w:val="24"/>
          <w:highlight w:val="none"/>
        </w:rPr>
        <w:t>日当月项目所在地工程造价管理机构发布的对应施工机具台班单价（以下简称“基准单</w:t>
      </w:r>
      <w:r>
        <w:rPr>
          <w:rFonts w:hint="eastAsia" w:ascii="宋体" w:hAnsi="宋体" w:eastAsia="宋体" w:cs="宋体"/>
          <w:color w:val="auto"/>
          <w:spacing w:val="-2"/>
          <w:sz w:val="24"/>
          <w:szCs w:val="24"/>
          <w:highlight w:val="none"/>
        </w:rPr>
        <w:t>价</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”），该施工机具台班的结算单价调整公式为：</w:t>
      </w:r>
    </w:p>
    <w:p w14:paraId="534A4B81">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23" embosscolor="#FFFFFF" o:title=""/>
            <o:lock v:ext="edit" grouping="f" rotation="f" text="f" aspectratio="t"/>
            <w10:wrap type="none"/>
            <w10:anchorlock/>
          </v:shape>
          <o:OLEObject Type="Embed" ProgID="Equation.KSEE3" ShapeID="_x0000_i1031" DrawAspect="Content" ObjectID="_1468075731" r:id="rId22">
            <o:LockedField>false</o:LockedField>
          </o:OLEObject>
        </w:object>
      </w:r>
    </w:p>
    <w:p w14:paraId="69BBAB73">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25" embosscolor="#FFFFFF" o:title=""/>
            <o:lock v:ext="edit" grouping="f" rotation="f" text="f" aspectratio="t"/>
            <w10:wrap type="none"/>
            <w10:anchorlock/>
          </v:shape>
          <o:OLEObject Type="Embed" ProgID="Equation.KSEE3" ShapeID="_x0000_i1032" DrawAspect="Content" ObjectID="_1468075732" r:id="rId24">
            <o:LockedField>false</o:LockedField>
          </o:OLEObject>
        </w:object>
      </w:r>
    </w:p>
    <w:p w14:paraId="6244B292">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6819997E">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27" embosscolor="#FFFFFF" o:title=""/>
            <o:lock v:ext="edit" grouping="f" rotation="f" text="f" aspectratio="t"/>
            <w10:wrap type="none"/>
            <w10:anchorlock/>
          </v:shape>
          <o:OLEObject Type="Embed" ProgID="Equation.KSEE3" ShapeID="_x0000_i1033" DrawAspect="Content" ObjectID="_1468075733" r:id="rId26">
            <o:LockedField>false</o:LockedField>
          </o:OLEObject>
        </w:object>
      </w:r>
    </w:p>
    <w:p w14:paraId="4B5234E8">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29" embosscolor="#FFFFFF" o:title=""/>
            <o:lock v:ext="edit" grouping="f" rotation="f" text="f" aspectratio="t"/>
            <w10:wrap type="none"/>
            <w10:anchorlock/>
          </v:shape>
          <o:OLEObject Type="Embed" ProgID="Equation.KSEE3" ShapeID="_x0000_i1034" DrawAspect="Content" ObjectID="_1468075734" r:id="rId28">
            <o:LockedField>false</o:LockedField>
          </o:OLEObject>
        </w:object>
      </w:r>
    </w:p>
    <w:p w14:paraId="4ED8FEAB">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67DE425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31" embosscolor="#FFFFFF" o:title=""/>
            <o:lock v:ext="edit" grouping="f" rotation="f" text="f" aspectratio="t"/>
            <w10:wrap type="none"/>
            <w10:anchorlock/>
          </v:shape>
          <o:OLEObject Type="Embed" ProgID="Equation.KSEE3" ShapeID="_x0000_i1035" DrawAspect="Content" ObjectID="_1468075735" r:id="rId30">
            <o:LockedField>false</o:LockedField>
          </o:OLEObject>
        </w:object>
      </w:r>
    </w:p>
    <w:p w14:paraId="34530D0C">
      <w:pPr>
        <w:spacing w:before="79" w:line="324" w:lineRule="auto"/>
        <w:ind w:left="11" w:right="65" w:firstLine="504"/>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33" embosscolor="#FFFFFF" o:title=""/>
            <o:lock v:ext="edit" grouping="f" rotation="f" text="f" aspectratio="t"/>
            <w10:wrap type="none"/>
            <w10:anchorlock/>
          </v:shape>
          <o:OLEObject Type="Embed" ProgID="Equation.KSEE3" ShapeID="_x0000_i1036" DrawAspect="Content" ObjectID="_1468075736" r:id="rId32">
            <o:LockedField>false</o:LockedField>
          </o:OLEObject>
        </w:object>
      </w:r>
    </w:p>
    <w:p w14:paraId="4F48308B">
      <w:pPr>
        <w:keepNext w:val="0"/>
        <w:keepLines w:val="0"/>
        <w:pageBreakBefore w:val="0"/>
        <w:widowControl w:val="0"/>
        <w:kinsoku/>
        <w:wordWrap/>
        <w:overflowPunct/>
        <w:topLinePunct w:val="0"/>
        <w:autoSpaceDE/>
        <w:autoSpaceDN/>
        <w:bidi w:val="0"/>
        <w:adjustRightInd/>
        <w:snapToGrid/>
        <w:spacing w:line="500" w:lineRule="exact"/>
        <w:ind w:left="0" w:right="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理机构发布的施工机具台班单价；B为合同约定的施工机具台班单价</w:t>
      </w:r>
      <w:r>
        <w:rPr>
          <w:rFonts w:hint="eastAsia" w:ascii="宋体" w:hAnsi="宋体" w:eastAsia="宋体" w:cs="宋体"/>
          <w:color w:val="auto"/>
          <w:spacing w:val="-2"/>
          <w:sz w:val="24"/>
          <w:szCs w:val="24"/>
          <w:highlight w:val="none"/>
        </w:rPr>
        <w:t>涨跌风险幅度值。</w:t>
      </w:r>
    </w:p>
    <w:p w14:paraId="791E4E87">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w:t>
      </w:r>
      <w:r>
        <w:rPr>
          <w:rFonts w:hint="eastAsia" w:ascii="宋体" w:hAnsi="宋体" w:eastAsia="宋体" w:cs="宋体"/>
          <w:bCs/>
          <w:snapToGrid w:val="0"/>
          <w:color w:val="auto"/>
          <w:kern w:val="0"/>
          <w:szCs w:val="28"/>
          <w:highlight w:val="none"/>
        </w:rPr>
        <w:t xml:space="preserve"> 暂估价和暂列金额</w:t>
      </w:r>
    </w:p>
    <w:p w14:paraId="26FAA9EC">
      <w:pPr>
        <w:keepNext w:val="0"/>
        <w:keepLines w:val="0"/>
        <w:pageBreakBefore w:val="0"/>
        <w:widowControl w:val="0"/>
        <w:kinsoku/>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2.3.7.1</w:t>
      </w:r>
      <w:r>
        <w:rPr>
          <w:rFonts w:hint="eastAsia" w:ascii="宋体" w:hAnsi="宋体" w:eastAsia="宋体" w:cs="宋体"/>
          <w:bCs/>
          <w:snapToGrid w:val="0"/>
          <w:color w:val="auto"/>
          <w:kern w:val="0"/>
          <w:szCs w:val="28"/>
          <w:highlight w:val="none"/>
        </w:rPr>
        <w:t xml:space="preserve"> 暂估价项目按第一章第三节“投标人须知正文”第</w:t>
      </w:r>
      <w:r>
        <w:rPr>
          <w:rFonts w:hint="eastAsia" w:ascii="宋体" w:hAnsi="宋体" w:eastAsia="宋体" w:cs="宋体"/>
          <w:b/>
          <w:bCs/>
          <w:snapToGrid w:val="0"/>
          <w:color w:val="auto"/>
          <w:kern w:val="0"/>
          <w:highlight w:val="none"/>
        </w:rPr>
        <w:t>8.5</w:t>
      </w:r>
      <w:r>
        <w:rPr>
          <w:rFonts w:hint="eastAsia" w:ascii="宋体" w:hAnsi="宋体" w:eastAsia="宋体" w:cs="宋体"/>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0034C289">
      <w:pPr>
        <w:keepNext w:val="0"/>
        <w:keepLines w:val="0"/>
        <w:pageBreakBefore w:val="0"/>
        <w:widowControl w:val="0"/>
        <w:kinsoku/>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2.3.7.2</w:t>
      </w:r>
      <w:r>
        <w:rPr>
          <w:rFonts w:hint="eastAsia" w:ascii="宋体" w:hAnsi="宋体" w:eastAsia="宋体" w:cs="宋体"/>
          <w:bCs/>
          <w:snapToGrid w:val="0"/>
          <w:color w:val="auto"/>
          <w:kern w:val="0"/>
          <w:szCs w:val="28"/>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Cs w:val="28"/>
          <w:highlight w:val="none"/>
        </w:rPr>
        <w:t>8.6</w:t>
      </w:r>
      <w:r>
        <w:rPr>
          <w:rFonts w:hint="eastAsia" w:ascii="宋体" w:hAnsi="宋体" w:eastAsia="宋体" w:cs="宋体"/>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18E3E62A">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lang w:val="en-US" w:eastAsia="en-US" w:bidi="ar-SA"/>
        </w:rPr>
        <w:t>2.3.8 预算包干费：</w:t>
      </w:r>
      <w:r>
        <w:rPr>
          <w:rFonts w:hint="eastAsia" w:ascii="宋体" w:hAnsi="宋体" w:eastAsia="宋体" w:cs="宋体"/>
          <w:snapToGrid w:val="0"/>
          <w:color w:val="auto"/>
          <w:kern w:val="0"/>
          <w:sz w:val="24"/>
          <w:szCs w:val="24"/>
          <w:highlight w:val="none"/>
          <w:lang w:val="en-US" w:eastAsia="zh-CN" w:bidi="ar-SA"/>
        </w:rPr>
        <w:t>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1）建筑、装饰工程按分部分项的人工费与施工机具费之和的7.00%计算，（2）市政工程按分部分项的人工费与施工机具费之和的6.00%计算，（3）园林工程按分部分项的人工费与施工机具费之和的6.00%计算，（4）安装工程按分部分项的人工费与施工机具费之和的10.00%计算。本工程的预算包干内容包括：按《广东省建设工程计价依据（2024）》相关规定。</w:t>
      </w:r>
    </w:p>
    <w:p w14:paraId="241D1422">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snapToGrid w:val="0"/>
          <w:color w:val="auto"/>
          <w:kern w:val="0"/>
          <w:sz w:val="24"/>
          <w:szCs w:val="24"/>
          <w:highlight w:val="none"/>
          <w:u w:val="single"/>
          <w:lang w:val="en-US" w:eastAsia="zh-CN" w:bidi="ar-SA"/>
        </w:rPr>
      </w:pPr>
      <w:r>
        <w:rPr>
          <w:rFonts w:hint="eastAsia" w:ascii="宋体" w:hAnsi="宋体" w:eastAsia="宋体" w:cs="宋体"/>
          <w:snapToGrid w:val="0"/>
          <w:color w:val="auto"/>
          <w:kern w:val="0"/>
          <w:sz w:val="24"/>
          <w:szCs w:val="24"/>
          <w:highlight w:val="none"/>
          <w:u w:val="single"/>
          <w:lang w:val="en-US" w:eastAsia="zh-CN" w:bidi="ar-SA"/>
        </w:rPr>
        <w:t>合同履行期间，由于承包人原因导致发生设计变更或现场签证的，由此增加的工程造价费用，由承包人自行承担，发包人不予以考虑和补偿，同时按相关违约条款处罚。</w:t>
      </w:r>
    </w:p>
    <w:p w14:paraId="102753E9">
      <w:pPr>
        <w:keepNext w:val="0"/>
        <w:keepLines w:val="0"/>
        <w:pageBreakBefore w:val="0"/>
        <w:widowControl w:val="0"/>
        <w:kinsoku/>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u w:val="single"/>
          <w:lang w:val="en-US" w:eastAsia="zh-CN" w:bidi="ar-SA"/>
        </w:rPr>
        <w:t>如发包人减少建设规模，则根据经发包人确认的预算书扣减减少部分工程造价。最终结算价以财政部门审定的为准。</w:t>
      </w:r>
    </w:p>
    <w:p w14:paraId="41710F59">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2.3.9</w:t>
      </w:r>
      <w:r>
        <w:rPr>
          <w:rFonts w:hint="eastAsia" w:ascii="宋体" w:hAnsi="宋体" w:eastAsia="宋体" w:cs="宋体"/>
          <w:bCs/>
          <w:snapToGrid w:val="0"/>
          <w:color w:val="auto"/>
          <w:kern w:val="0"/>
          <w:szCs w:val="28"/>
          <w:highlight w:val="none"/>
        </w:rPr>
        <w:t xml:space="preserve"> 其余事项（如不可抗力、索赔、现场签证等）的调整原则按照《建设工程工程量清单计价标准》（GB50500—2024）有关规定执行。</w:t>
      </w:r>
    </w:p>
    <w:p w14:paraId="3B0493BE">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snapToGrid w:val="0"/>
          <w:color w:val="auto"/>
          <w:kern w:val="0"/>
          <w:szCs w:val="28"/>
          <w:highlight w:val="none"/>
        </w:rPr>
      </w:pPr>
      <w:r>
        <w:rPr>
          <w:rFonts w:hint="eastAsia" w:ascii="宋体" w:hAnsi="宋体" w:eastAsia="宋体" w:cs="宋体"/>
          <w:b/>
          <w:bCs/>
          <w:snapToGrid w:val="0"/>
          <w:color w:val="auto"/>
          <w:kern w:val="0"/>
          <w:szCs w:val="24"/>
          <w:highlight w:val="none"/>
        </w:rPr>
        <w:t>2.4</w:t>
      </w:r>
      <w:r>
        <w:rPr>
          <w:rFonts w:hint="eastAsia" w:ascii="宋体" w:hAnsi="宋体" w:eastAsia="宋体" w:cs="宋体"/>
          <w:snapToGrid w:val="0"/>
          <w:color w:val="auto"/>
          <w:kern w:val="0"/>
          <w:szCs w:val="24"/>
          <w:highlight w:val="none"/>
        </w:rPr>
        <w:t xml:space="preserve"> </w:t>
      </w:r>
      <w:bookmarkStart w:id="140" w:name="_Hlt112206782"/>
      <w:bookmarkEnd w:id="140"/>
      <w:r>
        <w:rPr>
          <w:rFonts w:hint="eastAsia" w:ascii="宋体" w:hAnsi="宋体" w:eastAsia="宋体" w:cs="宋体"/>
          <w:snapToGrid w:val="0"/>
          <w:color w:val="auto"/>
          <w:kern w:val="0"/>
          <w:szCs w:val="24"/>
          <w:highlight w:val="none"/>
        </w:rPr>
        <w:t>凡将引起合同价款调增的事项，承包人必须于拟实施14天前，将详细的报价书（含拟实施项目名称、变更部位、理由、预计造价等）报监理单位审核和发包人批准后方可实施。</w:t>
      </w:r>
    </w:p>
    <w:p w14:paraId="25F09E19">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2.5</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人不得以不完全了解现场情况为理由，提出额外付款或延长工期等要求。对此类要求，发包人不作任何考虑及答复。</w:t>
      </w:r>
    </w:p>
    <w:p w14:paraId="455EE0B1">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2.6</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人已标价工程量清单中漏报、错报或少报的清单项目，其价格均视为已经包含在其它清单项目中，竣工结算时不得重新组价和调整。</w:t>
      </w:r>
    </w:p>
    <w:p w14:paraId="4A9ED7CA">
      <w:pPr>
        <w:keepNext w:val="0"/>
        <w:keepLines w:val="0"/>
        <w:pageBreakBefore w:val="0"/>
        <w:widowControl w:val="0"/>
        <w:kinsoku/>
        <w:wordWrap w:val="0"/>
        <w:overflowPunct/>
        <w:topLinePunct w:val="0"/>
        <w:autoSpaceDE/>
        <w:autoSpaceDN/>
        <w:bidi w:val="0"/>
        <w:adjustRightInd w:val="0"/>
        <w:snapToGrid w:val="0"/>
        <w:spacing w:line="500" w:lineRule="exact"/>
        <w:ind w:firstLine="48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2.7</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lang w:val="en-US" w:eastAsia="zh-CN"/>
        </w:rPr>
        <w:t>项目</w:t>
      </w:r>
      <w:r>
        <w:rPr>
          <w:rFonts w:hint="eastAsia" w:ascii="宋体" w:hAnsi="宋体" w:eastAsia="宋体" w:cs="宋体"/>
          <w:snapToGrid w:val="0"/>
          <w:color w:val="auto"/>
          <w:kern w:val="0"/>
          <w:szCs w:val="24"/>
          <w:highlight w:val="none"/>
        </w:rPr>
        <w:t>完工后，发、承包双方和受其委托具备相应资质的工程造价咨询单位必须按照《建设工程工程量清单计价标准》（GB50500—2024）和国家、省、市的有关规定办理竣工结算。</w:t>
      </w:r>
    </w:p>
    <w:p w14:paraId="04A8946A">
      <w:pPr>
        <w:keepNext w:val="0"/>
        <w:keepLines w:val="0"/>
        <w:pageBreakBefore w:val="0"/>
        <w:widowControl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2.8</w:t>
      </w:r>
      <w:r>
        <w:rPr>
          <w:rFonts w:hint="eastAsia" w:ascii="宋体" w:hAnsi="宋体" w:eastAsia="宋体" w:cs="宋体"/>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bookmarkEnd w:id="135"/>
      <w:bookmarkEnd w:id="136"/>
    </w:p>
    <w:p w14:paraId="1763A0FB">
      <w:pPr>
        <w:keepNext w:val="0"/>
        <w:keepLines w:val="0"/>
        <w:pageBreakBefore w:val="0"/>
        <w:widowControl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 xml:space="preserve">2.9 </w:t>
      </w:r>
      <w:r>
        <w:rPr>
          <w:rFonts w:hint="eastAsia" w:ascii="宋体" w:hAnsi="宋体" w:eastAsia="宋体" w:cs="宋体"/>
          <w:snapToGrid w:val="0"/>
          <w:color w:val="auto"/>
          <w:kern w:val="0"/>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3C76406E">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141" w:name="_Toc3851"/>
      <w:r>
        <w:rPr>
          <w:rFonts w:hint="eastAsia" w:ascii="宋体" w:hAnsi="宋体" w:eastAsia="宋体" w:cs="宋体"/>
          <w:b/>
          <w:snapToGrid w:val="0"/>
          <w:color w:val="auto"/>
          <w:highlight w:val="none"/>
          <w:lang w:val="en-US" w:eastAsia="zh-CN"/>
        </w:rPr>
        <w:t>3．工程付款办法</w:t>
      </w:r>
      <w:bookmarkEnd w:id="141"/>
      <w:bookmarkStart w:id="142" w:name="_Hlt69700007"/>
      <w:bookmarkEnd w:id="142"/>
      <w:bookmarkStart w:id="143" w:name="_Hlt70150985"/>
      <w:bookmarkEnd w:id="143"/>
      <w:bookmarkStart w:id="144" w:name="_Hlt69669774"/>
      <w:bookmarkEnd w:id="144"/>
      <w:bookmarkStart w:id="145" w:name="_Hlt69114106"/>
      <w:bookmarkEnd w:id="145"/>
      <w:bookmarkStart w:id="146" w:name="_Hlt88976467"/>
      <w:bookmarkEnd w:id="146"/>
      <w:bookmarkStart w:id="147" w:name="_Hlt66608388"/>
      <w:bookmarkEnd w:id="147"/>
      <w:bookmarkStart w:id="148" w:name="_Hlt66591689"/>
      <w:bookmarkEnd w:id="148"/>
      <w:bookmarkStart w:id="149" w:name="_Hlt66593437"/>
      <w:bookmarkEnd w:id="149"/>
    </w:p>
    <w:p w14:paraId="7DA887A8">
      <w:pPr>
        <w:keepNext w:val="0"/>
        <w:keepLines w:val="0"/>
        <w:pageBreakBefore w:val="0"/>
        <w:widowControl/>
        <w:kinsoku/>
        <w:wordWrap/>
        <w:overflowPunct/>
        <w:topLinePunct w:val="0"/>
        <w:autoSpaceDE/>
        <w:autoSpaceDN/>
        <w:bidi w:val="0"/>
        <w:adjustRightInd/>
        <w:spacing w:line="360" w:lineRule="auto"/>
        <w:ind w:firstLine="472" w:firstLineChars="196"/>
        <w:textAlignment w:val="baseline"/>
        <w:rPr>
          <w:rStyle w:val="20"/>
          <w:rFonts w:hint="eastAsia" w:ascii="宋体" w:hAnsi="宋体" w:eastAsia="宋体" w:cs="宋体"/>
          <w:color w:val="auto"/>
          <w:kern w:val="1"/>
          <w:sz w:val="24"/>
          <w:szCs w:val="24"/>
          <w:highlight w:val="none"/>
        </w:rPr>
      </w:pPr>
      <w:r>
        <w:rPr>
          <w:rStyle w:val="20"/>
          <w:rFonts w:hint="eastAsia" w:ascii="宋体" w:hAnsi="宋体" w:eastAsia="宋体" w:cs="宋体"/>
          <w:b/>
          <w:bCs/>
          <w:color w:val="auto"/>
          <w:kern w:val="1"/>
          <w:sz w:val="24"/>
          <w:szCs w:val="24"/>
          <w:highlight w:val="none"/>
        </w:rPr>
        <w:t>3.1</w:t>
      </w:r>
      <w:r>
        <w:rPr>
          <w:rStyle w:val="20"/>
          <w:rFonts w:hint="eastAsia" w:ascii="宋体" w:hAnsi="宋体" w:eastAsia="宋体" w:cs="宋体"/>
          <w:color w:val="auto"/>
          <w:kern w:val="1"/>
          <w:sz w:val="24"/>
          <w:szCs w:val="24"/>
          <w:highlight w:val="none"/>
        </w:rPr>
        <w:t>本项目</w:t>
      </w:r>
      <w:r>
        <w:rPr>
          <w:rStyle w:val="20"/>
          <w:rFonts w:hint="eastAsia" w:ascii="宋体" w:hAnsi="宋体" w:eastAsia="宋体" w:cs="宋体"/>
          <w:b/>
          <w:bCs/>
          <w:color w:val="auto"/>
          <w:kern w:val="1"/>
          <w:sz w:val="24"/>
          <w:szCs w:val="24"/>
          <w:highlight w:val="none"/>
          <w:u w:val="single"/>
        </w:rPr>
        <w:t>支付</w:t>
      </w:r>
      <w:r>
        <w:rPr>
          <w:rStyle w:val="20"/>
          <w:rFonts w:hint="eastAsia" w:ascii="宋体" w:hAnsi="宋体" w:eastAsia="宋体" w:cs="宋体"/>
          <w:color w:val="auto"/>
          <w:kern w:val="1"/>
          <w:sz w:val="24"/>
          <w:szCs w:val="24"/>
          <w:highlight w:val="none"/>
        </w:rPr>
        <w:t>施工预付款。</w:t>
      </w:r>
    </w:p>
    <w:p w14:paraId="5C092EF2">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snapToGrid w:val="0"/>
          <w:color w:val="auto"/>
          <w:kern w:val="0"/>
          <w:szCs w:val="24"/>
          <w:highlight w:val="none"/>
        </w:rPr>
      </w:pPr>
      <w:r>
        <w:rPr>
          <w:rStyle w:val="20"/>
          <w:rFonts w:hint="eastAsia" w:ascii="宋体" w:hAnsi="宋体" w:eastAsia="宋体" w:cs="宋体"/>
          <w:b/>
          <w:bCs/>
          <w:color w:val="auto"/>
          <w:kern w:val="1"/>
          <w:sz w:val="24"/>
          <w:szCs w:val="24"/>
          <w:highlight w:val="none"/>
        </w:rPr>
        <w:t>3.2</w:t>
      </w:r>
      <w:r>
        <w:rPr>
          <w:rFonts w:hint="eastAsia" w:ascii="宋体" w:hAnsi="宋体" w:eastAsia="宋体" w:cs="宋体"/>
          <w:snapToGrid w:val="0"/>
          <w:color w:val="auto"/>
          <w:kern w:val="0"/>
          <w:szCs w:val="24"/>
          <w:highlight w:val="none"/>
        </w:rPr>
        <w:t>施工预付款必须专用于合同工程，并按以下原则支付和抵扣：</w:t>
      </w:r>
    </w:p>
    <w:p w14:paraId="32BD07B0">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snapToGrid w:val="0"/>
          <w:color w:val="auto"/>
          <w:kern w:val="0"/>
          <w:szCs w:val="24"/>
          <w:highlight w:val="none"/>
          <w:lang w:eastAsia="zh-CN"/>
        </w:rPr>
      </w:pPr>
      <w:r>
        <w:rPr>
          <w:rFonts w:hint="eastAsia" w:ascii="宋体" w:hAnsi="宋体" w:eastAsia="宋体" w:cs="宋体"/>
          <w:snapToGrid w:val="0"/>
          <w:color w:val="auto"/>
          <w:kern w:val="0"/>
          <w:szCs w:val="24"/>
          <w:highlight w:val="none"/>
        </w:rPr>
        <w:t>3.2.1施工预付款支付比例为：按施工合同价</w:t>
      </w:r>
      <w:r>
        <w:rPr>
          <w:rFonts w:hint="eastAsia" w:ascii="宋体" w:hAnsi="宋体" w:eastAsia="宋体" w:cs="宋体"/>
          <w:snapToGrid w:val="0"/>
          <w:color w:val="auto"/>
          <w:kern w:val="0"/>
          <w:szCs w:val="24"/>
          <w:highlight w:val="none"/>
          <w:lang w:eastAsia="zh-CN"/>
        </w:rPr>
        <w:t>（</w:t>
      </w:r>
      <w:r>
        <w:rPr>
          <w:rFonts w:hint="eastAsia" w:ascii="宋体" w:hAnsi="宋体" w:eastAsia="宋体" w:cs="宋体"/>
          <w:snapToGrid w:val="0"/>
          <w:color w:val="auto"/>
          <w:kern w:val="0"/>
          <w:szCs w:val="24"/>
          <w:highlight w:val="none"/>
          <w:lang w:val="en-US" w:eastAsia="zh-CN"/>
        </w:rPr>
        <w:t>扣除安全生产措施费、暂估价、暂列金）30</w:t>
      </w:r>
      <w:r>
        <w:rPr>
          <w:rFonts w:hint="eastAsia" w:ascii="宋体" w:hAnsi="宋体" w:eastAsia="宋体" w:cs="宋体"/>
          <w:snapToGrid w:val="0"/>
          <w:color w:val="auto"/>
          <w:kern w:val="0"/>
          <w:szCs w:val="24"/>
          <w:highlight w:val="none"/>
        </w:rPr>
        <w:t>%支付。</w:t>
      </w:r>
      <w:r>
        <w:rPr>
          <w:rFonts w:hint="eastAsia" w:ascii="宋体" w:hAnsi="宋体" w:eastAsia="宋体" w:cs="宋体"/>
          <w:snapToGrid w:val="0"/>
          <w:color w:val="auto"/>
          <w:kern w:val="0"/>
          <w:szCs w:val="24"/>
          <w:highlight w:val="none"/>
          <w:lang w:val="en-US" w:eastAsia="zh-CN"/>
        </w:rPr>
        <w:t>（</w:t>
      </w:r>
      <w:r>
        <w:rPr>
          <w:rFonts w:hint="eastAsia" w:ascii="宋体" w:hAnsi="宋体" w:eastAsia="宋体" w:cs="宋体"/>
          <w:snapToGrid w:val="0"/>
          <w:color w:val="auto"/>
          <w:kern w:val="0"/>
          <w:szCs w:val="24"/>
          <w:highlight w:val="none"/>
          <w:lang w:val="en-US" w:eastAsia="en-US"/>
        </w:rPr>
        <w:t>本项目资金来源为财政资金，预付款支付比例及拨付时间视财政情况统筹决定，财政资金不足时，可降低预付款支付比率</w:t>
      </w:r>
      <w:r>
        <w:rPr>
          <w:rFonts w:hint="eastAsia" w:ascii="宋体" w:hAnsi="宋体" w:eastAsia="宋体" w:cs="宋体"/>
          <w:snapToGrid w:val="0"/>
          <w:color w:val="auto"/>
          <w:kern w:val="0"/>
          <w:szCs w:val="24"/>
          <w:highlight w:val="none"/>
          <w:lang w:val="en-US" w:eastAsia="zh-CN"/>
        </w:rPr>
        <w:t>或分批支付</w:t>
      </w:r>
      <w:r>
        <w:rPr>
          <w:rFonts w:hint="eastAsia" w:ascii="宋体" w:hAnsi="宋体" w:eastAsia="宋体" w:cs="宋体"/>
          <w:snapToGrid w:val="0"/>
          <w:color w:val="auto"/>
          <w:kern w:val="0"/>
          <w:szCs w:val="24"/>
          <w:highlight w:val="none"/>
          <w:lang w:val="en-US" w:eastAsia="en-US"/>
        </w:rPr>
        <w:t>以及延缓拨付时间，具体以财政</w:t>
      </w:r>
      <w:r>
        <w:rPr>
          <w:rFonts w:hint="eastAsia" w:ascii="宋体" w:hAnsi="宋体" w:eastAsia="宋体" w:cs="宋体"/>
          <w:snapToGrid w:val="0"/>
          <w:color w:val="auto"/>
          <w:kern w:val="0"/>
          <w:szCs w:val="24"/>
          <w:highlight w:val="none"/>
          <w:lang w:val="en-US" w:eastAsia="zh-CN"/>
        </w:rPr>
        <w:t>部门</w:t>
      </w:r>
      <w:r>
        <w:rPr>
          <w:rFonts w:hint="eastAsia" w:ascii="宋体" w:hAnsi="宋体" w:eastAsia="宋体" w:cs="宋体"/>
          <w:snapToGrid w:val="0"/>
          <w:color w:val="auto"/>
          <w:kern w:val="0"/>
          <w:szCs w:val="24"/>
          <w:highlight w:val="none"/>
          <w:lang w:val="en-US" w:eastAsia="en-US"/>
        </w:rPr>
        <w:t>和建设单位意见为准</w:t>
      </w:r>
      <w:r>
        <w:rPr>
          <w:rFonts w:hint="eastAsia" w:ascii="宋体" w:hAnsi="宋体" w:eastAsia="宋体" w:cs="宋体"/>
          <w:snapToGrid w:val="0"/>
          <w:color w:val="auto"/>
          <w:kern w:val="0"/>
          <w:szCs w:val="24"/>
          <w:highlight w:val="none"/>
          <w:lang w:val="en-US" w:eastAsia="zh-CN"/>
        </w:rPr>
        <w:t>，其中70%支付给工程帐户，30%支付给工人工资专用帐户。）</w:t>
      </w:r>
    </w:p>
    <w:p w14:paraId="18F89B59">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3.2.2本招标项目</w:t>
      </w:r>
      <w:r>
        <w:rPr>
          <w:rFonts w:hint="eastAsia" w:ascii="宋体" w:hAnsi="宋体" w:eastAsia="宋体" w:cs="宋体"/>
          <w:b/>
          <w:bCs/>
          <w:snapToGrid w:val="0"/>
          <w:color w:val="auto"/>
          <w:kern w:val="0"/>
          <w:szCs w:val="24"/>
          <w:highlight w:val="none"/>
          <w:u w:val="single"/>
          <w:lang w:val="en-US" w:eastAsia="zh-CN"/>
        </w:rPr>
        <w:t>要求</w:t>
      </w:r>
      <w:r>
        <w:rPr>
          <w:rFonts w:hint="eastAsia" w:ascii="宋体" w:hAnsi="宋体" w:eastAsia="宋体" w:cs="宋体"/>
          <w:snapToGrid w:val="0"/>
          <w:color w:val="auto"/>
          <w:kern w:val="0"/>
          <w:szCs w:val="24"/>
          <w:highlight w:val="none"/>
        </w:rPr>
        <w:t>承包人提供与预付款等额的预付款保函。</w:t>
      </w:r>
    </w:p>
    <w:p w14:paraId="7654FC05">
      <w:pPr>
        <w:pStyle w:val="31"/>
        <w:pageBreakBefore w:val="0"/>
        <w:kinsoku/>
        <w:overflowPunct/>
        <w:topLinePunct w:val="0"/>
        <w:bidi w:val="0"/>
        <w:spacing w:line="360" w:lineRule="auto"/>
        <w:ind w:firstLine="480" w:firstLineChars="200"/>
        <w:textAlignment w:val="auto"/>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lang w:val="en-US" w:eastAsia="en-US" w:bidi="ar-SA"/>
        </w:rPr>
        <w:t>3.2.3承包人应在签订合同后，在提供符合要求的预付款保函或预付款保险及在具备施工条件的前提下，向发包人提交预付款支付申请。凡未签订合同或不具备施工条件的工程，发包人不得预付工程款。</w:t>
      </w:r>
    </w:p>
    <w:p w14:paraId="66007C3E">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rPr>
        <w:t>3.2.4预付款应从每支付期应支付给承包人的工程进度款中扣回，</w:t>
      </w:r>
      <w:r>
        <w:rPr>
          <w:rFonts w:hint="eastAsia" w:ascii="宋体" w:hAnsi="宋体" w:eastAsia="宋体" w:cs="宋体"/>
          <w:snapToGrid w:val="0"/>
          <w:color w:val="auto"/>
          <w:kern w:val="0"/>
          <w:szCs w:val="24"/>
          <w:highlight w:val="none"/>
          <w:lang w:val="en-US" w:eastAsia="zh-CN"/>
        </w:rPr>
        <w:t>每次扣回实际支付预付款比例的50%，</w:t>
      </w:r>
      <w:r>
        <w:rPr>
          <w:rFonts w:hint="eastAsia" w:ascii="宋体" w:hAnsi="宋体" w:eastAsia="宋体" w:cs="宋体"/>
          <w:snapToGrid w:val="0"/>
          <w:color w:val="auto"/>
          <w:kern w:val="0"/>
          <w:szCs w:val="24"/>
          <w:highlight w:val="none"/>
        </w:rPr>
        <w:t>直到扣回的金额达到合同约定的预付款金额为止。</w:t>
      </w:r>
    </w:p>
    <w:p w14:paraId="169DB81F">
      <w:pPr>
        <w:keepNext w:val="0"/>
        <w:keepLines w:val="0"/>
        <w:pageBreakBefore w:val="0"/>
        <w:widowControl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3.3施工过程中按月申报工程进度款：承包人每月按工程实际完成工程量（含变更及增加工程）申报，承包人必须将已完成工程量和工程付款申请书</w:t>
      </w:r>
      <w:r>
        <w:rPr>
          <w:rFonts w:hint="eastAsia" w:ascii="宋体" w:hAnsi="宋体" w:eastAsia="宋体" w:cs="宋体"/>
          <w:snapToGrid w:val="0"/>
          <w:color w:val="auto"/>
          <w:kern w:val="0"/>
          <w:szCs w:val="24"/>
          <w:highlight w:val="none"/>
          <w:lang w:val="en-US" w:eastAsia="zh-CN"/>
        </w:rPr>
        <w:t>等相关资料，</w:t>
      </w:r>
      <w:r>
        <w:rPr>
          <w:rFonts w:hint="eastAsia" w:ascii="宋体" w:hAnsi="宋体" w:eastAsia="宋体" w:cs="宋体"/>
          <w:snapToGrid w:val="0"/>
          <w:color w:val="auto"/>
          <w:kern w:val="0"/>
          <w:szCs w:val="24"/>
          <w:highlight w:val="none"/>
        </w:rPr>
        <w:t>于当月26日前报监理单位核</w:t>
      </w:r>
      <w:bookmarkStart w:id="150" w:name="_Hlt127094354"/>
      <w:bookmarkEnd w:id="150"/>
      <w:r>
        <w:rPr>
          <w:rFonts w:hint="eastAsia" w:ascii="宋体" w:hAnsi="宋体" w:eastAsia="宋体" w:cs="宋体"/>
          <w:snapToGrid w:val="0"/>
          <w:color w:val="auto"/>
          <w:kern w:val="0"/>
          <w:szCs w:val="24"/>
          <w:highlight w:val="none"/>
        </w:rPr>
        <w:t>实。经监理单位审核、发包人审定后的工程进度款（指已经按照合同约定，扣除该支付期内因承包人违约而应扣除的管理费），申报后按</w:t>
      </w:r>
      <w:r>
        <w:rPr>
          <w:rFonts w:hint="eastAsia" w:ascii="宋体" w:hAnsi="宋体" w:eastAsia="宋体" w:cs="宋体"/>
          <w:snapToGrid w:val="0"/>
          <w:color w:val="auto"/>
          <w:kern w:val="0"/>
          <w:szCs w:val="24"/>
          <w:highlight w:val="none"/>
          <w:lang w:eastAsia="zh-CN"/>
        </w:rPr>
        <w:t>资金</w:t>
      </w:r>
      <w:r>
        <w:rPr>
          <w:rFonts w:hint="eastAsia" w:ascii="宋体" w:hAnsi="宋体" w:eastAsia="宋体" w:cs="宋体"/>
          <w:snapToGrid w:val="0"/>
          <w:color w:val="auto"/>
          <w:kern w:val="0"/>
          <w:szCs w:val="24"/>
          <w:highlight w:val="none"/>
        </w:rPr>
        <w:t>拨付到位实际情况进行支付。</w:t>
      </w:r>
    </w:p>
    <w:p w14:paraId="1047EE55">
      <w:pPr>
        <w:keepNext w:val="0"/>
        <w:keepLines w:val="0"/>
        <w:pageBreakBefore w:val="0"/>
        <w:widowControl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snapToGrid w:val="0"/>
          <w:color w:val="auto"/>
          <w:kern w:val="0"/>
          <w:szCs w:val="24"/>
          <w:highlight w:val="none"/>
          <w:lang w:eastAsia="zh-CN"/>
        </w:rPr>
      </w:pPr>
      <w:r>
        <w:rPr>
          <w:rFonts w:hint="eastAsia" w:ascii="宋体" w:hAnsi="宋体" w:eastAsia="宋体" w:cs="宋体"/>
          <w:snapToGrid w:val="0"/>
          <w:color w:val="auto"/>
          <w:kern w:val="0"/>
          <w:szCs w:val="24"/>
          <w:highlight w:val="none"/>
        </w:rPr>
        <w:t>3.4每月的工程进度款按工程实际完成工程量的</w:t>
      </w:r>
      <w:r>
        <w:rPr>
          <w:rFonts w:hint="eastAsia" w:ascii="宋体" w:hAnsi="宋体" w:eastAsia="宋体" w:cs="宋体"/>
          <w:snapToGrid w:val="0"/>
          <w:color w:val="auto"/>
          <w:kern w:val="0"/>
          <w:szCs w:val="24"/>
          <w:highlight w:val="none"/>
          <w:lang w:val="en-US" w:eastAsia="zh-CN"/>
        </w:rPr>
        <w:t>80</w:t>
      </w:r>
      <w:r>
        <w:rPr>
          <w:rFonts w:hint="eastAsia" w:ascii="宋体" w:hAnsi="宋体" w:eastAsia="宋体" w:cs="宋体"/>
          <w:snapToGrid w:val="0"/>
          <w:color w:val="auto"/>
          <w:kern w:val="0"/>
          <w:szCs w:val="24"/>
          <w:highlight w:val="none"/>
        </w:rPr>
        <w:t>%申请支付（其中70%支付</w:t>
      </w:r>
      <w:r>
        <w:rPr>
          <w:rFonts w:hint="eastAsia" w:ascii="宋体" w:hAnsi="宋体" w:eastAsia="宋体" w:cs="宋体"/>
          <w:snapToGrid w:val="0"/>
          <w:color w:val="auto"/>
          <w:kern w:val="0"/>
          <w:szCs w:val="24"/>
          <w:highlight w:val="none"/>
          <w:lang w:val="en-US" w:eastAsia="zh-CN"/>
        </w:rPr>
        <w:t>给工程账户</w:t>
      </w:r>
      <w:r>
        <w:rPr>
          <w:rFonts w:hint="eastAsia" w:ascii="宋体" w:hAnsi="宋体" w:eastAsia="宋体" w:cs="宋体"/>
          <w:snapToGrid w:val="0"/>
          <w:color w:val="auto"/>
          <w:kern w:val="0"/>
          <w:szCs w:val="24"/>
          <w:highlight w:val="none"/>
        </w:rPr>
        <w:t>，30%支付</w:t>
      </w:r>
      <w:r>
        <w:rPr>
          <w:rFonts w:hint="eastAsia" w:ascii="宋体" w:hAnsi="宋体" w:eastAsia="宋体" w:cs="宋体"/>
          <w:snapToGrid w:val="0"/>
          <w:color w:val="auto"/>
          <w:kern w:val="0"/>
          <w:szCs w:val="24"/>
          <w:highlight w:val="none"/>
          <w:lang w:val="en-US" w:eastAsia="zh-CN"/>
        </w:rPr>
        <w:t>给</w:t>
      </w:r>
      <w:r>
        <w:rPr>
          <w:rFonts w:hint="eastAsia" w:ascii="宋体" w:hAnsi="宋体" w:eastAsia="宋体" w:cs="宋体"/>
          <w:snapToGrid w:val="0"/>
          <w:color w:val="auto"/>
          <w:kern w:val="0"/>
          <w:szCs w:val="24"/>
          <w:highlight w:val="none"/>
        </w:rPr>
        <w:t>工人工资专用帐户），工程进度款中的作业工人工资款项由发包人单独足额拨付到承包人的工资专户。</w:t>
      </w:r>
    </w:p>
    <w:p w14:paraId="1C94EC44">
      <w:pPr>
        <w:keepNext w:val="0"/>
        <w:keepLines w:val="0"/>
        <w:pageBreakBefore w:val="0"/>
        <w:widowControl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w:t>
      </w:r>
      <w:r>
        <w:rPr>
          <w:rFonts w:hint="eastAsia" w:ascii="宋体" w:hAnsi="宋体" w:eastAsia="宋体" w:cs="宋体"/>
          <w:snapToGrid w:val="0"/>
          <w:color w:val="auto"/>
          <w:kern w:val="0"/>
          <w:szCs w:val="24"/>
          <w:highlight w:val="none"/>
          <w:lang w:val="en-US" w:eastAsia="zh-CN"/>
        </w:rPr>
        <w:t>5</w:t>
      </w:r>
      <w:r>
        <w:rPr>
          <w:rFonts w:hint="eastAsia" w:ascii="宋体" w:hAnsi="宋体" w:eastAsia="宋体" w:cs="宋体"/>
          <w:snapToGrid w:val="0"/>
          <w:color w:val="auto"/>
          <w:kern w:val="0"/>
          <w:szCs w:val="24"/>
          <w:highlight w:val="none"/>
        </w:rPr>
        <w:t>措施项目费中的“</w:t>
      </w:r>
      <w:r>
        <w:rPr>
          <w:rFonts w:hint="eastAsia" w:ascii="宋体" w:hAnsi="宋体" w:eastAsia="宋体" w:cs="宋体"/>
          <w:snapToGrid w:val="0"/>
          <w:color w:val="auto"/>
          <w:kern w:val="0"/>
          <w:szCs w:val="24"/>
          <w:highlight w:val="none"/>
          <w:lang w:val="en-US" w:eastAsia="zh-CN"/>
        </w:rPr>
        <w:t>安全生产措施费</w:t>
      </w:r>
      <w:r>
        <w:rPr>
          <w:rFonts w:hint="eastAsia" w:ascii="宋体" w:hAnsi="宋体" w:eastAsia="宋体" w:cs="宋体"/>
          <w:snapToGrid w:val="0"/>
          <w:color w:val="auto"/>
          <w:kern w:val="0"/>
          <w:szCs w:val="24"/>
          <w:highlight w:val="none"/>
        </w:rPr>
        <w:t>”拨付按照</w:t>
      </w:r>
      <w:r>
        <w:rPr>
          <w:rFonts w:hint="eastAsia" w:ascii="宋体" w:hAnsi="宋体" w:eastAsia="宋体" w:cs="宋体"/>
          <w:snapToGrid w:val="0"/>
          <w:color w:val="auto"/>
          <w:kern w:val="0"/>
          <w:highlight w:val="none"/>
        </w:rPr>
        <w:t>《广东省建设工程计价依据(2024)》</w:t>
      </w:r>
      <w:r>
        <w:rPr>
          <w:rFonts w:hint="eastAsia" w:ascii="宋体" w:hAnsi="宋体" w:eastAsia="宋体" w:cs="宋体"/>
          <w:snapToGrid w:val="0"/>
          <w:color w:val="auto"/>
          <w:kern w:val="0"/>
          <w:szCs w:val="24"/>
          <w:highlight w:val="none"/>
        </w:rPr>
        <w:t>执行，按照项目所在地的建设行政主管部门有关规定支付。发生一般事故及以上等级重大安全事故的，发包人可扣除承包人金额相当于所有“安全生产措施费”的工程管理费。</w:t>
      </w:r>
    </w:p>
    <w:p w14:paraId="3B2941D1">
      <w:pPr>
        <w:keepNext w:val="0"/>
        <w:keepLines w:val="0"/>
        <w:pageBreakBefore w:val="0"/>
        <w:widowControl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w:t>
      </w:r>
      <w:r>
        <w:rPr>
          <w:rFonts w:hint="eastAsia" w:ascii="宋体" w:hAnsi="宋体" w:eastAsia="宋体" w:cs="宋体"/>
          <w:snapToGrid w:val="0"/>
          <w:color w:val="auto"/>
          <w:kern w:val="0"/>
          <w:szCs w:val="24"/>
          <w:highlight w:val="none"/>
          <w:lang w:val="en-US" w:eastAsia="zh-CN"/>
        </w:rPr>
        <w:t>6</w:t>
      </w:r>
      <w:r>
        <w:rPr>
          <w:rFonts w:hint="eastAsia" w:ascii="宋体" w:hAnsi="宋体" w:eastAsia="宋体" w:cs="宋体"/>
          <w:snapToGrid w:val="0"/>
          <w:color w:val="auto"/>
          <w:kern w:val="0"/>
          <w:szCs w:val="24"/>
          <w:highlight w:val="none"/>
        </w:rPr>
        <w:t>变更工程造价必须经监理单位核实，并经发包人核定后方可支付。</w:t>
      </w:r>
    </w:p>
    <w:p w14:paraId="0A611E17">
      <w:pPr>
        <w:keepNext w:val="0"/>
        <w:keepLines w:val="0"/>
        <w:pageBreakBefore w:val="0"/>
        <w:widowControl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w:t>
      </w:r>
      <w:r>
        <w:rPr>
          <w:rFonts w:hint="eastAsia" w:ascii="宋体" w:hAnsi="宋体" w:eastAsia="宋体" w:cs="宋体"/>
          <w:snapToGrid w:val="0"/>
          <w:color w:val="auto"/>
          <w:kern w:val="0"/>
          <w:szCs w:val="24"/>
          <w:highlight w:val="none"/>
          <w:lang w:val="en-US" w:eastAsia="zh-CN"/>
        </w:rPr>
        <w:t>7</w:t>
      </w:r>
      <w:r>
        <w:rPr>
          <w:rFonts w:hint="eastAsia" w:ascii="宋体" w:hAnsi="宋体" w:eastAsia="宋体" w:cs="宋体"/>
          <w:snapToGrid w:val="0"/>
          <w:color w:val="auto"/>
          <w:kern w:val="0"/>
          <w:szCs w:val="24"/>
          <w:highlight w:val="none"/>
        </w:rPr>
        <w:t>结算审核完成后，于次月支付至</w:t>
      </w:r>
      <w:r>
        <w:rPr>
          <w:rFonts w:hint="eastAsia" w:ascii="宋体" w:hAnsi="宋体" w:eastAsia="宋体" w:cs="宋体"/>
          <w:snapToGrid w:val="0"/>
          <w:color w:val="auto"/>
          <w:kern w:val="0"/>
          <w:szCs w:val="24"/>
          <w:highlight w:val="none"/>
          <w:lang w:val="en-US" w:eastAsia="zh-CN"/>
        </w:rPr>
        <w:t>审核</w:t>
      </w:r>
      <w:r>
        <w:rPr>
          <w:rFonts w:hint="eastAsia" w:ascii="宋体" w:hAnsi="宋体" w:eastAsia="宋体" w:cs="宋体"/>
          <w:snapToGrid w:val="0"/>
          <w:color w:val="auto"/>
          <w:kern w:val="0"/>
          <w:szCs w:val="24"/>
          <w:highlight w:val="none"/>
        </w:rPr>
        <w:t>价格的97%</w:t>
      </w:r>
      <w:r>
        <w:rPr>
          <w:rFonts w:hint="eastAsia" w:ascii="宋体" w:hAnsi="宋体" w:eastAsia="宋体" w:cs="宋体"/>
          <w:snapToGrid w:val="0"/>
          <w:color w:val="auto"/>
          <w:kern w:val="0"/>
          <w:szCs w:val="24"/>
          <w:highlight w:val="none"/>
          <w:lang w:eastAsia="zh-CN"/>
        </w:rPr>
        <w:t>（</w:t>
      </w:r>
      <w:r>
        <w:rPr>
          <w:rFonts w:hint="eastAsia" w:ascii="宋体" w:hAnsi="宋体" w:eastAsia="宋体" w:cs="宋体"/>
          <w:snapToGrid w:val="0"/>
          <w:color w:val="auto"/>
          <w:kern w:val="0"/>
          <w:szCs w:val="24"/>
          <w:highlight w:val="none"/>
          <w:lang w:val="en-US" w:eastAsia="zh-CN"/>
        </w:rPr>
        <w:t>以</w:t>
      </w:r>
      <w:r>
        <w:rPr>
          <w:rFonts w:hint="eastAsia" w:ascii="宋体" w:hAnsi="宋体" w:eastAsia="宋体" w:cs="宋体"/>
          <w:snapToGrid w:val="0"/>
          <w:color w:val="auto"/>
          <w:kern w:val="0"/>
          <w:szCs w:val="24"/>
          <w:highlight w:val="none"/>
          <w:lang w:val="en-US"/>
        </w:rPr>
        <w:t>财政</w:t>
      </w:r>
      <w:r>
        <w:rPr>
          <w:rFonts w:hint="eastAsia" w:ascii="宋体" w:hAnsi="宋体" w:eastAsia="宋体" w:cs="宋体"/>
          <w:snapToGrid w:val="0"/>
          <w:color w:val="auto"/>
          <w:kern w:val="0"/>
          <w:szCs w:val="24"/>
          <w:highlight w:val="none"/>
          <w:lang w:val="en-US" w:eastAsia="zh-CN"/>
        </w:rPr>
        <w:t>部门</w:t>
      </w:r>
      <w:r>
        <w:rPr>
          <w:rFonts w:hint="eastAsia" w:ascii="宋体" w:hAnsi="宋体" w:eastAsia="宋体" w:cs="宋体"/>
          <w:snapToGrid w:val="0"/>
          <w:color w:val="auto"/>
          <w:kern w:val="0"/>
          <w:szCs w:val="24"/>
          <w:highlight w:val="none"/>
          <w:lang w:val="en-US"/>
        </w:rPr>
        <w:t>审定后的价格为准</w:t>
      </w:r>
      <w:r>
        <w:rPr>
          <w:rFonts w:hint="eastAsia" w:ascii="宋体" w:hAnsi="宋体" w:eastAsia="宋体" w:cs="宋体"/>
          <w:snapToGrid w:val="0"/>
          <w:color w:val="auto"/>
          <w:kern w:val="0"/>
          <w:szCs w:val="24"/>
          <w:highlight w:val="none"/>
          <w:lang w:eastAsia="zh-CN"/>
        </w:rPr>
        <w:t>）</w:t>
      </w:r>
      <w:r>
        <w:rPr>
          <w:rFonts w:hint="eastAsia" w:ascii="宋体" w:hAnsi="宋体" w:eastAsia="宋体" w:cs="宋体"/>
          <w:snapToGrid w:val="0"/>
          <w:color w:val="auto"/>
          <w:kern w:val="0"/>
          <w:szCs w:val="24"/>
          <w:highlight w:val="none"/>
        </w:rPr>
        <w:t>，剩余3%转为质量保证金；承包人提交了等额质量保证担保或质量保证保险的，于次月一次性结清合同价格。</w:t>
      </w:r>
    </w:p>
    <w:p w14:paraId="254F7B51">
      <w:pPr>
        <w:keepNext w:val="0"/>
        <w:keepLines w:val="0"/>
        <w:pageBreakBefore w:val="0"/>
        <w:widowControl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w:t>
      </w:r>
      <w:r>
        <w:rPr>
          <w:rFonts w:hint="eastAsia" w:ascii="宋体" w:hAnsi="宋体" w:eastAsia="宋体" w:cs="宋体"/>
          <w:snapToGrid w:val="0"/>
          <w:color w:val="auto"/>
          <w:kern w:val="0"/>
          <w:szCs w:val="24"/>
          <w:highlight w:val="none"/>
          <w:lang w:val="en-US" w:eastAsia="zh-CN"/>
        </w:rPr>
        <w:t>8</w:t>
      </w:r>
      <w:r>
        <w:rPr>
          <w:rFonts w:hint="eastAsia" w:ascii="宋体" w:hAnsi="宋体" w:eastAsia="宋体" w:cs="宋体"/>
          <w:snapToGrid w:val="0"/>
          <w:color w:val="auto"/>
          <w:kern w:val="0"/>
          <w:szCs w:val="24"/>
          <w:highlight w:val="none"/>
        </w:rPr>
        <w:t>本招标项目缺陷责任期为</w:t>
      </w:r>
      <w:r>
        <w:rPr>
          <w:rFonts w:hint="eastAsia" w:ascii="宋体" w:hAnsi="宋体" w:eastAsia="宋体" w:cs="宋体"/>
          <w:snapToGrid w:val="0"/>
          <w:color w:val="auto"/>
          <w:kern w:val="0"/>
          <w:szCs w:val="24"/>
          <w:highlight w:val="none"/>
          <w:lang w:val="en-US" w:eastAsia="zh-CN"/>
        </w:rPr>
        <w:t>2</w:t>
      </w:r>
      <w:r>
        <w:rPr>
          <w:rFonts w:hint="eastAsia" w:ascii="宋体" w:hAnsi="宋体" w:eastAsia="宋体" w:cs="宋体"/>
          <w:snapToGrid w:val="0"/>
          <w:color w:val="auto"/>
          <w:kern w:val="0"/>
          <w:szCs w:val="24"/>
          <w:highlight w:val="none"/>
        </w:rPr>
        <w:t>年（自通过竣工验收之日起计）。缺陷责任期到期后，承包人向发包人申请退还质量保证。发包人收到退还申请后，于14天内会同承包人进行核实。经双方核实且均无异议后，发包人在核实之日起14天内将应返保证金（或银行保函）退还承包人。</w:t>
      </w:r>
    </w:p>
    <w:p w14:paraId="17799AE7">
      <w:pPr>
        <w:keepNext w:val="0"/>
        <w:keepLines w:val="0"/>
        <w:pageBreakBefore w:val="0"/>
        <w:widowControl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w:t>
      </w:r>
      <w:r>
        <w:rPr>
          <w:rFonts w:hint="eastAsia" w:ascii="宋体" w:hAnsi="宋体" w:eastAsia="宋体" w:cs="宋体"/>
          <w:snapToGrid w:val="0"/>
          <w:color w:val="auto"/>
          <w:kern w:val="0"/>
          <w:szCs w:val="24"/>
          <w:highlight w:val="none"/>
          <w:lang w:val="en-US" w:eastAsia="zh-CN"/>
        </w:rPr>
        <w:t>9</w:t>
      </w:r>
      <w:r>
        <w:rPr>
          <w:rFonts w:hint="eastAsia" w:ascii="宋体" w:hAnsi="宋体" w:eastAsia="宋体" w:cs="宋体"/>
          <w:snapToGrid w:val="0"/>
          <w:color w:val="auto"/>
          <w:kern w:val="0"/>
          <w:szCs w:val="24"/>
          <w:highlight w:val="none"/>
        </w:rPr>
        <w:t>发包人每次支付工程款前，承包人均应提供有效的增值税</w:t>
      </w:r>
      <w:r>
        <w:rPr>
          <w:rFonts w:hint="eastAsia" w:ascii="宋体" w:hAnsi="宋体" w:eastAsia="宋体" w:cs="宋体"/>
          <w:snapToGrid w:val="0"/>
          <w:color w:val="auto"/>
          <w:kern w:val="0"/>
          <w:szCs w:val="24"/>
          <w:highlight w:val="none"/>
          <w:lang w:val="en-US" w:eastAsia="zh-CN"/>
        </w:rPr>
        <w:t>专用</w:t>
      </w:r>
      <w:r>
        <w:rPr>
          <w:rFonts w:hint="eastAsia" w:ascii="宋体" w:hAnsi="宋体" w:eastAsia="宋体" w:cs="宋体"/>
          <w:snapToGrid w:val="0"/>
          <w:color w:val="auto"/>
          <w:kern w:val="0"/>
          <w:szCs w:val="24"/>
          <w:highlight w:val="none"/>
        </w:rPr>
        <w:t>发票。如果承包人无法提供符合要求的发票，由此造成的相应损失由承包人承担。</w:t>
      </w:r>
    </w:p>
    <w:p w14:paraId="53558102">
      <w:pPr>
        <w:keepNext w:val="0"/>
        <w:keepLines w:val="0"/>
        <w:pageBreakBefore w:val="0"/>
        <w:widowControl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val="en-US" w:eastAsia="zh-CN"/>
        </w:rPr>
        <w:t>3.10暂列金额支付方式：承包人需根据相关管理办法进行办理相关程序后，与次月的工程进度款一并报送；若承包人原因未按上述办法在规定时间内完善工程变更签证相关程序的，次月工程进度款暂停拨付。在暂列金额的范围内，最终经发包人确认后支付至该部分实际完成工程量的50%，其余部分待最终结算完成审核后支付至97%，剩余3%为工程质量保修金。在承包人提供了等额的质量保证金保函后，支付至审核价的100%。</w:t>
      </w:r>
    </w:p>
    <w:p w14:paraId="162C0411">
      <w:pPr>
        <w:keepNext w:val="0"/>
        <w:keepLines w:val="0"/>
        <w:pageBreakBefore w:val="0"/>
        <w:widowControl w:val="0"/>
        <w:kinsoku/>
        <w:wordWrap w:val="0"/>
        <w:overflowPunct/>
        <w:topLinePunct w:val="0"/>
        <w:autoSpaceDE/>
        <w:autoSpaceDN/>
        <w:bidi w:val="0"/>
        <w:adjustRightInd w:val="0"/>
        <w:snapToGrid w:val="0"/>
        <w:spacing w:line="500" w:lineRule="exact"/>
        <w:ind w:firstLine="560"/>
        <w:textAlignment w:val="auto"/>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lang w:val="en-US" w:eastAsia="zh-CN"/>
        </w:rPr>
        <w:t>3.11材料暂估价、专业工程暂估价支付方式：材料暂估价、专业工程暂估价与每个月的工程进度款一并报送，但需要列明详细项目内容，该部分材料暂估价、专业工程暂估价按该部分实际完成工程量的50%支付，剩余部分待最终结算完成后支付至97%，剩余3%为工程质量保修金。</w:t>
      </w:r>
    </w:p>
    <w:bookmarkEnd w:id="137"/>
    <w:bookmarkEnd w:id="138"/>
    <w:p w14:paraId="1EB77567">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151" w:name="_Toc1590"/>
      <w:r>
        <w:rPr>
          <w:rFonts w:hint="eastAsia" w:ascii="宋体" w:hAnsi="宋体" w:eastAsia="宋体" w:cs="宋体"/>
          <w:b/>
          <w:snapToGrid w:val="0"/>
          <w:color w:val="auto"/>
          <w:highlight w:val="none"/>
          <w:lang w:val="en-US" w:eastAsia="zh-CN"/>
        </w:rPr>
        <w:t>4．专用合同条款</w:t>
      </w:r>
      <w:bookmarkEnd w:id="151"/>
    </w:p>
    <w:p w14:paraId="4A50794F">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eastAsia="zh-CN"/>
        </w:rPr>
      </w:pPr>
      <w:r>
        <w:rPr>
          <w:rFonts w:hint="eastAsia" w:ascii="宋体" w:hAnsi="宋体" w:eastAsia="宋体" w:cs="宋体"/>
          <w:b/>
          <w:bCs w:val="0"/>
          <w:snapToGrid w:val="0"/>
          <w:color w:val="auto"/>
          <w:kern w:val="0"/>
          <w:highlight w:val="none"/>
          <w:lang w:eastAsia="zh-CN"/>
        </w:rPr>
        <w:t>4.1</w:t>
      </w:r>
      <w:r>
        <w:rPr>
          <w:rFonts w:hint="eastAsia" w:ascii="宋体" w:hAnsi="宋体" w:eastAsia="宋体" w:cs="宋体"/>
          <w:b/>
          <w:bCs w:val="0"/>
          <w:snapToGrid w:val="0"/>
          <w:color w:val="auto"/>
          <w:kern w:val="0"/>
          <w:highlight w:val="none"/>
          <w:lang w:val="en-US" w:eastAsia="zh-CN"/>
        </w:rPr>
        <w:t xml:space="preserve"> </w:t>
      </w:r>
      <w:r>
        <w:rPr>
          <w:rFonts w:hint="eastAsia" w:ascii="宋体" w:hAnsi="宋体" w:eastAsia="宋体" w:cs="宋体"/>
          <w:b/>
          <w:bCs w:val="0"/>
          <w:snapToGrid w:val="0"/>
          <w:color w:val="auto"/>
          <w:kern w:val="0"/>
          <w:highlight w:val="none"/>
          <w:lang w:eastAsia="zh-CN"/>
        </w:rPr>
        <w:t>专业工程分包</w:t>
      </w:r>
    </w:p>
    <w:p w14:paraId="0B0B429D">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eastAsia="zh-CN"/>
        </w:rPr>
      </w:pPr>
      <w:r>
        <w:rPr>
          <w:rFonts w:hint="eastAsia" w:ascii="宋体" w:hAnsi="宋体" w:eastAsia="宋体" w:cs="宋体"/>
          <w:b w:val="0"/>
          <w:bCs/>
          <w:snapToGrid w:val="0"/>
          <w:color w:val="auto"/>
          <w:kern w:val="0"/>
          <w:highlight w:val="none"/>
          <w:lang w:eastAsia="zh-CN"/>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569DAE32">
      <w:pPr>
        <w:keepNext w:val="0"/>
        <w:keepLines w:val="0"/>
        <w:pageBreakBefore w:val="0"/>
        <w:widowControl w:val="0"/>
        <w:kinsoku/>
        <w:wordWrap w:val="0"/>
        <w:overflowPunct/>
        <w:topLinePunct w:val="0"/>
        <w:bidi w:val="0"/>
        <w:adjustRightInd w:val="0"/>
        <w:snapToGrid w:val="0"/>
        <w:spacing w:line="460" w:lineRule="exact"/>
        <w:ind w:firstLine="482" w:firstLineChars="200"/>
        <w:textAlignment w:val="auto"/>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4.2 工程移交延误违约</w:t>
      </w:r>
    </w:p>
    <w:p w14:paraId="0AAC3393">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4.2.1因承包人原因，工程没有按期竣工时（除自然灾害、流行疾病、业主方通知停工造成的工期顺延外），承包人须在逾期第一天起每天按合同价的</w:t>
      </w:r>
      <w:r>
        <w:rPr>
          <w:rFonts w:hint="eastAsia" w:ascii="宋体" w:hAnsi="宋体" w:eastAsia="宋体" w:cs="宋体"/>
          <w:b w:val="0"/>
          <w:bCs/>
          <w:snapToGrid w:val="0"/>
          <w:color w:val="auto"/>
          <w:kern w:val="0"/>
          <w:highlight w:val="none"/>
          <w:u w:val="single"/>
          <w:lang w:val="en-US" w:eastAsia="zh-CN"/>
        </w:rPr>
        <w:t>3‰</w:t>
      </w:r>
      <w:r>
        <w:rPr>
          <w:rFonts w:hint="eastAsia" w:ascii="宋体" w:hAnsi="宋体" w:eastAsia="宋体" w:cs="宋体"/>
          <w:b w:val="0"/>
          <w:bCs/>
          <w:snapToGrid w:val="0"/>
          <w:color w:val="auto"/>
          <w:kern w:val="0"/>
          <w:highlight w:val="none"/>
          <w:lang w:val="en-US" w:eastAsia="zh-CN"/>
        </w:rPr>
        <w:t>向发包人返纳逾期竣工违约金。逾期竣工违约金的最高限额为合同总价的5%。（开工时间具体以监理发出开工通知为准）</w:t>
      </w:r>
    </w:p>
    <w:p w14:paraId="78E769B9">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4.2.2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人民币10000元支付违约金给发包人，在结算中一并扣除。</w:t>
      </w:r>
    </w:p>
    <w:p w14:paraId="55CE9402">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4.2.3</w:t>
      </w:r>
      <w:r>
        <w:rPr>
          <w:rFonts w:hint="eastAsia" w:ascii="宋体" w:hAnsi="宋体" w:eastAsia="宋体" w:cs="宋体"/>
          <w:b w:val="0"/>
          <w:bCs w:val="0"/>
          <w:color w:val="auto"/>
          <w:highlight w:val="none"/>
        </w:rPr>
        <w:t>投标报价应充分考虑在施工中由于发包人造成停工或工期延误等因素所产生的相关费用，发包人不予另计费；停工发生后，若可复工时，承包人应在收到发包人或监理单位发出的复工通知书后3日内复工，否则，逾期第壹天起每天按合同价款的</w:t>
      </w:r>
      <w:r>
        <w:rPr>
          <w:rFonts w:hint="eastAsia" w:ascii="宋体" w:hAnsi="宋体" w:eastAsia="宋体" w:cs="宋体"/>
          <w:b w:val="0"/>
          <w:bCs w:val="0"/>
          <w:color w:val="auto"/>
          <w:highlight w:val="none"/>
          <w:lang w:val="en-US" w:eastAsia="zh-CN"/>
        </w:rPr>
        <w:t>3</w:t>
      </w:r>
      <w:r>
        <w:rPr>
          <w:rFonts w:hint="eastAsia" w:ascii="宋体" w:hAnsi="宋体" w:eastAsia="宋体" w:cs="宋体"/>
          <w:b w:val="0"/>
          <w:bCs w:val="0"/>
          <w:color w:val="auto"/>
          <w:highlight w:val="none"/>
        </w:rPr>
        <w:t>‰作误工违约处理。自该项目开工后，中标单位因自身原因导致停工（具体停工日期由发包人现场管理人员确定）累计超过3天，每月的工程进度款调整为按工程实际完成工程量的70%支付，剩余工程款结算审核定案后支付到97%</w:t>
      </w:r>
      <w:r>
        <w:rPr>
          <w:rFonts w:hint="eastAsia" w:ascii="宋体" w:hAnsi="宋体" w:eastAsia="宋体" w:cs="宋体"/>
          <w:b w:val="0"/>
          <w:bCs w:val="0"/>
          <w:color w:val="auto"/>
          <w:highlight w:val="none"/>
          <w:lang w:eastAsia="zh-CN"/>
        </w:rPr>
        <w:t>。</w:t>
      </w:r>
    </w:p>
    <w:p w14:paraId="530A72D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4.2.4承包人在进场后7天内提交施工进度计划，并注明主要施工节点时间，送监理单位及发包人审核后，作为工期考核的阶段性指标，若因承包人原因无法按进度节点完成的，逾期第</w:t>
      </w:r>
      <w:r>
        <w:rPr>
          <w:rFonts w:hint="eastAsia" w:ascii="宋体" w:hAnsi="宋体" w:eastAsia="宋体" w:cs="宋体"/>
          <w:b w:val="0"/>
          <w:bCs w:val="0"/>
          <w:color w:val="auto"/>
          <w:highlight w:val="none"/>
        </w:rPr>
        <w:t>壹</w:t>
      </w:r>
      <w:r>
        <w:rPr>
          <w:rFonts w:hint="eastAsia" w:ascii="宋体" w:hAnsi="宋体" w:eastAsia="宋体" w:cs="宋体"/>
          <w:b w:val="0"/>
          <w:bCs/>
          <w:snapToGrid w:val="0"/>
          <w:color w:val="auto"/>
          <w:kern w:val="0"/>
          <w:highlight w:val="none"/>
          <w:lang w:val="en-US" w:eastAsia="zh-CN"/>
        </w:rPr>
        <w:t>天起每天按</w:t>
      </w:r>
      <w:r>
        <w:rPr>
          <w:rFonts w:hint="eastAsia" w:ascii="宋体" w:hAnsi="宋体" w:eastAsia="宋体" w:cs="宋体"/>
          <w:b w:val="0"/>
          <w:bCs/>
          <w:snapToGrid w:val="0"/>
          <w:color w:val="auto"/>
          <w:kern w:val="0"/>
          <w:highlight w:val="none"/>
          <w:u w:val="single"/>
          <w:lang w:val="en-US" w:eastAsia="zh-CN"/>
        </w:rPr>
        <w:t>15万元</w:t>
      </w:r>
      <w:r>
        <w:rPr>
          <w:rFonts w:hint="eastAsia" w:ascii="宋体" w:hAnsi="宋体" w:eastAsia="宋体" w:cs="宋体"/>
          <w:b w:val="0"/>
          <w:bCs/>
          <w:snapToGrid w:val="0"/>
          <w:color w:val="auto"/>
          <w:kern w:val="0"/>
          <w:highlight w:val="none"/>
          <w:lang w:val="en-US" w:eastAsia="zh-CN"/>
        </w:rPr>
        <w:t>向发包人返纳逾期违约金。</w:t>
      </w:r>
    </w:p>
    <w:p w14:paraId="447DDD64">
      <w:pPr>
        <w:keepNext w:val="0"/>
        <w:keepLines w:val="0"/>
        <w:pageBreakBefore w:val="0"/>
        <w:widowControl w:val="0"/>
        <w:kinsoku/>
        <w:wordWrap w:val="0"/>
        <w:overflowPunct/>
        <w:topLinePunct w:val="0"/>
        <w:bidi w:val="0"/>
        <w:adjustRightInd w:val="0"/>
        <w:snapToGrid w:val="0"/>
        <w:spacing w:line="460" w:lineRule="exact"/>
        <w:ind w:firstLine="482" w:firstLineChars="200"/>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4.3 质量违约</w:t>
      </w:r>
    </w:p>
    <w:p w14:paraId="6265DBB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w:t>
      </w:r>
      <w:r>
        <w:rPr>
          <w:rFonts w:hint="eastAsia" w:ascii="宋体" w:hAnsi="宋体" w:eastAsia="宋体" w:cs="宋体"/>
          <w:b w:val="0"/>
          <w:bCs w:val="0"/>
          <w:snapToGrid w:val="0"/>
          <w:color w:val="auto"/>
          <w:kern w:val="0"/>
          <w:highlight w:val="none"/>
          <w:lang w:val="en-US" w:eastAsia="zh-CN"/>
        </w:rPr>
        <w:t>3</w:t>
      </w:r>
      <w:r>
        <w:rPr>
          <w:rFonts w:hint="eastAsia" w:ascii="宋体" w:hAnsi="宋体" w:eastAsia="宋体" w:cs="宋体"/>
          <w:b w:val="0"/>
          <w:bCs/>
          <w:snapToGrid w:val="0"/>
          <w:color w:val="auto"/>
          <w:kern w:val="0"/>
          <w:highlight w:val="none"/>
          <w:lang w:val="en-US" w:eastAsia="zh-CN"/>
        </w:rPr>
        <w:t>.1材料违约处理：若发现材料不符合国家标准或发包人在技术规范中规定的标准，视为承包人违约，按现行《建设工程质量管理条例》处理。</w:t>
      </w:r>
    </w:p>
    <w:p w14:paraId="7BBA5E1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w:t>
      </w:r>
      <w:r>
        <w:rPr>
          <w:rFonts w:hint="eastAsia" w:ascii="宋体" w:hAnsi="宋体" w:eastAsia="宋体" w:cs="宋体"/>
          <w:b w:val="0"/>
          <w:bCs w:val="0"/>
          <w:snapToGrid w:val="0"/>
          <w:color w:val="auto"/>
          <w:kern w:val="0"/>
          <w:highlight w:val="none"/>
          <w:lang w:val="en-US" w:eastAsia="zh-CN"/>
        </w:rPr>
        <w:t>3</w:t>
      </w:r>
      <w:r>
        <w:rPr>
          <w:rFonts w:hint="eastAsia" w:ascii="宋体" w:hAnsi="宋体" w:eastAsia="宋体" w:cs="宋体"/>
          <w:b w:val="0"/>
          <w:bCs/>
          <w:snapToGrid w:val="0"/>
          <w:color w:val="auto"/>
          <w:kern w:val="0"/>
          <w:highlight w:val="none"/>
          <w:lang w:val="en-US" w:eastAsia="zh-CN"/>
        </w:rPr>
        <w:t>.2工程质量违约</w:t>
      </w:r>
    </w:p>
    <w:p w14:paraId="799C48C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w:t>
      </w:r>
      <w:r>
        <w:rPr>
          <w:rFonts w:hint="eastAsia" w:ascii="宋体" w:hAnsi="宋体" w:eastAsia="宋体" w:cs="宋体"/>
          <w:b w:val="0"/>
          <w:bCs w:val="0"/>
          <w:snapToGrid w:val="0"/>
          <w:color w:val="auto"/>
          <w:kern w:val="0"/>
          <w:highlight w:val="none"/>
          <w:lang w:val="en-US" w:eastAsia="zh-CN"/>
        </w:rPr>
        <w:t>3</w:t>
      </w:r>
      <w:r>
        <w:rPr>
          <w:rFonts w:hint="eastAsia" w:ascii="宋体" w:hAnsi="宋体" w:eastAsia="宋体" w:cs="宋体"/>
          <w:b w:val="0"/>
          <w:bCs/>
          <w:snapToGrid w:val="0"/>
          <w:color w:val="auto"/>
          <w:kern w:val="0"/>
          <w:highlight w:val="none"/>
          <w:lang w:val="en-US" w:eastAsia="zh-CN"/>
        </w:rPr>
        <w:t>.2.1在施工过程中经监理单位日常巡查或抽检发现未达到合格标准，责令承包人进行整改，如未按规定时间进行整改或整改不到位的，每次按10000元缴纳违约金给发包人，在进度款或结算款中一并扣除。</w:t>
      </w:r>
    </w:p>
    <w:p w14:paraId="77A4CE7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w:t>
      </w:r>
      <w:r>
        <w:rPr>
          <w:rFonts w:hint="eastAsia" w:ascii="宋体" w:hAnsi="宋体" w:eastAsia="宋体" w:cs="宋体"/>
          <w:b w:val="0"/>
          <w:bCs w:val="0"/>
          <w:snapToGrid w:val="0"/>
          <w:color w:val="auto"/>
          <w:kern w:val="0"/>
          <w:highlight w:val="none"/>
          <w:lang w:val="en-US" w:eastAsia="zh-CN"/>
        </w:rPr>
        <w:t>3</w:t>
      </w:r>
      <w:r>
        <w:rPr>
          <w:rFonts w:hint="eastAsia" w:ascii="宋体" w:hAnsi="宋体" w:eastAsia="宋体" w:cs="宋体"/>
          <w:b w:val="0"/>
          <w:bCs/>
          <w:snapToGrid w:val="0"/>
          <w:color w:val="auto"/>
          <w:kern w:val="0"/>
          <w:highlight w:val="none"/>
          <w:lang w:val="en-US" w:eastAsia="zh-CN"/>
        </w:rPr>
        <w:t>.2.2如工程在竣工验收时未达到合格标准，则按合同价款的5%向发包人缴纳质量违约金。</w:t>
      </w:r>
    </w:p>
    <w:p w14:paraId="761527D3">
      <w:pPr>
        <w:keepNext w:val="0"/>
        <w:keepLines w:val="0"/>
        <w:pageBreakBefore w:val="0"/>
        <w:widowControl w:val="0"/>
        <w:kinsoku/>
        <w:wordWrap w:val="0"/>
        <w:overflowPunct/>
        <w:topLinePunct w:val="0"/>
        <w:bidi w:val="0"/>
        <w:adjustRightInd w:val="0"/>
        <w:snapToGrid w:val="0"/>
        <w:spacing w:line="460" w:lineRule="exact"/>
        <w:ind w:firstLine="482" w:firstLineChars="200"/>
        <w:textAlignment w:val="auto"/>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4.4重大责任事故违约</w:t>
      </w:r>
    </w:p>
    <w:p w14:paraId="75B1CDA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4.4.1承包人因违反国家安全质量法规及合同有关条款约定,出现火灾、坍塌、人员重伤、死亡等重大责任事故,则承包人应承担全部损失,并按相关法规接受行政处罚；如造成发包人及对第三人利益的损害,该等损害赔偿责任均由承包人承担。同时,每出现一次重大责任事故, 承包人应同时缴纳惩罚性违约金10万元。</w:t>
      </w:r>
    </w:p>
    <w:p w14:paraId="1EDA7509">
      <w:pPr>
        <w:keepNext w:val="0"/>
        <w:keepLines w:val="0"/>
        <w:pageBreakBefore w:val="0"/>
        <w:widowControl w:val="0"/>
        <w:kinsoku/>
        <w:wordWrap w:val="0"/>
        <w:overflowPunct/>
        <w:topLinePunct w:val="0"/>
        <w:bidi w:val="0"/>
        <w:adjustRightInd w:val="0"/>
        <w:snapToGrid w:val="0"/>
        <w:spacing w:line="460" w:lineRule="exact"/>
        <w:ind w:firstLine="482" w:firstLineChars="200"/>
        <w:textAlignment w:val="auto"/>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4.5用工违约</w:t>
      </w:r>
    </w:p>
    <w:p w14:paraId="036BC719">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4.5.1在合同履行期间，如经查实承包人拖欠或克扣农民工或劳务工工资，导致劳资纠纷或发生危及公共安全或正常社会秩序的事件的，按承包人违约处理，承包人应按拖欠或克扣农民工或劳务工工资总金额3倍的标准向发包人缴纳惩罚性违约金。</w:t>
      </w:r>
    </w:p>
    <w:p w14:paraId="2FFCDCCF">
      <w:pPr>
        <w:keepNext w:val="0"/>
        <w:keepLines w:val="0"/>
        <w:pageBreakBefore w:val="0"/>
        <w:widowControl w:val="0"/>
        <w:kinsoku/>
        <w:wordWrap w:val="0"/>
        <w:overflowPunct/>
        <w:topLinePunct w:val="0"/>
        <w:bidi w:val="0"/>
        <w:adjustRightInd w:val="0"/>
        <w:snapToGrid w:val="0"/>
        <w:spacing w:line="460" w:lineRule="exact"/>
        <w:ind w:firstLine="482" w:firstLineChars="200"/>
        <w:textAlignment w:val="auto"/>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4.6 安全文明施工违约</w:t>
      </w:r>
    </w:p>
    <w:p w14:paraId="1F8F8DCD">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4.6.1如承包人违反国家、广东省、发包人及合同关于安全文明施工的规定，但尚未造成安全责任事故，承包人应及时改正行为并赔偿相关方的损失，如未及时整改,针对每一违约行为每持续一天应缴纳违约金4000元。</w:t>
      </w:r>
    </w:p>
    <w:p w14:paraId="0417CAB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4.6.2承包人现场施工人员存在野蛮施工行为，经现场发包人（含监理单位）管理人员确认后，首次发现责令承包人进行整改，如未按规定时间进行整改或整改不到位的，承包人须按1万元/次缴纳违约金；如因野蛮施工行为，引起投诉或网络问政的，承包人须按1万元/次缴纳违约金；并承担因野蛮施工行为所造成的全部责任。</w:t>
      </w:r>
    </w:p>
    <w:p w14:paraId="5EF1DF4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4.6.3承包人必须接受发包人及监理单位组织的安全、文明施工的检查，检查中的不合格项目、安全隐患必须在规定的时间内整改完成，否则每拖延一天处以1万元人民币违约金，直至整改合格。</w:t>
      </w:r>
    </w:p>
    <w:p w14:paraId="44FF787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4.6.4承包人施工现场发生工伤或其他责任事故的，承包人按下列标准缴纳违约金：</w:t>
      </w:r>
    </w:p>
    <w:p w14:paraId="6B52566C">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①一次事故或全年累计死亡3人及以上：安全第一责任人在韶关市地区建设范围内公开检查；项目部必须撤换项目经理、主管安全副经理和安全主管，一次或全年累计缴纳违约金10万元至12万元；</w:t>
      </w:r>
    </w:p>
    <w:p w14:paraId="48DF11A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②一次事故或全年累计死亡2人：安全第一责任人在韶关市地区建设范围内公开检查；承包人必须撤换项目主管安全副经理或安全主管；一次或全年累计缴纳违约金7万至10万元人民币；</w:t>
      </w:r>
    </w:p>
    <w:p w14:paraId="68F6D9D9">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③全年死亡1人：安全第一责任人在韶关市地区建设范围内公开检查，并报其上级单位；建议承包人撤换项目安全主管；缴纳违约金5万至7万元人民币。</w:t>
      </w:r>
    </w:p>
    <w:p w14:paraId="1ED5113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④重伤事故、造成10人及以上集体中毒住院、经济损失重大的火灾、设备及交通事故，缴纳违约金3万元人民币。</w:t>
      </w:r>
    </w:p>
    <w:p w14:paraId="633FC57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⑤因施工造成的道路交通中断、通讯中断、管线漏水漏气等全部责任事故，由承包人承担责任，并缴纳违约金2万元人民币。</w:t>
      </w:r>
    </w:p>
    <w:p w14:paraId="11FE0F0C">
      <w:pPr>
        <w:keepNext w:val="0"/>
        <w:keepLines w:val="0"/>
        <w:pageBreakBefore w:val="0"/>
        <w:widowControl w:val="0"/>
        <w:kinsoku/>
        <w:wordWrap w:val="0"/>
        <w:overflowPunct/>
        <w:topLinePunct w:val="0"/>
        <w:autoSpaceDE/>
        <w:autoSpaceDN/>
        <w:bidi w:val="0"/>
        <w:adjustRightInd w:val="0"/>
        <w:snapToGrid w:val="0"/>
        <w:spacing w:line="460" w:lineRule="exact"/>
        <w:ind w:firstLine="482" w:firstLineChars="200"/>
        <w:textAlignment w:val="auto"/>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4.7 其他违约</w:t>
      </w:r>
    </w:p>
    <w:p w14:paraId="7620B789">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承包人安排在施工场地的主要管理人员（主要指项目经理、项目技术负责人和专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考勤指模打卡每月累计不到位次数超过10天，按1万元/人/天缴纳违约金给发包人。</w:t>
      </w:r>
    </w:p>
    <w:p w14:paraId="4ED0E36B">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4.7.2 中标人施工资料必须与形象进度同步，如招标人在日常检查中发现不同步的现象的，视为违约并扣除违约金5000元/每次。</w:t>
      </w:r>
    </w:p>
    <w:p w14:paraId="791E1FD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4.7.3发包人要求承包人替换项目部中不称职人员，而承包人不予替换，视为承包人违约，承包人须按承包人项目部主要管理人员（主要指项目经理、项目技术负责人和专职安全生产管理人员）10万元/人次缴纳违约金给发包人。</w:t>
      </w:r>
    </w:p>
    <w:p w14:paraId="4D593CDB">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4.7.4发包人根据项目实施进度情况要求承包人增派项目管理人员，而承包人不予增派的，视为承包人违约，承包人须按5万元/人次缴纳违约金给发包人。</w:t>
      </w:r>
    </w:p>
    <w:p w14:paraId="5CFD53C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4.7.5发包人对上述约定中的规定并不免除承包人接受国家、地方政府相关部门依法对承包人的处罚。</w:t>
      </w:r>
    </w:p>
    <w:p w14:paraId="1D54FF55">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4.7.6承包人没有正当合理的理由中途退场，可扣除承包人已递交的所有履约风险保证金。</w:t>
      </w:r>
    </w:p>
    <w:p w14:paraId="167C833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4.7.7有下列情况之一的，承包人在一年内不得参与发包人的任何工程任务，并勒令从现施工的工地退场，同时缴纳10万元违约金：</w:t>
      </w:r>
    </w:p>
    <w:p w14:paraId="3EC4D9C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A、路面沉降、开裂超过规范要求并造成不良社会影响的；</w:t>
      </w:r>
    </w:p>
    <w:p w14:paraId="784876D3">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B、发生重大责任安全事故的；</w:t>
      </w:r>
    </w:p>
    <w:p w14:paraId="0267B41D">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C、不能在合同规定的期限内竣工的；</w:t>
      </w:r>
    </w:p>
    <w:p w14:paraId="5638EBDD">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D、承包人所承担的施工任务在施工期间，由于工程质量或工程进度原因，监理单位发出10个以上（含10个）停工令的；</w:t>
      </w:r>
    </w:p>
    <w:p w14:paraId="61DC7C85">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E、质量监督部门在抽检时发出5个以上（含5个）由于工程质量原因通报的；</w:t>
      </w:r>
    </w:p>
    <w:p w14:paraId="46272F63">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F、业主组织的质量大检查发现由于工程质量原因而通报二次以上（含二次）的；</w:t>
      </w:r>
    </w:p>
    <w:p w14:paraId="79CB4F7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4.7.8承包人必须严格塔吊、起重机等机械设备及货梯、提升机等机电设备的安装、拆卸和使用运行管理。必须落实持证上岗、专人操作、专人检查，严格落实每天操作前和操作后的检查，检查发现未落实相关措施和规定的，承包人须按人民币5000元/次缴纳违约金给发包人。</w:t>
      </w:r>
    </w:p>
    <w:p w14:paraId="4DEFE40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4.7.9承包人必须加强施工组织管理。严格落实高支模、深基坑防护措施，做到严密组织、严格检查，严防重大风险。检查发现未落实相关措施和规定的，承包人须按人民币5000元/处缴纳违约金给发包人。</w:t>
      </w:r>
    </w:p>
    <w:p w14:paraId="26D2207E">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4.7.10承包人应加强生活用电管理，检查发现私拉乱接电线的，责令承包人进行整改，如未按规定时间进行整改或整改不到位的，承包人须按人民币2000元/次缴纳违约金给发包人。</w:t>
      </w:r>
    </w:p>
    <w:p w14:paraId="38A2794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4.7.11承包人应加强建设范围内因雨季造成临时积水部位的管理，防止发生淹亡、溺亡事故，若因措施不严造成的后果全部由承包人承担。</w:t>
      </w:r>
    </w:p>
    <w:p w14:paraId="51145207">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4.7.12承包人不落实人车分流措施，责令承包人进行整改，如未按规定时间进行整改或整改不到位的，承包人须按人民币30万元缴纳违约金给发包人。</w:t>
      </w:r>
    </w:p>
    <w:p w14:paraId="734DF38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4.7.13承包人应严格工地管理。不戴安全帽或穿拖鞋上岗的，首次发现责令承包人进行整改，如未按规定时间进行整改或整改不到位的，承包人须按人民币1000元/人/次缴纳违约金给发包人；应系安全带作业而没有系安全带的、饮酒或醉酒进行现场作业的，承包人须按人民币10000元/人/次缴纳违约金给发包人。</w:t>
      </w:r>
    </w:p>
    <w:p w14:paraId="24511D1B">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4.7.14承包人必须加强现场临边维护，检查发现临边维护不到位的，首次发现责令承包人进行整改，如未按规定时间进行整改或整改不到位的，承包人须按人民币2000元/处缴纳违约金给发包人。</w:t>
      </w:r>
    </w:p>
    <w:p w14:paraId="5037E84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4.7.15承包人不落实农民工工资专户及实名用工的，承包人须按人民币2000元/人/次缴纳违约金给发包人。</w:t>
      </w:r>
    </w:p>
    <w:p w14:paraId="79F4334E">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4.7.16国家发生重大风险期间，承包人不执行有关部门关于特殊时期管控规定、不落实相关措施的，承包人须按人民币5000元/人/次缴纳违约金给发包人。</w:t>
      </w:r>
    </w:p>
    <w:p w14:paraId="428BF46B">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4.7.17承包人必须在中标通知书发出之日起一个月内完成现场临时设施（施工用水用电、围蔽、板房、洗车槽、相关公示牌等）施工，因承包人原因导致逾期的，逾期第壹天起按2000元/天缴纳违约金给发包人。</w:t>
      </w:r>
    </w:p>
    <w:p w14:paraId="1647FFCC">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4.7.18中标单位在施工期间应严格遵守国家、省、市有关防火、爆破和施工安全以及文明施工、夜间施工、环卫城管等规定，建立规章制度和防护措施。否则，由此造成的经济损失和法律责任，均由中标人负责。中标人应按安全施工的要求，采取严格科学的安全措施，确保施工安全和第三者的安全，承担由于自身安全措施不力所造成的事故责任和发生的费用。</w:t>
      </w:r>
    </w:p>
    <w:p w14:paraId="7A4BF24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4.7.19投标人的投标报价已包含本工程所必须的所有材料费用及转运人工费用，招标人不另行支付。</w:t>
      </w:r>
    </w:p>
    <w:p w14:paraId="5EC9923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4.7.20中标单位在该工程施工过程中，如与农村村民以及地方发生任何纠纷，中标单位都必须和农村村民以及地方进行有效的协调工作并作出承诺。</w:t>
      </w:r>
    </w:p>
    <w:p w14:paraId="15D2831A">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4.7.21除项目经理外的其他主要管理人员需离开施工现场3日以上（含3日）需报发包人批准。在其请假离开的时间段内应书面委托其他驻场管理人员全权代表其行使相应职权。否则，每违约一次，承包人应当承担限期整改责任1次。在国家法定节假日期间，承包人应做好管理人员的轮休，并保证现场管理人员不少于3名。在工程实施期间，承包人应对现场主要管理人员进行考勤，并在每月1日前将前一月考勤表报送发包人审核。国家法定节假日期间及夜间施工期间所产生的相关费用，投标人在投标报价时综合考虑在报价内，招标人不另行支付。</w:t>
      </w:r>
    </w:p>
    <w:p w14:paraId="5443BB0F">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lang w:val="en-US" w:eastAsia="zh-CN"/>
        </w:rPr>
        <w:t>4.8工人工资支付专用账户</w:t>
      </w:r>
    </w:p>
    <w:p w14:paraId="4A023023">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4.8.1承包人必须依照各相关规定做好工人工资支付保证金、工人工资支付专用账户、用工实名制管理工作。</w:t>
      </w:r>
    </w:p>
    <w:p w14:paraId="5A2AF9A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4.8.2 施工预付款中已包括施工合同价的5%专用于承包人办理工人工资支付保证金，承包人必须于合同签订后5个工作日内办理完成保证金缴交或免缴手续。</w:t>
      </w:r>
    </w:p>
    <w:p w14:paraId="281C2346">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Style w:val="20"/>
          <w:rFonts w:hint="eastAsia" w:ascii="宋体" w:hAnsi="宋体" w:eastAsia="宋体" w:cs="宋体"/>
          <w:color w:val="auto"/>
          <w:kern w:val="0"/>
          <w:highlight w:val="none"/>
        </w:rPr>
      </w:pPr>
      <w:r>
        <w:rPr>
          <w:rFonts w:hint="eastAsia" w:ascii="宋体" w:hAnsi="宋体" w:eastAsia="宋体" w:cs="宋体"/>
          <w:b w:val="0"/>
          <w:bCs/>
          <w:snapToGrid w:val="0"/>
          <w:color w:val="auto"/>
          <w:kern w:val="0"/>
          <w:highlight w:val="none"/>
          <w:lang w:val="en-US" w:eastAsia="zh-CN"/>
        </w:rPr>
        <w:t>（1）承包人已依照相关规定开立工人工资支付专用账户，发包人支付工程进度款时，其中70%支付进入本合同协议书载明的承包人账户、其中30%支付进入本款载明的工人工资支付专用账户。</w:t>
      </w:r>
    </w:p>
    <w:p w14:paraId="2EDA109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（2）承包人应在开工前编制用工实名管理专项方案以及费用使用计划，经监理单位审批后，作为施工合同的组成部分，并依照相关规定做好用工实名信息化管理。</w:t>
      </w:r>
    </w:p>
    <w:p w14:paraId="4CBEDAC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4.8.3依据人力资源社会保障部等十部门印发的《工程建设领域农民工工资专用账户管理暂行办法》（人社部发〔2021〕53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33DE43EB">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按韶关市人力资源和社会保障局韶关市住房和城乡建设管理局韶关市交通运输局 韶关市水务局韶关市金融工作局国家金融监督管理总局韶关监管分局关于印发《韶关市工程建设领域农民工工资保证金管理实施细则》的通知(韶人社规〔2023〕2号)及《韶关市工程建设领域农民工工资保证金管理实施细则》（韶法审〔2023〕19 号）规定执行。承包人在签订工程施工承包合同后一个月内必须办妥该事项，并将办妥回执交发包人。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w:t>
      </w:r>
    </w:p>
    <w:p w14:paraId="1C625022">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4.9</w:t>
      </w:r>
      <w:r>
        <w:rPr>
          <w:rFonts w:hint="eastAsia" w:ascii="宋体" w:hAnsi="宋体" w:eastAsia="宋体" w:cs="宋体"/>
          <w:b w:val="0"/>
          <w:bCs/>
          <w:snapToGrid w:val="0"/>
          <w:color w:val="auto"/>
          <w:kern w:val="0"/>
          <w:highlight w:val="none"/>
          <w:lang w:val="en-US" w:eastAsia="zh-CN"/>
        </w:rPr>
        <w:t>工期进度</w:t>
      </w:r>
    </w:p>
    <w:p w14:paraId="571B4E2E">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trike w:val="0"/>
          <w:dstrike w:val="0"/>
          <w:snapToGrid w:val="0"/>
          <w:color w:val="auto"/>
          <w:kern w:val="0"/>
          <w:highlight w:val="none"/>
          <w:lang w:val="en-US" w:eastAsia="zh-CN"/>
        </w:rPr>
      </w:pPr>
      <w:r>
        <w:rPr>
          <w:rFonts w:hint="eastAsia" w:ascii="宋体" w:hAnsi="宋体" w:eastAsia="宋体" w:cs="宋体"/>
          <w:b w:val="0"/>
          <w:bCs/>
          <w:strike w:val="0"/>
          <w:dstrike w:val="0"/>
          <w:snapToGrid w:val="0"/>
          <w:color w:val="auto"/>
          <w:kern w:val="0"/>
          <w:highlight w:val="none"/>
          <w:lang w:val="en-US" w:eastAsia="zh-CN"/>
        </w:rPr>
        <w:t>4.9.1</w:t>
      </w:r>
      <w:r>
        <w:rPr>
          <w:rFonts w:hint="eastAsia" w:ascii="宋体" w:hAnsi="宋体" w:eastAsia="宋体" w:cs="宋体"/>
          <w:b/>
          <w:bCs w:val="0"/>
          <w:strike w:val="0"/>
          <w:dstrike w:val="0"/>
          <w:snapToGrid w:val="0"/>
          <w:color w:val="auto"/>
          <w:kern w:val="0"/>
          <w:highlight w:val="none"/>
          <w:lang w:val="en-US" w:eastAsia="zh-CN"/>
        </w:rPr>
        <w:t xml:space="preserve"> </w:t>
      </w:r>
      <w:r>
        <w:rPr>
          <w:rFonts w:hint="eastAsia" w:ascii="宋体" w:hAnsi="宋体" w:eastAsia="宋体" w:cs="宋体"/>
          <w:b w:val="0"/>
          <w:bCs/>
          <w:strike w:val="0"/>
          <w:dstrike w:val="0"/>
          <w:snapToGrid w:val="0"/>
          <w:color w:val="auto"/>
          <w:kern w:val="0"/>
          <w:highlight w:val="none"/>
          <w:lang w:val="en-US" w:eastAsia="zh-CN"/>
        </w:rPr>
        <w:t>本招标项目施工标准工期为</w:t>
      </w:r>
      <w:r>
        <w:rPr>
          <w:rFonts w:hint="eastAsia" w:ascii="宋体" w:hAnsi="宋体" w:eastAsia="宋体" w:cs="宋体"/>
          <w:b w:val="0"/>
          <w:bCs/>
          <w:strike w:val="0"/>
          <w:dstrike w:val="0"/>
          <w:snapToGrid w:val="0"/>
          <w:color w:val="auto"/>
          <w:kern w:val="0"/>
          <w:highlight w:val="none"/>
          <w:u w:val="single"/>
          <w:lang w:val="en-US" w:eastAsia="zh-CN"/>
        </w:rPr>
        <w:t>120</w:t>
      </w:r>
      <w:r>
        <w:rPr>
          <w:rFonts w:hint="eastAsia" w:ascii="宋体" w:hAnsi="宋体" w:eastAsia="宋体" w:cs="宋体"/>
          <w:b w:val="0"/>
          <w:bCs/>
          <w:strike w:val="0"/>
          <w:dstrike w:val="0"/>
          <w:snapToGrid w:val="0"/>
          <w:color w:val="auto"/>
          <w:kern w:val="0"/>
          <w:highlight w:val="none"/>
          <w:lang w:val="en-US" w:eastAsia="zh-CN"/>
        </w:rPr>
        <w:t>个日历天，招标工期为</w:t>
      </w:r>
      <w:r>
        <w:rPr>
          <w:rFonts w:hint="eastAsia" w:ascii="宋体" w:hAnsi="宋体" w:eastAsia="宋体" w:cs="宋体"/>
          <w:b w:val="0"/>
          <w:bCs/>
          <w:strike w:val="0"/>
          <w:dstrike w:val="0"/>
          <w:snapToGrid w:val="0"/>
          <w:color w:val="auto"/>
          <w:kern w:val="0"/>
          <w:highlight w:val="none"/>
          <w:u w:val="single"/>
          <w:lang w:val="en-US" w:eastAsia="zh-CN"/>
        </w:rPr>
        <w:t>120</w:t>
      </w:r>
      <w:r>
        <w:rPr>
          <w:rFonts w:hint="eastAsia" w:ascii="宋体" w:hAnsi="宋体" w:eastAsia="宋体" w:cs="宋体"/>
          <w:b w:val="0"/>
          <w:bCs/>
          <w:strike w:val="0"/>
          <w:dstrike w:val="0"/>
          <w:snapToGrid w:val="0"/>
          <w:color w:val="auto"/>
          <w:kern w:val="0"/>
          <w:highlight w:val="none"/>
          <w:lang w:val="en-US" w:eastAsia="zh-CN"/>
        </w:rPr>
        <w:t>个日历天，承包人必须在招标工期内完成招标范围内的全部内容。</w:t>
      </w:r>
    </w:p>
    <w:p w14:paraId="0D57B4FB">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trike w:val="0"/>
          <w:dstrike w:val="0"/>
          <w:snapToGrid w:val="0"/>
          <w:color w:val="auto"/>
          <w:kern w:val="0"/>
          <w:highlight w:val="none"/>
          <w:lang w:val="en-US" w:eastAsia="zh-CN"/>
        </w:rPr>
      </w:pPr>
      <w:r>
        <w:rPr>
          <w:rFonts w:hint="eastAsia" w:ascii="宋体" w:hAnsi="宋体" w:eastAsia="宋体" w:cs="宋体"/>
          <w:b w:val="0"/>
          <w:bCs/>
          <w:strike w:val="0"/>
          <w:dstrike w:val="0"/>
          <w:snapToGrid w:val="0"/>
          <w:color w:val="auto"/>
          <w:kern w:val="0"/>
          <w:highlight w:val="none"/>
          <w:lang w:val="en-US" w:eastAsia="zh-CN"/>
        </w:rPr>
        <w:t>4.9.2 施工工期从承包人收到监理单位签发的开工令之日起计，至竣工验收合格之日止。</w:t>
      </w:r>
    </w:p>
    <w:p w14:paraId="2E93E60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trike w:val="0"/>
          <w:dstrike w:val="0"/>
          <w:snapToGrid w:val="0"/>
          <w:color w:val="auto"/>
          <w:kern w:val="0"/>
          <w:highlight w:val="none"/>
          <w:lang w:val="en-US" w:eastAsia="zh-CN"/>
        </w:rPr>
      </w:pPr>
      <w:r>
        <w:rPr>
          <w:rFonts w:hint="eastAsia" w:ascii="宋体" w:hAnsi="宋体" w:eastAsia="宋体" w:cs="宋体"/>
          <w:b w:val="0"/>
          <w:bCs/>
          <w:strike w:val="0"/>
          <w:dstrike w:val="0"/>
          <w:snapToGrid w:val="0"/>
          <w:color w:val="auto"/>
          <w:kern w:val="0"/>
          <w:highlight w:val="none"/>
          <w:lang w:val="en-US" w:eastAsia="zh-CN"/>
        </w:rPr>
        <w:t>4.9.3 工期奖惩</w:t>
      </w:r>
    </w:p>
    <w:p w14:paraId="6E8E1F15">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trike w:val="0"/>
          <w:dstrike w:val="0"/>
          <w:snapToGrid w:val="0"/>
          <w:color w:val="auto"/>
          <w:kern w:val="0"/>
          <w:highlight w:val="none"/>
          <w:lang w:val="en-US" w:eastAsia="zh-CN"/>
        </w:rPr>
      </w:pPr>
      <w:r>
        <w:rPr>
          <w:rFonts w:hint="eastAsia" w:ascii="宋体" w:hAnsi="宋体" w:eastAsia="宋体" w:cs="宋体"/>
          <w:b w:val="0"/>
          <w:bCs/>
          <w:strike w:val="0"/>
          <w:dstrike w:val="0"/>
          <w:snapToGrid w:val="0"/>
          <w:color w:val="auto"/>
          <w:kern w:val="0"/>
          <w:highlight w:val="none"/>
          <w:lang w:val="en-US" w:eastAsia="zh-CN"/>
        </w:rPr>
        <w:t>☑按施工合同期约定，每延误1天竣工,罚款中标金额的3‰。处罚金额不超过合同价款的5%，累计延误工期达到5天，报请建设行政主管部门作不良行为记录，非承包方原因或不可抗力造成延误的除外。</w:t>
      </w:r>
    </w:p>
    <w:p w14:paraId="13C0D173">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trike w:val="0"/>
          <w:dstrike w:val="0"/>
          <w:snapToGrid w:val="0"/>
          <w:color w:val="auto"/>
          <w:kern w:val="0"/>
          <w:highlight w:val="none"/>
          <w:lang w:val="en-US" w:eastAsia="zh-CN"/>
        </w:rPr>
        <w:t xml:space="preserve">□其它说明：/   </w:t>
      </w:r>
      <w:r>
        <w:rPr>
          <w:rFonts w:hint="eastAsia" w:ascii="宋体" w:hAnsi="宋体" w:eastAsia="宋体" w:cs="宋体"/>
          <w:b w:val="0"/>
          <w:bCs/>
          <w:snapToGrid w:val="0"/>
          <w:color w:val="auto"/>
          <w:kern w:val="0"/>
          <w:highlight w:val="none"/>
          <w:lang w:val="en-US" w:eastAsia="zh-CN"/>
        </w:rPr>
        <w:t xml:space="preserve">      </w:t>
      </w:r>
    </w:p>
    <w:p w14:paraId="1A925895">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lang w:val="en-US" w:eastAsia="zh-CN"/>
        </w:rPr>
        <w:t>4.10 项目管理机构</w:t>
      </w:r>
    </w:p>
    <w:p w14:paraId="67E4DA6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4.10.1 承包人派驻的项目管理班子成员必须为其投标文件确定的人员，否则发包人有权终止合同。</w:t>
      </w:r>
    </w:p>
    <w:p w14:paraId="0151D246">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4.10.2 项目管理班子成员不得擅自变更。其中，项目经理若有《广东省住房和城乡建设厅关于建设工程项目招标中标后监督检查的办法》（粤建市〔2009〕8 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580E3EA9">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4.11现场管理</w:t>
      </w:r>
    </w:p>
    <w:p w14:paraId="0AE5045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4.11.1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55ED1F9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4.11.2 承包人应按安全施工有关规定，采取严格、科学的安全防护措施，确保施工和人员（包括第三者）的安全，承担由于自身安全防护措施不力所造成的安全事故责任和发生的费用。</w:t>
      </w:r>
    </w:p>
    <w:p w14:paraId="32948A52">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4.11.3 为保证施工现场的环境卫生，承包人在本招标项目施工过程中，所有的车辆必须按发包人规定的行车路线行驶。</w:t>
      </w:r>
    </w:p>
    <w:p w14:paraId="092C8ED4">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4.12 监督实施</w:t>
      </w:r>
    </w:p>
    <w:p w14:paraId="709B760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4FB499D6">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4.13主材的采购和使用</w:t>
      </w:r>
    </w:p>
    <w:p w14:paraId="088C224D">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0767EDD6">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4.14竣工资料移交</w:t>
      </w:r>
    </w:p>
    <w:p w14:paraId="3782E7E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项目竣工验收时，承包人应向监理单位和发包人提供符合国家档案部门备案要求的，编制成册的竣工图及有关的技术档案资料（含声像档案）一式四份。</w:t>
      </w:r>
    </w:p>
    <w:p w14:paraId="7EB27D35">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4.15质量保证</w:t>
      </w:r>
    </w:p>
    <w:p w14:paraId="5D2B627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4.15.1 本招标项目缺陷责任期为两年（自通过竣工验收之日起计），在此期间预留金额为结算价3%的质量保证。</w:t>
      </w:r>
    </w:p>
    <w:p w14:paraId="5DC84D77">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4.15.2 质量保证的形式包括质量保证金、质量保证担保、质量保证保险三种，由承包人自主选择。</w:t>
      </w:r>
    </w:p>
    <w:p w14:paraId="69E331BE">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（1）采用质量保证金形式的，在结清审定总造价时一次性扣留相应金额作为质量保证金。</w:t>
      </w:r>
    </w:p>
    <w:p w14:paraId="1E44F8B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p>
    <w:p w14:paraId="617896A0">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4.15.3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1610D742">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由他人原因造成的缺陷，发包人负责组织维修，承包人不承担费用，且发包人不得从质量保证中扣除费用。</w:t>
      </w:r>
    </w:p>
    <w:p w14:paraId="0792FF2C">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4.15.4 缺陷责任期内，承包人应认真履行合同约定的责任。缺陷责任期到期后，承包人向发包人申请退还质量保证，发包人应按照《建设工程质量保证金管理办法》有关规定将质量保证退还给承包人。</w:t>
      </w:r>
    </w:p>
    <w:p w14:paraId="79C45952">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4.16不良行为处理</w:t>
      </w:r>
    </w:p>
    <w:p w14:paraId="2FF22B7F">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Cs/>
          <w:snapToGrid w:val="0"/>
          <w:color w:val="auto"/>
          <w:kern w:val="0"/>
          <w:sz w:val="24"/>
          <w:szCs w:val="24"/>
          <w:highlight w:val="none"/>
          <w:lang w:val="en-US" w:eastAsia="zh-CN"/>
        </w:rPr>
        <w:t>承包人及其有关人员有下列行为之一的，发包人应及时向建设行政主管部门报告。</w:t>
      </w:r>
    </w:p>
    <w:p w14:paraId="31A235D1">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（1）转包、违法分包或违反投标承诺分包工程的；</w:t>
      </w:r>
    </w:p>
    <w:p w14:paraId="5CD72E3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（2）非原参加投标中标的项目经理负责组织施工或在实施过程中擅自更换项目经理的、项目的其他主要管理人员与中标文件确定的人员不相符的；</w:t>
      </w:r>
    </w:p>
    <w:p w14:paraId="6B146707">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（3）投标文件确定的大型机械设备没有进入施工现场的；</w:t>
      </w:r>
    </w:p>
    <w:p w14:paraId="22D891B4">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（4）与建设单位、监理单位串通，签认虚假工程量或工程造价的；</w:t>
      </w:r>
    </w:p>
    <w:p w14:paraId="4EC641B2">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（5）项目经理施工现场管理不到位的；</w:t>
      </w:r>
    </w:p>
    <w:p w14:paraId="6E450875">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（6）项目经理在非本人资格证书注册单位从事工程项目施工管理的；</w:t>
      </w:r>
    </w:p>
    <w:p w14:paraId="707D0CD7">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（7）项目经理同时承担超过一项工程项目的；</w:t>
      </w:r>
    </w:p>
    <w:p w14:paraId="0C4495E8">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（8）违反有关法律、法规、规章规定的其它行为。</w:t>
      </w:r>
    </w:p>
    <w:p w14:paraId="38102361">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4.17 信用评价条款内容</w:t>
      </w:r>
    </w:p>
    <w:p w14:paraId="0B58ACC5">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由发包人决定是否对施工单位的履约情况进行信用评价。若进行信用评价，评价条款由发包人自拟，条款内容可参考人员到位情况、服务配合程度、服务成果质量、项目后期服务及信用评价结果的运用等。</w:t>
      </w:r>
    </w:p>
    <w:p w14:paraId="3994E860">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 xml:space="preserve">4.18 </w:t>
      </w:r>
      <w:r>
        <w:rPr>
          <w:rFonts w:hint="eastAsia" w:ascii="宋体" w:hAnsi="宋体" w:eastAsia="宋体" w:cs="宋体"/>
          <w:b w:val="0"/>
          <w:bCs/>
          <w:snapToGrid w:val="0"/>
          <w:color w:val="auto"/>
          <w:kern w:val="0"/>
          <w:highlight w:val="none"/>
          <w:lang w:val="en-US" w:eastAsia="zh-CN"/>
        </w:rPr>
        <w:t>危险性较大的分部分项工程安全管理约定。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w:t>
      </w:r>
    </w:p>
    <w:p w14:paraId="07D0970B">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val="0"/>
          <w:bCs/>
          <w:snapToGrid w:val="0"/>
          <w:color w:val="auto"/>
          <w:kern w:val="0"/>
          <w:highlight w:val="none"/>
          <w:lang w:val="en-US" w:eastAsia="zh-CN"/>
        </w:rPr>
        <w:t>承包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和《广东省安全生产委员会办公室 广东省住房和城乡建设厅关于&lt;严格落实危险性较大的分部分项工程“六不施工”要求的通知&gt;》（粤安办〔2020〕151号）等有关危险性较大的分部分项工程的法规规定通知，履行建设工程安全生产管理职责。</w:t>
      </w:r>
    </w:p>
    <w:p w14:paraId="68A4AE2E">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4.19</w:t>
      </w:r>
      <w:r>
        <w:rPr>
          <w:rFonts w:hint="eastAsia" w:ascii="宋体" w:hAnsi="宋体" w:eastAsia="宋体" w:cs="宋体"/>
          <w:b w:val="0"/>
          <w:bCs/>
          <w:snapToGrid w:val="0"/>
          <w:color w:val="auto"/>
          <w:kern w:val="0"/>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w:t>
      </w:r>
    </w:p>
    <w:p w14:paraId="1DCDD16C">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4.20</w:t>
      </w:r>
      <w:r>
        <w:rPr>
          <w:rFonts w:hint="eastAsia" w:ascii="宋体" w:hAnsi="宋体" w:eastAsia="宋体" w:cs="宋体"/>
          <w:b w:val="0"/>
          <w:bCs/>
          <w:snapToGrid w:val="0"/>
          <w:color w:val="auto"/>
          <w:kern w:val="0"/>
          <w:highlight w:val="none"/>
          <w:lang w:val="en-US" w:eastAsia="zh-CN"/>
        </w:rPr>
        <w:t xml:space="preserve"> 承包人须按照《韶关市建筑垃圾管理条例》（2021年5月1日起施行），将弃土运至发包人指定的场所，否则发包人有权要求承包人无条件将弃土从违约弃土点运至发包人指定的场所并扣除违约金人民币1万元/次。承包人对建筑垃圾须按《韶关市建筑垃圾管理条例》（2021年5月1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w:t>
      </w:r>
    </w:p>
    <w:p w14:paraId="6B90DE2A">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4.21</w:t>
      </w:r>
      <w:r>
        <w:rPr>
          <w:rFonts w:hint="eastAsia" w:ascii="宋体" w:hAnsi="宋体" w:eastAsia="宋体" w:cs="宋体"/>
          <w:b w:val="0"/>
          <w:bCs/>
          <w:snapToGrid w:val="0"/>
          <w:color w:val="auto"/>
          <w:kern w:val="0"/>
          <w:highlight w:val="none"/>
          <w:lang w:val="en-US" w:eastAsia="zh-CN"/>
        </w:rPr>
        <w:t xml:space="preserve"> 工程竣工验收后15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w:t>
      </w:r>
    </w:p>
    <w:p w14:paraId="204DE6A4">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4.22</w:t>
      </w:r>
      <w:r>
        <w:rPr>
          <w:rFonts w:hint="eastAsia" w:ascii="宋体" w:hAnsi="宋体" w:eastAsia="宋体" w:cs="宋体"/>
          <w:b w:val="0"/>
          <w:bCs/>
          <w:snapToGrid w:val="0"/>
          <w:color w:val="auto"/>
          <w:kern w:val="0"/>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14:paraId="1A8AAF16">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4.23</w:t>
      </w:r>
      <w:r>
        <w:rPr>
          <w:rFonts w:hint="eastAsia" w:ascii="宋体" w:hAnsi="宋体" w:eastAsia="宋体" w:cs="宋体"/>
          <w:b w:val="0"/>
          <w:bCs/>
          <w:snapToGrid w:val="0"/>
          <w:color w:val="auto"/>
          <w:kern w:val="0"/>
          <w:highlight w:val="none"/>
          <w:lang w:val="en-US" w:eastAsia="zh-CN"/>
        </w:rPr>
        <w:t xml:space="preserve"> 承包人中标后必须按规定及时缴交工人工资保证金、环保噪声排污费等。</w:t>
      </w:r>
    </w:p>
    <w:p w14:paraId="3DB9E688">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 xml:space="preserve">4.24 </w:t>
      </w:r>
      <w:r>
        <w:rPr>
          <w:rFonts w:hint="eastAsia" w:ascii="宋体" w:hAnsi="宋体" w:eastAsia="宋体" w:cs="宋体"/>
          <w:b w:val="0"/>
          <w:bCs/>
          <w:snapToGrid w:val="0"/>
          <w:color w:val="auto"/>
          <w:kern w:val="0"/>
          <w:highlight w:val="none"/>
          <w:lang w:val="en-US" w:eastAsia="zh-CN"/>
        </w:rPr>
        <w:t>工程质量保修期按《中华人民共和国建筑法》、《建设工程质量管理条例》等相关规定实施。</w:t>
      </w:r>
    </w:p>
    <w:p w14:paraId="4DBFBF80">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4.25</w:t>
      </w:r>
      <w:r>
        <w:rPr>
          <w:rFonts w:hint="eastAsia" w:ascii="宋体" w:hAnsi="宋体" w:eastAsia="宋体" w:cs="宋体"/>
          <w:b w:val="0"/>
          <w:bCs/>
          <w:snapToGrid w:val="0"/>
          <w:color w:val="auto"/>
          <w:kern w:val="0"/>
          <w:highlight w:val="none"/>
          <w:lang w:val="en-US" w:eastAsia="zh-CN"/>
        </w:rPr>
        <w:t xml:space="preserve"> 如项目实施过程中发生了工程变更及工程签证，承包人需根据发包人发布的工程变更管理办法和工程签证管理办法完善工程变更签证相关程序。</w:t>
      </w:r>
    </w:p>
    <w:p w14:paraId="494FB71A">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4.26</w:t>
      </w:r>
      <w:r>
        <w:rPr>
          <w:rFonts w:hint="eastAsia" w:ascii="宋体" w:hAnsi="宋体" w:eastAsia="宋体" w:cs="宋体"/>
          <w:b w:val="0"/>
          <w:bCs/>
          <w:snapToGrid w:val="0"/>
          <w:color w:val="auto"/>
          <w:kern w:val="0"/>
          <w:highlight w:val="none"/>
          <w:lang w:val="en-US" w:eastAsia="zh-CN"/>
        </w:rPr>
        <w:t xml:space="preserve"> 承包人需按相关规定要求，设置本工程符合相关要求的永久性标牌及规划公示牌，投标人在投标报价时综合考虑在报价内，发包人不另行支付该部分费用。</w:t>
      </w:r>
    </w:p>
    <w:p w14:paraId="57E6A72D">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val="0"/>
          <w:bCs/>
          <w:snapToGrid w:val="0"/>
          <w:color w:val="auto"/>
          <w:kern w:val="0"/>
          <w:highlight w:val="none"/>
          <w:lang w:val="en-US" w:eastAsia="zh-CN"/>
        </w:rPr>
      </w:pPr>
      <w:r>
        <w:rPr>
          <w:rFonts w:hint="eastAsia" w:ascii="宋体" w:hAnsi="宋体" w:eastAsia="宋体" w:cs="宋体"/>
          <w:b/>
          <w:bCs w:val="0"/>
          <w:snapToGrid w:val="0"/>
          <w:color w:val="auto"/>
          <w:kern w:val="0"/>
          <w:highlight w:val="none"/>
          <w:lang w:val="en-US" w:eastAsia="zh-CN"/>
        </w:rPr>
        <w:t xml:space="preserve">4.27 </w:t>
      </w:r>
      <w:r>
        <w:rPr>
          <w:rFonts w:hint="eastAsia" w:ascii="宋体" w:hAnsi="宋体" w:eastAsia="宋体" w:cs="宋体"/>
          <w:b w:val="0"/>
          <w:bCs/>
          <w:snapToGrid w:val="0"/>
          <w:color w:val="auto"/>
          <w:kern w:val="0"/>
          <w:highlight w:val="none"/>
          <w:lang w:val="en-US" w:eastAsia="zh-CN"/>
        </w:rPr>
        <w:t>承包人应按韶关市住房和城乡建设管理局、韶关市人力资源和社会保障局等职能部门对用工实名制的相关规定,落实工人及相关软硬件设施要求。</w:t>
      </w:r>
    </w:p>
    <w:p w14:paraId="77949634">
      <w:pPr>
        <w:keepNext w:val="0"/>
        <w:keepLines w:val="0"/>
        <w:pageBreakBefore w:val="0"/>
        <w:widowControl w:val="0"/>
        <w:kinsoku/>
        <w:wordWrap w:val="0"/>
        <w:overflowPunct/>
        <w:topLinePunct w:val="0"/>
        <w:autoSpaceDE/>
        <w:autoSpaceDN/>
        <w:bidi w:val="0"/>
        <w:adjustRightInd w:val="0"/>
        <w:snapToGrid w:val="0"/>
        <w:spacing w:line="500" w:lineRule="exact"/>
        <w:ind w:firstLine="482" w:firstLineChars="200"/>
        <w:textAlignment w:val="auto"/>
        <w:rPr>
          <w:rFonts w:hint="eastAsia" w:ascii="宋体" w:hAnsi="宋体" w:eastAsia="宋体" w:cs="宋体"/>
          <w:b/>
          <w:bCs w:val="0"/>
          <w:snapToGrid w:val="0"/>
          <w:color w:val="auto"/>
          <w:kern w:val="0"/>
          <w:highlight w:val="none"/>
        </w:rPr>
      </w:pPr>
      <w:r>
        <w:rPr>
          <w:rFonts w:hint="eastAsia" w:ascii="宋体" w:hAnsi="宋体" w:eastAsia="宋体" w:cs="宋体"/>
          <w:b/>
          <w:bCs w:val="0"/>
          <w:snapToGrid w:val="0"/>
          <w:color w:val="auto"/>
          <w:kern w:val="0"/>
          <w:highlight w:val="none"/>
          <w:lang w:val="en-US" w:eastAsia="zh-CN"/>
        </w:rPr>
        <w:t>其他相关条款</w:t>
      </w:r>
      <w:r>
        <w:rPr>
          <w:rFonts w:hint="eastAsia" w:ascii="宋体" w:hAnsi="宋体" w:eastAsia="宋体" w:cs="宋体"/>
          <w:b/>
          <w:bCs w:val="0"/>
          <w:snapToGrid w:val="0"/>
          <w:color w:val="auto"/>
          <w:kern w:val="0"/>
          <w:highlight w:val="none"/>
        </w:rPr>
        <w:t>由招标人根据本工程实际</w:t>
      </w:r>
      <w:r>
        <w:rPr>
          <w:rFonts w:hint="eastAsia" w:ascii="宋体" w:hAnsi="宋体" w:eastAsia="宋体" w:cs="宋体"/>
          <w:b/>
          <w:bCs w:val="0"/>
          <w:snapToGrid w:val="0"/>
          <w:color w:val="auto"/>
          <w:kern w:val="0"/>
          <w:highlight w:val="none"/>
          <w:lang w:eastAsia="zh-CN"/>
        </w:rPr>
        <w:t>情况和地方政策</w:t>
      </w:r>
      <w:r>
        <w:rPr>
          <w:rFonts w:hint="eastAsia" w:ascii="宋体" w:hAnsi="宋体" w:eastAsia="宋体" w:cs="宋体"/>
          <w:b/>
          <w:bCs w:val="0"/>
          <w:snapToGrid w:val="0"/>
          <w:color w:val="auto"/>
          <w:kern w:val="0"/>
          <w:highlight w:val="none"/>
        </w:rPr>
        <w:t>与中标人自行协商签定。</w:t>
      </w:r>
    </w:p>
    <w:p w14:paraId="1D317A92">
      <w:pPr>
        <w:rPr>
          <w:rFonts w:hint="eastAsia" w:ascii="宋体" w:hAnsi="宋体" w:eastAsia="宋体" w:cs="宋体"/>
          <w:color w:val="auto"/>
          <w:highlight w:val="none"/>
        </w:rPr>
      </w:pPr>
    </w:p>
    <w:p w14:paraId="5847CB12">
      <w:pPr>
        <w:rPr>
          <w:rFonts w:hint="eastAsia" w:ascii="宋体" w:hAnsi="宋体" w:eastAsia="宋体" w:cs="宋体"/>
          <w:color w:val="auto"/>
          <w:highlight w:val="none"/>
        </w:rPr>
      </w:pPr>
    </w:p>
    <w:p w14:paraId="5984A041">
      <w:pPr>
        <w:rPr>
          <w:rFonts w:hint="eastAsia" w:ascii="宋体" w:hAnsi="宋体" w:eastAsia="宋体" w:cs="宋体"/>
          <w:color w:val="auto"/>
          <w:highlight w:val="none"/>
        </w:rPr>
      </w:pPr>
    </w:p>
    <w:bookmarkEnd w:id="122"/>
    <w:p w14:paraId="193D006B">
      <w:pPr>
        <w:pStyle w:val="3"/>
        <w:keepNext w:val="0"/>
        <w:keepLines w:val="0"/>
        <w:pageBreakBefore w:val="0"/>
        <w:widowControl w:val="0"/>
        <w:kinsoku/>
        <w:wordWrap/>
        <w:overflowPunct/>
        <w:topLinePunct w:val="0"/>
        <w:autoSpaceDE w:val="0"/>
        <w:autoSpaceDN w:val="0"/>
        <w:bidi w:val="0"/>
        <w:adjustRightInd w:val="0"/>
        <w:snapToGrid/>
        <w:jc w:val="center"/>
        <w:textAlignment w:val="auto"/>
        <w:outlineLvl w:val="0"/>
        <w:rPr>
          <w:rFonts w:hint="eastAsia" w:ascii="宋体" w:hAnsi="宋体" w:eastAsia="宋体" w:cs="宋体"/>
          <w:b/>
          <w:bCs/>
          <w:color w:val="auto"/>
          <w:highlight w:val="none"/>
        </w:rPr>
      </w:pPr>
      <w:bookmarkStart w:id="152" w:name="_Toc4256"/>
      <w:bookmarkStart w:id="153" w:name="_Hlt69698796"/>
      <w:bookmarkStart w:id="154" w:name="_Toc2674"/>
      <w:r>
        <w:rPr>
          <w:rFonts w:hint="eastAsia" w:ascii="宋体" w:hAnsi="宋体" w:eastAsia="宋体" w:cs="宋体"/>
          <w:b/>
          <w:bCs/>
          <w:color w:val="auto"/>
          <w:highlight w:val="none"/>
        </w:rPr>
        <w:t>第四章</w:t>
      </w:r>
      <w:bookmarkStart w:id="155" w:name="_Hlt87793853"/>
      <w:bookmarkEnd w:id="155"/>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rPr>
        <w:t>技术要求</w:t>
      </w:r>
      <w:bookmarkEnd w:id="152"/>
      <w:bookmarkEnd w:id="153"/>
      <w:bookmarkEnd w:id="154"/>
      <w:bookmarkStart w:id="156" w:name="_Hlt66104926"/>
      <w:bookmarkEnd w:id="156"/>
      <w:bookmarkStart w:id="157" w:name="_Hlt75685840"/>
      <w:bookmarkEnd w:id="157"/>
      <w:bookmarkStart w:id="158" w:name="_Hlt69265216"/>
      <w:bookmarkEnd w:id="158"/>
      <w:bookmarkStart w:id="159" w:name="_Hlt69358207"/>
      <w:bookmarkEnd w:id="159"/>
      <w:bookmarkStart w:id="160" w:name="_Hlt69116854"/>
      <w:bookmarkEnd w:id="160"/>
      <w:bookmarkStart w:id="161" w:name="_Hlt68774758"/>
      <w:bookmarkEnd w:id="161"/>
      <w:bookmarkStart w:id="162" w:name="_Hlt87793346"/>
      <w:bookmarkEnd w:id="162"/>
      <w:bookmarkStart w:id="163" w:name="_Hlt87793370"/>
      <w:bookmarkEnd w:id="163"/>
      <w:bookmarkStart w:id="164" w:name="_Hlt80411122"/>
      <w:bookmarkEnd w:id="164"/>
      <w:bookmarkStart w:id="165" w:name="_Hlt69357851"/>
      <w:bookmarkEnd w:id="165"/>
      <w:bookmarkStart w:id="166" w:name="_Hlt69359335"/>
      <w:bookmarkEnd w:id="166"/>
    </w:p>
    <w:p w14:paraId="5B1E4FA0">
      <w:pPr>
        <w:pStyle w:val="5"/>
        <w:pageBreakBefore w:val="0"/>
        <w:kinsoku/>
        <w:wordWrap w:val="0"/>
        <w:overflowPunct/>
        <w:topLinePunct w:val="0"/>
        <w:autoSpaceDE/>
        <w:autoSpaceDN/>
        <w:bidi w:val="0"/>
        <w:snapToGrid w:val="0"/>
        <w:spacing w:line="360" w:lineRule="auto"/>
        <w:ind w:firstLine="480"/>
        <w:jc w:val="both"/>
        <w:textAlignment w:val="auto"/>
        <w:outlineLvl w:val="2"/>
        <w:rPr>
          <w:rFonts w:hint="eastAsia" w:ascii="宋体" w:hAnsi="宋体" w:eastAsia="宋体" w:cs="宋体"/>
          <w:b/>
          <w:snapToGrid w:val="0"/>
          <w:color w:val="auto"/>
          <w:highlight w:val="none"/>
          <w:lang w:val="en-US" w:eastAsia="zh-CN"/>
        </w:rPr>
      </w:pPr>
      <w:bookmarkStart w:id="167" w:name="_Toc4819"/>
      <w:r>
        <w:rPr>
          <w:rFonts w:hint="eastAsia" w:ascii="宋体" w:hAnsi="宋体" w:eastAsia="宋体" w:cs="宋体"/>
          <w:b/>
          <w:snapToGrid w:val="0"/>
          <w:color w:val="auto"/>
          <w:highlight w:val="none"/>
          <w:lang w:val="en-US" w:eastAsia="zh-CN"/>
        </w:rPr>
        <w:t>1．房屋建筑工程建设项目</w:t>
      </w:r>
      <w:bookmarkEnd w:id="167"/>
    </w:p>
    <w:p w14:paraId="69B1658A">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bookmarkStart w:id="168" w:name="_Hlt69635252"/>
      <w:bookmarkEnd w:id="168"/>
      <w:bookmarkStart w:id="169" w:name="_Hlt69359243"/>
      <w:bookmarkEnd w:id="169"/>
      <w:bookmarkStart w:id="170" w:name="_Hlt69359086"/>
      <w:bookmarkEnd w:id="170"/>
      <w:bookmarkStart w:id="171" w:name="_Hlt69359245"/>
      <w:bookmarkEnd w:id="171"/>
      <w:bookmarkStart w:id="172" w:name="_Hlt69116858"/>
      <w:bookmarkEnd w:id="172"/>
      <w:bookmarkStart w:id="173" w:name="_Hlt69358458"/>
      <w:bookmarkEnd w:id="173"/>
      <w:bookmarkStart w:id="174" w:name="_Hlt78709799"/>
      <w:bookmarkEnd w:id="174"/>
      <w:r>
        <w:rPr>
          <w:rFonts w:hint="eastAsia" w:ascii="宋体" w:hAnsi="宋体" w:eastAsia="宋体" w:cs="宋体"/>
          <w:b w:val="0"/>
          <w:bCs/>
          <w:caps w:val="0"/>
          <w:smallCaps w:val="0"/>
          <w:snapToGrid w:val="0"/>
          <w:color w:val="auto"/>
          <w:spacing w:val="0"/>
          <w:kern w:val="0"/>
          <w:highlight w:val="none"/>
          <w:lang w:eastAsia="zh-CN"/>
        </w:rPr>
        <w:t>房屋建筑工程建设项目必须执行的现行技术规范，包括且不限于：</w:t>
      </w:r>
    </w:p>
    <w:p w14:paraId="10F09969">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（1）《建筑工程施工质量验收统一标准》；</w:t>
      </w:r>
    </w:p>
    <w:p w14:paraId="174A12A2">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（2）《建筑地基基础工程施工质量验收规范》；</w:t>
      </w:r>
    </w:p>
    <w:p w14:paraId="6AD1C7F5">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（3）《砌体工程施工质量验收规范》；</w:t>
      </w:r>
    </w:p>
    <w:p w14:paraId="371415AA">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（4）《混凝土结构工程施工质量验收规范》；</w:t>
      </w:r>
    </w:p>
    <w:p w14:paraId="534756EA">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（5）《屋面工程质量验收规范》；</w:t>
      </w:r>
    </w:p>
    <w:p w14:paraId="2CA59048">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（6）《地下防水工程质量验收规范》；</w:t>
      </w:r>
    </w:p>
    <w:p w14:paraId="78D91419">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（7）《建筑地面工程施工质量验收规范》；</w:t>
      </w:r>
    </w:p>
    <w:p w14:paraId="0A6A01B7">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（8）《建筑装饰装修工程施工质量验收规范》；</w:t>
      </w:r>
    </w:p>
    <w:p w14:paraId="6CF05017">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（9）《建筑给排水及采暖工程施工质量验收规范》；</w:t>
      </w:r>
    </w:p>
    <w:p w14:paraId="2D3947C7">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（10）《建筑电气工程施工质量验收规范》；</w:t>
      </w:r>
    </w:p>
    <w:p w14:paraId="199BC19C">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（11）《住建部绿色建筑评价标准》；</w:t>
      </w:r>
    </w:p>
    <w:p w14:paraId="0BA514D9">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（12）《建筑节能与可再生能源利用通用规范》（GB55015-2021）；</w:t>
      </w:r>
    </w:p>
    <w:p w14:paraId="31A2AA46">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（13）《建筑环境通用规范》；</w:t>
      </w:r>
    </w:p>
    <w:p w14:paraId="25CFA1EC">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（14）《建筑与市政工程无障碍通用规范》 GB 55019-2021；</w:t>
      </w:r>
    </w:p>
    <w:p w14:paraId="22238AD5">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（15）《建筑防火通用规范》GB 55037-2022；</w:t>
      </w:r>
    </w:p>
    <w:p w14:paraId="3EA28EF7">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（16）《建筑与市政工程抗震通用规范》GB55002-2001；</w:t>
      </w:r>
    </w:p>
    <w:p w14:paraId="230453B8">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（17）《建筑与市政地基基础通用规范》GB55003-2001；</w:t>
      </w:r>
    </w:p>
    <w:p w14:paraId="0B619B18">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（18）《广东省住房和城乡建设厅绿色施工导则》；</w:t>
      </w:r>
    </w:p>
    <w:p w14:paraId="1BC0CF02">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（19）《广东省建筑工程绿色施工评价标准》；</w:t>
      </w:r>
    </w:p>
    <w:p w14:paraId="6DF6C3C7">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eastAsia="zh-CN"/>
        </w:rPr>
      </w:pPr>
      <w:r>
        <w:rPr>
          <w:rFonts w:hint="eastAsia" w:ascii="宋体" w:hAnsi="宋体" w:eastAsia="宋体" w:cs="宋体"/>
          <w:b w:val="0"/>
          <w:bCs/>
          <w:caps w:val="0"/>
          <w:smallCaps w:val="0"/>
          <w:snapToGrid w:val="0"/>
          <w:color w:val="auto"/>
          <w:spacing w:val="0"/>
          <w:kern w:val="0"/>
          <w:highlight w:val="none"/>
          <w:lang w:eastAsia="zh-CN"/>
        </w:rPr>
        <w:t>（20）《广东省建筑节能与绿色建筑工程施工质量验收规范》</w:t>
      </w:r>
    </w:p>
    <w:p w14:paraId="68DC1DE6">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rPr>
      </w:pPr>
      <w:r>
        <w:rPr>
          <w:rFonts w:hint="eastAsia" w:ascii="宋体" w:hAnsi="宋体" w:eastAsia="宋体" w:cs="宋体"/>
          <w:b w:val="0"/>
          <w:bCs/>
          <w:caps w:val="0"/>
          <w:smallCaps w:val="0"/>
          <w:snapToGrid w:val="0"/>
          <w:color w:val="auto"/>
          <w:spacing w:val="0"/>
          <w:kern w:val="0"/>
          <w:highlight w:val="none"/>
          <w:lang w:eastAsia="zh-CN"/>
        </w:rPr>
        <w:t>（21）其他现行国家、广东省关于房建工程的施工及验收规范、定额、规程、标准。</w:t>
      </w:r>
    </w:p>
    <w:p w14:paraId="326A3467">
      <w:pPr>
        <w:pStyle w:val="5"/>
        <w:pageBreakBefore w:val="0"/>
        <w:kinsoku/>
        <w:wordWrap w:val="0"/>
        <w:overflowPunct/>
        <w:topLinePunct w:val="0"/>
        <w:autoSpaceDE/>
        <w:autoSpaceDN/>
        <w:bidi w:val="0"/>
        <w:snapToGrid w:val="0"/>
        <w:spacing w:line="360" w:lineRule="auto"/>
        <w:ind w:firstLine="480"/>
        <w:jc w:val="both"/>
        <w:textAlignment w:val="auto"/>
        <w:outlineLvl w:val="2"/>
        <w:rPr>
          <w:rFonts w:hint="eastAsia" w:ascii="宋体" w:hAnsi="宋体" w:eastAsia="宋体" w:cs="宋体"/>
          <w:b/>
          <w:snapToGrid w:val="0"/>
          <w:color w:val="auto"/>
          <w:highlight w:val="none"/>
          <w:lang w:val="en-US" w:eastAsia="zh-CN"/>
        </w:rPr>
      </w:pPr>
      <w:bookmarkStart w:id="175" w:name="_Toc5207"/>
      <w:r>
        <w:rPr>
          <w:rFonts w:hint="eastAsia" w:ascii="宋体" w:hAnsi="宋体" w:eastAsia="宋体" w:cs="宋体"/>
          <w:b/>
          <w:snapToGrid w:val="0"/>
          <w:color w:val="auto"/>
          <w:highlight w:val="none"/>
          <w:lang w:val="en-US" w:eastAsia="zh-CN"/>
        </w:rPr>
        <w:t>2．市政基础设施工程建设项目</w:t>
      </w:r>
      <w:bookmarkEnd w:id="175"/>
    </w:p>
    <w:p w14:paraId="42DF126D">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市政基础设施工程建设项目必须执行的现行技术规范，包括且不限于：</w:t>
      </w:r>
    </w:p>
    <w:p w14:paraId="5F13D3BA">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（1）《公路路基施工技术规范》；</w:t>
      </w:r>
    </w:p>
    <w:p w14:paraId="7BA0FFE4">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（2）《市政道路工程质量检验评定标准》；</w:t>
      </w:r>
    </w:p>
    <w:p w14:paraId="5367E51D">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（3）《市政排水管渠工程质量检验评定标准》；</w:t>
      </w:r>
    </w:p>
    <w:p w14:paraId="2960CAB2">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（4）《给水排水管道工程施工及验收规范》；</w:t>
      </w:r>
    </w:p>
    <w:p w14:paraId="37C29BFE">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（5）《城市道路路基工程施工及验收规范》；</w:t>
      </w:r>
    </w:p>
    <w:p w14:paraId="2850FBB6">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（6）《水泥砼路面施工及验收规范》；</w:t>
      </w:r>
    </w:p>
    <w:p w14:paraId="35459C55">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（7）《公路水泥砼路面施工技术规范》；</w:t>
      </w:r>
    </w:p>
    <w:p w14:paraId="64CD059D">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（8）《埋地硬聚氯乙烯排水管道工程技术规程》；</w:t>
      </w:r>
    </w:p>
    <w:p w14:paraId="6C6871E7">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（9）《沥青路面施工及验收规范》；</w:t>
      </w:r>
    </w:p>
    <w:p w14:paraId="0C643033">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（10）《广东省市政工程施工质量技术资料统一用表》。</w:t>
      </w:r>
    </w:p>
    <w:p w14:paraId="7EB7E7CF">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（11）《建筑与市政工程无障碍通用规范》 GB 55019-2021；</w:t>
      </w:r>
    </w:p>
    <w:p w14:paraId="7DCFFDF1">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（12）《建筑防火通用规范》GB 55037-2022；</w:t>
      </w:r>
    </w:p>
    <w:p w14:paraId="3629E18F">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（13）《建筑与市政工程抗震通用规范》GB55002-2001；</w:t>
      </w:r>
    </w:p>
    <w:p w14:paraId="2255822F">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（14）《建筑与市政地基基础通用规范》GB55003-2001；</w:t>
      </w:r>
    </w:p>
    <w:p w14:paraId="679D92B1">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（15）《城市道路照明设计标准》（CJJ45-2015）；</w:t>
      </w:r>
    </w:p>
    <w:p w14:paraId="39B35DE7">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（16）《低压配电设计规范》（GB50054-2011）；</w:t>
      </w:r>
    </w:p>
    <w:p w14:paraId="3AAF5AB6">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（17）《城市道路照明工程施工及验收规程》（CJJ89-2012）；</w:t>
      </w:r>
    </w:p>
    <w:p w14:paraId="70061B36">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（18）《LED 道路照明工程技术规范》（DB44/T 1898-2016）；</w:t>
      </w:r>
    </w:p>
    <w:p w14:paraId="1A12ADFF">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（19）《灯具第1部分：一般要求与试验》（GB7000.1-2015）；</w:t>
      </w:r>
    </w:p>
    <w:p w14:paraId="061B3166">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（20）《电缆工程电缆设计标准》（GB50217-2018）；</w:t>
      </w:r>
    </w:p>
    <w:p w14:paraId="494618DC">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0" w:firstLineChars="200"/>
        <w:jc w:val="both"/>
        <w:textAlignment w:val="auto"/>
        <w:outlineLvl w:val="9"/>
        <w:rPr>
          <w:rFonts w:hint="eastAsia" w:ascii="宋体" w:hAnsi="宋体" w:eastAsia="宋体" w:cs="宋体"/>
          <w:b w:val="0"/>
          <w:bCs/>
          <w:caps w:val="0"/>
          <w:smallCaps w:val="0"/>
          <w:snapToGrid w:val="0"/>
          <w:color w:val="auto"/>
          <w:spacing w:val="0"/>
          <w:kern w:val="0"/>
          <w:highlight w:val="none"/>
          <w:lang w:val="en-US" w:eastAsia="zh-CN"/>
        </w:rPr>
      </w:pPr>
      <w:r>
        <w:rPr>
          <w:rFonts w:hint="eastAsia" w:ascii="宋体" w:hAnsi="宋体" w:eastAsia="宋体" w:cs="宋体"/>
          <w:b w:val="0"/>
          <w:bCs/>
          <w:caps w:val="0"/>
          <w:smallCaps w:val="0"/>
          <w:snapToGrid w:val="0"/>
          <w:color w:val="auto"/>
          <w:spacing w:val="0"/>
          <w:kern w:val="0"/>
          <w:highlight w:val="none"/>
          <w:lang w:val="en-US" w:eastAsia="zh-CN"/>
        </w:rPr>
        <w:t>（21）其他现行国家、广东省关于市政工程的技术及验收规范、定额、规程、标准。</w:t>
      </w:r>
    </w:p>
    <w:p w14:paraId="60F29380">
      <w:pPr>
        <w:pStyle w:val="5"/>
        <w:pageBreakBefore w:val="0"/>
        <w:kinsoku/>
        <w:wordWrap w:val="0"/>
        <w:overflowPunct/>
        <w:topLinePunct w:val="0"/>
        <w:autoSpaceDE/>
        <w:autoSpaceDN/>
        <w:bidi w:val="0"/>
        <w:snapToGrid w:val="0"/>
        <w:spacing w:line="360" w:lineRule="auto"/>
        <w:ind w:firstLine="480"/>
        <w:jc w:val="both"/>
        <w:textAlignment w:val="auto"/>
        <w:outlineLvl w:val="2"/>
        <w:rPr>
          <w:rFonts w:hint="eastAsia" w:ascii="宋体" w:hAnsi="宋体" w:eastAsia="宋体" w:cs="宋体"/>
          <w:b/>
          <w:snapToGrid w:val="0"/>
          <w:color w:val="auto"/>
          <w:highlight w:val="none"/>
          <w:lang w:val="en-US" w:eastAsia="zh-CN"/>
        </w:rPr>
      </w:pPr>
      <w:bookmarkStart w:id="176" w:name="_Toc29215"/>
      <w:r>
        <w:rPr>
          <w:rFonts w:hint="eastAsia" w:ascii="宋体" w:hAnsi="宋体" w:eastAsia="宋体" w:cs="宋体"/>
          <w:b/>
          <w:snapToGrid w:val="0"/>
          <w:color w:val="auto"/>
          <w:highlight w:val="none"/>
          <w:lang w:val="en-US" w:eastAsia="zh-CN"/>
        </w:rPr>
        <w:t>3．备查要求</w:t>
      </w:r>
      <w:bookmarkEnd w:id="176"/>
    </w:p>
    <w:p w14:paraId="18BF2E5B">
      <w:pPr>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承包人必须在施工现场准备至少一套上述规范，发包人和监理单位可随时检查承包人的上述规范，并监督承包人按规范要求执行。</w:t>
      </w:r>
      <w:bookmarkStart w:id="177" w:name="_Hlt69670335"/>
      <w:bookmarkEnd w:id="177"/>
    </w:p>
    <w:p w14:paraId="08198057">
      <w:pPr>
        <w:rPr>
          <w:rFonts w:hint="eastAsia" w:ascii="宋体" w:hAnsi="宋体" w:eastAsia="宋体" w:cs="宋体"/>
          <w:color w:val="auto"/>
          <w:highlight w:val="none"/>
        </w:rPr>
      </w:pPr>
    </w:p>
    <w:p w14:paraId="16E87554">
      <w:pPr>
        <w:rPr>
          <w:rFonts w:hint="eastAsia" w:ascii="宋体" w:hAnsi="宋体" w:eastAsia="宋体" w:cs="宋体"/>
          <w:color w:val="auto"/>
          <w:highlight w:val="none"/>
        </w:rPr>
      </w:pPr>
    </w:p>
    <w:p w14:paraId="70DFDE68">
      <w:pPr>
        <w:rPr>
          <w:rFonts w:hint="eastAsia" w:ascii="宋体" w:hAnsi="宋体" w:eastAsia="宋体" w:cs="宋体"/>
          <w:color w:val="auto"/>
          <w:highlight w:val="none"/>
        </w:rPr>
      </w:pPr>
    </w:p>
    <w:p w14:paraId="70589D10">
      <w:pPr>
        <w:rPr>
          <w:rFonts w:hint="eastAsia" w:ascii="宋体" w:hAnsi="宋体" w:eastAsia="宋体" w:cs="宋体"/>
          <w:color w:val="auto"/>
          <w:highlight w:val="none"/>
        </w:rPr>
      </w:pPr>
    </w:p>
    <w:p w14:paraId="01AADF0F">
      <w:pPr>
        <w:rPr>
          <w:rFonts w:hint="eastAsia" w:ascii="宋体" w:hAnsi="宋体" w:eastAsia="宋体" w:cs="宋体"/>
          <w:color w:val="auto"/>
          <w:highlight w:val="none"/>
        </w:rPr>
      </w:pPr>
    </w:p>
    <w:p w14:paraId="673B6952">
      <w:pPr>
        <w:rPr>
          <w:rFonts w:hint="eastAsia" w:ascii="宋体" w:hAnsi="宋体" w:eastAsia="宋体" w:cs="宋体"/>
          <w:color w:val="auto"/>
          <w:highlight w:val="none"/>
        </w:rPr>
      </w:pPr>
    </w:p>
    <w:p w14:paraId="04F7DC74">
      <w:pPr>
        <w:rPr>
          <w:rFonts w:hint="eastAsia" w:ascii="宋体" w:hAnsi="宋体" w:eastAsia="宋体" w:cs="宋体"/>
          <w:color w:val="auto"/>
          <w:highlight w:val="none"/>
        </w:rPr>
      </w:pPr>
    </w:p>
    <w:p w14:paraId="54B55A1C">
      <w:pPr>
        <w:rPr>
          <w:rFonts w:hint="eastAsia" w:ascii="宋体" w:hAnsi="宋体" w:eastAsia="宋体" w:cs="宋体"/>
          <w:color w:val="auto"/>
          <w:highlight w:val="none"/>
        </w:rPr>
      </w:pPr>
    </w:p>
    <w:p w14:paraId="1033DA2D">
      <w:pPr>
        <w:rPr>
          <w:rFonts w:hint="eastAsia" w:ascii="宋体" w:hAnsi="宋体" w:eastAsia="宋体" w:cs="宋体"/>
          <w:color w:val="auto"/>
          <w:highlight w:val="none"/>
        </w:rPr>
      </w:pPr>
    </w:p>
    <w:p w14:paraId="5B4D4222">
      <w:pPr>
        <w:rPr>
          <w:rFonts w:hint="eastAsia" w:ascii="宋体" w:hAnsi="宋体" w:eastAsia="宋体" w:cs="宋体"/>
          <w:color w:val="auto"/>
          <w:highlight w:val="none"/>
        </w:rPr>
      </w:pPr>
    </w:p>
    <w:p w14:paraId="5DDB6EA3">
      <w:pPr>
        <w:pStyle w:val="3"/>
        <w:keepNext w:val="0"/>
        <w:keepLines w:val="0"/>
        <w:pageBreakBefore w:val="0"/>
        <w:widowControl w:val="0"/>
        <w:kinsoku/>
        <w:wordWrap/>
        <w:overflowPunct/>
        <w:topLinePunct w:val="0"/>
        <w:autoSpaceDE w:val="0"/>
        <w:autoSpaceDN w:val="0"/>
        <w:bidi w:val="0"/>
        <w:adjustRightInd w:val="0"/>
        <w:snapToGrid/>
        <w:jc w:val="center"/>
        <w:textAlignment w:val="auto"/>
        <w:outlineLvl w:val="0"/>
        <w:rPr>
          <w:rFonts w:hint="eastAsia" w:ascii="宋体" w:hAnsi="宋体" w:eastAsia="宋体" w:cs="宋体"/>
          <w:snapToGrid w:val="0"/>
          <w:color w:val="auto"/>
          <w:kern w:val="0"/>
          <w:highlight w:val="none"/>
        </w:rPr>
      </w:pPr>
      <w:bookmarkStart w:id="178" w:name="_Hlt69635247"/>
      <w:bookmarkEnd w:id="178"/>
      <w:bookmarkStart w:id="179" w:name="_Hlt69358336"/>
      <w:bookmarkEnd w:id="179"/>
      <w:bookmarkStart w:id="180" w:name="_Hlt69338190"/>
      <w:bookmarkEnd w:id="180"/>
      <w:bookmarkStart w:id="181" w:name="_Hlt66848640"/>
      <w:bookmarkEnd w:id="181"/>
      <w:bookmarkStart w:id="182" w:name="_Hlt69265207"/>
      <w:bookmarkEnd w:id="182"/>
      <w:bookmarkStart w:id="183" w:name="_Hlt69116863"/>
      <w:bookmarkEnd w:id="183"/>
      <w:bookmarkStart w:id="184" w:name="_Toc445"/>
      <w:bookmarkStart w:id="185" w:name="_Toc7188"/>
      <w:r>
        <w:rPr>
          <w:rFonts w:hint="eastAsia" w:ascii="宋体" w:hAnsi="宋体" w:eastAsia="宋体" w:cs="宋体"/>
          <w:b/>
          <w:bCs/>
          <w:color w:val="auto"/>
          <w:highlight w:val="none"/>
        </w:rPr>
        <w:t>第五章</w:t>
      </w:r>
      <w:bookmarkStart w:id="186" w:name="_Hlt87793860"/>
      <w:bookmarkEnd w:id="186"/>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rPr>
        <w:t>图纸和招标工程</w:t>
      </w:r>
      <w:bookmarkStart w:id="187" w:name="_Hlt69669215"/>
      <w:bookmarkEnd w:id="187"/>
      <w:r>
        <w:rPr>
          <w:rFonts w:hint="eastAsia" w:ascii="宋体" w:hAnsi="宋体" w:eastAsia="宋体" w:cs="宋体"/>
          <w:b/>
          <w:bCs/>
          <w:color w:val="auto"/>
          <w:highlight w:val="none"/>
        </w:rPr>
        <w:t>量清单</w:t>
      </w:r>
      <w:bookmarkEnd w:id="184"/>
      <w:bookmarkEnd w:id="185"/>
      <w:bookmarkStart w:id="188" w:name="_Hlt87793868"/>
      <w:bookmarkEnd w:id="188"/>
      <w:bookmarkStart w:id="189" w:name="_Hlt75747203"/>
      <w:bookmarkEnd w:id="189"/>
      <w:bookmarkStart w:id="190" w:name="_Hlt66104919"/>
      <w:bookmarkEnd w:id="190"/>
      <w:bookmarkStart w:id="191" w:name="_Hlt69669182"/>
      <w:bookmarkEnd w:id="191"/>
      <w:bookmarkStart w:id="192" w:name="_Hlt69698785"/>
    </w:p>
    <w:p w14:paraId="62576D1A">
      <w:pPr>
        <w:pageBreakBefore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□有，另附复印件 </w:t>
      </w:r>
      <w:r>
        <w:rPr>
          <w:rFonts w:hint="eastAsia" w:ascii="宋体" w:hAnsi="宋体" w:eastAsia="宋体" w:cs="宋体"/>
          <w:snapToGrid w:val="0"/>
          <w:color w:val="auto"/>
          <w:kern w:val="0"/>
          <w:highlight w:val="none"/>
          <w:lang w:val="en-US" w:eastAsia="zh-CN"/>
        </w:rPr>
        <w:t xml:space="preserve">     </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有，自行网上下载(浏览)</w:t>
      </w:r>
      <w:r>
        <w:rPr>
          <w:rFonts w:hint="eastAsia" w:ascii="宋体" w:hAnsi="宋体" w:eastAsia="宋体" w:cs="宋体"/>
          <w:snapToGrid w:val="0"/>
          <w:color w:val="auto"/>
          <w:kern w:val="0"/>
          <w:highlight w:val="none"/>
          <w:lang w:val="en-US" w:eastAsia="zh-CN"/>
        </w:rPr>
        <w:t xml:space="preserve">      </w:t>
      </w:r>
      <w:r>
        <w:rPr>
          <w:rFonts w:hint="eastAsia" w:ascii="宋体" w:hAnsi="宋体" w:eastAsia="宋体" w:cs="宋体"/>
          <w:snapToGrid w:val="0"/>
          <w:color w:val="auto"/>
          <w:kern w:val="0"/>
          <w:highlight w:val="none"/>
        </w:rPr>
        <w:t>□无</w:t>
      </w:r>
    </w:p>
    <w:p w14:paraId="4AE06D67">
      <w:pPr>
        <w:pStyle w:val="5"/>
        <w:pageBreakBefore w:val="0"/>
        <w:kinsoku/>
        <w:wordWrap w:val="0"/>
        <w:overflowPunct/>
        <w:topLinePunct w:val="0"/>
        <w:autoSpaceDE/>
        <w:autoSpaceDN/>
        <w:bidi w:val="0"/>
        <w:snapToGrid w:val="0"/>
        <w:spacing w:line="43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193" w:name="_Toc10290"/>
      <w:r>
        <w:rPr>
          <w:rFonts w:hint="eastAsia" w:ascii="宋体" w:hAnsi="宋体" w:eastAsia="宋体" w:cs="宋体"/>
          <w:b/>
          <w:snapToGrid w:val="0"/>
          <w:color w:val="auto"/>
          <w:highlight w:val="none"/>
          <w:lang w:val="en-US" w:eastAsia="zh-CN"/>
        </w:rPr>
        <w:t>1．图纸</w:t>
      </w:r>
      <w:bookmarkEnd w:id="193"/>
    </w:p>
    <w:p w14:paraId="54DAC33E">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本工程</w:t>
      </w:r>
      <w:r>
        <w:rPr>
          <w:rFonts w:hint="eastAsia" w:ascii="宋体" w:hAnsi="宋体" w:eastAsia="宋体" w:cs="宋体"/>
          <w:snapToGrid w:val="0"/>
          <w:color w:val="auto"/>
          <w:kern w:val="0"/>
          <w:highlight w:val="none"/>
          <w:lang w:val="en-US" w:eastAsia="zh-CN"/>
        </w:rPr>
        <w:t>图纸</w:t>
      </w:r>
      <w:r>
        <w:rPr>
          <w:rFonts w:hint="eastAsia" w:ascii="宋体" w:hAnsi="宋体" w:eastAsia="宋体" w:cs="宋体"/>
          <w:snapToGrid w:val="0"/>
          <w:color w:val="auto"/>
          <w:kern w:val="0"/>
          <w:highlight w:val="none"/>
        </w:rPr>
        <w:t>在投标截止时间前15天以补充公告的形式在广东省招标投标监管网（http://zbtb.gd.gov.cn/login）、全国公共资源交易平台（广东省·韶关市）（https://ygp.gdzwfw.gov.cn/ggzy-portal/#/440200/index）网站公布，各投标人可在上述网站上自行下载。</w:t>
      </w:r>
    </w:p>
    <w:p w14:paraId="68F963C2">
      <w:pPr>
        <w:pStyle w:val="5"/>
        <w:pageBreakBefore w:val="0"/>
        <w:kinsoku/>
        <w:wordWrap w:val="0"/>
        <w:overflowPunct/>
        <w:topLinePunct w:val="0"/>
        <w:autoSpaceDE/>
        <w:autoSpaceDN/>
        <w:bidi w:val="0"/>
        <w:snapToGrid w:val="0"/>
        <w:spacing w:line="43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194" w:name="_Toc1115"/>
      <w:r>
        <w:rPr>
          <w:rFonts w:hint="eastAsia" w:ascii="宋体" w:hAnsi="宋体" w:eastAsia="宋体" w:cs="宋体"/>
          <w:b/>
          <w:snapToGrid w:val="0"/>
          <w:color w:val="auto"/>
          <w:highlight w:val="none"/>
          <w:lang w:val="en-US" w:eastAsia="zh-CN"/>
        </w:rPr>
        <w:t>2．招标工程量清单</w:t>
      </w:r>
      <w:bookmarkEnd w:id="194"/>
    </w:p>
    <w:p w14:paraId="40E1A063">
      <w:pPr>
        <w:pageBreakBefore w:val="0"/>
        <w:kinsoku/>
        <w:wordWrap w:val="0"/>
        <w:overflowPunct/>
        <w:topLinePunct w:val="0"/>
        <w:autoSpaceDE/>
        <w:autoSpaceDN/>
        <w:bidi w:val="0"/>
        <w:adjustRightInd w:val="0"/>
        <w:snapToGrid w:val="0"/>
        <w:spacing w:line="430" w:lineRule="exact"/>
        <w:ind w:firstLine="482" w:firstLineChars="200"/>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b/>
          <w:bCs/>
          <w:snapToGrid w:val="0"/>
          <w:color w:val="auto"/>
          <w:kern w:val="0"/>
          <w:highlight w:val="none"/>
        </w:rPr>
        <w:t>2.1</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val="en-US" w:eastAsia="zh-CN"/>
        </w:rPr>
        <w:t>本工程招标工程量清单在投标截止时间前15天以补充公告的形式在广东省招标投标监管网（http://zbtb.gd.gov.cn/login）、全国公共资源交易平台（广东省·韶关市）（https://ygp.gdzwfw.gov.cn/ggzy-portal/#/440200/index）网站公布，各投标人可在上述网站上自行下载。</w:t>
      </w:r>
    </w:p>
    <w:p w14:paraId="6ACCE8D9">
      <w:pPr>
        <w:keepNext w:val="0"/>
        <w:keepLines w:val="0"/>
        <w:pageBreakBefore w:val="0"/>
        <w:widowControl w:val="0"/>
        <w:kinsoku/>
        <w:wordWrap w:val="0"/>
        <w:overflowPunct/>
        <w:topLinePunct w:val="0"/>
        <w:autoSpaceDE/>
        <w:autoSpaceDN/>
        <w:bidi w:val="0"/>
        <w:adjustRightInd w:val="0"/>
        <w:snapToGrid w:val="0"/>
        <w:spacing w:line="430" w:lineRule="exact"/>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2.2</w:t>
      </w:r>
      <w:r>
        <w:rPr>
          <w:rFonts w:hint="eastAsia" w:ascii="宋体" w:hAnsi="宋体" w:eastAsia="宋体" w:cs="宋体"/>
          <w:snapToGrid w:val="0"/>
          <w:color w:val="auto"/>
          <w:kern w:val="0"/>
          <w:highlight w:val="none"/>
        </w:rPr>
        <w:t xml:space="preserve"> 本招标项目按照以下依据编制招标工程量清单</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完整</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软件版</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w:t>
      </w:r>
    </w:p>
    <w:p w14:paraId="62DA5493">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（1）《建设工程工程量清单计价标准》（GB50500—2024）；</w:t>
      </w:r>
    </w:p>
    <w:p w14:paraId="19ED9F03">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须知”规定提交的要求招标人澄清的其他问题一起提交给招标人，招标人将根据实际情况决定是否颁发工程量清单的补充和(或)修改文件。</w:t>
      </w:r>
    </w:p>
    <w:p w14:paraId="290A4FCF">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（3）本招标工程量清单措施项目中的暂列金额、暂估价不得作为竞争性费用，投标报价必须按本招标工程量清单规定的金额填报。</w:t>
      </w:r>
    </w:p>
    <w:p w14:paraId="5198259E">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（4）投标报价使用的表格格式须按照《建设工程工程量清单计价标准》（GB50500—2024）。</w:t>
      </w:r>
    </w:p>
    <w:p w14:paraId="3213B230">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广东省建设工程计价依据(2024)》。具体包括:《房屋建筑与装饰工程工程量计算标准》(GB/T·50854-2024)《市政工程工程量计算标准》(GB/T·50857-2024)《通用安装工程工程量计算标准》(GB/T·50856-2024)《园林绿化工程工程量计算标准》(CB/T50858-2024)等；</w:t>
      </w:r>
    </w:p>
    <w:p w14:paraId="13044B68">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6</w:t>
      </w:r>
      <w:r>
        <w:rPr>
          <w:rFonts w:hint="eastAsia" w:ascii="宋体" w:hAnsi="宋体" w:eastAsia="宋体" w:cs="宋体"/>
          <w:snapToGrid w:val="0"/>
          <w:color w:val="auto"/>
          <w:kern w:val="0"/>
          <w:highlight w:val="none"/>
        </w:rPr>
        <w:t>）施工图及相关资料；</w:t>
      </w:r>
    </w:p>
    <w:p w14:paraId="330B97D0">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）招标文件；</w:t>
      </w:r>
    </w:p>
    <w:p w14:paraId="3B8E4BC5">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8</w:t>
      </w:r>
      <w:r>
        <w:rPr>
          <w:rFonts w:hint="eastAsia" w:ascii="宋体" w:hAnsi="宋体" w:eastAsia="宋体" w:cs="宋体"/>
          <w:snapToGrid w:val="0"/>
          <w:color w:val="auto"/>
          <w:kern w:val="0"/>
          <w:highlight w:val="none"/>
        </w:rPr>
        <w:t>）施工现场情况、地勘水文资料、工程特点及常规施工方案；</w:t>
      </w:r>
    </w:p>
    <w:p w14:paraId="592A8DD2">
      <w:pPr>
        <w:keepNext w:val="0"/>
        <w:keepLines w:val="0"/>
        <w:pageBreakBefore w:val="0"/>
        <w:widowControl w:val="0"/>
        <w:kinsoku/>
        <w:wordWrap w:val="0"/>
        <w:overflowPunct/>
        <w:topLinePunct w:val="0"/>
        <w:autoSpaceDE/>
        <w:autoSpaceDN/>
        <w:bidi w:val="0"/>
        <w:adjustRightInd w:val="0"/>
        <w:snapToGrid w:val="0"/>
        <w:spacing w:line="43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9</w:t>
      </w:r>
      <w:r>
        <w:rPr>
          <w:rFonts w:hint="eastAsia" w:ascii="宋体" w:hAnsi="宋体" w:eastAsia="宋体" w:cs="宋体"/>
          <w:snapToGrid w:val="0"/>
          <w:color w:val="auto"/>
          <w:kern w:val="0"/>
          <w:highlight w:val="none"/>
        </w:rPr>
        <w:t>）与建设工程有关的标准、规范、技术资料、材料设备信息价或市场价格等。</w:t>
      </w:r>
    </w:p>
    <w:p w14:paraId="2D52EDB0">
      <w:pPr>
        <w:pStyle w:val="3"/>
        <w:keepNext w:val="0"/>
        <w:keepLines w:val="0"/>
        <w:pageBreakBefore w:val="0"/>
        <w:widowControl w:val="0"/>
        <w:kinsoku/>
        <w:wordWrap/>
        <w:overflowPunct/>
        <w:topLinePunct w:val="0"/>
        <w:autoSpaceDE w:val="0"/>
        <w:autoSpaceDN w:val="0"/>
        <w:bidi w:val="0"/>
        <w:adjustRightInd w:val="0"/>
        <w:snapToGrid/>
        <w:jc w:val="center"/>
        <w:textAlignment w:val="auto"/>
        <w:outlineLvl w:val="0"/>
        <w:rPr>
          <w:rFonts w:hint="eastAsia" w:ascii="宋体" w:hAnsi="宋体" w:eastAsia="宋体" w:cs="宋体"/>
          <w:b/>
          <w:snapToGrid w:val="0"/>
          <w:color w:val="auto"/>
          <w:highlight w:val="none"/>
        </w:rPr>
      </w:pPr>
      <w:bookmarkStart w:id="195" w:name="_Toc25791"/>
      <w:bookmarkStart w:id="196" w:name="_Toc21237"/>
      <w:r>
        <w:rPr>
          <w:rFonts w:hint="eastAsia" w:ascii="宋体" w:hAnsi="宋体" w:eastAsia="宋体" w:cs="宋体"/>
          <w:b/>
          <w:bCs/>
          <w:color w:val="auto"/>
          <w:highlight w:val="none"/>
        </w:rPr>
        <w:t>第六章</w:t>
      </w:r>
      <w:bookmarkStart w:id="197" w:name="_Hlt75747044"/>
      <w:bookmarkEnd w:id="197"/>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rPr>
        <w:t>投标文件格式</w:t>
      </w:r>
      <w:bookmarkEnd w:id="192"/>
      <w:bookmarkEnd w:id="195"/>
      <w:bookmarkEnd w:id="196"/>
      <w:bookmarkStart w:id="198" w:name="_附件二：工期承诺书"/>
      <w:bookmarkEnd w:id="198"/>
      <w:bookmarkStart w:id="199" w:name="_附件一：投标函"/>
      <w:bookmarkEnd w:id="199"/>
      <w:bookmarkStart w:id="200" w:name="_附件四：工期承诺书"/>
      <w:bookmarkEnd w:id="200"/>
      <w:bookmarkStart w:id="201" w:name="_附件二：近三年度主要施工项目（竣工及在建）一览表"/>
      <w:bookmarkEnd w:id="201"/>
      <w:bookmarkStart w:id="202" w:name="_附件五：综合评审合理低价法"/>
      <w:bookmarkEnd w:id="202"/>
      <w:bookmarkStart w:id="203" w:name="_附件一：对招标文件条款自愿接受承诺书"/>
      <w:bookmarkEnd w:id="203"/>
      <w:bookmarkStart w:id="204" w:name="_Toc200338097"/>
      <w:bookmarkStart w:id="205" w:name="_Toc137621693"/>
      <w:bookmarkStart w:id="206" w:name="_Toc66849200"/>
      <w:bookmarkStart w:id="207" w:name="_Hlt66847557"/>
    </w:p>
    <w:p w14:paraId="13A962E1">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208" w:name="_Toc14605"/>
      <w:bookmarkStart w:id="209" w:name="_Toc2943"/>
      <w:bookmarkStart w:id="210" w:name="_Toc2262"/>
      <w:r>
        <w:rPr>
          <w:rFonts w:hint="eastAsia" w:ascii="宋体" w:hAnsi="宋体" w:eastAsia="宋体" w:cs="宋体"/>
          <w:b/>
          <w:snapToGrid w:val="0"/>
          <w:color w:val="auto"/>
          <w:highlight w:val="none"/>
          <w:lang w:val="en-US" w:eastAsia="zh-CN"/>
        </w:rPr>
        <w:t>格式一   封面</w:t>
      </w:r>
      <w:bookmarkEnd w:id="208"/>
      <w:bookmarkEnd w:id="209"/>
      <w:bookmarkEnd w:id="210"/>
    </w:p>
    <w:p w14:paraId="5FB3884F">
      <w:pPr>
        <w:rPr>
          <w:rFonts w:hint="eastAsia" w:ascii="宋体" w:hAnsi="宋体" w:eastAsia="宋体" w:cs="宋体"/>
          <w:color w:val="auto"/>
          <w:highlight w:val="none"/>
        </w:rPr>
      </w:pPr>
    </w:p>
    <w:p w14:paraId="4655D2FE">
      <w:pPr>
        <w:rPr>
          <w:rFonts w:hint="eastAsia" w:ascii="宋体" w:hAnsi="宋体" w:eastAsia="宋体" w:cs="宋体"/>
          <w:color w:val="auto"/>
          <w:highlight w:val="none"/>
        </w:rPr>
      </w:pPr>
    </w:p>
    <w:p w14:paraId="06254636">
      <w:pPr>
        <w:rPr>
          <w:rFonts w:hint="eastAsia" w:ascii="宋体" w:hAnsi="宋体" w:eastAsia="宋体" w:cs="宋体"/>
          <w:color w:val="auto"/>
          <w:highlight w:val="none"/>
        </w:rPr>
      </w:pPr>
    </w:p>
    <w:p w14:paraId="529E48FE">
      <w:pPr>
        <w:rPr>
          <w:rFonts w:hint="eastAsia" w:ascii="宋体" w:hAnsi="宋体" w:eastAsia="宋体" w:cs="宋体"/>
          <w:color w:val="auto"/>
          <w:highlight w:val="none"/>
        </w:rPr>
      </w:pPr>
    </w:p>
    <w:p w14:paraId="050A9574">
      <w:pPr>
        <w:rPr>
          <w:rFonts w:hint="eastAsia" w:ascii="宋体" w:hAnsi="宋体" w:eastAsia="宋体" w:cs="宋体"/>
          <w:color w:val="auto"/>
          <w:highlight w:val="none"/>
        </w:rPr>
      </w:pPr>
    </w:p>
    <w:p w14:paraId="59A575F8">
      <w:pPr>
        <w:rPr>
          <w:rFonts w:hint="eastAsia" w:ascii="宋体" w:hAnsi="宋体" w:eastAsia="宋体" w:cs="宋体"/>
          <w:color w:val="auto"/>
          <w:highlight w:val="none"/>
        </w:rPr>
      </w:pPr>
    </w:p>
    <w:p w14:paraId="7AD168C9">
      <w:pPr>
        <w:pStyle w:val="26"/>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Cs/>
          <w:snapToGrid w:val="0"/>
          <w:color w:val="auto"/>
          <w:sz w:val="48"/>
          <w:szCs w:val="48"/>
          <w:highlight w:val="none"/>
          <w:u w:val="single"/>
        </w:rPr>
        <w:t xml:space="preserve">             </w:t>
      </w:r>
      <w:r>
        <w:rPr>
          <w:rFonts w:hint="eastAsia" w:ascii="宋体" w:hAnsi="宋体" w:eastAsia="宋体" w:cs="宋体"/>
          <w:b/>
          <w:snapToGrid w:val="0"/>
          <w:color w:val="auto"/>
          <w:sz w:val="48"/>
          <w:szCs w:val="48"/>
          <w:highlight w:val="none"/>
        </w:rPr>
        <w:t>（项目名称）施工招标</w:t>
      </w:r>
    </w:p>
    <w:p w14:paraId="72FD6DEA">
      <w:pPr>
        <w:rPr>
          <w:rFonts w:hint="eastAsia" w:ascii="宋体" w:hAnsi="宋体" w:eastAsia="宋体" w:cs="宋体"/>
          <w:color w:val="auto"/>
          <w:highlight w:val="none"/>
        </w:rPr>
      </w:pPr>
    </w:p>
    <w:p w14:paraId="36D2E473">
      <w:pPr>
        <w:rPr>
          <w:rFonts w:hint="eastAsia" w:ascii="宋体" w:hAnsi="宋体" w:eastAsia="宋体" w:cs="宋体"/>
          <w:color w:val="auto"/>
          <w:highlight w:val="none"/>
        </w:rPr>
      </w:pPr>
    </w:p>
    <w:p w14:paraId="25C64877">
      <w:pPr>
        <w:pStyle w:val="26"/>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4608EF96">
      <w:pPr>
        <w:rPr>
          <w:rFonts w:hint="eastAsia" w:ascii="宋体" w:hAnsi="宋体" w:eastAsia="宋体" w:cs="宋体"/>
          <w:color w:val="auto"/>
          <w:highlight w:val="none"/>
        </w:rPr>
      </w:pPr>
    </w:p>
    <w:p w14:paraId="6B1F4475">
      <w:pPr>
        <w:rPr>
          <w:rFonts w:hint="eastAsia" w:ascii="宋体" w:hAnsi="宋体" w:eastAsia="宋体" w:cs="宋体"/>
          <w:color w:val="auto"/>
          <w:highlight w:val="none"/>
        </w:rPr>
      </w:pPr>
    </w:p>
    <w:p w14:paraId="3D33AAED">
      <w:pPr>
        <w:pStyle w:val="26"/>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42AD795E">
      <w:pPr>
        <w:rPr>
          <w:rFonts w:hint="eastAsia" w:ascii="宋体" w:hAnsi="宋体" w:eastAsia="宋体" w:cs="宋体"/>
          <w:color w:val="auto"/>
          <w:highlight w:val="none"/>
        </w:rPr>
      </w:pPr>
    </w:p>
    <w:p w14:paraId="2085DA46">
      <w:pPr>
        <w:rPr>
          <w:rFonts w:hint="eastAsia" w:ascii="宋体" w:hAnsi="宋体" w:eastAsia="宋体" w:cs="宋体"/>
          <w:color w:val="auto"/>
          <w:highlight w:val="none"/>
        </w:rPr>
      </w:pPr>
    </w:p>
    <w:p w14:paraId="4B240681">
      <w:pPr>
        <w:rPr>
          <w:rFonts w:hint="eastAsia" w:ascii="宋体" w:hAnsi="宋体" w:eastAsia="宋体" w:cs="宋体"/>
          <w:color w:val="auto"/>
          <w:highlight w:val="none"/>
        </w:rPr>
      </w:pPr>
    </w:p>
    <w:p w14:paraId="27CA21E7">
      <w:pPr>
        <w:pStyle w:val="26"/>
        <w:widowControl w:val="0"/>
        <w:wordWrap w:val="0"/>
        <w:adjustRightInd w:val="0"/>
        <w:snapToGrid w:val="0"/>
        <w:spacing w:line="240" w:lineRule="auto"/>
        <w:ind w:firstLine="0"/>
        <w:jc w:val="center"/>
        <w:rPr>
          <w:rFonts w:hint="eastAsia" w:ascii="宋体" w:hAnsi="宋体" w:eastAsia="宋体" w:cs="宋体"/>
          <w:color w:val="auto"/>
          <w:highlight w:val="none"/>
        </w:rPr>
      </w:pPr>
      <w:r>
        <w:rPr>
          <w:rFonts w:hint="eastAsia" w:ascii="宋体" w:hAnsi="宋体" w:eastAsia="宋体" w:cs="宋体"/>
          <w:bCs/>
          <w:strike w:val="0"/>
          <w:dstrike w:val="0"/>
          <w:snapToGrid w:val="0"/>
          <w:color w:val="auto"/>
          <w:sz w:val="32"/>
          <w:highlight w:val="none"/>
        </w:rPr>
        <w:t>投标人：</w:t>
      </w:r>
      <w:r>
        <w:rPr>
          <w:rFonts w:hint="eastAsia" w:ascii="宋体" w:hAnsi="宋体" w:eastAsia="宋体" w:cs="宋体"/>
          <w:bCs/>
          <w:strike w:val="0"/>
          <w:dstrike w:val="0"/>
          <w:snapToGrid w:val="0"/>
          <w:color w:val="auto"/>
          <w:sz w:val="32"/>
          <w:highlight w:val="none"/>
          <w:u w:val="single"/>
        </w:rPr>
        <w:t xml:space="preserve">                                    </w:t>
      </w:r>
      <w:r>
        <w:rPr>
          <w:rFonts w:hint="eastAsia" w:ascii="宋体" w:hAnsi="宋体" w:eastAsia="宋体" w:cs="宋体"/>
          <w:bCs/>
          <w:strike w:val="0"/>
          <w:dstrike w:val="0"/>
          <w:snapToGrid w:val="0"/>
          <w:color w:val="auto"/>
          <w:sz w:val="32"/>
          <w:highlight w:val="none"/>
        </w:rPr>
        <w:t>（盖单位章）</w:t>
      </w:r>
    </w:p>
    <w:p w14:paraId="2EA6655D">
      <w:pPr>
        <w:rPr>
          <w:rFonts w:hint="eastAsia" w:ascii="宋体" w:hAnsi="宋体" w:eastAsia="宋体" w:cs="宋体"/>
          <w:color w:val="auto"/>
          <w:highlight w:val="none"/>
        </w:rPr>
      </w:pPr>
    </w:p>
    <w:p w14:paraId="2D0CA977">
      <w:pPr>
        <w:pStyle w:val="26"/>
        <w:widowControl w:val="0"/>
        <w:wordWrap w:val="0"/>
        <w:adjustRightInd w:val="0"/>
        <w:snapToGrid w:val="0"/>
        <w:spacing w:line="240" w:lineRule="auto"/>
        <w:ind w:firstLine="0"/>
        <w:jc w:val="center"/>
        <w:rPr>
          <w:rFonts w:hint="eastAsia" w:ascii="宋体" w:hAnsi="宋体" w:eastAsia="宋体" w:cs="宋体"/>
          <w:bCs/>
          <w:strike w:val="0"/>
          <w:dstrike w:val="0"/>
          <w:snapToGrid w:val="0"/>
          <w:color w:val="auto"/>
          <w:sz w:val="32"/>
          <w:highlight w:val="none"/>
        </w:rPr>
      </w:pPr>
      <w:r>
        <w:rPr>
          <w:rFonts w:hint="eastAsia" w:ascii="宋体" w:hAnsi="宋体" w:eastAsia="宋体" w:cs="宋体"/>
          <w:bCs/>
          <w:strike w:val="0"/>
          <w:dstrike w:val="0"/>
          <w:snapToGrid w:val="0"/>
          <w:color w:val="auto"/>
          <w:sz w:val="32"/>
          <w:highlight w:val="none"/>
        </w:rPr>
        <w:t>法定代表人或其委托代理人：</w:t>
      </w:r>
      <w:r>
        <w:rPr>
          <w:rFonts w:hint="eastAsia" w:ascii="宋体" w:hAnsi="宋体" w:eastAsia="宋体" w:cs="宋体"/>
          <w:bCs/>
          <w:strike w:val="0"/>
          <w:dstrike w:val="0"/>
          <w:snapToGrid w:val="0"/>
          <w:color w:val="auto"/>
          <w:sz w:val="32"/>
          <w:highlight w:val="none"/>
          <w:u w:val="single"/>
        </w:rPr>
        <w:t xml:space="preserve">                 </w:t>
      </w:r>
      <w:r>
        <w:rPr>
          <w:rFonts w:hint="eastAsia" w:ascii="宋体" w:hAnsi="宋体" w:eastAsia="宋体" w:cs="宋体"/>
          <w:bCs/>
          <w:strike w:val="0"/>
          <w:dstrike w:val="0"/>
          <w:snapToGrid w:val="0"/>
          <w:color w:val="auto"/>
          <w:sz w:val="32"/>
          <w:highlight w:val="none"/>
        </w:rPr>
        <w:t>（签字或盖章）</w:t>
      </w:r>
    </w:p>
    <w:p w14:paraId="418BB485">
      <w:pPr>
        <w:rPr>
          <w:rFonts w:hint="eastAsia" w:ascii="宋体" w:hAnsi="宋体" w:eastAsia="宋体" w:cs="宋体"/>
          <w:color w:val="auto"/>
          <w:highlight w:val="none"/>
        </w:rPr>
      </w:pPr>
    </w:p>
    <w:p w14:paraId="3BAF0058">
      <w:pPr>
        <w:pStyle w:val="26"/>
        <w:widowControl w:val="0"/>
        <w:wordWrap w:val="0"/>
        <w:adjustRightInd w:val="0"/>
        <w:snapToGrid w:val="0"/>
        <w:spacing w:line="240" w:lineRule="auto"/>
        <w:ind w:firstLine="0"/>
        <w:jc w:val="center"/>
        <w:rPr>
          <w:rFonts w:hint="eastAsia" w:ascii="宋体" w:hAnsi="宋体" w:eastAsia="宋体" w:cs="宋体"/>
          <w:bCs/>
          <w:strike w:val="0"/>
          <w:dstrike w:val="0"/>
          <w:snapToGrid w:val="0"/>
          <w:color w:val="auto"/>
          <w:sz w:val="32"/>
          <w:highlight w:val="none"/>
        </w:rPr>
      </w:pPr>
      <w:r>
        <w:rPr>
          <w:rFonts w:hint="eastAsia" w:ascii="宋体" w:hAnsi="宋体" w:eastAsia="宋体" w:cs="宋体"/>
          <w:bCs/>
          <w:strike w:val="0"/>
          <w:dstrike w:val="0"/>
          <w:snapToGrid w:val="0"/>
          <w:color w:val="auto"/>
          <w:sz w:val="32"/>
          <w:highlight w:val="none"/>
          <w:u w:val="single"/>
        </w:rPr>
        <w:t xml:space="preserve">         </w:t>
      </w:r>
      <w:r>
        <w:rPr>
          <w:rFonts w:hint="eastAsia" w:ascii="宋体" w:hAnsi="宋体" w:eastAsia="宋体" w:cs="宋体"/>
          <w:bCs/>
          <w:strike w:val="0"/>
          <w:dstrike w:val="0"/>
          <w:snapToGrid w:val="0"/>
          <w:color w:val="auto"/>
          <w:sz w:val="32"/>
          <w:highlight w:val="none"/>
        </w:rPr>
        <w:t>年</w:t>
      </w:r>
      <w:r>
        <w:rPr>
          <w:rFonts w:hint="eastAsia" w:ascii="宋体" w:hAnsi="宋体" w:eastAsia="宋体" w:cs="宋体"/>
          <w:bCs/>
          <w:strike w:val="0"/>
          <w:dstrike w:val="0"/>
          <w:snapToGrid w:val="0"/>
          <w:color w:val="auto"/>
          <w:sz w:val="32"/>
          <w:highlight w:val="none"/>
          <w:u w:val="single"/>
        </w:rPr>
        <w:t xml:space="preserve">      </w:t>
      </w:r>
      <w:r>
        <w:rPr>
          <w:rFonts w:hint="eastAsia" w:ascii="宋体" w:hAnsi="宋体" w:eastAsia="宋体" w:cs="宋体"/>
          <w:bCs/>
          <w:strike w:val="0"/>
          <w:dstrike w:val="0"/>
          <w:snapToGrid w:val="0"/>
          <w:color w:val="auto"/>
          <w:sz w:val="32"/>
          <w:highlight w:val="none"/>
        </w:rPr>
        <w:t>月</w:t>
      </w:r>
      <w:r>
        <w:rPr>
          <w:rFonts w:hint="eastAsia" w:ascii="宋体" w:hAnsi="宋体" w:eastAsia="宋体" w:cs="宋体"/>
          <w:bCs/>
          <w:strike w:val="0"/>
          <w:dstrike w:val="0"/>
          <w:snapToGrid w:val="0"/>
          <w:color w:val="auto"/>
          <w:sz w:val="32"/>
          <w:highlight w:val="none"/>
          <w:u w:val="single"/>
        </w:rPr>
        <w:t xml:space="preserve">      </w:t>
      </w:r>
      <w:r>
        <w:rPr>
          <w:rFonts w:hint="eastAsia" w:ascii="宋体" w:hAnsi="宋体" w:eastAsia="宋体" w:cs="宋体"/>
          <w:bCs/>
          <w:strike w:val="0"/>
          <w:dstrike w:val="0"/>
          <w:snapToGrid w:val="0"/>
          <w:color w:val="auto"/>
          <w:sz w:val="32"/>
          <w:highlight w:val="none"/>
        </w:rPr>
        <w:t>日</w:t>
      </w:r>
    </w:p>
    <w:p w14:paraId="7AC89FB7">
      <w:pPr>
        <w:rPr>
          <w:rFonts w:hint="eastAsia" w:ascii="宋体" w:hAnsi="宋体" w:eastAsia="宋体" w:cs="宋体"/>
          <w:bCs/>
          <w:strike w:val="0"/>
          <w:dstrike w:val="0"/>
          <w:snapToGrid w:val="0"/>
          <w:color w:val="auto"/>
          <w:sz w:val="32"/>
          <w:highlight w:val="none"/>
        </w:rPr>
      </w:pPr>
    </w:p>
    <w:p w14:paraId="730F77BC">
      <w:pPr>
        <w:rPr>
          <w:rFonts w:hint="eastAsia" w:ascii="宋体" w:hAnsi="宋体" w:eastAsia="宋体" w:cs="宋体"/>
          <w:bCs/>
          <w:strike w:val="0"/>
          <w:dstrike w:val="0"/>
          <w:snapToGrid w:val="0"/>
          <w:color w:val="auto"/>
          <w:sz w:val="32"/>
          <w:highlight w:val="none"/>
        </w:rPr>
      </w:pPr>
    </w:p>
    <w:p w14:paraId="1A67EBAA">
      <w:pPr>
        <w:rPr>
          <w:rFonts w:hint="eastAsia" w:ascii="宋体" w:hAnsi="宋体" w:eastAsia="宋体" w:cs="宋体"/>
          <w:bCs/>
          <w:strike w:val="0"/>
          <w:dstrike w:val="0"/>
          <w:snapToGrid w:val="0"/>
          <w:color w:val="auto"/>
          <w:sz w:val="32"/>
          <w:highlight w:val="none"/>
        </w:rPr>
      </w:pPr>
    </w:p>
    <w:p w14:paraId="14F9C332">
      <w:pPr>
        <w:rPr>
          <w:rFonts w:hint="eastAsia" w:ascii="宋体" w:hAnsi="宋体" w:eastAsia="宋体" w:cs="宋体"/>
          <w:bCs/>
          <w:strike w:val="0"/>
          <w:dstrike w:val="0"/>
          <w:snapToGrid w:val="0"/>
          <w:color w:val="auto"/>
          <w:sz w:val="32"/>
          <w:highlight w:val="none"/>
        </w:rPr>
      </w:pPr>
    </w:p>
    <w:p w14:paraId="1EE11E2F">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211" w:name="_Toc26795"/>
      <w:bookmarkStart w:id="212" w:name="_Toc2228"/>
      <w:bookmarkStart w:id="213" w:name="_Toc24920"/>
      <w:bookmarkStart w:id="214" w:name="_Toc106418843"/>
      <w:bookmarkStart w:id="215" w:name="_Toc104711098"/>
      <w:r>
        <w:rPr>
          <w:rFonts w:hint="eastAsia" w:ascii="宋体" w:hAnsi="宋体" w:eastAsia="宋体" w:cs="宋体"/>
          <w:b/>
          <w:snapToGrid w:val="0"/>
          <w:color w:val="auto"/>
          <w:highlight w:val="none"/>
          <w:lang w:val="en-US" w:eastAsia="zh-CN"/>
        </w:rPr>
        <w:t>格式</w:t>
      </w:r>
      <w:bookmarkStart w:id="216" w:name="_Hlt97526007"/>
      <w:bookmarkEnd w:id="216"/>
      <w:r>
        <w:rPr>
          <w:rFonts w:hint="eastAsia" w:ascii="宋体" w:hAnsi="宋体" w:eastAsia="宋体" w:cs="宋体"/>
          <w:b/>
          <w:snapToGrid w:val="0"/>
          <w:color w:val="auto"/>
          <w:highlight w:val="none"/>
          <w:lang w:val="en-US" w:eastAsia="zh-CN"/>
        </w:rPr>
        <w:t>二   投标函</w:t>
      </w:r>
      <w:bookmarkEnd w:id="211"/>
      <w:bookmarkEnd w:id="212"/>
      <w:bookmarkEnd w:id="213"/>
    </w:p>
    <w:p w14:paraId="792762C0">
      <w:pPr>
        <w:keepNext w:val="0"/>
        <w:keepLines w:val="0"/>
        <w:widowControl w:val="0"/>
        <w:wordWrap w:val="0"/>
        <w:adjustRightInd w:val="0"/>
        <w:snapToGrid w:val="0"/>
        <w:spacing w:before="260" w:after="260" w:line="440" w:lineRule="exact"/>
        <w:ind w:firstLine="0"/>
        <w:jc w:val="center"/>
        <w:outlineLvl w:val="9"/>
        <w:rPr>
          <w:rFonts w:hint="eastAsia" w:ascii="宋体" w:hAnsi="宋体" w:eastAsia="宋体" w:cs="宋体"/>
          <w:b/>
          <w:snapToGrid w:val="0"/>
          <w:color w:val="auto"/>
          <w:kern w:val="0"/>
          <w:highlight w:val="none"/>
        </w:rPr>
      </w:pPr>
      <w:bookmarkStart w:id="217" w:name="_Toc8657"/>
      <w:bookmarkStart w:id="218" w:name="_Toc29375"/>
      <w:r>
        <w:rPr>
          <w:rFonts w:hint="eastAsia" w:ascii="宋体" w:hAnsi="宋体" w:eastAsia="宋体" w:cs="宋体"/>
          <w:b/>
          <w:snapToGrid w:val="0"/>
          <w:color w:val="auto"/>
          <w:sz w:val="30"/>
          <w:highlight w:val="none"/>
        </w:rPr>
        <w:t>投  标  函</w:t>
      </w:r>
      <w:bookmarkEnd w:id="214"/>
      <w:bookmarkEnd w:id="215"/>
      <w:bookmarkEnd w:id="217"/>
      <w:bookmarkEnd w:id="218"/>
    </w:p>
    <w:p w14:paraId="1D4B49AA">
      <w:pPr>
        <w:keepNext w:val="0"/>
        <w:keepLines w:val="0"/>
        <w:pageBreakBefore w:val="0"/>
        <w:widowControl w:val="0"/>
        <w:kinsoku/>
        <w:wordWrap w:val="0"/>
        <w:overflowPunct/>
        <w:topLinePunct w:val="0"/>
        <w:autoSpaceDE/>
        <w:autoSpaceDN/>
        <w:bidi w:val="0"/>
        <w:adjustRightInd w:val="0"/>
        <w:snapToGrid w:val="0"/>
        <w:spacing w:line="500" w:lineRule="exact"/>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714FE399">
      <w:pPr>
        <w:keepNext w:val="0"/>
        <w:keepLines w:val="0"/>
        <w:pageBreakBefore w:val="0"/>
        <w:widowControl w:val="0"/>
        <w:kinsoku/>
        <w:wordWrap w:val="0"/>
        <w:overflowPunct/>
        <w:topLinePunct w:val="0"/>
        <w:autoSpaceDE/>
        <w:autoSpaceDN/>
        <w:bidi w:val="0"/>
        <w:adjustRightInd w:val="0"/>
        <w:snapToGrid w:val="0"/>
        <w:spacing w:line="500" w:lineRule="exact"/>
        <w:ind w:firstLine="57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（项目名称）（以下简称“本项目”）施工招标文件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1F63DFA1">
      <w:pPr>
        <w:keepNext w:val="0"/>
        <w:keepLines w:val="0"/>
        <w:pageBreakBefore w:val="0"/>
        <w:widowControl w:val="0"/>
        <w:kinsoku/>
        <w:wordWrap w:val="0"/>
        <w:overflowPunct/>
        <w:topLinePunct w:val="0"/>
        <w:autoSpaceDE/>
        <w:autoSpaceDN/>
        <w:bidi w:val="0"/>
        <w:adjustRightInd w:val="0"/>
        <w:snapToGrid w:val="0"/>
        <w:spacing w:line="500" w:lineRule="exact"/>
        <w:ind w:firstLine="57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在我方的上述投标总价中，包括：安全生产措施费¥</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none"/>
          <w:lang w:eastAsia="zh-CN"/>
        </w:rPr>
        <w:t xml:space="preserve">，暂列金额¥ </w:t>
      </w:r>
      <w:r>
        <w:rPr>
          <w:rFonts w:hint="eastAsia" w:ascii="宋体" w:hAnsi="宋体" w:eastAsia="宋体" w:cs="宋体"/>
          <w:snapToGrid w:val="0"/>
          <w:color w:val="auto"/>
          <w:kern w:val="0"/>
          <w:highlight w:val="none"/>
          <w:u w:val="single"/>
          <w:lang w:eastAsia="zh-CN"/>
        </w:rPr>
        <w:t xml:space="preserve">         </w:t>
      </w:r>
      <w:r>
        <w:rPr>
          <w:rFonts w:hint="eastAsia" w:ascii="宋体" w:hAnsi="宋体" w:eastAsia="宋体" w:cs="宋体"/>
          <w:snapToGrid w:val="0"/>
          <w:color w:val="auto"/>
          <w:kern w:val="0"/>
          <w:highlight w:val="none"/>
        </w:rPr>
        <w:t>。</w:t>
      </w:r>
    </w:p>
    <w:p w14:paraId="506F0751">
      <w:pPr>
        <w:keepNext w:val="0"/>
        <w:keepLines w:val="0"/>
        <w:pageBreakBefore w:val="0"/>
        <w:widowControl w:val="0"/>
        <w:kinsoku/>
        <w:wordWrap w:val="0"/>
        <w:overflowPunct/>
        <w:topLinePunct w:val="0"/>
        <w:autoSpaceDE/>
        <w:autoSpaceDN/>
        <w:bidi w:val="0"/>
        <w:adjustRightInd w:val="0"/>
        <w:snapToGrid w:val="0"/>
        <w:spacing w:line="500" w:lineRule="exact"/>
        <w:ind w:firstLine="57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56C3BB16">
      <w:pPr>
        <w:keepNext w:val="0"/>
        <w:keepLines w:val="0"/>
        <w:pageBreakBefore w:val="0"/>
        <w:widowControl w:val="0"/>
        <w:kinsoku/>
        <w:wordWrap w:val="0"/>
        <w:overflowPunct/>
        <w:topLinePunct w:val="0"/>
        <w:autoSpaceDE/>
        <w:autoSpaceDN/>
        <w:bidi w:val="0"/>
        <w:adjustRightInd w:val="0"/>
        <w:snapToGrid w:val="0"/>
        <w:spacing w:line="500" w:lineRule="exact"/>
        <w:ind w:firstLine="57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w:t>
      </w:r>
      <w:r>
        <w:rPr>
          <w:rFonts w:hint="eastAsia" w:ascii="宋体" w:hAnsi="宋体" w:eastAsia="宋体" w:cs="宋体"/>
          <w:snapToGrid w:val="0"/>
          <w:color w:val="auto"/>
          <w:kern w:val="0"/>
          <w:highlight w:val="none"/>
          <w:lang w:val="en-US" w:eastAsia="zh-CN"/>
        </w:rPr>
        <w:t>提</w:t>
      </w:r>
      <w:r>
        <w:rPr>
          <w:rFonts w:hint="eastAsia" w:ascii="宋体" w:hAnsi="宋体" w:eastAsia="宋体" w:cs="宋体"/>
          <w:snapToGrid w:val="0"/>
          <w:color w:val="auto"/>
          <w:kern w:val="0"/>
          <w:highlight w:val="none"/>
        </w:rPr>
        <w:t>交的投标文件之日起、到招标文件规定的投标有效期期满前对我方具有约束力。我方随时准备接受你方发出的中标通知书。</w:t>
      </w:r>
    </w:p>
    <w:p w14:paraId="0DB151EC">
      <w:pPr>
        <w:keepNext w:val="0"/>
        <w:keepLines w:val="0"/>
        <w:pageBreakBefore w:val="0"/>
        <w:widowControl w:val="0"/>
        <w:kinsoku/>
        <w:wordWrap w:val="0"/>
        <w:overflowPunct/>
        <w:topLinePunct w:val="0"/>
        <w:autoSpaceDE/>
        <w:autoSpaceDN/>
        <w:bidi w:val="0"/>
        <w:adjustRightInd w:val="0"/>
        <w:snapToGrid w:val="0"/>
        <w:spacing w:line="500" w:lineRule="exact"/>
        <w:ind w:firstLine="57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17B59BD8">
      <w:pPr>
        <w:keepNext w:val="0"/>
        <w:keepLines w:val="0"/>
        <w:pageBreakBefore w:val="0"/>
        <w:widowControl w:val="0"/>
        <w:kinsoku/>
        <w:wordWrap w:val="0"/>
        <w:overflowPunct/>
        <w:topLinePunct w:val="0"/>
        <w:autoSpaceDE/>
        <w:autoSpaceDN/>
        <w:bidi w:val="0"/>
        <w:adjustRightInd w:val="0"/>
        <w:snapToGrid w:val="0"/>
        <w:spacing w:line="500" w:lineRule="exact"/>
        <w:ind w:firstLine="57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5．我方在此承诺，所</w:t>
      </w:r>
      <w:r>
        <w:rPr>
          <w:rFonts w:hint="eastAsia" w:ascii="宋体" w:hAnsi="宋体" w:eastAsia="宋体" w:cs="宋体"/>
          <w:snapToGrid w:val="0"/>
          <w:color w:val="auto"/>
          <w:kern w:val="0"/>
          <w:highlight w:val="none"/>
          <w:lang w:val="en-US" w:eastAsia="zh-CN"/>
        </w:rPr>
        <w:t>提</w:t>
      </w:r>
      <w:r>
        <w:rPr>
          <w:rFonts w:hint="eastAsia" w:ascii="宋体" w:hAnsi="宋体" w:eastAsia="宋体" w:cs="宋体"/>
          <w:snapToGrid w:val="0"/>
          <w:color w:val="auto"/>
          <w:kern w:val="0"/>
          <w:highlight w:val="none"/>
        </w:rPr>
        <w:t>交投标文件的全部内容均为真实、有效、准确的，并愿意承担因我方就此弄虚作假所引起的一切法律后果，同时理解和同意有可能被要求提供更多的资料。</w:t>
      </w:r>
    </w:p>
    <w:p w14:paraId="0D71BD20">
      <w:pPr>
        <w:keepNext w:val="0"/>
        <w:keepLines w:val="0"/>
        <w:pageBreakBefore w:val="0"/>
        <w:widowControl w:val="0"/>
        <w:kinsoku/>
        <w:wordWrap w:val="0"/>
        <w:overflowPunct/>
        <w:topLinePunct w:val="0"/>
        <w:autoSpaceDE/>
        <w:autoSpaceDN/>
        <w:bidi w:val="0"/>
        <w:adjustRightInd w:val="0"/>
        <w:snapToGrid w:val="0"/>
        <w:spacing w:line="500" w:lineRule="exact"/>
        <w:ind w:firstLine="570"/>
        <w:textAlignment w:val="auto"/>
        <w:rPr>
          <w:rFonts w:hint="eastAsia" w:ascii="宋体" w:hAnsi="宋体" w:eastAsia="宋体" w:cs="宋体"/>
          <w:snapToGrid w:val="0"/>
          <w:color w:val="auto"/>
          <w:kern w:val="0"/>
          <w:highlight w:val="none"/>
        </w:rPr>
      </w:pPr>
      <w:bookmarkStart w:id="219" w:name="_Hlt68771070"/>
      <w:bookmarkEnd w:id="219"/>
      <w:r>
        <w:rPr>
          <w:rFonts w:hint="eastAsia" w:ascii="宋体" w:hAnsi="宋体" w:eastAsia="宋体" w:cs="宋体"/>
          <w:snapToGrid w:val="0"/>
          <w:color w:val="auto"/>
          <w:kern w:val="0"/>
          <w:highlight w:val="none"/>
        </w:rPr>
        <w:t>6. 我方理解你方不一定要接纳收到的最低投标总价或任何投标总价的投标人中标，也不要求你方解释我方是否中标的原因。</w:t>
      </w:r>
    </w:p>
    <w:p w14:paraId="5E529765">
      <w:pPr>
        <w:rPr>
          <w:rFonts w:hint="eastAsia" w:ascii="宋体" w:hAnsi="宋体" w:eastAsia="宋体" w:cs="宋体"/>
          <w:color w:val="auto"/>
          <w:highlight w:val="none"/>
        </w:rPr>
      </w:pPr>
    </w:p>
    <w:p w14:paraId="7110D4F7">
      <w:pPr>
        <w:rPr>
          <w:rFonts w:hint="eastAsia" w:ascii="宋体" w:hAnsi="宋体" w:eastAsia="宋体" w:cs="宋体"/>
          <w:color w:val="auto"/>
          <w:highlight w:val="none"/>
        </w:rPr>
      </w:pPr>
    </w:p>
    <w:p w14:paraId="0F633CF0">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30B5DD4C">
      <w:pPr>
        <w:rPr>
          <w:rFonts w:hint="eastAsia" w:ascii="宋体" w:hAnsi="宋体" w:eastAsia="宋体" w:cs="宋体"/>
          <w:color w:val="auto"/>
          <w:highlight w:val="none"/>
        </w:rPr>
      </w:pPr>
    </w:p>
    <w:p w14:paraId="35BD3420">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57BEA464">
      <w:pPr>
        <w:rPr>
          <w:rFonts w:hint="eastAsia" w:ascii="宋体" w:hAnsi="宋体" w:eastAsia="宋体" w:cs="宋体"/>
          <w:color w:val="auto"/>
          <w:highlight w:val="none"/>
        </w:rPr>
      </w:pPr>
    </w:p>
    <w:p w14:paraId="5C0A5029">
      <w:pPr>
        <w:wordWrap w:val="0"/>
        <w:adjustRightInd w:val="0"/>
        <w:snapToGrid w:val="0"/>
        <w:spacing w:line="440" w:lineRule="exact"/>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403EF247">
      <w:pPr>
        <w:wordWrap w:val="0"/>
        <w:adjustRightInd w:val="0"/>
        <w:snapToGrid w:val="0"/>
        <w:spacing w:line="440" w:lineRule="exact"/>
        <w:jc w:val="left"/>
        <w:rPr>
          <w:rFonts w:hint="eastAsia" w:ascii="宋体" w:hAnsi="宋体" w:eastAsia="宋体" w:cs="宋体"/>
          <w:snapToGrid w:val="0"/>
          <w:color w:val="auto"/>
          <w:kern w:val="0"/>
          <w:highlight w:val="none"/>
        </w:rPr>
      </w:pPr>
    </w:p>
    <w:p w14:paraId="65C3D092">
      <w:pPr>
        <w:wordWrap w:val="0"/>
        <w:adjustRightInd w:val="0"/>
        <w:snapToGrid w:val="0"/>
        <w:spacing w:line="440" w:lineRule="exact"/>
        <w:jc w:val="left"/>
        <w:rPr>
          <w:rFonts w:hint="eastAsia" w:ascii="宋体" w:hAnsi="宋体" w:eastAsia="宋体" w:cs="宋体"/>
          <w:snapToGrid w:val="0"/>
          <w:color w:val="auto"/>
          <w:kern w:val="0"/>
          <w:highlight w:val="none"/>
        </w:rPr>
      </w:pPr>
    </w:p>
    <w:p w14:paraId="5EC89381">
      <w:pPr>
        <w:wordWrap w:val="0"/>
        <w:adjustRightInd w:val="0"/>
        <w:snapToGrid w:val="0"/>
        <w:spacing w:line="440" w:lineRule="exact"/>
        <w:jc w:val="left"/>
        <w:rPr>
          <w:rFonts w:hint="eastAsia" w:ascii="宋体" w:hAnsi="宋体" w:eastAsia="宋体" w:cs="宋体"/>
          <w:snapToGrid w:val="0"/>
          <w:color w:val="auto"/>
          <w:kern w:val="0"/>
          <w:highlight w:val="none"/>
        </w:rPr>
      </w:pPr>
    </w:p>
    <w:p w14:paraId="3EB7D648">
      <w:pPr>
        <w:wordWrap w:val="0"/>
        <w:adjustRightInd w:val="0"/>
        <w:snapToGrid w:val="0"/>
        <w:spacing w:line="440" w:lineRule="exact"/>
        <w:jc w:val="left"/>
        <w:rPr>
          <w:rFonts w:hint="eastAsia" w:ascii="宋体" w:hAnsi="宋体" w:eastAsia="宋体" w:cs="宋体"/>
          <w:snapToGrid w:val="0"/>
          <w:color w:val="auto"/>
          <w:kern w:val="0"/>
          <w:highlight w:val="none"/>
        </w:rPr>
      </w:pPr>
    </w:p>
    <w:p w14:paraId="748885AB">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220" w:name="_Toc3024"/>
      <w:r>
        <w:rPr>
          <w:rFonts w:hint="eastAsia" w:ascii="宋体" w:hAnsi="宋体" w:eastAsia="宋体" w:cs="宋体"/>
          <w:b/>
          <w:snapToGrid w:val="0"/>
          <w:color w:val="auto"/>
          <w:highlight w:val="none"/>
          <w:lang w:val="en-US" w:eastAsia="zh-CN"/>
        </w:rPr>
        <w:t>格式三   各项承诺一览表</w:t>
      </w:r>
      <w:bookmarkEnd w:id="220"/>
    </w:p>
    <w:p w14:paraId="6DEEB13F">
      <w:pPr>
        <w:keepNext w:val="0"/>
        <w:keepLines w:val="0"/>
        <w:widowControl w:val="0"/>
        <w:wordWrap w:val="0"/>
        <w:adjustRightInd w:val="0"/>
        <w:snapToGrid w:val="0"/>
        <w:spacing w:before="260" w:after="260" w:line="440" w:lineRule="exact"/>
        <w:ind w:firstLine="0"/>
        <w:jc w:val="center"/>
        <w:outlineLvl w:val="9"/>
        <w:rPr>
          <w:rFonts w:hint="eastAsia" w:ascii="宋体" w:hAnsi="宋体" w:eastAsia="宋体" w:cs="宋体"/>
          <w:b/>
          <w:snapToGrid w:val="0"/>
          <w:color w:val="auto"/>
          <w:sz w:val="30"/>
          <w:highlight w:val="none"/>
        </w:rPr>
      </w:pPr>
      <w:bookmarkStart w:id="221" w:name="_Toc13498"/>
      <w:bookmarkStart w:id="222" w:name="_Toc13350"/>
      <w:bookmarkStart w:id="223" w:name="_Toc28105"/>
      <w:bookmarkStart w:id="224" w:name="_Toc31534"/>
      <w:bookmarkStart w:id="225" w:name="_Toc1049"/>
      <w:bookmarkStart w:id="226" w:name="_Toc10708"/>
      <w:bookmarkStart w:id="227" w:name="_Toc30095"/>
      <w:bookmarkStart w:id="228" w:name="_Toc6264"/>
      <w:bookmarkStart w:id="229" w:name="_Toc30271"/>
      <w:bookmarkStart w:id="230" w:name="_Toc15476"/>
      <w:bookmarkStart w:id="231" w:name="_Toc14698"/>
      <w:bookmarkStart w:id="232" w:name="_Toc22758"/>
      <w:bookmarkStart w:id="233" w:name="_Toc3826"/>
      <w:r>
        <w:rPr>
          <w:rFonts w:hint="eastAsia" w:ascii="宋体" w:hAnsi="宋体" w:eastAsia="宋体" w:cs="宋体"/>
          <w:b/>
          <w:snapToGrid w:val="0"/>
          <w:color w:val="auto"/>
          <w:sz w:val="30"/>
          <w:highlight w:val="none"/>
        </w:rPr>
        <w:t>各项承诺一览表</w:t>
      </w:r>
      <w:bookmarkEnd w:id="221"/>
      <w:bookmarkEnd w:id="222"/>
      <w:bookmarkEnd w:id="223"/>
      <w:bookmarkEnd w:id="224"/>
      <w:bookmarkEnd w:id="225"/>
      <w:bookmarkEnd w:id="226"/>
      <w:bookmarkEnd w:id="227"/>
      <w:bookmarkEnd w:id="228"/>
      <w:bookmarkEnd w:id="229"/>
      <w:bookmarkEnd w:id="230"/>
      <w:bookmarkEnd w:id="231"/>
      <w:bookmarkEnd w:id="232"/>
      <w:bookmarkEnd w:id="233"/>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22D8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2EE857CA">
            <w:pPr>
              <w:pStyle w:val="27"/>
              <w:wordWrap w:val="0"/>
              <w:adjustRightInd w:val="0"/>
              <w:snapToGrid w:val="0"/>
              <w:spacing w:line="380" w:lineRule="exact"/>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671E5713">
            <w:pPr>
              <w:pStyle w:val="27"/>
              <w:wordWrap w:val="0"/>
              <w:adjustRightInd w:val="0"/>
              <w:snapToGrid w:val="0"/>
              <w:spacing w:line="380" w:lineRule="exact"/>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3EA06068">
            <w:pPr>
              <w:pStyle w:val="27"/>
              <w:wordWrap w:val="0"/>
              <w:adjustRightInd w:val="0"/>
              <w:snapToGrid w:val="0"/>
              <w:spacing w:line="380" w:lineRule="exact"/>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4019" w:type="dxa"/>
            <w:noWrap w:val="0"/>
            <w:vAlign w:val="center"/>
          </w:tcPr>
          <w:p w14:paraId="1257BEA1">
            <w:pPr>
              <w:pStyle w:val="27"/>
              <w:wordWrap w:val="0"/>
              <w:adjustRightInd w:val="0"/>
              <w:snapToGrid w:val="0"/>
              <w:spacing w:line="380" w:lineRule="exact"/>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4E25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7660D57F">
            <w:pPr>
              <w:pStyle w:val="27"/>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18BB9329">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3833D03C">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4A046BB7">
            <w:pPr>
              <w:pStyle w:val="28"/>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252F61A6">
            <w:pPr>
              <w:pStyle w:val="28"/>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69A2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5DF0C64F">
            <w:pPr>
              <w:pStyle w:val="27"/>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17C49F93">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5CC2BA98">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7AC7C93E">
            <w:pPr>
              <w:pStyle w:val="28"/>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4019" w:type="dxa"/>
            <w:noWrap w:val="0"/>
            <w:vAlign w:val="center"/>
          </w:tcPr>
          <w:p w14:paraId="2FF04B59">
            <w:pPr>
              <w:pStyle w:val="28"/>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1DE8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3D1F29FC">
            <w:pPr>
              <w:pStyle w:val="27"/>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52431757">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1478BB81">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04834870">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5732BB64">
            <w:pPr>
              <w:pStyle w:val="28"/>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7010C5D1">
            <w:pPr>
              <w:pStyle w:val="28"/>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472F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7A342DFD">
            <w:pPr>
              <w:pStyle w:val="27"/>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78279A85">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40C321AE">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4E88BBE9">
            <w:pPr>
              <w:pStyle w:val="28"/>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63561AF3">
            <w:pPr>
              <w:pStyle w:val="28"/>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854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15C26990">
            <w:pPr>
              <w:pStyle w:val="27"/>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0942D132">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675A3FB3">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6EE35260">
            <w:pPr>
              <w:pStyle w:val="28"/>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w:t>
            </w:r>
            <w:r>
              <w:rPr>
                <w:rFonts w:hint="eastAsia" w:ascii="宋体" w:hAnsi="宋体" w:eastAsia="宋体" w:cs="宋体"/>
                <w:snapToGrid w:val="0"/>
                <w:color w:val="auto"/>
                <w:kern w:val="0"/>
                <w:sz w:val="21"/>
                <w:szCs w:val="21"/>
                <w:highlight w:val="none"/>
                <w:lang w:val="en-US" w:eastAsia="zh-CN"/>
              </w:rPr>
              <w:t>提</w:t>
            </w:r>
            <w:r>
              <w:rPr>
                <w:rFonts w:hint="eastAsia" w:ascii="宋体" w:hAnsi="宋体" w:eastAsia="宋体" w:cs="宋体"/>
                <w:snapToGrid w:val="0"/>
                <w:color w:val="auto"/>
                <w:kern w:val="0"/>
                <w:sz w:val="21"/>
                <w:szCs w:val="21"/>
                <w:highlight w:val="none"/>
              </w:rPr>
              <w:t>交投标文件的全部内容均为真实、有效、准确的。</w:t>
            </w:r>
          </w:p>
        </w:tc>
        <w:tc>
          <w:tcPr>
            <w:tcW w:w="4019" w:type="dxa"/>
            <w:noWrap w:val="0"/>
            <w:vAlign w:val="center"/>
          </w:tcPr>
          <w:p w14:paraId="536BCA46">
            <w:pPr>
              <w:pStyle w:val="28"/>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196E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14:paraId="4615D610">
            <w:pPr>
              <w:pStyle w:val="27"/>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3DC273B9">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4D34DCE0">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742009CE">
            <w:pPr>
              <w:pStyle w:val="28"/>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我方提供完整的电子文件。如果我方成为本项目中标候选人，我方同意并授权招标人在评标结果公示期内公开我方商务标书的全部内容。</w:t>
            </w:r>
          </w:p>
        </w:tc>
        <w:tc>
          <w:tcPr>
            <w:tcW w:w="4019" w:type="dxa"/>
            <w:tcBorders>
              <w:tr2bl w:val="single" w:color="auto" w:sz="4" w:space="0"/>
            </w:tcBorders>
            <w:noWrap w:val="0"/>
            <w:vAlign w:val="center"/>
          </w:tcPr>
          <w:p w14:paraId="117D421B">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p>
        </w:tc>
      </w:tr>
      <w:tr w14:paraId="2E7C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5ADE5533">
            <w:pPr>
              <w:pStyle w:val="27"/>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29C975A5">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5B8F0A11">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384DB61A">
            <w:pPr>
              <w:pStyle w:val="28"/>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2FBD7E68">
            <w:pPr>
              <w:pStyle w:val="28"/>
              <w:wordWrap w:val="0"/>
              <w:adjustRightInd w:val="0"/>
              <w:snapToGrid w:val="0"/>
              <w:spacing w:line="380" w:lineRule="exact"/>
              <w:ind w:firstLine="0" w:firstLineChars="0"/>
              <w:jc w:val="left"/>
              <w:rPr>
                <w:rFonts w:hint="eastAsia" w:ascii="宋体" w:hAnsi="宋体" w:eastAsia="宋体" w:cs="宋体"/>
                <w:snapToGrid w:val="0"/>
                <w:color w:val="auto"/>
                <w:kern w:val="0"/>
                <w:sz w:val="21"/>
                <w:szCs w:val="21"/>
                <w:highlight w:val="none"/>
              </w:rPr>
            </w:pPr>
          </w:p>
          <w:p w14:paraId="22D339EE">
            <w:pPr>
              <w:pStyle w:val="28"/>
              <w:wordWrap w:val="0"/>
              <w:adjustRightInd w:val="0"/>
              <w:snapToGrid w:val="0"/>
              <w:spacing w:line="380" w:lineRule="exact"/>
              <w:ind w:firstLine="0" w:firstLineChars="0"/>
              <w:jc w:val="left"/>
              <w:rPr>
                <w:rFonts w:hint="eastAsia" w:ascii="宋体" w:hAnsi="宋体" w:eastAsia="宋体" w:cs="宋体"/>
                <w:snapToGrid w:val="0"/>
                <w:color w:val="auto"/>
                <w:kern w:val="0"/>
                <w:sz w:val="21"/>
                <w:szCs w:val="21"/>
                <w:highlight w:val="none"/>
              </w:rPr>
            </w:pPr>
          </w:p>
        </w:tc>
      </w:tr>
      <w:tr w14:paraId="1A04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70A98B18">
            <w:pPr>
              <w:pStyle w:val="27"/>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36079246">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64407EC9">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7B6E2EF3">
            <w:pPr>
              <w:pStyle w:val="28"/>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2E3549A5">
            <w:pPr>
              <w:pStyle w:val="28"/>
              <w:wordWrap w:val="0"/>
              <w:adjustRightInd w:val="0"/>
              <w:snapToGrid w:val="0"/>
              <w:spacing w:line="380" w:lineRule="exact"/>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6FF8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130EFA43">
            <w:pPr>
              <w:pStyle w:val="27"/>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41A37703">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56146E46">
            <w:pPr>
              <w:pStyle w:val="28"/>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6DC12B6C">
            <w:pPr>
              <w:pStyle w:val="28"/>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56C73A18">
            <w:pPr>
              <w:pStyle w:val="28"/>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5B6292EA">
      <w:pPr>
        <w:pStyle w:val="27"/>
        <w:wordWrap w:val="0"/>
        <w:adjustRightInd w:val="0"/>
        <w:snapToGrid w:val="0"/>
        <w:spacing w:line="420" w:lineRule="exact"/>
        <w:jc w:val="left"/>
        <w:rPr>
          <w:rFonts w:hint="eastAsia" w:ascii="宋体" w:hAnsi="宋体" w:eastAsia="宋体" w:cs="宋体"/>
          <w:snapToGrid w:val="0"/>
          <w:color w:val="auto"/>
          <w:kern w:val="0"/>
          <w:highlight w:val="none"/>
        </w:rPr>
      </w:pPr>
    </w:p>
    <w:p w14:paraId="79F2EB14">
      <w:pPr>
        <w:pStyle w:val="11"/>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6EBAE5F6">
      <w:pPr>
        <w:pStyle w:val="11"/>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51BFE7FE">
      <w:pPr>
        <w:pStyle w:val="11"/>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3FCBC2E7">
      <w:pPr>
        <w:pStyle w:val="11"/>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0B1FB66D">
      <w:pPr>
        <w:rPr>
          <w:rFonts w:hint="eastAsia" w:ascii="宋体" w:hAnsi="宋体" w:eastAsia="宋体" w:cs="宋体"/>
          <w:color w:val="auto"/>
          <w:highlight w:val="none"/>
        </w:rPr>
      </w:pPr>
    </w:p>
    <w:p w14:paraId="241705C1">
      <w:pPr>
        <w:pStyle w:val="11"/>
        <w:wordWrap w:val="0"/>
        <w:adjustRightInd w:val="0"/>
        <w:snapToGrid w:val="0"/>
        <w:spacing w:line="420" w:lineRule="exact"/>
        <w:ind w:firstLine="480" w:firstLineChars="20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098B5AA3">
      <w:pPr>
        <w:rPr>
          <w:rFonts w:hint="eastAsia" w:ascii="宋体" w:hAnsi="宋体" w:eastAsia="宋体" w:cs="宋体"/>
          <w:color w:val="auto"/>
          <w:highlight w:val="none"/>
        </w:rPr>
      </w:pPr>
    </w:p>
    <w:p w14:paraId="20A6D4B2">
      <w:pPr>
        <w:rPr>
          <w:rFonts w:hint="eastAsia" w:ascii="宋体" w:hAnsi="宋体" w:eastAsia="宋体" w:cs="宋体"/>
          <w:color w:val="auto"/>
          <w:highlight w:val="none"/>
        </w:rPr>
      </w:pPr>
    </w:p>
    <w:p w14:paraId="55F7D557">
      <w:pPr>
        <w:rPr>
          <w:rFonts w:hint="eastAsia" w:ascii="宋体" w:hAnsi="宋体" w:eastAsia="宋体" w:cs="宋体"/>
          <w:color w:val="auto"/>
          <w:highlight w:val="none"/>
        </w:rPr>
      </w:pPr>
    </w:p>
    <w:p w14:paraId="6ED9A6F0">
      <w:pPr>
        <w:rPr>
          <w:rFonts w:hint="eastAsia" w:ascii="宋体" w:hAnsi="宋体" w:eastAsia="宋体" w:cs="宋体"/>
          <w:color w:val="auto"/>
          <w:highlight w:val="none"/>
        </w:rPr>
      </w:pPr>
    </w:p>
    <w:p w14:paraId="57BCC961">
      <w:pPr>
        <w:rPr>
          <w:rFonts w:hint="eastAsia" w:ascii="宋体" w:hAnsi="宋体" w:eastAsia="宋体" w:cs="宋体"/>
          <w:color w:val="auto"/>
          <w:highlight w:val="none"/>
        </w:rPr>
      </w:pPr>
    </w:p>
    <w:p w14:paraId="15A8A2CE">
      <w:pPr>
        <w:rPr>
          <w:rFonts w:hint="eastAsia" w:ascii="宋体" w:hAnsi="宋体" w:eastAsia="宋体" w:cs="宋体"/>
          <w:color w:val="auto"/>
          <w:highlight w:val="none"/>
        </w:rPr>
      </w:pPr>
    </w:p>
    <w:p w14:paraId="5A3E9F10">
      <w:pPr>
        <w:rPr>
          <w:rFonts w:hint="eastAsia" w:ascii="宋体" w:hAnsi="宋体" w:eastAsia="宋体" w:cs="宋体"/>
          <w:color w:val="auto"/>
          <w:highlight w:val="none"/>
        </w:rPr>
      </w:pPr>
    </w:p>
    <w:p w14:paraId="4D9B2733">
      <w:pPr>
        <w:rPr>
          <w:rFonts w:hint="eastAsia" w:ascii="宋体" w:hAnsi="宋体" w:eastAsia="宋体" w:cs="宋体"/>
          <w:color w:val="auto"/>
          <w:highlight w:val="none"/>
        </w:rPr>
      </w:pPr>
    </w:p>
    <w:p w14:paraId="7BD3D8B9">
      <w:pPr>
        <w:rPr>
          <w:rFonts w:hint="eastAsia" w:ascii="宋体" w:hAnsi="宋体" w:eastAsia="宋体" w:cs="宋体"/>
          <w:color w:val="auto"/>
          <w:highlight w:val="none"/>
        </w:rPr>
      </w:pPr>
    </w:p>
    <w:p w14:paraId="0AE254D7">
      <w:pPr>
        <w:rPr>
          <w:rFonts w:hint="eastAsia" w:ascii="宋体" w:hAnsi="宋体" w:eastAsia="宋体" w:cs="宋体"/>
          <w:color w:val="auto"/>
          <w:highlight w:val="none"/>
        </w:rPr>
      </w:pPr>
    </w:p>
    <w:p w14:paraId="1DB516D7">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bCs/>
          <w:snapToGrid w:val="0"/>
          <w:color w:val="auto"/>
          <w:kern w:val="0"/>
          <w:szCs w:val="24"/>
          <w:highlight w:val="none"/>
        </w:rPr>
      </w:pPr>
      <w:bookmarkStart w:id="234" w:name="_Toc18717"/>
      <w:r>
        <w:rPr>
          <w:rFonts w:hint="eastAsia" w:ascii="宋体" w:hAnsi="宋体" w:eastAsia="宋体" w:cs="宋体"/>
          <w:b/>
          <w:snapToGrid w:val="0"/>
          <w:color w:val="auto"/>
          <w:highlight w:val="none"/>
          <w:lang w:val="en-US" w:eastAsia="zh-CN"/>
        </w:rPr>
        <w:t>格式四   授权委托书</w:t>
      </w:r>
      <w:bookmarkEnd w:id="234"/>
    </w:p>
    <w:p w14:paraId="7DAF2C1B">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0F37AA43">
      <w:pPr>
        <w:wordWrap w:val="0"/>
        <w:adjustRightInd w:val="0"/>
        <w:snapToGrid w:val="0"/>
        <w:spacing w:line="440" w:lineRule="exact"/>
        <w:rPr>
          <w:rFonts w:hint="eastAsia" w:ascii="宋体" w:hAnsi="宋体" w:eastAsia="宋体" w:cs="宋体"/>
          <w:snapToGrid w:val="0"/>
          <w:color w:val="auto"/>
          <w:kern w:val="0"/>
          <w:szCs w:val="28"/>
          <w:highlight w:val="none"/>
        </w:rPr>
      </w:pPr>
    </w:p>
    <w:p w14:paraId="2C2892D5">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（项目名称）施工投标文件、签订合同和处理有关事宜，其法律后果由我方承担。</w:t>
      </w:r>
    </w:p>
    <w:p w14:paraId="5EB2EB05">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委托期限：至</w:t>
      </w:r>
      <w:r>
        <w:rPr>
          <w:rFonts w:hint="eastAsia" w:ascii="宋体" w:hAnsi="宋体" w:eastAsia="宋体" w:cs="宋体"/>
          <w:snapToGrid w:val="0"/>
          <w:color w:val="auto"/>
          <w:kern w:val="0"/>
          <w:szCs w:val="21"/>
          <w:highlight w:val="none"/>
          <w:u w:val="single"/>
        </w:rPr>
        <w:t xml:space="preserve">     年   月   日</w:t>
      </w:r>
      <w:r>
        <w:rPr>
          <w:rFonts w:hint="eastAsia" w:ascii="宋体" w:hAnsi="宋体" w:eastAsia="宋体" w:cs="宋体"/>
          <w:i/>
          <w:iCs/>
          <w:snapToGrid w:val="0"/>
          <w:color w:val="auto"/>
          <w:kern w:val="0"/>
          <w:szCs w:val="21"/>
          <w:highlight w:val="none"/>
          <w:u w:val="single"/>
        </w:rPr>
        <w:t>（不得短于招标文件规定的投标有效期）</w:t>
      </w:r>
      <w:r>
        <w:rPr>
          <w:rFonts w:hint="eastAsia" w:ascii="宋体" w:hAnsi="宋体" w:eastAsia="宋体" w:cs="宋体"/>
          <w:snapToGrid w:val="0"/>
          <w:color w:val="auto"/>
          <w:kern w:val="0"/>
          <w:szCs w:val="21"/>
          <w:highlight w:val="none"/>
        </w:rPr>
        <w:t xml:space="preserve"> 。</w:t>
      </w:r>
    </w:p>
    <w:p w14:paraId="6E754F0E">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54773D26">
      <w:pPr>
        <w:rPr>
          <w:rFonts w:hint="eastAsia" w:ascii="宋体" w:hAnsi="宋体" w:eastAsia="宋体" w:cs="宋体"/>
          <w:color w:val="auto"/>
          <w:highlight w:val="none"/>
        </w:rPr>
      </w:pPr>
    </w:p>
    <w:p w14:paraId="07CAA287">
      <w:pPr>
        <w:rPr>
          <w:rFonts w:hint="eastAsia" w:ascii="宋体" w:hAnsi="宋体" w:eastAsia="宋体" w:cs="宋体"/>
          <w:color w:val="auto"/>
          <w:highlight w:val="none"/>
        </w:rPr>
      </w:pPr>
    </w:p>
    <w:p w14:paraId="3A76D8F1">
      <w:pPr>
        <w:rPr>
          <w:rFonts w:hint="eastAsia" w:ascii="宋体" w:hAnsi="宋体" w:eastAsia="宋体" w:cs="宋体"/>
          <w:color w:val="auto"/>
          <w:highlight w:val="none"/>
        </w:rPr>
      </w:pPr>
    </w:p>
    <w:p w14:paraId="79F353D0">
      <w:pPr>
        <w:wordWrap w:val="0"/>
        <w:adjustRightInd w:val="0"/>
        <w:snapToGrid w:val="0"/>
        <w:spacing w:line="440" w:lineRule="exact"/>
        <w:ind w:firstLine="480" w:firstLineChars="200"/>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28226191">
      <w:pPr>
        <w:rPr>
          <w:rFonts w:hint="eastAsia" w:ascii="宋体" w:hAnsi="宋体" w:eastAsia="宋体" w:cs="宋体"/>
          <w:color w:val="auto"/>
          <w:highlight w:val="none"/>
        </w:rPr>
      </w:pPr>
    </w:p>
    <w:p w14:paraId="37F4354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797C2652">
      <w:pPr>
        <w:rPr>
          <w:rFonts w:hint="eastAsia" w:ascii="宋体" w:hAnsi="宋体" w:eastAsia="宋体" w:cs="宋体"/>
          <w:color w:val="auto"/>
          <w:highlight w:val="none"/>
        </w:rPr>
      </w:pPr>
    </w:p>
    <w:p w14:paraId="24ED8F1E">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lang w:val="en-US" w:eastAsia="zh-CN"/>
        </w:rPr>
        <w:t xml:space="preserve"> </w:t>
      </w:r>
      <w:r>
        <w:rPr>
          <w:rFonts w:hint="eastAsia" w:ascii="宋体" w:hAnsi="宋体" w:eastAsia="宋体" w:cs="宋体"/>
          <w:snapToGrid w:val="0"/>
          <w:color w:val="auto"/>
          <w:kern w:val="0"/>
          <w:szCs w:val="21"/>
          <w:highlight w:val="none"/>
        </w:rPr>
        <w:t>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2DB36D6E">
      <w:pPr>
        <w:rPr>
          <w:rFonts w:hint="eastAsia" w:ascii="宋体" w:hAnsi="宋体" w:eastAsia="宋体" w:cs="宋体"/>
          <w:color w:val="auto"/>
          <w:highlight w:val="none"/>
        </w:rPr>
      </w:pPr>
    </w:p>
    <w:p w14:paraId="1D71BD99">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2DF7266">
      <w:pPr>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1466850</wp:posOffset>
                </wp:positionH>
                <wp:positionV relativeFrom="paragraph">
                  <wp:posOffset>33020</wp:posOffset>
                </wp:positionV>
                <wp:extent cx="3529330" cy="2505075"/>
                <wp:effectExtent l="4445" t="4445" r="9525" b="5080"/>
                <wp:wrapNone/>
                <wp:docPr id="3" name="流程图: 可选过程 3"/>
                <wp:cNvGraphicFramePr/>
                <a:graphic xmlns:a="http://schemas.openxmlformats.org/drawingml/2006/main">
                  <a:graphicData uri="http://schemas.microsoft.com/office/word/2010/wordprocessingShape">
                    <wps:wsp>
                      <wps:cNvSpPr/>
                      <wps:spPr>
                        <a:xfrm>
                          <a:off x="0" y="0"/>
                          <a:ext cx="3529330" cy="25050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023C484">
                            <w:pPr>
                              <w:jc w:val="center"/>
                              <w:rPr>
                                <w:rFonts w:hint="eastAsia"/>
                                <w:szCs w:val="21"/>
                              </w:rPr>
                            </w:pPr>
                          </w:p>
                          <w:p w14:paraId="45AC5F63">
                            <w:pPr>
                              <w:jc w:val="center"/>
                              <w:rPr>
                                <w:rFonts w:hint="eastAsia"/>
                                <w:szCs w:val="21"/>
                              </w:rPr>
                            </w:pPr>
                          </w:p>
                          <w:p w14:paraId="36CF07E1">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wps:txbx>
                      <wps:bodyPr upright="1"/>
                    </wps:wsp>
                  </a:graphicData>
                </a:graphic>
              </wp:anchor>
            </w:drawing>
          </mc:Choice>
          <mc:Fallback>
            <w:pict>
              <v:shape id="_x0000_s1026" o:spid="_x0000_s1026" o:spt="176" type="#_x0000_t176" style="position:absolute;left:0pt;margin-left:115.5pt;margin-top:2.6pt;height:197.25pt;width:277.9pt;z-index:251660288;mso-width-relative:page;mso-height-relative:page;" fillcolor="#FFFFFF" filled="t" stroked="t" coordsize="21600,21600" o:gfxdata="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inSeNcAAAAJAQAADwAAAAAAAAABACAAAAAiAAAAZHJzL2Rvd25yZXYueG1sUEsBAhQAFAAA&#10;AAgAh07iQEo4p6spAgAAUAQAAA4AAAAAAAAAAQAgAAAAJgEAAGRycy9lMm9Eb2MueG1sUEsFBgAA&#10;AAAGAAYAWQEAAMEFAAAAAA==&#10;">
                <v:fill on="t" focussize="0,0"/>
                <v:stroke color="#000000" joinstyle="miter"/>
                <v:imagedata o:title=""/>
                <o:lock v:ext="edit" aspectratio="f"/>
                <v:textbox>
                  <w:txbxContent>
                    <w:p w14:paraId="2023C484">
                      <w:pPr>
                        <w:jc w:val="center"/>
                        <w:rPr>
                          <w:rFonts w:hint="eastAsia"/>
                          <w:szCs w:val="21"/>
                        </w:rPr>
                      </w:pPr>
                    </w:p>
                    <w:p w14:paraId="45AC5F63">
                      <w:pPr>
                        <w:jc w:val="center"/>
                        <w:rPr>
                          <w:rFonts w:hint="eastAsia"/>
                          <w:szCs w:val="21"/>
                        </w:rPr>
                      </w:pPr>
                    </w:p>
                    <w:p w14:paraId="36CF07E1">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v:textbox>
              </v:shape>
            </w:pict>
          </mc:Fallback>
        </mc:AlternateContent>
      </w:r>
    </w:p>
    <w:p w14:paraId="0C594A8A">
      <w:pPr>
        <w:rPr>
          <w:rFonts w:hint="eastAsia" w:ascii="宋体" w:hAnsi="宋体" w:eastAsia="宋体" w:cs="宋体"/>
          <w:color w:val="auto"/>
          <w:highlight w:val="none"/>
        </w:rPr>
      </w:pPr>
    </w:p>
    <w:p w14:paraId="57099D71">
      <w:pPr>
        <w:rPr>
          <w:rFonts w:hint="eastAsia" w:ascii="宋体" w:hAnsi="宋体" w:eastAsia="宋体" w:cs="宋体"/>
          <w:color w:val="auto"/>
          <w:highlight w:val="none"/>
        </w:rPr>
      </w:pPr>
    </w:p>
    <w:p w14:paraId="1470ADEE">
      <w:pPr>
        <w:rPr>
          <w:rFonts w:hint="eastAsia" w:ascii="宋体" w:hAnsi="宋体" w:eastAsia="宋体" w:cs="宋体"/>
          <w:color w:val="auto"/>
          <w:highlight w:val="none"/>
        </w:rPr>
      </w:pPr>
    </w:p>
    <w:p w14:paraId="162F4C5F">
      <w:pPr>
        <w:rPr>
          <w:rFonts w:hint="eastAsia" w:ascii="宋体" w:hAnsi="宋体" w:eastAsia="宋体" w:cs="宋体"/>
          <w:color w:val="auto"/>
          <w:highlight w:val="none"/>
        </w:rPr>
      </w:pPr>
    </w:p>
    <w:p w14:paraId="1E62C521">
      <w:pPr>
        <w:rPr>
          <w:rFonts w:hint="eastAsia" w:ascii="宋体" w:hAnsi="宋体" w:eastAsia="宋体" w:cs="宋体"/>
          <w:color w:val="auto"/>
          <w:highlight w:val="none"/>
        </w:rPr>
      </w:pPr>
    </w:p>
    <w:p w14:paraId="77E7B0C9">
      <w:pPr>
        <w:rPr>
          <w:rFonts w:hint="eastAsia" w:ascii="宋体" w:hAnsi="宋体" w:eastAsia="宋体" w:cs="宋体"/>
          <w:color w:val="auto"/>
          <w:highlight w:val="none"/>
        </w:rPr>
      </w:pPr>
    </w:p>
    <w:p w14:paraId="3B4E7C80">
      <w:pPr>
        <w:rPr>
          <w:rFonts w:hint="eastAsia" w:ascii="宋体" w:hAnsi="宋体" w:eastAsia="宋体" w:cs="宋体"/>
          <w:color w:val="auto"/>
          <w:highlight w:val="none"/>
        </w:rPr>
      </w:pPr>
    </w:p>
    <w:p w14:paraId="47F3867B">
      <w:pPr>
        <w:rPr>
          <w:rFonts w:hint="eastAsia" w:ascii="宋体" w:hAnsi="宋体" w:eastAsia="宋体" w:cs="宋体"/>
          <w:color w:val="auto"/>
          <w:highlight w:val="none"/>
        </w:rPr>
      </w:pPr>
    </w:p>
    <w:p w14:paraId="19CC2948">
      <w:pPr>
        <w:rPr>
          <w:rFonts w:hint="eastAsia" w:ascii="宋体" w:hAnsi="宋体" w:eastAsia="宋体" w:cs="宋体"/>
          <w:color w:val="auto"/>
          <w:highlight w:val="none"/>
        </w:rPr>
      </w:pPr>
    </w:p>
    <w:p w14:paraId="2F9125E2">
      <w:pPr>
        <w:rPr>
          <w:rFonts w:hint="eastAsia" w:ascii="宋体" w:hAnsi="宋体" w:eastAsia="宋体" w:cs="宋体"/>
          <w:color w:val="auto"/>
          <w:highlight w:val="none"/>
        </w:rPr>
      </w:pPr>
    </w:p>
    <w:p w14:paraId="66219E1D">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kern w:val="0"/>
          <w:highlight w:val="none"/>
        </w:rPr>
      </w:pPr>
      <w:bookmarkStart w:id="235" w:name="_Toc4359"/>
      <w:r>
        <w:rPr>
          <w:rFonts w:hint="eastAsia" w:ascii="宋体" w:hAnsi="宋体" w:eastAsia="宋体" w:cs="宋体"/>
          <w:b/>
          <w:snapToGrid w:val="0"/>
          <w:color w:val="auto"/>
          <w:highlight w:val="none"/>
          <w:lang w:val="en-US" w:eastAsia="zh-CN"/>
        </w:rPr>
        <w:t>格式五   法定代表人身份证明</w:t>
      </w:r>
      <w:bookmarkEnd w:id="235"/>
    </w:p>
    <w:p w14:paraId="785E1DA3">
      <w:pPr>
        <w:wordWrap w:val="0"/>
        <w:adjustRightInd w:val="0"/>
        <w:snapToGrid w:val="0"/>
        <w:spacing w:before="260" w:after="260"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b/>
          <w:snapToGrid w:val="0"/>
          <w:color w:val="auto"/>
          <w:kern w:val="0"/>
          <w:sz w:val="30"/>
          <w:highlight w:val="none"/>
        </w:rPr>
        <w:t>法定代表人身份证明</w:t>
      </w:r>
    </w:p>
    <w:p w14:paraId="3114BFE0">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5AED832C">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2586B6B3">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6BEB3914">
      <w:pPr>
        <w:wordWrap w:val="0"/>
        <w:adjustRightInd w:val="0"/>
        <w:snapToGrid w:val="0"/>
        <w:spacing w:line="440" w:lineRule="exact"/>
        <w:rPr>
          <w:rFonts w:hint="eastAsia" w:ascii="宋体" w:hAnsi="宋体" w:eastAsia="宋体" w:cs="宋体"/>
          <w:snapToGrid w:val="0"/>
          <w:color w:val="auto"/>
          <w:kern w:val="0"/>
          <w:szCs w:val="21"/>
          <w:highlight w:val="none"/>
        </w:rPr>
      </w:pPr>
    </w:p>
    <w:p w14:paraId="1A3B9700">
      <w:pPr>
        <w:wordWrap w:val="0"/>
        <w:adjustRightInd w:val="0"/>
        <w:snapToGrid w:val="0"/>
        <w:spacing w:line="440" w:lineRule="exact"/>
        <w:rPr>
          <w:rFonts w:hint="eastAsia" w:ascii="宋体" w:hAnsi="宋体" w:eastAsia="宋体" w:cs="宋体"/>
          <w:snapToGrid w:val="0"/>
          <w:color w:val="auto"/>
          <w:kern w:val="0"/>
          <w:szCs w:val="21"/>
          <w:highlight w:val="none"/>
        </w:rPr>
      </w:pPr>
    </w:p>
    <w:p w14:paraId="1CDF92CA">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51DB905E">
      <w:pPr>
        <w:rPr>
          <w:rFonts w:hint="eastAsia" w:ascii="宋体" w:hAnsi="宋体" w:eastAsia="宋体" w:cs="宋体"/>
          <w:color w:val="auto"/>
          <w:highlight w:val="none"/>
        </w:rPr>
      </w:pPr>
    </w:p>
    <w:p w14:paraId="7262ECB9">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515C1841">
      <w:pPr>
        <w:wordWrap w:val="0"/>
        <w:adjustRightInd w:val="0"/>
        <w:snapToGrid w:val="0"/>
        <w:spacing w:line="440" w:lineRule="exact"/>
        <w:jc w:val="both"/>
        <w:rPr>
          <w:rFonts w:hint="eastAsia" w:ascii="宋体" w:hAnsi="宋体" w:eastAsia="宋体" w:cs="宋体"/>
          <w:snapToGrid w:val="0"/>
          <w:color w:val="auto"/>
          <w:kern w:val="0"/>
          <w:szCs w:val="21"/>
          <w:highlight w:val="none"/>
        </w:rPr>
      </w:pPr>
    </w:p>
    <w:p w14:paraId="00DBA194">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788156B5">
      <w:pPr>
        <w:rPr>
          <w:rFonts w:hint="eastAsia" w:ascii="宋体" w:hAnsi="宋体" w:eastAsia="宋体" w:cs="宋体"/>
          <w:color w:val="auto"/>
          <w:highlight w:val="none"/>
        </w:rPr>
      </w:pPr>
    </w:p>
    <w:p w14:paraId="2A40B93E">
      <w:pPr>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1249045</wp:posOffset>
                </wp:positionH>
                <wp:positionV relativeFrom="paragraph">
                  <wp:posOffset>84455</wp:posOffset>
                </wp:positionV>
                <wp:extent cx="3428365" cy="2378075"/>
                <wp:effectExtent l="4445" t="4445" r="15240" b="17780"/>
                <wp:wrapNone/>
                <wp:docPr id="4" name="流程图: 可选过程 4"/>
                <wp:cNvGraphicFramePr/>
                <a:graphic xmlns:a="http://schemas.openxmlformats.org/drawingml/2006/main">
                  <a:graphicData uri="http://schemas.microsoft.com/office/word/2010/wordprocessingShape">
                    <wps:wsp>
                      <wps:cNvSpPr/>
                      <wps:spPr>
                        <a:xfrm>
                          <a:off x="0" y="0"/>
                          <a:ext cx="3428365" cy="23780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5D89667">
                            <w:pPr>
                              <w:jc w:val="center"/>
                              <w:rPr>
                                <w:rFonts w:hint="eastAsia"/>
                                <w:szCs w:val="21"/>
                              </w:rPr>
                            </w:pPr>
                          </w:p>
                          <w:p w14:paraId="6DFE6E7A">
                            <w:pPr>
                              <w:jc w:val="center"/>
                              <w:rPr>
                                <w:rFonts w:hint="eastAsia"/>
                                <w:szCs w:val="21"/>
                              </w:rPr>
                            </w:pPr>
                          </w:p>
                          <w:p w14:paraId="393D2AA2">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wps:txbx>
                      <wps:bodyPr upright="1"/>
                    </wps:wsp>
                  </a:graphicData>
                </a:graphic>
              </wp:anchor>
            </w:drawing>
          </mc:Choice>
          <mc:Fallback>
            <w:pict>
              <v:shape id="_x0000_s1026" o:spid="_x0000_s1026" o:spt="176" type="#_x0000_t176" style="position:absolute;left:0pt;margin-left:98.35pt;margin-top:6.65pt;height:187.25pt;width:269.95pt;z-index:251659264;mso-width-relative:page;mso-height-relative:page;" fillcolor="#FFFFFF" filled="t" stroked="t" coordsize="21600,21600" o:gfxdata="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HRVItcAAAAKAQAADwAAAAAAAAABACAAAAAiAAAAZHJzL2Rvd25yZXYueG1sUEsBAhQAFAAA&#10;AAgAh07iQEuIM3ApAgAAUAQAAA4AAAAAAAAAAQAgAAAAJgEAAGRycy9lMm9Eb2MueG1sUEsFBgAA&#10;AAAGAAYAWQEAAMEFAAAAAA==&#10;">
                <v:fill on="t" focussize="0,0"/>
                <v:stroke color="#000000" joinstyle="miter"/>
                <v:imagedata o:title=""/>
                <o:lock v:ext="edit" aspectratio="f"/>
                <v:textbox>
                  <w:txbxContent>
                    <w:p w14:paraId="65D89667">
                      <w:pPr>
                        <w:jc w:val="center"/>
                        <w:rPr>
                          <w:rFonts w:hint="eastAsia"/>
                          <w:szCs w:val="21"/>
                        </w:rPr>
                      </w:pPr>
                    </w:p>
                    <w:p w14:paraId="6DFE6E7A">
                      <w:pPr>
                        <w:jc w:val="center"/>
                        <w:rPr>
                          <w:rFonts w:hint="eastAsia"/>
                          <w:szCs w:val="21"/>
                        </w:rPr>
                      </w:pPr>
                    </w:p>
                    <w:p w14:paraId="393D2AA2">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v:textbox>
              </v:shape>
            </w:pict>
          </mc:Fallback>
        </mc:AlternateContent>
      </w:r>
    </w:p>
    <w:p w14:paraId="5375FA6D">
      <w:pPr>
        <w:rPr>
          <w:rFonts w:hint="eastAsia" w:ascii="宋体" w:hAnsi="宋体" w:eastAsia="宋体" w:cs="宋体"/>
          <w:color w:val="auto"/>
          <w:highlight w:val="none"/>
        </w:rPr>
      </w:pPr>
    </w:p>
    <w:p w14:paraId="06CED94C">
      <w:pPr>
        <w:rPr>
          <w:rFonts w:hint="eastAsia" w:ascii="宋体" w:hAnsi="宋体" w:eastAsia="宋体" w:cs="宋体"/>
          <w:color w:val="auto"/>
          <w:highlight w:val="none"/>
        </w:rPr>
      </w:pPr>
    </w:p>
    <w:p w14:paraId="429617A7">
      <w:pPr>
        <w:rPr>
          <w:rFonts w:hint="eastAsia" w:ascii="宋体" w:hAnsi="宋体" w:eastAsia="宋体" w:cs="宋体"/>
          <w:color w:val="auto"/>
          <w:highlight w:val="none"/>
        </w:rPr>
      </w:pPr>
    </w:p>
    <w:p w14:paraId="7230EF10">
      <w:pPr>
        <w:rPr>
          <w:rFonts w:hint="eastAsia" w:ascii="宋体" w:hAnsi="宋体" w:eastAsia="宋体" w:cs="宋体"/>
          <w:color w:val="auto"/>
          <w:highlight w:val="none"/>
        </w:rPr>
      </w:pPr>
    </w:p>
    <w:p w14:paraId="3E19EC80">
      <w:pPr>
        <w:rPr>
          <w:rFonts w:hint="eastAsia" w:ascii="宋体" w:hAnsi="宋体" w:eastAsia="宋体" w:cs="宋体"/>
          <w:color w:val="auto"/>
          <w:highlight w:val="none"/>
        </w:rPr>
      </w:pPr>
    </w:p>
    <w:p w14:paraId="1D77D945">
      <w:pPr>
        <w:rPr>
          <w:rFonts w:hint="eastAsia" w:ascii="宋体" w:hAnsi="宋体" w:eastAsia="宋体" w:cs="宋体"/>
          <w:color w:val="auto"/>
          <w:highlight w:val="none"/>
        </w:rPr>
      </w:pPr>
    </w:p>
    <w:p w14:paraId="1406C728">
      <w:pPr>
        <w:rPr>
          <w:rFonts w:hint="eastAsia" w:ascii="宋体" w:hAnsi="宋体" w:eastAsia="宋体" w:cs="宋体"/>
          <w:color w:val="auto"/>
          <w:highlight w:val="none"/>
        </w:rPr>
      </w:pPr>
    </w:p>
    <w:p w14:paraId="732DFE5A">
      <w:pPr>
        <w:rPr>
          <w:rFonts w:hint="eastAsia" w:ascii="宋体" w:hAnsi="宋体" w:eastAsia="宋体" w:cs="宋体"/>
          <w:color w:val="auto"/>
          <w:highlight w:val="none"/>
        </w:rPr>
      </w:pPr>
    </w:p>
    <w:p w14:paraId="36D9D005">
      <w:pPr>
        <w:rPr>
          <w:rFonts w:hint="eastAsia" w:ascii="宋体" w:hAnsi="宋体" w:eastAsia="宋体" w:cs="宋体"/>
          <w:color w:val="auto"/>
          <w:highlight w:val="none"/>
        </w:rPr>
      </w:pPr>
    </w:p>
    <w:p w14:paraId="5EB3FE16">
      <w:pPr>
        <w:rPr>
          <w:rFonts w:hint="eastAsia" w:ascii="宋体" w:hAnsi="宋体" w:eastAsia="宋体" w:cs="宋体"/>
          <w:color w:val="auto"/>
          <w:highlight w:val="none"/>
        </w:rPr>
      </w:pPr>
    </w:p>
    <w:p w14:paraId="2947C418">
      <w:pPr>
        <w:rPr>
          <w:rFonts w:hint="eastAsia" w:ascii="宋体" w:hAnsi="宋体" w:eastAsia="宋体" w:cs="宋体"/>
          <w:color w:val="auto"/>
          <w:highlight w:val="none"/>
        </w:rPr>
      </w:pPr>
    </w:p>
    <w:p w14:paraId="000E02C3">
      <w:pPr>
        <w:rPr>
          <w:rFonts w:hint="eastAsia" w:ascii="宋体" w:hAnsi="宋体" w:eastAsia="宋体" w:cs="宋体"/>
          <w:color w:val="auto"/>
          <w:highlight w:val="none"/>
        </w:rPr>
      </w:pPr>
    </w:p>
    <w:p w14:paraId="5E170C08">
      <w:pPr>
        <w:rPr>
          <w:rFonts w:hint="eastAsia" w:ascii="宋体" w:hAnsi="宋体" w:eastAsia="宋体" w:cs="宋体"/>
          <w:color w:val="auto"/>
          <w:highlight w:val="none"/>
        </w:rPr>
      </w:pPr>
    </w:p>
    <w:p w14:paraId="5925DD89">
      <w:pPr>
        <w:rPr>
          <w:rFonts w:hint="eastAsia" w:ascii="宋体" w:hAnsi="宋体" w:eastAsia="宋体" w:cs="宋体"/>
          <w:color w:val="auto"/>
          <w:highlight w:val="none"/>
        </w:rPr>
      </w:pPr>
    </w:p>
    <w:p w14:paraId="53D7C0CB">
      <w:pPr>
        <w:rPr>
          <w:rFonts w:hint="eastAsia" w:ascii="宋体" w:hAnsi="宋体" w:eastAsia="宋体" w:cs="宋体"/>
          <w:color w:val="auto"/>
          <w:highlight w:val="none"/>
        </w:rPr>
      </w:pPr>
    </w:p>
    <w:p w14:paraId="0946795E">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236" w:name="_Toc22532"/>
      <w:r>
        <w:rPr>
          <w:rFonts w:hint="eastAsia" w:ascii="宋体" w:hAnsi="宋体" w:eastAsia="宋体" w:cs="宋体"/>
          <w:b/>
          <w:snapToGrid w:val="0"/>
          <w:color w:val="auto"/>
          <w:highlight w:val="none"/>
          <w:lang w:val="en-US" w:eastAsia="zh-CN"/>
        </w:rPr>
        <w:t>格式六   投标人基本情况表</w:t>
      </w:r>
      <w:bookmarkEnd w:id="236"/>
    </w:p>
    <w:p w14:paraId="275C8F0F">
      <w:pPr>
        <w:pStyle w:val="26"/>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898"/>
        <w:gridCol w:w="1691"/>
        <w:gridCol w:w="805"/>
        <w:gridCol w:w="285"/>
        <w:gridCol w:w="963"/>
        <w:gridCol w:w="259"/>
        <w:gridCol w:w="710"/>
        <w:gridCol w:w="1421"/>
      </w:tblGrid>
      <w:tr w14:paraId="4F835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jc w:val="center"/>
        </w:trPr>
        <w:tc>
          <w:tcPr>
            <w:tcW w:w="1487" w:type="dxa"/>
            <w:noWrap w:val="0"/>
            <w:vAlign w:val="center"/>
          </w:tcPr>
          <w:p w14:paraId="594A9E95">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投标人名称</w:t>
            </w:r>
          </w:p>
        </w:tc>
        <w:tc>
          <w:tcPr>
            <w:tcW w:w="7032" w:type="dxa"/>
            <w:gridSpan w:val="8"/>
            <w:noWrap w:val="0"/>
            <w:vAlign w:val="center"/>
          </w:tcPr>
          <w:p w14:paraId="1357E93A">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5A89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487" w:type="dxa"/>
            <w:noWrap w:val="0"/>
            <w:vAlign w:val="center"/>
          </w:tcPr>
          <w:p w14:paraId="6F11A45C">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注册地址</w:t>
            </w:r>
          </w:p>
        </w:tc>
        <w:tc>
          <w:tcPr>
            <w:tcW w:w="3394" w:type="dxa"/>
            <w:gridSpan w:val="3"/>
            <w:noWrap w:val="0"/>
            <w:vAlign w:val="center"/>
          </w:tcPr>
          <w:p w14:paraId="31C49629">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8" w:type="dxa"/>
            <w:gridSpan w:val="2"/>
            <w:noWrap w:val="0"/>
            <w:vAlign w:val="center"/>
          </w:tcPr>
          <w:p w14:paraId="49E532E7">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邮政编码</w:t>
            </w:r>
          </w:p>
        </w:tc>
        <w:tc>
          <w:tcPr>
            <w:tcW w:w="2390" w:type="dxa"/>
            <w:gridSpan w:val="3"/>
            <w:noWrap w:val="0"/>
            <w:vAlign w:val="center"/>
          </w:tcPr>
          <w:p w14:paraId="2ADC8DF7">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9FF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487" w:type="dxa"/>
            <w:vMerge w:val="restart"/>
            <w:noWrap w:val="0"/>
            <w:vAlign w:val="center"/>
          </w:tcPr>
          <w:p w14:paraId="0598ECA4">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联系方式</w:t>
            </w:r>
          </w:p>
        </w:tc>
        <w:tc>
          <w:tcPr>
            <w:tcW w:w="898" w:type="dxa"/>
            <w:noWrap w:val="0"/>
            <w:vAlign w:val="center"/>
          </w:tcPr>
          <w:p w14:paraId="788EB306">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联系人</w:t>
            </w:r>
          </w:p>
        </w:tc>
        <w:tc>
          <w:tcPr>
            <w:tcW w:w="2496" w:type="dxa"/>
            <w:gridSpan w:val="2"/>
            <w:noWrap w:val="0"/>
            <w:vAlign w:val="center"/>
          </w:tcPr>
          <w:p w14:paraId="17EA74B1">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8" w:type="dxa"/>
            <w:gridSpan w:val="2"/>
            <w:noWrap w:val="0"/>
            <w:vAlign w:val="center"/>
          </w:tcPr>
          <w:p w14:paraId="2D589DCA">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  话</w:t>
            </w:r>
          </w:p>
        </w:tc>
        <w:tc>
          <w:tcPr>
            <w:tcW w:w="2390" w:type="dxa"/>
            <w:gridSpan w:val="3"/>
            <w:noWrap w:val="0"/>
            <w:vAlign w:val="center"/>
          </w:tcPr>
          <w:p w14:paraId="36009E83">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09B2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487" w:type="dxa"/>
            <w:vMerge w:val="continue"/>
            <w:noWrap w:val="0"/>
            <w:vAlign w:val="center"/>
          </w:tcPr>
          <w:p w14:paraId="4D27FB68">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898" w:type="dxa"/>
            <w:noWrap w:val="0"/>
            <w:vAlign w:val="center"/>
          </w:tcPr>
          <w:p w14:paraId="50BC6359">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传  真</w:t>
            </w:r>
          </w:p>
        </w:tc>
        <w:tc>
          <w:tcPr>
            <w:tcW w:w="2496" w:type="dxa"/>
            <w:gridSpan w:val="2"/>
            <w:noWrap w:val="0"/>
            <w:vAlign w:val="center"/>
          </w:tcPr>
          <w:p w14:paraId="6B224287">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8" w:type="dxa"/>
            <w:gridSpan w:val="2"/>
            <w:noWrap w:val="0"/>
            <w:vAlign w:val="center"/>
          </w:tcPr>
          <w:p w14:paraId="5C1E8B40">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电子邮箱</w:t>
            </w:r>
          </w:p>
        </w:tc>
        <w:tc>
          <w:tcPr>
            <w:tcW w:w="2390" w:type="dxa"/>
            <w:gridSpan w:val="3"/>
            <w:noWrap w:val="0"/>
            <w:vAlign w:val="center"/>
          </w:tcPr>
          <w:p w14:paraId="0AB3B3A2">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5F35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1487" w:type="dxa"/>
            <w:noWrap w:val="0"/>
            <w:vAlign w:val="center"/>
          </w:tcPr>
          <w:p w14:paraId="063BEDC1">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单位性质</w:t>
            </w:r>
          </w:p>
        </w:tc>
        <w:tc>
          <w:tcPr>
            <w:tcW w:w="7032" w:type="dxa"/>
            <w:gridSpan w:val="8"/>
            <w:noWrap w:val="0"/>
            <w:vAlign w:val="center"/>
          </w:tcPr>
          <w:p w14:paraId="1CE6965D">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5788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jc w:val="center"/>
        </w:trPr>
        <w:tc>
          <w:tcPr>
            <w:tcW w:w="1487" w:type="dxa"/>
            <w:noWrap w:val="0"/>
            <w:vAlign w:val="center"/>
          </w:tcPr>
          <w:p w14:paraId="169EC5B0">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法定代表人</w:t>
            </w:r>
          </w:p>
        </w:tc>
        <w:tc>
          <w:tcPr>
            <w:tcW w:w="898" w:type="dxa"/>
            <w:noWrap w:val="0"/>
            <w:vAlign w:val="center"/>
          </w:tcPr>
          <w:p w14:paraId="1B69D7C2">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姓名</w:t>
            </w:r>
          </w:p>
        </w:tc>
        <w:tc>
          <w:tcPr>
            <w:tcW w:w="1691" w:type="dxa"/>
            <w:noWrap w:val="0"/>
            <w:vAlign w:val="center"/>
          </w:tcPr>
          <w:p w14:paraId="2CD50AB1">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90" w:type="dxa"/>
            <w:gridSpan w:val="2"/>
            <w:noWrap w:val="0"/>
            <w:vAlign w:val="center"/>
          </w:tcPr>
          <w:p w14:paraId="0386EF66">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技术职称</w:t>
            </w:r>
          </w:p>
        </w:tc>
        <w:tc>
          <w:tcPr>
            <w:tcW w:w="1222" w:type="dxa"/>
            <w:gridSpan w:val="2"/>
            <w:noWrap w:val="0"/>
            <w:vAlign w:val="center"/>
          </w:tcPr>
          <w:p w14:paraId="539C26DE">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710" w:type="dxa"/>
            <w:noWrap w:val="0"/>
            <w:vAlign w:val="center"/>
          </w:tcPr>
          <w:p w14:paraId="10A95454">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电话</w:t>
            </w:r>
          </w:p>
        </w:tc>
        <w:tc>
          <w:tcPr>
            <w:tcW w:w="1421" w:type="dxa"/>
            <w:noWrap w:val="0"/>
            <w:vAlign w:val="center"/>
          </w:tcPr>
          <w:p w14:paraId="28B0C3E5">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5F40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exact"/>
          <w:jc w:val="center"/>
        </w:trPr>
        <w:tc>
          <w:tcPr>
            <w:tcW w:w="1487" w:type="dxa"/>
            <w:noWrap w:val="0"/>
            <w:vAlign w:val="center"/>
          </w:tcPr>
          <w:p w14:paraId="7E9A2B67">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成立时间</w:t>
            </w:r>
          </w:p>
        </w:tc>
        <w:tc>
          <w:tcPr>
            <w:tcW w:w="2589" w:type="dxa"/>
            <w:gridSpan w:val="2"/>
            <w:noWrap w:val="0"/>
            <w:vAlign w:val="center"/>
          </w:tcPr>
          <w:p w14:paraId="77216BB1">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4443" w:type="dxa"/>
            <w:gridSpan w:val="6"/>
            <w:noWrap w:val="0"/>
            <w:vAlign w:val="center"/>
          </w:tcPr>
          <w:p w14:paraId="7FB8CD55">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员工总人数（个）：</w:t>
            </w:r>
          </w:p>
        </w:tc>
      </w:tr>
      <w:tr w14:paraId="74EA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exact"/>
          <w:jc w:val="center"/>
        </w:trPr>
        <w:tc>
          <w:tcPr>
            <w:tcW w:w="1487" w:type="dxa"/>
            <w:noWrap w:val="0"/>
            <w:vAlign w:val="center"/>
          </w:tcPr>
          <w:p w14:paraId="7DBE0F95">
            <w:pPr>
              <w:pStyle w:val="29"/>
              <w:wordWrap w:val="0"/>
              <w:adjustRightInd w:val="0"/>
              <w:snapToGrid w:val="0"/>
              <w:spacing w:line="24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企业资质</w:t>
            </w:r>
          </w:p>
          <w:p w14:paraId="462B9B6A">
            <w:pPr>
              <w:pStyle w:val="29"/>
              <w:wordWrap w:val="0"/>
              <w:adjustRightInd w:val="0"/>
              <w:snapToGrid w:val="0"/>
              <w:spacing w:line="24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类型和等级</w:t>
            </w:r>
          </w:p>
        </w:tc>
        <w:tc>
          <w:tcPr>
            <w:tcW w:w="2589" w:type="dxa"/>
            <w:gridSpan w:val="2"/>
            <w:noWrap w:val="0"/>
            <w:vAlign w:val="center"/>
          </w:tcPr>
          <w:p w14:paraId="6B6B0AFF">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90" w:type="dxa"/>
            <w:gridSpan w:val="2"/>
            <w:vMerge w:val="restart"/>
            <w:noWrap w:val="0"/>
            <w:vAlign w:val="center"/>
          </w:tcPr>
          <w:p w14:paraId="079A67AD">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其中</w:t>
            </w:r>
          </w:p>
        </w:tc>
        <w:tc>
          <w:tcPr>
            <w:tcW w:w="1932" w:type="dxa"/>
            <w:gridSpan w:val="3"/>
            <w:noWrap w:val="0"/>
            <w:vAlign w:val="center"/>
          </w:tcPr>
          <w:p w14:paraId="74B7817D">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项目经理</w:t>
            </w:r>
          </w:p>
        </w:tc>
        <w:tc>
          <w:tcPr>
            <w:tcW w:w="1421" w:type="dxa"/>
            <w:noWrap w:val="0"/>
            <w:vAlign w:val="center"/>
          </w:tcPr>
          <w:p w14:paraId="012412FE">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5D60D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1487" w:type="dxa"/>
            <w:noWrap w:val="0"/>
            <w:vAlign w:val="center"/>
          </w:tcPr>
          <w:p w14:paraId="2A35BD8F">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营业执照号</w:t>
            </w:r>
          </w:p>
        </w:tc>
        <w:tc>
          <w:tcPr>
            <w:tcW w:w="2589" w:type="dxa"/>
            <w:gridSpan w:val="2"/>
            <w:noWrap w:val="0"/>
            <w:vAlign w:val="center"/>
          </w:tcPr>
          <w:p w14:paraId="3F1A7D12">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90" w:type="dxa"/>
            <w:gridSpan w:val="2"/>
            <w:vMerge w:val="continue"/>
            <w:noWrap w:val="0"/>
            <w:vAlign w:val="center"/>
          </w:tcPr>
          <w:p w14:paraId="4D7B504B">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32" w:type="dxa"/>
            <w:gridSpan w:val="3"/>
            <w:noWrap w:val="0"/>
            <w:vAlign w:val="center"/>
          </w:tcPr>
          <w:p w14:paraId="55032A8C">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高级职称人员</w:t>
            </w:r>
          </w:p>
        </w:tc>
        <w:tc>
          <w:tcPr>
            <w:tcW w:w="1421" w:type="dxa"/>
            <w:noWrap w:val="0"/>
            <w:vAlign w:val="center"/>
          </w:tcPr>
          <w:p w14:paraId="5B0AFB71">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053C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jc w:val="center"/>
        </w:trPr>
        <w:tc>
          <w:tcPr>
            <w:tcW w:w="1487" w:type="dxa"/>
            <w:noWrap w:val="0"/>
            <w:vAlign w:val="center"/>
          </w:tcPr>
          <w:p w14:paraId="351E42C9">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注册资金</w:t>
            </w:r>
          </w:p>
        </w:tc>
        <w:tc>
          <w:tcPr>
            <w:tcW w:w="2589" w:type="dxa"/>
            <w:gridSpan w:val="2"/>
            <w:noWrap w:val="0"/>
            <w:vAlign w:val="center"/>
          </w:tcPr>
          <w:p w14:paraId="27E0182A">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90" w:type="dxa"/>
            <w:gridSpan w:val="2"/>
            <w:vMerge w:val="continue"/>
            <w:noWrap w:val="0"/>
            <w:vAlign w:val="center"/>
          </w:tcPr>
          <w:p w14:paraId="14626F54">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32" w:type="dxa"/>
            <w:gridSpan w:val="3"/>
            <w:noWrap w:val="0"/>
            <w:vAlign w:val="center"/>
          </w:tcPr>
          <w:p w14:paraId="194F9FBD">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中级职称人员</w:t>
            </w:r>
          </w:p>
        </w:tc>
        <w:tc>
          <w:tcPr>
            <w:tcW w:w="1421" w:type="dxa"/>
            <w:noWrap w:val="0"/>
            <w:vAlign w:val="center"/>
          </w:tcPr>
          <w:p w14:paraId="3209C4A1">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1220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1487" w:type="dxa"/>
            <w:noWrap w:val="0"/>
            <w:vAlign w:val="center"/>
          </w:tcPr>
          <w:p w14:paraId="288C37BB">
            <w:pPr>
              <w:pStyle w:val="29"/>
              <w:wordWrap w:val="0"/>
              <w:adjustRightInd w:val="0"/>
              <w:snapToGrid w:val="0"/>
              <w:spacing w:line="24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基本账户</w:t>
            </w:r>
          </w:p>
          <w:p w14:paraId="6D75DDD6">
            <w:pPr>
              <w:pStyle w:val="29"/>
              <w:wordWrap w:val="0"/>
              <w:adjustRightInd w:val="0"/>
              <w:snapToGrid w:val="0"/>
              <w:spacing w:line="24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开户银行</w:t>
            </w:r>
          </w:p>
        </w:tc>
        <w:tc>
          <w:tcPr>
            <w:tcW w:w="2589" w:type="dxa"/>
            <w:gridSpan w:val="2"/>
            <w:noWrap w:val="0"/>
            <w:vAlign w:val="center"/>
          </w:tcPr>
          <w:p w14:paraId="387DE503">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90" w:type="dxa"/>
            <w:gridSpan w:val="2"/>
            <w:vMerge w:val="continue"/>
            <w:noWrap w:val="0"/>
            <w:vAlign w:val="center"/>
          </w:tcPr>
          <w:p w14:paraId="6BD7000D">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32" w:type="dxa"/>
            <w:gridSpan w:val="3"/>
            <w:noWrap w:val="0"/>
            <w:vAlign w:val="center"/>
          </w:tcPr>
          <w:p w14:paraId="65A753E3">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初级职称人员</w:t>
            </w:r>
          </w:p>
        </w:tc>
        <w:tc>
          <w:tcPr>
            <w:tcW w:w="1421" w:type="dxa"/>
            <w:noWrap w:val="0"/>
            <w:vAlign w:val="center"/>
          </w:tcPr>
          <w:p w14:paraId="47B326EA">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3A5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exact"/>
          <w:jc w:val="center"/>
        </w:trPr>
        <w:tc>
          <w:tcPr>
            <w:tcW w:w="1487" w:type="dxa"/>
            <w:noWrap w:val="0"/>
            <w:vAlign w:val="center"/>
          </w:tcPr>
          <w:p w14:paraId="1DA825CB">
            <w:pPr>
              <w:pStyle w:val="29"/>
              <w:wordWrap w:val="0"/>
              <w:adjustRightInd w:val="0"/>
              <w:snapToGrid w:val="0"/>
              <w:spacing w:line="24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基本账户</w:t>
            </w:r>
          </w:p>
          <w:p w14:paraId="4C1BDE9C">
            <w:pPr>
              <w:pStyle w:val="29"/>
              <w:wordWrap w:val="0"/>
              <w:adjustRightInd w:val="0"/>
              <w:snapToGrid w:val="0"/>
              <w:spacing w:line="24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银行账号</w:t>
            </w:r>
          </w:p>
        </w:tc>
        <w:tc>
          <w:tcPr>
            <w:tcW w:w="2589" w:type="dxa"/>
            <w:gridSpan w:val="2"/>
            <w:noWrap w:val="0"/>
            <w:vAlign w:val="center"/>
          </w:tcPr>
          <w:p w14:paraId="5F369D9E">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90" w:type="dxa"/>
            <w:gridSpan w:val="2"/>
            <w:vMerge w:val="continue"/>
            <w:noWrap w:val="0"/>
            <w:vAlign w:val="center"/>
          </w:tcPr>
          <w:p w14:paraId="69CE5DCF">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32" w:type="dxa"/>
            <w:gridSpan w:val="3"/>
            <w:noWrap w:val="0"/>
            <w:vAlign w:val="center"/>
          </w:tcPr>
          <w:p w14:paraId="21EE6DAE">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技术员</w:t>
            </w:r>
          </w:p>
        </w:tc>
        <w:tc>
          <w:tcPr>
            <w:tcW w:w="1421" w:type="dxa"/>
            <w:noWrap w:val="0"/>
            <w:vAlign w:val="center"/>
          </w:tcPr>
          <w:p w14:paraId="25FAE6CF">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0135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1487" w:type="dxa"/>
            <w:noWrap w:val="0"/>
            <w:vAlign w:val="center"/>
          </w:tcPr>
          <w:p w14:paraId="4430EB0C">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经营范围</w:t>
            </w:r>
          </w:p>
        </w:tc>
        <w:tc>
          <w:tcPr>
            <w:tcW w:w="7032" w:type="dxa"/>
            <w:gridSpan w:val="8"/>
            <w:noWrap w:val="0"/>
            <w:vAlign w:val="center"/>
          </w:tcPr>
          <w:p w14:paraId="12A6B548">
            <w:pPr>
              <w:pStyle w:val="29"/>
              <w:wordWrap w:val="0"/>
              <w:adjustRightInd w:val="0"/>
              <w:snapToGrid w:val="0"/>
              <w:spacing w:line="360" w:lineRule="auto"/>
              <w:jc w:val="left"/>
              <w:rPr>
                <w:rFonts w:hint="eastAsia" w:ascii="宋体" w:hAnsi="宋体" w:eastAsia="宋体" w:cs="宋体"/>
                <w:snapToGrid w:val="0"/>
                <w:color w:val="auto"/>
                <w:kern w:val="0"/>
                <w:szCs w:val="21"/>
                <w:highlight w:val="none"/>
              </w:rPr>
            </w:pPr>
          </w:p>
        </w:tc>
      </w:tr>
      <w:tr w14:paraId="1BA7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1487" w:type="dxa"/>
            <w:noWrap w:val="0"/>
            <w:vAlign w:val="center"/>
          </w:tcPr>
          <w:p w14:paraId="4F2CFB05">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关联企业情况</w:t>
            </w:r>
          </w:p>
        </w:tc>
        <w:tc>
          <w:tcPr>
            <w:tcW w:w="7032" w:type="dxa"/>
            <w:gridSpan w:val="8"/>
            <w:noWrap w:val="0"/>
            <w:vAlign w:val="center"/>
          </w:tcPr>
          <w:p w14:paraId="37602186">
            <w:pPr>
              <w:pStyle w:val="29"/>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包括但不限于与投标人存在以下关系的不同单位：</w:t>
            </w:r>
          </w:p>
          <w:p w14:paraId="3C670E51">
            <w:pPr>
              <w:pStyle w:val="29"/>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法定代表人为同一人的。</w:t>
            </w:r>
          </w:p>
          <w:p w14:paraId="26CF7FDC">
            <w:pPr>
              <w:pStyle w:val="29"/>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2</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存在控股、管理关系的。</w:t>
            </w:r>
          </w:p>
          <w:p w14:paraId="1EB55ABE">
            <w:pPr>
              <w:pStyle w:val="29"/>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3</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主要人员相互任职的。</w:t>
            </w:r>
          </w:p>
        </w:tc>
      </w:tr>
      <w:tr w14:paraId="79EC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87" w:type="dxa"/>
            <w:noWrap w:val="0"/>
            <w:vAlign w:val="center"/>
          </w:tcPr>
          <w:p w14:paraId="6DD7BA1A">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备注</w:t>
            </w:r>
          </w:p>
        </w:tc>
        <w:tc>
          <w:tcPr>
            <w:tcW w:w="7032" w:type="dxa"/>
            <w:gridSpan w:val="8"/>
            <w:noWrap w:val="0"/>
            <w:vAlign w:val="center"/>
          </w:tcPr>
          <w:p w14:paraId="72377C12">
            <w:pPr>
              <w:pStyle w:val="29"/>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bl>
    <w:p w14:paraId="1364549D">
      <w:pPr>
        <w:pStyle w:val="29"/>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说明：</w:t>
      </w:r>
    </w:p>
    <w:p w14:paraId="66B972F3">
      <w:pPr>
        <w:pStyle w:val="29"/>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1"/>
          <w:highlight w:val="none"/>
        </w:rPr>
      </w:pPr>
      <w:bookmarkStart w:id="237" w:name="_Toc32526"/>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《投标人基本情况表》后应附以下资料：</w:t>
      </w:r>
      <w:bookmarkEnd w:id="237"/>
    </w:p>
    <w:p w14:paraId="18346A63">
      <w:pPr>
        <w:pStyle w:val="29"/>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（1）企业营业执照、资质证书、安全生产许可证的</w:t>
      </w:r>
      <w:r>
        <w:rPr>
          <w:rFonts w:hint="eastAsia" w:ascii="宋体" w:hAnsi="宋体" w:eastAsia="宋体" w:cs="宋体"/>
          <w:snapToGrid w:val="0"/>
          <w:color w:val="auto"/>
          <w:kern w:val="0"/>
          <w:sz w:val="21"/>
          <w:szCs w:val="21"/>
          <w:highlight w:val="none"/>
          <w:lang w:val="en-US" w:eastAsia="zh-CN"/>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中华人民共和国住房和城乡建设部”，进入 “全国工程质量安全监管信息平台公共服务门户”版块，具体网址为：https://zlaq.mohurd.gov.cn，进入后点击“安全生产许可证信息”，输入企业名称和统一社会信用代码即可查询。如中标后，投标单位安全生产许可证发生被暂扣情形，需双方另行协商）</w:t>
      </w:r>
      <w:r>
        <w:rPr>
          <w:rFonts w:hint="eastAsia" w:ascii="宋体" w:hAnsi="宋体" w:eastAsia="宋体" w:cs="宋体"/>
          <w:snapToGrid w:val="0"/>
          <w:color w:val="auto"/>
          <w:kern w:val="0"/>
          <w:sz w:val="21"/>
          <w:szCs w:val="21"/>
          <w:highlight w:val="none"/>
        </w:rPr>
        <w:t>；</w:t>
      </w:r>
    </w:p>
    <w:p w14:paraId="143EEC11">
      <w:pPr>
        <w:pStyle w:val="29"/>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（2）“进粤企业和人员诚信信息登记平台”企业信息情况打印页彩色扫描件或网页截图。（适用于省外建筑企业）；</w:t>
      </w:r>
    </w:p>
    <w:p w14:paraId="5DDEB79F">
      <w:pPr>
        <w:pStyle w:val="29"/>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（3）《法人和非法人组织公共信用信息报告》(在“信用中国”网站企业查询界面中下载) 。</w:t>
      </w:r>
    </w:p>
    <w:p w14:paraId="4DE9C7A3">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bCs/>
          <w:snapToGrid w:val="0"/>
          <w:color w:val="auto"/>
          <w:kern w:val="0"/>
          <w:szCs w:val="24"/>
          <w:highlight w:val="none"/>
        </w:rPr>
      </w:pPr>
      <w:bookmarkStart w:id="238" w:name="_Toc3149"/>
      <w:r>
        <w:rPr>
          <w:rFonts w:hint="eastAsia" w:ascii="宋体" w:hAnsi="宋体" w:eastAsia="宋体" w:cs="宋体"/>
          <w:b/>
          <w:snapToGrid w:val="0"/>
          <w:color w:val="auto"/>
          <w:highlight w:val="none"/>
          <w:lang w:val="en-US" w:eastAsia="zh-CN"/>
        </w:rPr>
        <w:t>格式七   项目经理简历表</w:t>
      </w:r>
      <w:bookmarkEnd w:id="238"/>
    </w:p>
    <w:tbl>
      <w:tblPr>
        <w:tblStyle w:val="16"/>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B7C8B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F63455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06CD0D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4B80A86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54D176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657675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6C1B9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88088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70DF52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7A83F0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695C347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EC4D1E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B44118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A1DDA6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0DB9C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79D5A3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2797B22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45F8F9D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95268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4FA5A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4D88003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2E3D45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93F003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74371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6771AE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C4C472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4A6AC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6EAE27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2E5353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6CB19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A12112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58E812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20608B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56A6A8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C5B8C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B7728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DF77D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ED7872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4F5F1E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2AB898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F81C1E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411ED9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55B43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C3DB4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3329AA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48864D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26569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00F74F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686A25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96054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DEB26A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A709EB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6EC208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73DE7C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5CF5F1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4B5485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76FB353F">
      <w:pPr>
        <w:wordWrap w:val="0"/>
        <w:adjustRightInd w:val="0"/>
        <w:snapToGrid w:val="0"/>
        <w:spacing w:line="440" w:lineRule="exact"/>
        <w:jc w:val="center"/>
        <w:outlineLvl w:val="9"/>
        <w:rPr>
          <w:rFonts w:hint="eastAsia" w:ascii="宋体" w:hAnsi="宋体" w:eastAsia="宋体" w:cs="宋体"/>
          <w:b/>
          <w:bCs/>
          <w:snapToGrid w:val="0"/>
          <w:color w:val="auto"/>
          <w:kern w:val="0"/>
          <w:szCs w:val="24"/>
          <w:highlight w:val="none"/>
        </w:rPr>
      </w:pPr>
      <w:r>
        <w:rPr>
          <w:rFonts w:hint="eastAsia" w:ascii="宋体" w:hAnsi="宋体" w:eastAsia="宋体" w:cs="宋体"/>
          <w:b/>
          <w:snapToGrid w:val="0"/>
          <w:color w:val="auto"/>
          <w:kern w:val="0"/>
          <w:sz w:val="30"/>
          <w:highlight w:val="none"/>
        </w:rPr>
        <w:t>项目经理简历表</w:t>
      </w:r>
    </w:p>
    <w:p w14:paraId="39A555D5">
      <w:pPr>
        <w:rPr>
          <w:rFonts w:hint="eastAsia" w:ascii="宋体" w:hAnsi="宋体" w:eastAsia="宋体" w:cs="宋体"/>
          <w:color w:val="auto"/>
          <w:highlight w:val="none"/>
        </w:rPr>
      </w:pPr>
    </w:p>
    <w:p w14:paraId="3DE91C7C">
      <w:pPr>
        <w:rPr>
          <w:rFonts w:hint="eastAsia" w:ascii="宋体" w:hAnsi="宋体" w:eastAsia="宋体" w:cs="宋体"/>
          <w:color w:val="auto"/>
          <w:highlight w:val="none"/>
        </w:rPr>
      </w:pPr>
    </w:p>
    <w:p w14:paraId="43AD247A">
      <w:pPr>
        <w:pStyle w:val="27"/>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07C71EAF">
      <w:pPr>
        <w:rPr>
          <w:rFonts w:hint="eastAsia" w:ascii="宋体" w:hAnsi="宋体" w:eastAsia="宋体" w:cs="宋体"/>
          <w:color w:val="auto"/>
          <w:highlight w:val="none"/>
        </w:rPr>
      </w:pPr>
    </w:p>
    <w:p w14:paraId="5A5DD2DD">
      <w:pPr>
        <w:pStyle w:val="27"/>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467ABBB9">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说明：《项目经理简历表》后应附拟派项目经理以下资料：</w:t>
      </w:r>
    </w:p>
    <w:p w14:paraId="3CA28B56">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8"/>
          <w:highlight w:val="none"/>
          <w:lang w:val="en-US" w:eastAsia="zh-CN"/>
        </w:rPr>
        <w:t>彩色扫描件</w:t>
      </w:r>
      <w:r>
        <w:rPr>
          <w:rFonts w:hint="eastAsia" w:ascii="宋体" w:hAnsi="宋体" w:eastAsia="宋体" w:cs="宋体"/>
          <w:snapToGrid w:val="0"/>
          <w:color w:val="auto"/>
          <w:kern w:val="0"/>
          <w:sz w:val="21"/>
          <w:szCs w:val="28"/>
          <w:highlight w:val="none"/>
        </w:rPr>
        <w:t>；</w:t>
      </w:r>
    </w:p>
    <w:p w14:paraId="159F5A89">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2．建造师电子注册证书（在使用有效期内的有效电子证书）彩色扫描件；</w:t>
      </w:r>
    </w:p>
    <w:p w14:paraId="5023A9B9">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3．B类安全生产考核合格证书彩色扫描件或广东省建筑施工企业管理人员安全生产考核系统考核合格信息彩色扫描件；</w:t>
      </w:r>
    </w:p>
    <w:p w14:paraId="6902D26A">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4．在本单位缴纳社保的证明（</w:t>
      </w:r>
      <w:r>
        <w:rPr>
          <w:rFonts w:hint="eastAsia" w:ascii="宋体" w:hAnsi="宋体" w:eastAsia="宋体" w:cs="宋体"/>
          <w:snapToGrid w:val="0"/>
          <w:color w:val="auto"/>
          <w:kern w:val="0"/>
          <w:sz w:val="21"/>
          <w:szCs w:val="28"/>
          <w:highlight w:val="none"/>
          <w:lang w:val="en-US" w:eastAsia="zh-CN"/>
        </w:rPr>
        <w:t>至少三个月，其中必须有2025年09月</w:t>
      </w:r>
      <w:r>
        <w:rPr>
          <w:rFonts w:hint="eastAsia" w:ascii="宋体" w:hAnsi="宋体" w:eastAsia="宋体" w:cs="宋体"/>
          <w:snapToGrid w:val="0"/>
          <w:color w:val="auto"/>
          <w:kern w:val="0"/>
          <w:sz w:val="21"/>
          <w:szCs w:val="28"/>
          <w:highlight w:val="none"/>
        </w:rPr>
        <w:t>）彩色扫描件；</w:t>
      </w:r>
      <w:r>
        <w:rPr>
          <w:rFonts w:hint="eastAsia" w:ascii="宋体" w:hAnsi="宋体" w:eastAsia="宋体" w:cs="宋体"/>
          <w:caps w:val="0"/>
          <w:smallCaps w:val="0"/>
          <w:snapToGrid w:val="0"/>
          <w:color w:val="auto"/>
          <w:spacing w:val="0"/>
          <w:kern w:val="0"/>
          <w:sz w:val="21"/>
          <w:szCs w:val="28"/>
          <w:highlight w:val="none"/>
          <w:lang w:val="en-US" w:eastAsia="zh-CN"/>
        </w:rPr>
        <w:t>拟派项目经理为退休返聘人员无法提供社保证明的，提供退休证和劳动合同</w:t>
      </w:r>
      <w:r>
        <w:rPr>
          <w:rFonts w:hint="eastAsia" w:ascii="宋体" w:hAnsi="宋体" w:eastAsia="宋体" w:cs="宋体"/>
          <w:snapToGrid w:val="0"/>
          <w:color w:val="auto"/>
          <w:kern w:val="0"/>
          <w:sz w:val="21"/>
          <w:szCs w:val="28"/>
          <w:highlight w:val="none"/>
        </w:rPr>
        <w:t>彩色扫描件</w:t>
      </w:r>
      <w:r>
        <w:rPr>
          <w:rFonts w:hint="eastAsia" w:ascii="宋体" w:hAnsi="宋体" w:eastAsia="宋体" w:cs="宋体"/>
          <w:caps w:val="0"/>
          <w:smallCaps w:val="0"/>
          <w:snapToGrid w:val="0"/>
          <w:color w:val="auto"/>
          <w:spacing w:val="0"/>
          <w:kern w:val="0"/>
          <w:sz w:val="21"/>
          <w:szCs w:val="28"/>
          <w:highlight w:val="none"/>
          <w:lang w:val="en-US" w:eastAsia="zh-CN"/>
        </w:rPr>
        <w:t>。</w:t>
      </w:r>
    </w:p>
    <w:p w14:paraId="18DD80ED">
      <w:pPr>
        <w:wordWrap w:val="0"/>
        <w:adjustRightInd w:val="0"/>
        <w:snapToGrid w:val="0"/>
        <w:spacing w:line="400" w:lineRule="exact"/>
        <w:ind w:firstLine="420" w:firstLineChars="200"/>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val="en-US" w:eastAsia="zh-CN"/>
        </w:rPr>
        <w:t>5.</w:t>
      </w:r>
      <w:r>
        <w:rPr>
          <w:rFonts w:hint="eastAsia" w:ascii="宋体" w:hAnsi="宋体" w:eastAsia="宋体" w:cs="宋体"/>
          <w:snapToGrid w:val="0"/>
          <w:color w:val="auto"/>
          <w:sz w:val="21"/>
          <w:szCs w:val="21"/>
          <w:highlight w:val="none"/>
        </w:rPr>
        <w:t>“进粤企业和人员诚信信息登记平台”</w:t>
      </w:r>
      <w:r>
        <w:rPr>
          <w:rFonts w:hint="eastAsia" w:ascii="宋体" w:hAnsi="宋体" w:eastAsia="宋体" w:cs="宋体"/>
          <w:snapToGrid w:val="0"/>
          <w:color w:val="auto"/>
          <w:sz w:val="21"/>
          <w:szCs w:val="21"/>
          <w:highlight w:val="none"/>
          <w:lang w:val="en-US" w:eastAsia="zh-CN"/>
        </w:rPr>
        <w:t>个人（项目经理等）</w:t>
      </w:r>
      <w:r>
        <w:rPr>
          <w:rFonts w:hint="eastAsia" w:ascii="宋体" w:hAnsi="宋体" w:eastAsia="宋体" w:cs="宋体"/>
          <w:snapToGrid w:val="0"/>
          <w:color w:val="auto"/>
          <w:sz w:val="21"/>
          <w:szCs w:val="21"/>
          <w:highlight w:val="none"/>
        </w:rPr>
        <w:t>信息情况</w:t>
      </w:r>
      <w:r>
        <w:rPr>
          <w:rFonts w:hint="eastAsia" w:ascii="宋体" w:hAnsi="宋体" w:eastAsia="宋体" w:cs="宋体"/>
          <w:snapToGrid w:val="0"/>
          <w:color w:val="auto"/>
          <w:sz w:val="21"/>
          <w:szCs w:val="21"/>
          <w:highlight w:val="none"/>
          <w:lang w:val="en-US" w:eastAsia="zh-CN"/>
        </w:rPr>
        <w:t>截图</w:t>
      </w:r>
      <w:r>
        <w:rPr>
          <w:rFonts w:hint="eastAsia" w:ascii="宋体" w:hAnsi="宋体" w:eastAsia="宋体" w:cs="宋体"/>
          <w:snapToGrid w:val="0"/>
          <w:color w:val="auto"/>
          <w:sz w:val="21"/>
          <w:szCs w:val="21"/>
          <w:highlight w:val="none"/>
        </w:rPr>
        <w:t>。（适用于省外建筑企业）</w:t>
      </w:r>
      <w:r>
        <w:rPr>
          <w:rFonts w:hint="eastAsia" w:ascii="宋体" w:hAnsi="宋体" w:eastAsia="宋体" w:cs="宋体"/>
          <w:snapToGrid w:val="0"/>
          <w:color w:val="auto"/>
          <w:sz w:val="21"/>
          <w:szCs w:val="21"/>
          <w:highlight w:val="none"/>
          <w:lang w:eastAsia="zh-CN"/>
        </w:rPr>
        <w:t>。</w:t>
      </w:r>
    </w:p>
    <w:p w14:paraId="5B4ACEB8">
      <w:pPr>
        <w:wordWrap w:val="0"/>
        <w:adjustRightInd w:val="0"/>
        <w:snapToGrid w:val="0"/>
        <w:spacing w:line="400" w:lineRule="exact"/>
        <w:rPr>
          <w:rFonts w:hint="eastAsia" w:ascii="宋体" w:hAnsi="宋体" w:eastAsia="宋体" w:cs="宋体"/>
          <w:snapToGrid w:val="0"/>
          <w:color w:val="auto"/>
          <w:sz w:val="21"/>
          <w:szCs w:val="21"/>
          <w:highlight w:val="none"/>
          <w:lang w:eastAsia="zh-CN"/>
        </w:rPr>
      </w:pPr>
    </w:p>
    <w:p w14:paraId="2A2AC986">
      <w:pPr>
        <w:wordWrap w:val="0"/>
        <w:adjustRightInd w:val="0"/>
        <w:snapToGrid w:val="0"/>
        <w:spacing w:line="400" w:lineRule="exact"/>
        <w:rPr>
          <w:rFonts w:hint="eastAsia" w:ascii="宋体" w:hAnsi="宋体" w:eastAsia="宋体" w:cs="宋体"/>
          <w:snapToGrid w:val="0"/>
          <w:color w:val="auto"/>
          <w:sz w:val="21"/>
          <w:szCs w:val="21"/>
          <w:highlight w:val="none"/>
          <w:lang w:eastAsia="zh-CN"/>
        </w:rPr>
      </w:pPr>
    </w:p>
    <w:p w14:paraId="2639A09F">
      <w:pPr>
        <w:wordWrap w:val="0"/>
        <w:adjustRightInd w:val="0"/>
        <w:snapToGrid w:val="0"/>
        <w:spacing w:line="400" w:lineRule="exact"/>
        <w:rPr>
          <w:rFonts w:hint="eastAsia" w:ascii="宋体" w:hAnsi="宋体" w:eastAsia="宋体" w:cs="宋体"/>
          <w:snapToGrid w:val="0"/>
          <w:color w:val="auto"/>
          <w:sz w:val="21"/>
          <w:szCs w:val="21"/>
          <w:highlight w:val="none"/>
          <w:lang w:eastAsia="zh-CN"/>
        </w:rPr>
      </w:pPr>
    </w:p>
    <w:p w14:paraId="26DFAA03">
      <w:pPr>
        <w:wordWrap w:val="0"/>
        <w:adjustRightInd w:val="0"/>
        <w:snapToGrid w:val="0"/>
        <w:spacing w:line="400" w:lineRule="exact"/>
        <w:rPr>
          <w:rFonts w:hint="eastAsia" w:ascii="宋体" w:hAnsi="宋体" w:eastAsia="宋体" w:cs="宋体"/>
          <w:snapToGrid w:val="0"/>
          <w:color w:val="auto"/>
          <w:sz w:val="21"/>
          <w:szCs w:val="21"/>
          <w:highlight w:val="none"/>
          <w:lang w:eastAsia="zh-CN"/>
        </w:rPr>
      </w:pPr>
    </w:p>
    <w:p w14:paraId="0F0A4F5D">
      <w:pPr>
        <w:wordWrap w:val="0"/>
        <w:adjustRightInd w:val="0"/>
        <w:snapToGrid w:val="0"/>
        <w:spacing w:line="400" w:lineRule="exact"/>
        <w:rPr>
          <w:rFonts w:hint="eastAsia" w:ascii="宋体" w:hAnsi="宋体" w:eastAsia="宋体" w:cs="宋体"/>
          <w:snapToGrid w:val="0"/>
          <w:color w:val="auto"/>
          <w:sz w:val="21"/>
          <w:szCs w:val="21"/>
          <w:highlight w:val="none"/>
          <w:lang w:eastAsia="zh-CN"/>
        </w:rPr>
      </w:pPr>
    </w:p>
    <w:p w14:paraId="2DC2C526">
      <w:pPr>
        <w:wordWrap w:val="0"/>
        <w:adjustRightInd w:val="0"/>
        <w:snapToGrid w:val="0"/>
        <w:spacing w:line="400" w:lineRule="exact"/>
        <w:rPr>
          <w:rFonts w:hint="eastAsia" w:ascii="宋体" w:hAnsi="宋体" w:eastAsia="宋体" w:cs="宋体"/>
          <w:snapToGrid w:val="0"/>
          <w:color w:val="auto"/>
          <w:sz w:val="21"/>
          <w:szCs w:val="21"/>
          <w:highlight w:val="none"/>
          <w:lang w:eastAsia="zh-CN"/>
        </w:rPr>
      </w:pPr>
    </w:p>
    <w:p w14:paraId="52C2C67A">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kern w:val="0"/>
          <w:highlight w:val="none"/>
        </w:rPr>
      </w:pPr>
      <w:bookmarkStart w:id="239" w:name="_Toc25442"/>
      <w:r>
        <w:rPr>
          <w:rFonts w:hint="eastAsia" w:ascii="宋体" w:hAnsi="宋体" w:eastAsia="宋体" w:cs="宋体"/>
          <w:b/>
          <w:snapToGrid w:val="0"/>
          <w:color w:val="auto"/>
          <w:highlight w:val="none"/>
          <w:lang w:val="en-US" w:eastAsia="zh-CN"/>
        </w:rPr>
        <w:t>格式八   项目经理任职声明</w:t>
      </w:r>
      <w:bookmarkEnd w:id="239"/>
    </w:p>
    <w:p w14:paraId="5B8AECE4">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15FCE572">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4918FDB5">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1A6A2F3D">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410F29F5">
      <w:pPr>
        <w:wordWrap w:val="0"/>
        <w:adjustRightInd w:val="0"/>
        <w:snapToGrid w:val="0"/>
        <w:spacing w:line="440" w:lineRule="exact"/>
        <w:rPr>
          <w:rFonts w:hint="eastAsia" w:ascii="宋体" w:hAnsi="宋体" w:eastAsia="宋体" w:cs="宋体"/>
          <w:snapToGrid w:val="0"/>
          <w:color w:val="auto"/>
          <w:kern w:val="0"/>
          <w:szCs w:val="28"/>
          <w:highlight w:val="none"/>
          <w:lang w:eastAsia="zh-CN"/>
        </w:rPr>
      </w:pPr>
      <w:r>
        <w:rPr>
          <w:rFonts w:hint="eastAsia" w:ascii="宋体" w:hAnsi="宋体" w:eastAsia="宋体" w:cs="宋体"/>
          <w:snapToGrid w:val="0"/>
          <w:color w:val="auto"/>
          <w:kern w:val="0"/>
          <w:szCs w:val="28"/>
          <w:highlight w:val="none"/>
        </w:rPr>
        <w:t>　　特此承诺</w:t>
      </w:r>
      <w:r>
        <w:rPr>
          <w:rFonts w:hint="eastAsia" w:ascii="宋体" w:hAnsi="宋体" w:eastAsia="宋体" w:cs="宋体"/>
          <w:snapToGrid w:val="0"/>
          <w:color w:val="auto"/>
          <w:kern w:val="0"/>
          <w:szCs w:val="28"/>
          <w:highlight w:val="none"/>
          <w:lang w:eastAsia="zh-CN"/>
        </w:rPr>
        <w:t>。</w:t>
      </w:r>
    </w:p>
    <w:p w14:paraId="5693203D">
      <w:pPr>
        <w:rPr>
          <w:rFonts w:hint="eastAsia" w:ascii="宋体" w:hAnsi="宋体" w:eastAsia="宋体" w:cs="宋体"/>
          <w:color w:val="auto"/>
          <w:highlight w:val="none"/>
        </w:rPr>
      </w:pPr>
    </w:p>
    <w:p w14:paraId="47416896">
      <w:pPr>
        <w:rPr>
          <w:rFonts w:hint="eastAsia" w:ascii="宋体" w:hAnsi="宋体" w:eastAsia="宋体" w:cs="宋体"/>
          <w:color w:val="auto"/>
          <w:highlight w:val="none"/>
        </w:rPr>
      </w:pPr>
    </w:p>
    <w:p w14:paraId="59021BFF">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7A963F78">
      <w:pPr>
        <w:rPr>
          <w:rFonts w:hint="eastAsia" w:ascii="宋体" w:hAnsi="宋体" w:eastAsia="宋体" w:cs="宋体"/>
          <w:color w:val="auto"/>
          <w:highlight w:val="none"/>
        </w:rPr>
      </w:pPr>
    </w:p>
    <w:p w14:paraId="38AE90FC">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2230D4AE">
      <w:pPr>
        <w:rPr>
          <w:rFonts w:hint="eastAsia" w:ascii="宋体" w:hAnsi="宋体" w:eastAsia="宋体" w:cs="宋体"/>
          <w:color w:val="auto"/>
          <w:highlight w:val="none"/>
        </w:rPr>
      </w:pPr>
    </w:p>
    <w:p w14:paraId="78D4D35C">
      <w:pPr>
        <w:wordWrap w:val="0"/>
        <w:adjustRightInd w:val="0"/>
        <w:snapToGrid w:val="0"/>
        <w:spacing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5632B720">
      <w:pPr>
        <w:rPr>
          <w:rFonts w:hint="eastAsia" w:ascii="宋体" w:hAnsi="宋体" w:eastAsia="宋体" w:cs="宋体"/>
          <w:color w:val="auto"/>
          <w:highlight w:val="none"/>
        </w:rPr>
      </w:pPr>
    </w:p>
    <w:p w14:paraId="76426976">
      <w:pPr>
        <w:rPr>
          <w:rFonts w:hint="eastAsia" w:ascii="宋体" w:hAnsi="宋体" w:eastAsia="宋体" w:cs="宋体"/>
          <w:color w:val="auto"/>
          <w:highlight w:val="none"/>
        </w:rPr>
      </w:pPr>
    </w:p>
    <w:p w14:paraId="285EFF0A">
      <w:pPr>
        <w:rPr>
          <w:rFonts w:hint="eastAsia" w:ascii="宋体" w:hAnsi="宋体" w:eastAsia="宋体" w:cs="宋体"/>
          <w:color w:val="auto"/>
          <w:highlight w:val="none"/>
        </w:rPr>
      </w:pPr>
    </w:p>
    <w:p w14:paraId="494A3C1B">
      <w:pPr>
        <w:rPr>
          <w:rFonts w:hint="eastAsia" w:ascii="宋体" w:hAnsi="宋体" w:eastAsia="宋体" w:cs="宋体"/>
          <w:color w:val="auto"/>
          <w:highlight w:val="none"/>
        </w:rPr>
      </w:pPr>
    </w:p>
    <w:p w14:paraId="4C9676FC">
      <w:pPr>
        <w:rPr>
          <w:rFonts w:hint="eastAsia" w:ascii="宋体" w:hAnsi="宋体" w:eastAsia="宋体" w:cs="宋体"/>
          <w:color w:val="auto"/>
          <w:highlight w:val="none"/>
        </w:rPr>
      </w:pPr>
    </w:p>
    <w:p w14:paraId="57EC5A31">
      <w:pPr>
        <w:rPr>
          <w:rFonts w:hint="eastAsia" w:ascii="宋体" w:hAnsi="宋体" w:eastAsia="宋体" w:cs="宋体"/>
          <w:color w:val="auto"/>
          <w:highlight w:val="none"/>
        </w:rPr>
      </w:pPr>
    </w:p>
    <w:p w14:paraId="7245C415">
      <w:pPr>
        <w:rPr>
          <w:rFonts w:hint="eastAsia" w:ascii="宋体" w:hAnsi="宋体" w:eastAsia="宋体" w:cs="宋体"/>
          <w:color w:val="auto"/>
          <w:highlight w:val="none"/>
        </w:rPr>
      </w:pPr>
    </w:p>
    <w:p w14:paraId="5C2E53D7">
      <w:pPr>
        <w:rPr>
          <w:rFonts w:hint="eastAsia" w:ascii="宋体" w:hAnsi="宋体" w:eastAsia="宋体" w:cs="宋体"/>
          <w:color w:val="auto"/>
          <w:highlight w:val="none"/>
        </w:rPr>
      </w:pPr>
    </w:p>
    <w:p w14:paraId="5D3C4832">
      <w:pPr>
        <w:rPr>
          <w:rFonts w:hint="eastAsia" w:ascii="宋体" w:hAnsi="宋体" w:eastAsia="宋体" w:cs="宋体"/>
          <w:color w:val="auto"/>
          <w:highlight w:val="none"/>
        </w:rPr>
      </w:pPr>
    </w:p>
    <w:p w14:paraId="3D982466">
      <w:pPr>
        <w:rPr>
          <w:rFonts w:hint="eastAsia" w:ascii="宋体" w:hAnsi="宋体" w:eastAsia="宋体" w:cs="宋体"/>
          <w:color w:val="auto"/>
          <w:highlight w:val="none"/>
        </w:rPr>
      </w:pPr>
    </w:p>
    <w:p w14:paraId="2D1541ED">
      <w:pPr>
        <w:rPr>
          <w:rFonts w:hint="eastAsia" w:ascii="宋体" w:hAnsi="宋体" w:eastAsia="宋体" w:cs="宋体"/>
          <w:color w:val="auto"/>
          <w:highlight w:val="none"/>
        </w:rPr>
      </w:pPr>
    </w:p>
    <w:p w14:paraId="7AEF2CF6">
      <w:pPr>
        <w:rPr>
          <w:rFonts w:hint="eastAsia" w:ascii="宋体" w:hAnsi="宋体" w:eastAsia="宋体" w:cs="宋体"/>
          <w:color w:val="auto"/>
          <w:highlight w:val="none"/>
        </w:rPr>
      </w:pPr>
    </w:p>
    <w:p w14:paraId="219C3172">
      <w:pPr>
        <w:rPr>
          <w:rFonts w:hint="eastAsia" w:ascii="宋体" w:hAnsi="宋体" w:eastAsia="宋体" w:cs="宋体"/>
          <w:color w:val="auto"/>
          <w:highlight w:val="none"/>
        </w:rPr>
      </w:pPr>
    </w:p>
    <w:p w14:paraId="6E581412">
      <w:pPr>
        <w:rPr>
          <w:rFonts w:hint="eastAsia" w:ascii="宋体" w:hAnsi="宋体" w:eastAsia="宋体" w:cs="宋体"/>
          <w:color w:val="auto"/>
          <w:highlight w:val="none"/>
        </w:rPr>
      </w:pPr>
    </w:p>
    <w:p w14:paraId="07E37025">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bCs/>
          <w:snapToGrid w:val="0"/>
          <w:color w:val="auto"/>
          <w:kern w:val="0"/>
          <w:szCs w:val="24"/>
          <w:highlight w:val="none"/>
        </w:rPr>
      </w:pPr>
      <w:bookmarkStart w:id="240" w:name="_Toc4933"/>
      <w:r>
        <w:rPr>
          <w:rFonts w:hint="eastAsia" w:ascii="宋体" w:hAnsi="宋体" w:eastAsia="宋体" w:cs="宋体"/>
          <w:b/>
          <w:snapToGrid w:val="0"/>
          <w:color w:val="auto"/>
          <w:highlight w:val="none"/>
          <w:lang w:val="en-US" w:eastAsia="zh-CN"/>
        </w:rPr>
        <w:t>格式九   项目技术负责人简历表</w:t>
      </w:r>
      <w:bookmarkEnd w:id="240"/>
    </w:p>
    <w:tbl>
      <w:tblPr>
        <w:tblStyle w:val="16"/>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DDBBC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A1FFEF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67CBC2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2B51D7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618226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031F2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88AC2A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F7AFD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708581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37C1EC5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DA4CDF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FB9B9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FF5052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F7D259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09B23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782335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2890E93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663EF68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733725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3DA8C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7AFD91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66C0C9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5A6CA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695C09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8D9A3E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674C7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9EF1D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FD7806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180F9C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1B4F3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EBFF38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F296DC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9A64C3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584AC5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973748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DCDCC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99EF9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E6425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D51B1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E32A59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4ABDC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7278D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70B37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ADC06D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7FBC04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72BE3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4BF1ED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0E90C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D01230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6682D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F28938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5895A6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6FC9C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972398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8FAE48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5DC912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35B06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54A38D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9C65EA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EC588E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809B07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C5356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6FE58A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55EA857E">
      <w:pPr>
        <w:wordWrap w:val="0"/>
        <w:adjustRightInd w:val="0"/>
        <w:snapToGrid w:val="0"/>
        <w:spacing w:line="440" w:lineRule="exact"/>
        <w:jc w:val="center"/>
        <w:outlineLvl w:val="9"/>
        <w:rPr>
          <w:rFonts w:hint="eastAsia" w:ascii="宋体" w:hAnsi="宋体" w:eastAsia="宋体" w:cs="宋体"/>
          <w:b/>
          <w:bCs/>
          <w:snapToGrid w:val="0"/>
          <w:color w:val="auto"/>
          <w:kern w:val="0"/>
          <w:szCs w:val="24"/>
          <w:highlight w:val="none"/>
        </w:rPr>
      </w:pPr>
      <w:r>
        <w:rPr>
          <w:rFonts w:hint="eastAsia" w:ascii="宋体" w:hAnsi="宋体" w:eastAsia="宋体" w:cs="宋体"/>
          <w:b/>
          <w:snapToGrid w:val="0"/>
          <w:color w:val="auto"/>
          <w:kern w:val="0"/>
          <w:sz w:val="30"/>
          <w:highlight w:val="none"/>
        </w:rPr>
        <w:t>项目技术负责人简历表</w:t>
      </w:r>
    </w:p>
    <w:p w14:paraId="42741E9F">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6F3E7374">
      <w:pPr>
        <w:pStyle w:val="27"/>
        <w:wordWrap w:val="0"/>
        <w:adjustRightInd w:val="0"/>
        <w:snapToGrid w:val="0"/>
        <w:spacing w:line="440" w:lineRule="exact"/>
        <w:jc w:val="right"/>
        <w:rPr>
          <w:rFonts w:hint="eastAsia" w:ascii="宋体" w:hAnsi="宋体" w:eastAsia="宋体" w:cs="宋体"/>
          <w:snapToGrid w:val="0"/>
          <w:color w:val="auto"/>
          <w:kern w:val="0"/>
          <w:highlight w:val="none"/>
        </w:rPr>
      </w:pPr>
    </w:p>
    <w:p w14:paraId="608CF188">
      <w:pPr>
        <w:pStyle w:val="27"/>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78EF13A6">
      <w:pPr>
        <w:pStyle w:val="27"/>
        <w:wordWrap w:val="0"/>
        <w:adjustRightInd w:val="0"/>
        <w:snapToGrid w:val="0"/>
        <w:spacing w:line="440" w:lineRule="exact"/>
        <w:jc w:val="right"/>
        <w:rPr>
          <w:rFonts w:hint="eastAsia" w:ascii="宋体" w:hAnsi="宋体" w:eastAsia="宋体" w:cs="宋体"/>
          <w:snapToGrid w:val="0"/>
          <w:color w:val="auto"/>
          <w:kern w:val="0"/>
          <w:highlight w:val="none"/>
        </w:rPr>
      </w:pPr>
    </w:p>
    <w:p w14:paraId="7C868514">
      <w:pPr>
        <w:pStyle w:val="27"/>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3AB3F0ED">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777B1DAE">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说明：《项目技术负责人简历表》后应附拟派项目技术负责人以下资料：</w:t>
      </w:r>
    </w:p>
    <w:p w14:paraId="4A8E257D">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val="en-US" w:eastAsia="zh-CN"/>
        </w:rPr>
        <w:t>彩色扫描件</w:t>
      </w:r>
      <w:r>
        <w:rPr>
          <w:rFonts w:hint="eastAsia" w:ascii="宋体" w:hAnsi="宋体" w:eastAsia="宋体" w:cs="宋体"/>
          <w:snapToGrid w:val="0"/>
          <w:color w:val="auto"/>
          <w:kern w:val="0"/>
          <w:sz w:val="21"/>
          <w:szCs w:val="28"/>
          <w:highlight w:val="none"/>
        </w:rPr>
        <w:t>；</w:t>
      </w:r>
    </w:p>
    <w:p w14:paraId="7B5DEEE4">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2．职称证</w:t>
      </w:r>
      <w:r>
        <w:rPr>
          <w:rFonts w:hint="eastAsia" w:ascii="宋体" w:hAnsi="宋体" w:eastAsia="宋体" w:cs="宋体"/>
          <w:snapToGrid w:val="0"/>
          <w:color w:val="auto"/>
          <w:kern w:val="0"/>
          <w:sz w:val="21"/>
          <w:szCs w:val="28"/>
          <w:highlight w:val="none"/>
          <w:lang w:val="en-US" w:eastAsia="zh-CN"/>
        </w:rPr>
        <w:t>彩色扫描件</w:t>
      </w:r>
      <w:r>
        <w:rPr>
          <w:rFonts w:hint="eastAsia" w:ascii="宋体" w:hAnsi="宋体" w:eastAsia="宋体" w:cs="宋体"/>
          <w:snapToGrid w:val="0"/>
          <w:color w:val="auto"/>
          <w:kern w:val="0"/>
          <w:sz w:val="21"/>
          <w:szCs w:val="28"/>
          <w:highlight w:val="none"/>
        </w:rPr>
        <w:t>；</w:t>
      </w:r>
    </w:p>
    <w:p w14:paraId="37E2B4EA">
      <w:pPr>
        <w:wordWrap w:val="0"/>
        <w:adjustRightInd w:val="0"/>
        <w:snapToGrid w:val="0"/>
        <w:spacing w:line="400" w:lineRule="exact"/>
        <w:ind w:firstLine="420" w:firstLineChars="200"/>
        <w:rPr>
          <w:rFonts w:hint="eastAsia" w:ascii="宋体" w:hAnsi="宋体" w:eastAsia="宋体" w:cs="宋体"/>
          <w:caps w:val="0"/>
          <w:smallCaps w:val="0"/>
          <w:snapToGrid w:val="0"/>
          <w:color w:val="auto"/>
          <w:spacing w:val="0"/>
          <w:kern w:val="0"/>
          <w:sz w:val="21"/>
          <w:szCs w:val="28"/>
          <w:highlight w:val="none"/>
          <w:lang w:val="en-US" w:eastAsia="zh-CN"/>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8"/>
          <w:highlight w:val="none"/>
          <w:lang w:val="en-US" w:eastAsia="zh-CN"/>
        </w:rPr>
        <w:t>至少三个月，其中必须有2025年09月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彩色扫描件</w:t>
      </w:r>
      <w:r>
        <w:rPr>
          <w:rFonts w:hint="eastAsia" w:ascii="宋体" w:hAnsi="宋体" w:eastAsia="宋体" w:cs="宋体"/>
          <w:snapToGrid w:val="0"/>
          <w:color w:val="auto"/>
          <w:kern w:val="0"/>
          <w:sz w:val="21"/>
          <w:szCs w:val="28"/>
          <w:highlight w:val="none"/>
        </w:rPr>
        <w:t>；</w:t>
      </w:r>
      <w:r>
        <w:rPr>
          <w:rFonts w:hint="eastAsia" w:ascii="宋体" w:hAnsi="宋体" w:eastAsia="宋体" w:cs="宋体"/>
          <w:caps w:val="0"/>
          <w:smallCaps w:val="0"/>
          <w:snapToGrid w:val="0"/>
          <w:color w:val="auto"/>
          <w:spacing w:val="0"/>
          <w:kern w:val="0"/>
          <w:sz w:val="21"/>
          <w:szCs w:val="28"/>
          <w:highlight w:val="none"/>
          <w:lang w:val="en-US" w:eastAsia="zh-CN"/>
        </w:rPr>
        <w:t>拟派项目技术负责人为退休返聘人员无法提供社保证明的，提供退休证和劳动合同</w:t>
      </w:r>
      <w:r>
        <w:rPr>
          <w:rFonts w:hint="eastAsia" w:ascii="宋体" w:hAnsi="宋体" w:eastAsia="宋体" w:cs="宋体"/>
          <w:snapToGrid w:val="0"/>
          <w:color w:val="auto"/>
          <w:kern w:val="0"/>
          <w:sz w:val="21"/>
          <w:szCs w:val="28"/>
          <w:highlight w:val="none"/>
          <w:lang w:val="en-US" w:eastAsia="zh-CN"/>
        </w:rPr>
        <w:t>彩色扫描件</w:t>
      </w:r>
      <w:r>
        <w:rPr>
          <w:rFonts w:hint="eastAsia" w:ascii="宋体" w:hAnsi="宋体" w:eastAsia="宋体" w:cs="宋体"/>
          <w:caps w:val="0"/>
          <w:smallCaps w:val="0"/>
          <w:snapToGrid w:val="0"/>
          <w:color w:val="auto"/>
          <w:spacing w:val="0"/>
          <w:kern w:val="0"/>
          <w:sz w:val="21"/>
          <w:szCs w:val="28"/>
          <w:highlight w:val="none"/>
          <w:lang w:val="en-US" w:eastAsia="zh-CN"/>
        </w:rPr>
        <w:t>。</w:t>
      </w:r>
    </w:p>
    <w:p w14:paraId="35E2FBFE">
      <w:pPr>
        <w:wordWrap w:val="0"/>
        <w:adjustRightInd w:val="0"/>
        <w:snapToGrid w:val="0"/>
        <w:spacing w:line="400" w:lineRule="exact"/>
        <w:ind w:firstLine="420" w:firstLineChars="200"/>
        <w:rPr>
          <w:rFonts w:hint="eastAsia" w:ascii="宋体" w:hAnsi="宋体" w:eastAsia="宋体" w:cs="宋体"/>
          <w:snapToGrid w:val="0"/>
          <w:color w:val="auto"/>
          <w:sz w:val="21"/>
          <w:szCs w:val="21"/>
          <w:highlight w:val="none"/>
        </w:rPr>
      </w:pPr>
      <w:r>
        <w:rPr>
          <w:rFonts w:hint="eastAsia" w:ascii="宋体" w:hAnsi="宋体" w:eastAsia="宋体" w:cs="宋体"/>
          <w:caps w:val="0"/>
          <w:smallCaps w:val="0"/>
          <w:snapToGrid w:val="0"/>
          <w:color w:val="auto"/>
          <w:spacing w:val="0"/>
          <w:kern w:val="0"/>
          <w:sz w:val="21"/>
          <w:szCs w:val="28"/>
          <w:highlight w:val="none"/>
          <w:lang w:val="en-US" w:eastAsia="zh-CN"/>
        </w:rPr>
        <w:t>4.</w:t>
      </w:r>
      <w:r>
        <w:rPr>
          <w:rFonts w:hint="eastAsia" w:ascii="宋体" w:hAnsi="宋体" w:eastAsia="宋体" w:cs="宋体"/>
          <w:snapToGrid w:val="0"/>
          <w:color w:val="auto"/>
          <w:sz w:val="21"/>
          <w:szCs w:val="21"/>
          <w:highlight w:val="none"/>
        </w:rPr>
        <w:t>“进粤企业和人员诚信信息登记平台”</w:t>
      </w:r>
      <w:r>
        <w:rPr>
          <w:rFonts w:hint="eastAsia" w:ascii="宋体" w:hAnsi="宋体" w:eastAsia="宋体" w:cs="宋体"/>
          <w:snapToGrid w:val="0"/>
          <w:color w:val="auto"/>
          <w:sz w:val="21"/>
          <w:szCs w:val="21"/>
          <w:highlight w:val="none"/>
          <w:lang w:val="en-US" w:eastAsia="zh-CN"/>
        </w:rPr>
        <w:t>个人</w:t>
      </w:r>
      <w:r>
        <w:rPr>
          <w:rFonts w:hint="eastAsia" w:ascii="宋体" w:hAnsi="宋体" w:eastAsia="宋体" w:cs="宋体"/>
          <w:snapToGrid w:val="0"/>
          <w:color w:val="auto"/>
          <w:sz w:val="21"/>
          <w:szCs w:val="21"/>
          <w:highlight w:val="none"/>
        </w:rPr>
        <w:t>信息情况</w:t>
      </w:r>
      <w:r>
        <w:rPr>
          <w:rFonts w:hint="eastAsia" w:ascii="宋体" w:hAnsi="宋体" w:eastAsia="宋体" w:cs="宋体"/>
          <w:snapToGrid w:val="0"/>
          <w:color w:val="auto"/>
          <w:sz w:val="21"/>
          <w:szCs w:val="21"/>
          <w:highlight w:val="none"/>
          <w:lang w:val="en-US" w:eastAsia="zh-CN"/>
        </w:rPr>
        <w:t>截图</w:t>
      </w:r>
      <w:r>
        <w:rPr>
          <w:rFonts w:hint="eastAsia" w:ascii="宋体" w:hAnsi="宋体" w:eastAsia="宋体" w:cs="宋体"/>
          <w:snapToGrid w:val="0"/>
          <w:color w:val="auto"/>
          <w:sz w:val="21"/>
          <w:szCs w:val="21"/>
          <w:highlight w:val="none"/>
        </w:rPr>
        <w:t>。（适用于省外建筑企业）</w:t>
      </w:r>
    </w:p>
    <w:p w14:paraId="1886BDDD">
      <w:pPr>
        <w:rPr>
          <w:rFonts w:hint="eastAsia" w:ascii="宋体" w:hAnsi="宋体" w:eastAsia="宋体" w:cs="宋体"/>
          <w:color w:val="auto"/>
          <w:highlight w:val="none"/>
        </w:rPr>
      </w:pPr>
    </w:p>
    <w:p w14:paraId="72A99DAE">
      <w:pPr>
        <w:rPr>
          <w:rFonts w:hint="eastAsia" w:ascii="宋体" w:hAnsi="宋体" w:eastAsia="宋体" w:cs="宋体"/>
          <w:color w:val="auto"/>
          <w:highlight w:val="none"/>
        </w:rPr>
      </w:pPr>
    </w:p>
    <w:p w14:paraId="7228ECFB">
      <w:pPr>
        <w:rPr>
          <w:rFonts w:hint="eastAsia" w:ascii="宋体" w:hAnsi="宋体" w:eastAsia="宋体" w:cs="宋体"/>
          <w:color w:val="auto"/>
          <w:highlight w:val="none"/>
        </w:rPr>
      </w:pPr>
    </w:p>
    <w:p w14:paraId="388467CC">
      <w:pPr>
        <w:rPr>
          <w:rFonts w:hint="eastAsia" w:ascii="宋体" w:hAnsi="宋体" w:eastAsia="宋体" w:cs="宋体"/>
          <w:color w:val="auto"/>
          <w:highlight w:val="none"/>
        </w:rPr>
      </w:pPr>
    </w:p>
    <w:p w14:paraId="242EB2CA">
      <w:pPr>
        <w:rPr>
          <w:rFonts w:hint="eastAsia" w:ascii="宋体" w:hAnsi="宋体" w:eastAsia="宋体" w:cs="宋体"/>
          <w:color w:val="auto"/>
          <w:highlight w:val="none"/>
        </w:rPr>
      </w:pPr>
    </w:p>
    <w:bookmarkEnd w:id="204"/>
    <w:bookmarkEnd w:id="205"/>
    <w:p w14:paraId="1A08592D">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241" w:name="_Toc29032"/>
      <w:bookmarkStart w:id="242" w:name="_Toc200338098"/>
      <w:bookmarkStart w:id="243" w:name="_Toc8264"/>
      <w:r>
        <w:rPr>
          <w:rFonts w:hint="eastAsia" w:ascii="宋体" w:hAnsi="宋体" w:eastAsia="宋体" w:cs="宋体"/>
          <w:b/>
          <w:snapToGrid w:val="0"/>
          <w:color w:val="auto"/>
          <w:highlight w:val="none"/>
          <w:lang w:val="en-US" w:eastAsia="zh-CN"/>
        </w:rPr>
        <w:t>格式十   项目管理机构组成表</w:t>
      </w:r>
      <w:bookmarkEnd w:id="241"/>
    </w:p>
    <w:p w14:paraId="3A8285A5">
      <w:pPr>
        <w:wordWrap w:val="0"/>
        <w:adjustRightInd w:val="0"/>
        <w:snapToGrid w:val="0"/>
        <w:spacing w:before="260" w:after="260" w:line="440" w:lineRule="exact"/>
        <w:jc w:val="center"/>
        <w:outlineLvl w:val="9"/>
        <w:rPr>
          <w:rFonts w:hint="eastAsia" w:ascii="宋体" w:hAnsi="宋体" w:eastAsia="宋体" w:cs="宋体"/>
          <w:b/>
          <w:snapToGrid w:val="0"/>
          <w:color w:val="auto"/>
          <w:kern w:val="0"/>
          <w:sz w:val="28"/>
          <w:szCs w:val="28"/>
          <w:highlight w:val="none"/>
        </w:rPr>
      </w:pPr>
      <w:r>
        <w:rPr>
          <w:rFonts w:hint="eastAsia" w:ascii="宋体" w:hAnsi="宋体" w:eastAsia="宋体" w:cs="宋体"/>
          <w:b/>
          <w:snapToGrid w:val="0"/>
          <w:color w:val="auto"/>
          <w:kern w:val="0"/>
          <w:sz w:val="28"/>
          <w:szCs w:val="28"/>
          <w:highlight w:val="none"/>
        </w:rPr>
        <w:t>项目管理机构组成表</w:t>
      </w:r>
    </w:p>
    <w:tbl>
      <w:tblPr>
        <w:tblStyle w:val="16"/>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427F03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4497E9A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B3C891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37735B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30DF052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7FE6CF7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55EEEC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243109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22342D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61EE1CE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AF7C9D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29C759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9C765C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81BA55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663CDC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21463C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DF3F3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6866C2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5D506F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07A078C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24B792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0DAA84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AF3857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45EC61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989CBB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D1B5C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225E115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347C3C0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7AE80F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FE8C0D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8535B0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1A36FD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4CECDD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851DD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773EDC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CF9066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8412C2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B67078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6BFE99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B8A385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8777A5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0BE64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8A6DBC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85E6E4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3DB38D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D77515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4EF318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D9C1EB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A0A27C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1AEF6C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62C672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A08BCA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BD8B6A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29CD5D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790051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0923E5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96D64C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639EC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6EFB061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95DAB0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D5C483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0DF930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C4FB8E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67B516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04E4AA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B31D9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7FA413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F40C11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BD76ED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7C56FB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3BA071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9D92B2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781052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5AFDB794">
      <w:pPr>
        <w:pStyle w:val="26"/>
        <w:widowControl w:val="0"/>
        <w:wordWrap w:val="0"/>
        <w:adjustRightInd w:val="0"/>
        <w:snapToGrid w:val="0"/>
        <w:spacing w:line="400" w:lineRule="exact"/>
        <w:rPr>
          <w:rFonts w:hint="eastAsia" w:ascii="宋体" w:hAnsi="宋体" w:eastAsia="宋体" w:cs="宋体"/>
          <w:snapToGrid w:val="0"/>
          <w:color w:val="auto"/>
          <w:sz w:val="21"/>
          <w:highlight w:val="none"/>
        </w:rPr>
      </w:pPr>
    </w:p>
    <w:p w14:paraId="010AA86C">
      <w:pPr>
        <w:pStyle w:val="26"/>
        <w:widowControl w:val="0"/>
        <w:wordWrap w:val="0"/>
        <w:adjustRightInd w:val="0"/>
        <w:snapToGrid w:val="0"/>
        <w:spacing w:line="400" w:lineRule="exact"/>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说明：</w:t>
      </w:r>
    </w:p>
    <w:p w14:paraId="560E4568">
      <w:pPr>
        <w:pStyle w:val="26"/>
        <w:widowControl w:val="0"/>
        <w:numPr>
          <w:ilvl w:val="0"/>
          <w:numId w:val="2"/>
        </w:numPr>
        <w:wordWrap w:val="0"/>
        <w:adjustRightInd w:val="0"/>
        <w:snapToGrid w:val="0"/>
        <w:spacing w:line="400" w:lineRule="exact"/>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《项目管理机构组成表》后应附表中拟派人员（项目经理、项目技术负责人</w:t>
      </w:r>
      <w:r>
        <w:rPr>
          <w:rFonts w:hint="eastAsia" w:ascii="宋体" w:hAnsi="宋体" w:eastAsia="宋体" w:cs="宋体"/>
          <w:snapToGrid w:val="0"/>
          <w:color w:val="auto"/>
          <w:sz w:val="21"/>
          <w:highlight w:val="none"/>
          <w:lang w:val="en-US" w:eastAsia="zh-CN"/>
        </w:rPr>
        <w:t>除外</w:t>
      </w:r>
      <w:r>
        <w:rPr>
          <w:rFonts w:hint="eastAsia" w:ascii="宋体" w:hAnsi="宋体" w:eastAsia="宋体" w:cs="宋体"/>
          <w:snapToGrid w:val="0"/>
          <w:color w:val="auto"/>
          <w:sz w:val="21"/>
          <w:highlight w:val="none"/>
        </w:rPr>
        <w:t>）以下资料：</w:t>
      </w:r>
    </w:p>
    <w:p w14:paraId="48C4F434">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420" w:firstLineChars="200"/>
        <w:jc w:val="both"/>
        <w:textAlignment w:val="auto"/>
        <w:outlineLvl w:val="9"/>
        <w:rPr>
          <w:rFonts w:hint="eastAsia" w:ascii="宋体" w:hAnsi="宋体" w:eastAsia="宋体" w:cs="宋体"/>
          <w:caps w:val="0"/>
          <w:smallCaps w:val="0"/>
          <w:snapToGrid w:val="0"/>
          <w:color w:val="auto"/>
          <w:spacing w:val="0"/>
          <w:kern w:val="0"/>
          <w:sz w:val="21"/>
          <w:szCs w:val="28"/>
          <w:highlight w:val="none"/>
          <w:lang w:val="en-US" w:eastAsia="zh-CN"/>
        </w:rPr>
      </w:pPr>
      <w:r>
        <w:rPr>
          <w:rFonts w:hint="eastAsia" w:ascii="宋体" w:hAnsi="宋体" w:eastAsia="宋体" w:cs="宋体"/>
          <w:caps w:val="0"/>
          <w:smallCaps w:val="0"/>
          <w:snapToGrid w:val="0"/>
          <w:color w:val="auto"/>
          <w:spacing w:val="0"/>
          <w:kern w:val="0"/>
          <w:sz w:val="21"/>
          <w:szCs w:val="28"/>
          <w:highlight w:val="none"/>
          <w:lang w:val="en-US" w:eastAsia="zh-CN"/>
        </w:rPr>
        <w:t>（1）身份证</w:t>
      </w:r>
      <w:r>
        <w:rPr>
          <w:rFonts w:hint="eastAsia" w:ascii="宋体" w:hAnsi="宋体" w:eastAsia="宋体" w:cs="宋体"/>
          <w:snapToGrid w:val="0"/>
          <w:color w:val="auto"/>
          <w:kern w:val="0"/>
          <w:sz w:val="21"/>
          <w:szCs w:val="28"/>
          <w:highlight w:val="none"/>
          <w:lang w:val="en-US" w:eastAsia="zh-CN"/>
        </w:rPr>
        <w:t>彩色扫描件</w:t>
      </w:r>
      <w:r>
        <w:rPr>
          <w:rFonts w:hint="eastAsia" w:ascii="宋体" w:hAnsi="宋体" w:eastAsia="宋体" w:cs="宋体"/>
          <w:caps w:val="0"/>
          <w:smallCaps w:val="0"/>
          <w:snapToGrid w:val="0"/>
          <w:color w:val="auto"/>
          <w:spacing w:val="0"/>
          <w:kern w:val="0"/>
          <w:sz w:val="21"/>
          <w:szCs w:val="28"/>
          <w:highlight w:val="none"/>
          <w:lang w:val="en-US" w:eastAsia="zh-CN"/>
        </w:rPr>
        <w:t>；</w:t>
      </w:r>
    </w:p>
    <w:p w14:paraId="3B5B59F0">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420" w:firstLineChars="200"/>
        <w:jc w:val="both"/>
        <w:textAlignment w:val="auto"/>
        <w:outlineLvl w:val="9"/>
        <w:rPr>
          <w:rFonts w:hint="eastAsia" w:ascii="宋体" w:hAnsi="宋体" w:eastAsia="宋体" w:cs="宋体"/>
          <w:caps w:val="0"/>
          <w:smallCaps w:val="0"/>
          <w:snapToGrid w:val="0"/>
          <w:color w:val="auto"/>
          <w:spacing w:val="0"/>
          <w:kern w:val="0"/>
          <w:sz w:val="21"/>
          <w:szCs w:val="28"/>
          <w:highlight w:val="none"/>
          <w:lang w:val="en-US" w:eastAsia="zh-CN"/>
        </w:rPr>
      </w:pPr>
      <w:r>
        <w:rPr>
          <w:rFonts w:hint="eastAsia" w:ascii="宋体" w:hAnsi="宋体" w:eastAsia="宋体" w:cs="宋体"/>
          <w:caps w:val="0"/>
          <w:smallCaps w:val="0"/>
          <w:snapToGrid w:val="0"/>
          <w:color w:val="auto"/>
          <w:spacing w:val="0"/>
          <w:kern w:val="0"/>
          <w:sz w:val="21"/>
          <w:szCs w:val="28"/>
          <w:highlight w:val="none"/>
          <w:lang w:val="en-US" w:eastAsia="zh-CN"/>
        </w:rPr>
        <w:t>（2）</w:t>
      </w:r>
      <w:r>
        <w:rPr>
          <w:rFonts w:hint="eastAsia" w:ascii="宋体" w:hAnsi="宋体" w:eastAsia="宋体" w:cs="宋体"/>
          <w:caps w:val="0"/>
          <w:smallCaps w:val="0"/>
          <w:snapToGrid w:val="0"/>
          <w:color w:val="auto"/>
          <w:spacing w:val="0"/>
          <w:kern w:val="0"/>
          <w:sz w:val="21"/>
          <w:szCs w:val="21"/>
          <w:highlight w:val="none"/>
          <w:lang w:val="en-US" w:eastAsia="zh-CN"/>
        </w:rPr>
        <w:t>专职安全员须提供C类安全生产考核合格证书</w:t>
      </w:r>
      <w:r>
        <w:rPr>
          <w:rFonts w:hint="eastAsia" w:ascii="宋体" w:hAnsi="宋体" w:eastAsia="宋体" w:cs="宋体"/>
          <w:snapToGrid w:val="0"/>
          <w:color w:val="auto"/>
          <w:kern w:val="0"/>
          <w:sz w:val="21"/>
          <w:szCs w:val="28"/>
          <w:highlight w:val="none"/>
          <w:lang w:val="en-US" w:eastAsia="zh-CN"/>
        </w:rPr>
        <w:t>彩色扫描件</w:t>
      </w:r>
      <w:r>
        <w:rPr>
          <w:rFonts w:hint="eastAsia" w:ascii="宋体" w:hAnsi="宋体" w:eastAsia="宋体" w:cs="宋体"/>
          <w:caps w:val="0"/>
          <w:smallCaps w:val="0"/>
          <w:snapToGrid w:val="0"/>
          <w:color w:val="auto"/>
          <w:spacing w:val="0"/>
          <w:kern w:val="0"/>
          <w:sz w:val="21"/>
          <w:szCs w:val="21"/>
          <w:highlight w:val="none"/>
          <w:lang w:val="en-US" w:eastAsia="zh-CN"/>
        </w:rPr>
        <w:t>或“广东省建筑施工企业管理人员安全生产考核信息系统”考核合</w:t>
      </w:r>
      <w:r>
        <w:rPr>
          <w:rFonts w:hint="eastAsia" w:ascii="宋体" w:hAnsi="宋体" w:eastAsia="宋体" w:cs="宋体"/>
          <w:caps w:val="0"/>
          <w:smallCaps w:val="0"/>
          <w:snapToGrid w:val="0"/>
          <w:color w:val="auto"/>
          <w:spacing w:val="0"/>
          <w:kern w:val="0"/>
          <w:sz w:val="21"/>
          <w:szCs w:val="28"/>
          <w:highlight w:val="none"/>
          <w:lang w:val="en-US" w:eastAsia="zh-CN"/>
        </w:rPr>
        <w:t>格信息</w:t>
      </w:r>
      <w:r>
        <w:rPr>
          <w:rFonts w:hint="eastAsia" w:ascii="宋体" w:hAnsi="宋体" w:eastAsia="宋体" w:cs="宋体"/>
          <w:snapToGrid w:val="0"/>
          <w:color w:val="auto"/>
          <w:kern w:val="0"/>
          <w:sz w:val="21"/>
          <w:szCs w:val="28"/>
          <w:highlight w:val="none"/>
          <w:lang w:val="en-US" w:eastAsia="zh-CN"/>
        </w:rPr>
        <w:t>彩色扫描件</w:t>
      </w:r>
      <w:r>
        <w:rPr>
          <w:rFonts w:hint="eastAsia" w:ascii="宋体" w:hAnsi="宋体" w:eastAsia="宋体" w:cs="宋体"/>
          <w:caps w:val="0"/>
          <w:smallCaps w:val="0"/>
          <w:snapToGrid w:val="0"/>
          <w:color w:val="auto"/>
          <w:spacing w:val="0"/>
          <w:kern w:val="0"/>
          <w:sz w:val="21"/>
          <w:szCs w:val="28"/>
          <w:highlight w:val="none"/>
          <w:lang w:val="en-US" w:eastAsia="zh-CN"/>
        </w:rPr>
        <w:t>；</w:t>
      </w:r>
    </w:p>
    <w:p w14:paraId="75FC32EB">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420" w:firstLineChars="200"/>
        <w:jc w:val="both"/>
        <w:textAlignment w:val="auto"/>
        <w:outlineLvl w:val="9"/>
        <w:rPr>
          <w:rFonts w:hint="eastAsia" w:ascii="宋体" w:hAnsi="宋体" w:eastAsia="宋体" w:cs="宋体"/>
          <w:caps w:val="0"/>
          <w:smallCaps w:val="0"/>
          <w:snapToGrid w:val="0"/>
          <w:color w:val="auto"/>
          <w:spacing w:val="0"/>
          <w:kern w:val="0"/>
          <w:sz w:val="21"/>
          <w:szCs w:val="28"/>
          <w:highlight w:val="none"/>
          <w:lang w:val="en-US" w:eastAsia="zh-CN"/>
        </w:rPr>
      </w:pPr>
      <w:r>
        <w:rPr>
          <w:rFonts w:hint="eastAsia" w:ascii="宋体" w:hAnsi="宋体" w:eastAsia="宋体" w:cs="宋体"/>
          <w:caps w:val="0"/>
          <w:smallCaps w:val="0"/>
          <w:snapToGrid w:val="0"/>
          <w:color w:val="auto"/>
          <w:spacing w:val="0"/>
          <w:kern w:val="0"/>
          <w:sz w:val="21"/>
          <w:szCs w:val="28"/>
          <w:highlight w:val="none"/>
          <w:lang w:val="en-US" w:eastAsia="zh-CN"/>
        </w:rPr>
        <w:t>（3）在本单位缴纳社保的证明</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至少三个月，其中必须有2025年09月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彩色扫描件</w:t>
      </w:r>
      <w:r>
        <w:rPr>
          <w:rFonts w:hint="eastAsia" w:ascii="宋体" w:hAnsi="宋体" w:eastAsia="宋体" w:cs="宋体"/>
          <w:caps w:val="0"/>
          <w:smallCaps w:val="0"/>
          <w:snapToGrid w:val="0"/>
          <w:color w:val="auto"/>
          <w:spacing w:val="0"/>
          <w:kern w:val="0"/>
          <w:sz w:val="21"/>
          <w:szCs w:val="28"/>
          <w:highlight w:val="none"/>
          <w:lang w:val="en-US" w:eastAsia="zh-CN"/>
        </w:rPr>
        <w:t>。拟派人员为退休返聘人员无法提供社保证明的，提供退休证和劳动合同</w:t>
      </w:r>
      <w:r>
        <w:rPr>
          <w:rFonts w:hint="eastAsia" w:ascii="宋体" w:hAnsi="宋体" w:eastAsia="宋体" w:cs="宋体"/>
          <w:snapToGrid w:val="0"/>
          <w:color w:val="auto"/>
          <w:kern w:val="0"/>
          <w:sz w:val="21"/>
          <w:szCs w:val="28"/>
          <w:highlight w:val="none"/>
          <w:lang w:val="en-US" w:eastAsia="zh-CN"/>
        </w:rPr>
        <w:t>彩色扫描件</w:t>
      </w:r>
      <w:r>
        <w:rPr>
          <w:rFonts w:hint="eastAsia" w:ascii="宋体" w:hAnsi="宋体" w:eastAsia="宋体" w:cs="宋体"/>
          <w:caps w:val="0"/>
          <w:smallCaps w:val="0"/>
          <w:snapToGrid w:val="0"/>
          <w:color w:val="auto"/>
          <w:spacing w:val="0"/>
          <w:kern w:val="0"/>
          <w:sz w:val="21"/>
          <w:szCs w:val="28"/>
          <w:highlight w:val="none"/>
          <w:lang w:val="en-US" w:eastAsia="zh-CN"/>
        </w:rPr>
        <w:t>。</w:t>
      </w:r>
    </w:p>
    <w:p w14:paraId="329B8CBA">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420" w:firstLineChars="200"/>
        <w:jc w:val="both"/>
        <w:textAlignment w:val="auto"/>
        <w:outlineLvl w:val="9"/>
        <w:rPr>
          <w:rFonts w:hint="eastAsia" w:ascii="宋体" w:hAnsi="宋体" w:eastAsia="宋体" w:cs="宋体"/>
          <w:caps w:val="0"/>
          <w:smallCaps w:val="0"/>
          <w:snapToGrid w:val="0"/>
          <w:color w:val="auto"/>
          <w:spacing w:val="0"/>
          <w:kern w:val="0"/>
          <w:sz w:val="21"/>
          <w:szCs w:val="28"/>
          <w:highlight w:val="none"/>
          <w:lang w:val="en-US" w:eastAsia="zh-CN"/>
        </w:rPr>
      </w:pPr>
      <w:r>
        <w:rPr>
          <w:rFonts w:hint="eastAsia" w:ascii="宋体" w:hAnsi="宋体" w:eastAsia="宋体" w:cs="宋体"/>
          <w:caps w:val="0"/>
          <w:smallCaps w:val="0"/>
          <w:snapToGrid w:val="0"/>
          <w:color w:val="auto"/>
          <w:spacing w:val="0"/>
          <w:kern w:val="0"/>
          <w:sz w:val="21"/>
          <w:szCs w:val="28"/>
          <w:highlight w:val="none"/>
          <w:lang w:val="en-US" w:eastAsia="zh-CN"/>
        </w:rPr>
        <w:t>（4）</w:t>
      </w:r>
      <w:r>
        <w:rPr>
          <w:rFonts w:hint="eastAsia" w:ascii="宋体" w:hAnsi="宋体" w:eastAsia="宋体" w:cs="宋体"/>
          <w:snapToGrid w:val="0"/>
          <w:color w:val="auto"/>
          <w:sz w:val="21"/>
          <w:szCs w:val="21"/>
          <w:highlight w:val="none"/>
        </w:rPr>
        <w:t>“进粤企业和人员诚信信息登记平台”</w:t>
      </w:r>
      <w:r>
        <w:rPr>
          <w:rFonts w:hint="eastAsia" w:ascii="宋体" w:hAnsi="宋体" w:eastAsia="宋体" w:cs="宋体"/>
          <w:snapToGrid w:val="0"/>
          <w:color w:val="auto"/>
          <w:sz w:val="21"/>
          <w:szCs w:val="21"/>
          <w:highlight w:val="none"/>
          <w:lang w:val="en-US" w:eastAsia="zh-CN"/>
        </w:rPr>
        <w:t>个人</w:t>
      </w:r>
      <w:r>
        <w:rPr>
          <w:rFonts w:hint="eastAsia" w:ascii="宋体" w:hAnsi="宋体" w:eastAsia="宋体" w:cs="宋体"/>
          <w:snapToGrid w:val="0"/>
          <w:color w:val="auto"/>
          <w:sz w:val="21"/>
          <w:szCs w:val="21"/>
          <w:highlight w:val="none"/>
        </w:rPr>
        <w:t>信息情况</w:t>
      </w:r>
      <w:r>
        <w:rPr>
          <w:rFonts w:hint="eastAsia" w:ascii="宋体" w:hAnsi="宋体" w:eastAsia="宋体" w:cs="宋体"/>
          <w:snapToGrid w:val="0"/>
          <w:color w:val="auto"/>
          <w:sz w:val="21"/>
          <w:szCs w:val="21"/>
          <w:highlight w:val="none"/>
          <w:lang w:val="en-US" w:eastAsia="zh-CN"/>
        </w:rPr>
        <w:t>截图</w:t>
      </w:r>
      <w:r>
        <w:rPr>
          <w:rFonts w:hint="eastAsia" w:ascii="宋体" w:hAnsi="宋体" w:eastAsia="宋体" w:cs="宋体"/>
          <w:snapToGrid w:val="0"/>
          <w:color w:val="auto"/>
          <w:sz w:val="21"/>
          <w:szCs w:val="21"/>
          <w:highlight w:val="none"/>
        </w:rPr>
        <w:t>。（适用于省外建筑企业）</w:t>
      </w:r>
    </w:p>
    <w:p w14:paraId="13B98FC5">
      <w:pPr>
        <w:rPr>
          <w:rFonts w:hint="eastAsia" w:ascii="宋体" w:hAnsi="宋体" w:eastAsia="宋体" w:cs="宋体"/>
          <w:color w:val="auto"/>
          <w:highlight w:val="none"/>
          <w:lang w:val="en-US" w:eastAsia="zh-CN"/>
        </w:rPr>
      </w:pPr>
    </w:p>
    <w:p w14:paraId="2A47F0F5">
      <w:pPr>
        <w:rPr>
          <w:rFonts w:hint="eastAsia" w:ascii="宋体" w:hAnsi="宋体" w:eastAsia="宋体" w:cs="宋体"/>
          <w:color w:val="auto"/>
          <w:highlight w:val="none"/>
          <w:lang w:val="en-US" w:eastAsia="zh-CN"/>
        </w:rPr>
      </w:pPr>
    </w:p>
    <w:p w14:paraId="247F582B">
      <w:pPr>
        <w:rPr>
          <w:rFonts w:hint="eastAsia" w:ascii="宋体" w:hAnsi="宋体" w:eastAsia="宋体" w:cs="宋体"/>
          <w:color w:val="auto"/>
          <w:highlight w:val="none"/>
          <w:lang w:val="en-US" w:eastAsia="zh-CN"/>
        </w:rPr>
      </w:pPr>
    </w:p>
    <w:p w14:paraId="0D641D98">
      <w:pPr>
        <w:rPr>
          <w:rFonts w:hint="eastAsia" w:ascii="宋体" w:hAnsi="宋体" w:eastAsia="宋体" w:cs="宋体"/>
          <w:color w:val="auto"/>
          <w:highlight w:val="none"/>
          <w:lang w:val="en-US" w:eastAsia="zh-CN"/>
        </w:rPr>
      </w:pPr>
    </w:p>
    <w:p w14:paraId="340FC5A4">
      <w:pPr>
        <w:rPr>
          <w:rFonts w:hint="eastAsia" w:ascii="宋体" w:hAnsi="宋体" w:eastAsia="宋体" w:cs="宋体"/>
          <w:color w:val="auto"/>
          <w:highlight w:val="none"/>
          <w:lang w:val="en-US" w:eastAsia="zh-CN"/>
        </w:rPr>
      </w:pPr>
    </w:p>
    <w:p w14:paraId="6E6A29EE">
      <w:pPr>
        <w:rPr>
          <w:rFonts w:hint="eastAsia" w:ascii="宋体" w:hAnsi="宋体" w:eastAsia="宋体" w:cs="宋体"/>
          <w:color w:val="auto"/>
          <w:highlight w:val="none"/>
          <w:lang w:val="en-US" w:eastAsia="zh-CN"/>
        </w:rPr>
      </w:pPr>
    </w:p>
    <w:bookmarkEnd w:id="8"/>
    <w:bookmarkEnd w:id="206"/>
    <w:bookmarkEnd w:id="207"/>
    <w:bookmarkEnd w:id="242"/>
    <w:bookmarkEnd w:id="243"/>
    <w:p w14:paraId="2031836D">
      <w:pPr>
        <w:rPr>
          <w:rFonts w:hint="eastAsia" w:ascii="宋体" w:hAnsi="宋体" w:eastAsia="宋体" w:cs="宋体"/>
          <w:color w:val="auto"/>
          <w:highlight w:val="none"/>
          <w:lang w:val="en-US" w:eastAsia="zh-CN"/>
        </w:rPr>
      </w:pPr>
      <w:bookmarkStart w:id="244" w:name="_Toc133160683"/>
      <w:bookmarkStart w:id="245" w:name="_Toc132687128"/>
      <w:bookmarkStart w:id="246" w:name="_Toc133815902"/>
      <w:bookmarkStart w:id="247" w:name="_Toc78794873"/>
      <w:bookmarkStart w:id="248" w:name="_Toc142468134"/>
      <w:bookmarkStart w:id="249" w:name="_Toc137444778"/>
      <w:bookmarkStart w:id="250" w:name="_Toc13722"/>
    </w:p>
    <w:p w14:paraId="05F6761B">
      <w:pPr>
        <w:rPr>
          <w:rFonts w:hint="eastAsia" w:ascii="宋体" w:hAnsi="宋体" w:eastAsia="宋体" w:cs="宋体"/>
          <w:color w:val="auto"/>
          <w:highlight w:val="none"/>
          <w:lang w:val="en-US" w:eastAsia="zh-CN"/>
        </w:rPr>
      </w:pPr>
    </w:p>
    <w:p w14:paraId="4C32F5A4">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251" w:name="_Toc9741"/>
      <w:r>
        <w:rPr>
          <w:rFonts w:hint="eastAsia" w:ascii="宋体" w:hAnsi="宋体" w:eastAsia="宋体" w:cs="宋体"/>
          <w:b/>
          <w:snapToGrid w:val="0"/>
          <w:color w:val="auto"/>
          <w:highlight w:val="none"/>
          <w:lang w:val="en-US" w:eastAsia="zh-CN"/>
        </w:rPr>
        <w:t>格式十一   建造师查询页（有效期+建造师签字）</w:t>
      </w:r>
      <w:bookmarkEnd w:id="251"/>
    </w:p>
    <w:p w14:paraId="14C9208D">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899785" cy="7463155"/>
            <wp:effectExtent l="0" t="0" r="5715" b="4445"/>
            <wp:docPr id="5" name="图片 8"/>
            <wp:cNvGraphicFramePr/>
            <a:graphic xmlns:a="http://schemas.openxmlformats.org/drawingml/2006/main">
              <a:graphicData uri="http://schemas.openxmlformats.org/drawingml/2006/picture">
                <pic:pic xmlns:pic="http://schemas.openxmlformats.org/drawingml/2006/picture">
                  <pic:nvPicPr>
                    <pic:cNvPr id="5" name="图片 8"/>
                    <pic:cNvPicPr/>
                  </pic:nvPicPr>
                  <pic:blipFill>
                    <a:blip r:embed="rId34"/>
                    <a:stretch>
                      <a:fillRect/>
                    </a:stretch>
                  </pic:blipFill>
                  <pic:spPr>
                    <a:xfrm>
                      <a:off x="0" y="0"/>
                      <a:ext cx="5899785" cy="7463155"/>
                    </a:xfrm>
                    <a:prstGeom prst="rect">
                      <a:avLst/>
                    </a:prstGeom>
                    <a:noFill/>
                    <a:ln>
                      <a:noFill/>
                    </a:ln>
                  </pic:spPr>
                </pic:pic>
              </a:graphicData>
            </a:graphic>
          </wp:inline>
        </w:drawing>
      </w:r>
    </w:p>
    <w:p w14:paraId="643D0CA5">
      <w:pPr>
        <w:rPr>
          <w:rFonts w:hint="eastAsia" w:ascii="宋体" w:hAnsi="宋体" w:eastAsia="宋体" w:cs="宋体"/>
          <w:color w:val="auto"/>
          <w:highlight w:val="none"/>
        </w:rPr>
      </w:pPr>
    </w:p>
    <w:p w14:paraId="7F7318C3">
      <w:pPr>
        <w:rPr>
          <w:rFonts w:hint="eastAsia" w:ascii="宋体" w:hAnsi="宋体" w:eastAsia="宋体" w:cs="宋体"/>
          <w:color w:val="auto"/>
          <w:highlight w:val="none"/>
        </w:rPr>
      </w:pPr>
    </w:p>
    <w:p w14:paraId="2B81373D">
      <w:pPr>
        <w:rPr>
          <w:rFonts w:hint="eastAsia" w:ascii="宋体" w:hAnsi="宋体" w:eastAsia="宋体" w:cs="宋体"/>
          <w:color w:val="auto"/>
          <w:highlight w:val="none"/>
        </w:rPr>
      </w:pPr>
    </w:p>
    <w:p w14:paraId="37EFB7C3">
      <w:pP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drawing>
          <wp:inline distT="0" distB="0" distL="114300" distR="114300">
            <wp:extent cx="5932805" cy="6727825"/>
            <wp:effectExtent l="0" t="0" r="10795" b="15875"/>
            <wp:docPr id="6" name="图片 9"/>
            <wp:cNvGraphicFramePr/>
            <a:graphic xmlns:a="http://schemas.openxmlformats.org/drawingml/2006/main">
              <a:graphicData uri="http://schemas.openxmlformats.org/drawingml/2006/picture">
                <pic:pic xmlns:pic="http://schemas.openxmlformats.org/drawingml/2006/picture">
                  <pic:nvPicPr>
                    <pic:cNvPr id="6" name="图片 9"/>
                    <pic:cNvPicPr/>
                  </pic:nvPicPr>
                  <pic:blipFill>
                    <a:blip r:embed="rId35"/>
                    <a:stretch>
                      <a:fillRect/>
                    </a:stretch>
                  </pic:blipFill>
                  <pic:spPr>
                    <a:xfrm>
                      <a:off x="0" y="0"/>
                      <a:ext cx="5932805" cy="6727825"/>
                    </a:xfrm>
                    <a:prstGeom prst="rect">
                      <a:avLst/>
                    </a:prstGeom>
                    <a:noFill/>
                    <a:ln>
                      <a:noFill/>
                    </a:ln>
                  </pic:spPr>
                </pic:pic>
              </a:graphicData>
            </a:graphic>
          </wp:inline>
        </w:drawing>
      </w:r>
    </w:p>
    <w:p w14:paraId="2B44C0D2">
      <w:pPr>
        <w:bidi w:val="0"/>
        <w:outlineLvl w:val="9"/>
        <w:rPr>
          <w:rFonts w:hint="eastAsia" w:ascii="宋体" w:hAnsi="宋体" w:eastAsia="宋体" w:cs="宋体"/>
          <w:b/>
          <w:bCs/>
          <w:color w:val="auto"/>
          <w:highlight w:val="none"/>
          <w:lang w:val="en-US" w:eastAsia="zh-CN"/>
        </w:rPr>
      </w:pPr>
    </w:p>
    <w:p w14:paraId="0138E5E4">
      <w:pPr>
        <w:bidi w:val="0"/>
        <w:outlineLvl w:val="9"/>
        <w:rPr>
          <w:rFonts w:hint="eastAsia" w:ascii="宋体" w:hAnsi="宋体" w:eastAsia="宋体" w:cs="宋体"/>
          <w:b/>
          <w:bCs/>
          <w:color w:val="auto"/>
          <w:highlight w:val="none"/>
          <w:lang w:val="en-US" w:eastAsia="zh-CN"/>
        </w:rPr>
      </w:pPr>
    </w:p>
    <w:p w14:paraId="057C4525">
      <w:pPr>
        <w:bidi w:val="0"/>
        <w:outlineLvl w:val="9"/>
        <w:rPr>
          <w:rFonts w:hint="eastAsia" w:ascii="宋体" w:hAnsi="宋体" w:eastAsia="宋体" w:cs="宋体"/>
          <w:b/>
          <w:bCs/>
          <w:color w:val="auto"/>
          <w:highlight w:val="none"/>
          <w:lang w:val="en-US" w:eastAsia="zh-CN"/>
        </w:rPr>
      </w:pPr>
    </w:p>
    <w:p w14:paraId="0A18B2CE">
      <w:pPr>
        <w:bidi w:val="0"/>
        <w:outlineLvl w:val="9"/>
        <w:rPr>
          <w:rFonts w:hint="eastAsia" w:ascii="宋体" w:hAnsi="宋体" w:eastAsia="宋体" w:cs="宋体"/>
          <w:b/>
          <w:bCs/>
          <w:color w:val="auto"/>
          <w:highlight w:val="none"/>
          <w:lang w:val="en-US" w:eastAsia="zh-CN"/>
        </w:rPr>
      </w:pPr>
    </w:p>
    <w:p w14:paraId="0CFB5170">
      <w:pPr>
        <w:bidi w:val="0"/>
        <w:outlineLvl w:val="9"/>
        <w:rPr>
          <w:rFonts w:hint="eastAsia" w:ascii="宋体" w:hAnsi="宋体" w:eastAsia="宋体" w:cs="宋体"/>
          <w:b/>
          <w:bCs/>
          <w:color w:val="auto"/>
          <w:highlight w:val="none"/>
          <w:lang w:val="en-US" w:eastAsia="zh-CN"/>
        </w:rPr>
      </w:pPr>
    </w:p>
    <w:p w14:paraId="5BBF9221">
      <w:pPr>
        <w:bidi w:val="0"/>
        <w:outlineLvl w:val="9"/>
        <w:rPr>
          <w:rFonts w:hint="eastAsia" w:ascii="宋体" w:hAnsi="宋体" w:eastAsia="宋体" w:cs="宋体"/>
          <w:b/>
          <w:bCs/>
          <w:color w:val="auto"/>
          <w:highlight w:val="none"/>
          <w:lang w:val="en-US" w:eastAsia="zh-CN"/>
        </w:rPr>
      </w:pPr>
    </w:p>
    <w:p w14:paraId="4B381493">
      <w:pPr>
        <w:bidi w:val="0"/>
        <w:outlineLvl w:val="9"/>
        <w:rPr>
          <w:rFonts w:hint="eastAsia" w:ascii="宋体" w:hAnsi="宋体" w:eastAsia="宋体" w:cs="宋体"/>
          <w:b/>
          <w:bCs/>
          <w:color w:val="auto"/>
          <w:highlight w:val="none"/>
          <w:lang w:val="en-US" w:eastAsia="zh-CN"/>
        </w:rPr>
      </w:pPr>
    </w:p>
    <w:p w14:paraId="749E3754">
      <w:pPr>
        <w:bidi w:val="0"/>
        <w:outlineLvl w:val="9"/>
        <w:rPr>
          <w:rFonts w:hint="eastAsia" w:ascii="宋体" w:hAnsi="宋体" w:eastAsia="宋体" w:cs="宋体"/>
          <w:b/>
          <w:bCs/>
          <w:color w:val="auto"/>
          <w:highlight w:val="none"/>
          <w:lang w:val="en-US" w:eastAsia="zh-CN"/>
        </w:rPr>
      </w:pPr>
    </w:p>
    <w:p w14:paraId="574EC35C">
      <w:pPr>
        <w:pStyle w:val="5"/>
        <w:pageBreakBefore w:val="0"/>
        <w:kinsoku/>
        <w:wordWrap w:val="0"/>
        <w:overflowPunct/>
        <w:topLinePunct w:val="0"/>
        <w:autoSpaceDE/>
        <w:autoSpaceDN/>
        <w:bidi w:val="0"/>
        <w:snapToGrid w:val="0"/>
        <w:spacing w:line="500" w:lineRule="exact"/>
        <w:ind w:firstLine="480"/>
        <w:jc w:val="both"/>
        <w:textAlignment w:val="auto"/>
        <w:outlineLvl w:val="2"/>
        <w:rPr>
          <w:rFonts w:hint="eastAsia" w:ascii="宋体" w:hAnsi="宋体" w:eastAsia="宋体" w:cs="宋体"/>
          <w:b/>
          <w:snapToGrid w:val="0"/>
          <w:color w:val="auto"/>
          <w:highlight w:val="none"/>
          <w:lang w:val="en-US" w:eastAsia="zh-CN"/>
        </w:rPr>
      </w:pPr>
      <w:bookmarkStart w:id="252" w:name="_Toc4514"/>
      <w:r>
        <w:rPr>
          <w:rFonts w:hint="eastAsia" w:ascii="宋体" w:hAnsi="宋体" w:eastAsia="宋体" w:cs="宋体"/>
          <w:b/>
          <w:snapToGrid w:val="0"/>
          <w:color w:val="auto"/>
          <w:highlight w:val="none"/>
          <w:lang w:val="en-US" w:eastAsia="zh-CN"/>
        </w:rPr>
        <w:t>格式十二   原件一览表</w:t>
      </w:r>
      <w:bookmarkEnd w:id="252"/>
    </w:p>
    <w:tbl>
      <w:tblPr>
        <w:tblStyle w:val="16"/>
        <w:tblpPr w:leftFromText="180" w:rightFromText="180" w:vertAnchor="text" w:horzAnchor="page" w:tblpX="1664"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601"/>
        <w:gridCol w:w="1393"/>
        <w:gridCol w:w="1625"/>
        <w:gridCol w:w="754"/>
        <w:gridCol w:w="958"/>
        <w:gridCol w:w="1570"/>
      </w:tblGrid>
      <w:tr w14:paraId="7E9C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507E049C">
            <w:pPr>
              <w:spacing w:line="240" w:lineRule="auto"/>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7F29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808" w:type="dxa"/>
            <w:gridSpan w:val="3"/>
            <w:shd w:val="clear" w:color="000000" w:fill="FFFFFF"/>
            <w:noWrap w:val="0"/>
            <w:tcMar>
              <w:left w:w="108" w:type="dxa"/>
              <w:right w:w="108" w:type="dxa"/>
            </w:tcMar>
            <w:vAlign w:val="center"/>
          </w:tcPr>
          <w:p w14:paraId="12E400D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工程名称</w:t>
            </w:r>
          </w:p>
        </w:tc>
        <w:tc>
          <w:tcPr>
            <w:tcW w:w="6300" w:type="dxa"/>
            <w:gridSpan w:val="5"/>
            <w:shd w:val="clear" w:color="000000" w:fill="FFFFFF"/>
            <w:noWrap w:val="0"/>
            <w:tcMar>
              <w:left w:w="108" w:type="dxa"/>
              <w:right w:w="108" w:type="dxa"/>
            </w:tcMar>
            <w:vAlign w:val="center"/>
          </w:tcPr>
          <w:p w14:paraId="4AFAD37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c>
      </w:tr>
      <w:tr w14:paraId="36EB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808" w:type="dxa"/>
            <w:gridSpan w:val="3"/>
            <w:shd w:val="clear" w:color="000000" w:fill="FFFFFF"/>
            <w:noWrap w:val="0"/>
            <w:tcMar>
              <w:left w:w="108" w:type="dxa"/>
              <w:right w:w="108" w:type="dxa"/>
            </w:tcMar>
            <w:vAlign w:val="center"/>
          </w:tcPr>
          <w:p w14:paraId="4B6E86E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                (请务必填写单位全称)</w:t>
            </w:r>
          </w:p>
        </w:tc>
        <w:tc>
          <w:tcPr>
            <w:tcW w:w="6300" w:type="dxa"/>
            <w:gridSpan w:val="5"/>
            <w:shd w:val="clear" w:color="000000" w:fill="FFFFFF"/>
            <w:noWrap w:val="0"/>
            <w:tcMar>
              <w:left w:w="108" w:type="dxa"/>
              <w:right w:w="108" w:type="dxa"/>
            </w:tcMar>
            <w:vAlign w:val="center"/>
          </w:tcPr>
          <w:p w14:paraId="5EF2AA5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5CD9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808" w:type="dxa"/>
            <w:gridSpan w:val="3"/>
            <w:shd w:val="clear" w:color="000000" w:fill="FFFFFF"/>
            <w:noWrap w:val="0"/>
            <w:tcMar>
              <w:left w:w="108" w:type="dxa"/>
              <w:right w:w="108" w:type="dxa"/>
            </w:tcMar>
            <w:vAlign w:val="center"/>
          </w:tcPr>
          <w:p w14:paraId="26143FA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投标人法定代表人或其</w:t>
            </w:r>
          </w:p>
          <w:p w14:paraId="2069F17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委托代理人签名</w:t>
            </w:r>
          </w:p>
        </w:tc>
        <w:tc>
          <w:tcPr>
            <w:tcW w:w="3018" w:type="dxa"/>
            <w:gridSpan w:val="2"/>
            <w:shd w:val="clear" w:color="000000" w:fill="FFFFFF"/>
            <w:noWrap w:val="0"/>
            <w:tcMar>
              <w:left w:w="108" w:type="dxa"/>
              <w:right w:w="108" w:type="dxa"/>
            </w:tcMar>
            <w:vAlign w:val="center"/>
          </w:tcPr>
          <w:p w14:paraId="251E705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54" w:type="dxa"/>
            <w:shd w:val="clear" w:color="000000" w:fill="FFFFFF"/>
            <w:noWrap w:val="0"/>
            <w:tcMar>
              <w:left w:w="108" w:type="dxa"/>
              <w:right w:w="108" w:type="dxa"/>
            </w:tcMar>
            <w:vAlign w:val="center"/>
          </w:tcPr>
          <w:p w14:paraId="1AC86DC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手机号码</w:t>
            </w:r>
          </w:p>
        </w:tc>
        <w:tc>
          <w:tcPr>
            <w:tcW w:w="2528" w:type="dxa"/>
            <w:gridSpan w:val="2"/>
            <w:shd w:val="clear" w:color="000000" w:fill="FFFFFF"/>
            <w:noWrap w:val="0"/>
            <w:tcMar>
              <w:left w:w="108" w:type="dxa"/>
              <w:right w:w="108" w:type="dxa"/>
            </w:tcMar>
            <w:vAlign w:val="center"/>
          </w:tcPr>
          <w:p w14:paraId="78731EE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3B9C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63B6465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递交的证明材料原件如下：</w:t>
            </w:r>
          </w:p>
        </w:tc>
      </w:tr>
      <w:tr w14:paraId="4B71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760D5E2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5125" w:type="dxa"/>
            <w:gridSpan w:val="4"/>
            <w:shd w:val="clear" w:color="auto" w:fill="FFFFFF"/>
            <w:noWrap w:val="0"/>
            <w:tcMar>
              <w:left w:w="108" w:type="dxa"/>
              <w:right w:w="108" w:type="dxa"/>
            </w:tcMar>
            <w:vAlign w:val="center"/>
          </w:tcPr>
          <w:p w14:paraId="77C1463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证明材料原件名称</w:t>
            </w:r>
          </w:p>
        </w:tc>
        <w:tc>
          <w:tcPr>
            <w:tcW w:w="1712" w:type="dxa"/>
            <w:gridSpan w:val="2"/>
            <w:shd w:val="clear" w:color="auto" w:fill="FFFFFF"/>
            <w:noWrap w:val="0"/>
            <w:tcMar>
              <w:left w:w="108" w:type="dxa"/>
              <w:right w:w="108" w:type="dxa"/>
            </w:tcMar>
            <w:vAlign w:val="center"/>
          </w:tcPr>
          <w:p w14:paraId="0343677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570" w:type="dxa"/>
            <w:shd w:val="clear" w:color="auto" w:fill="FFFFFF"/>
            <w:noWrap w:val="0"/>
            <w:tcMar>
              <w:left w:w="108" w:type="dxa"/>
              <w:right w:w="108" w:type="dxa"/>
            </w:tcMar>
            <w:vAlign w:val="center"/>
          </w:tcPr>
          <w:p w14:paraId="058F92D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r>
      <w:tr w14:paraId="754A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0E1BAF8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125" w:type="dxa"/>
            <w:gridSpan w:val="4"/>
            <w:shd w:val="clear" w:color="000000" w:fill="FFFFFF"/>
            <w:noWrap w:val="0"/>
            <w:tcMar>
              <w:left w:w="108" w:type="dxa"/>
              <w:right w:w="108" w:type="dxa"/>
            </w:tcMar>
            <w:vAlign w:val="center"/>
          </w:tcPr>
          <w:p w14:paraId="0E345F0B">
            <w:pPr>
              <w:jc w:val="center"/>
              <w:rPr>
                <w:rFonts w:hint="eastAsia" w:ascii="宋体" w:hAnsi="宋体" w:eastAsia="宋体" w:cs="宋体"/>
                <w:color w:val="auto"/>
                <w:sz w:val="24"/>
                <w:szCs w:val="24"/>
                <w:highlight w:val="none"/>
              </w:rPr>
            </w:pPr>
          </w:p>
        </w:tc>
        <w:tc>
          <w:tcPr>
            <w:tcW w:w="1712" w:type="dxa"/>
            <w:gridSpan w:val="2"/>
            <w:shd w:val="clear" w:color="000000" w:fill="FFFFFF"/>
            <w:noWrap w:val="0"/>
            <w:tcMar>
              <w:left w:w="108" w:type="dxa"/>
              <w:right w:w="108" w:type="dxa"/>
            </w:tcMar>
            <w:vAlign w:val="center"/>
          </w:tcPr>
          <w:p w14:paraId="58F767F1">
            <w:pPr>
              <w:jc w:val="center"/>
              <w:rPr>
                <w:rFonts w:hint="eastAsia" w:ascii="宋体" w:hAnsi="宋体" w:eastAsia="宋体" w:cs="宋体"/>
                <w:color w:val="auto"/>
                <w:sz w:val="24"/>
                <w:szCs w:val="24"/>
                <w:highlight w:val="none"/>
              </w:rPr>
            </w:pPr>
          </w:p>
        </w:tc>
        <w:tc>
          <w:tcPr>
            <w:tcW w:w="1570" w:type="dxa"/>
            <w:shd w:val="clear" w:color="000000" w:fill="FFFFFF"/>
            <w:noWrap w:val="0"/>
            <w:tcMar>
              <w:left w:w="108" w:type="dxa"/>
              <w:right w:w="108" w:type="dxa"/>
            </w:tcMar>
            <w:vAlign w:val="center"/>
          </w:tcPr>
          <w:p w14:paraId="787CEBA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3B6F0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E08EF0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125" w:type="dxa"/>
            <w:gridSpan w:val="4"/>
            <w:shd w:val="clear" w:color="000000" w:fill="FFFFFF"/>
            <w:noWrap w:val="0"/>
            <w:tcMar>
              <w:left w:w="108" w:type="dxa"/>
              <w:right w:w="108" w:type="dxa"/>
            </w:tcMar>
            <w:vAlign w:val="center"/>
          </w:tcPr>
          <w:p w14:paraId="05AC77DE">
            <w:pPr>
              <w:jc w:val="center"/>
              <w:rPr>
                <w:rFonts w:hint="eastAsia" w:ascii="宋体" w:hAnsi="宋体" w:eastAsia="宋体" w:cs="宋体"/>
                <w:color w:val="auto"/>
                <w:sz w:val="24"/>
                <w:szCs w:val="24"/>
                <w:highlight w:val="none"/>
              </w:rPr>
            </w:pPr>
          </w:p>
        </w:tc>
        <w:tc>
          <w:tcPr>
            <w:tcW w:w="1712" w:type="dxa"/>
            <w:gridSpan w:val="2"/>
            <w:shd w:val="clear" w:color="000000" w:fill="FFFFFF"/>
            <w:noWrap w:val="0"/>
            <w:tcMar>
              <w:left w:w="108" w:type="dxa"/>
              <w:right w:w="108" w:type="dxa"/>
            </w:tcMar>
            <w:vAlign w:val="center"/>
          </w:tcPr>
          <w:p w14:paraId="691E3C2D">
            <w:pPr>
              <w:jc w:val="center"/>
              <w:rPr>
                <w:rFonts w:hint="eastAsia" w:ascii="宋体" w:hAnsi="宋体" w:eastAsia="宋体" w:cs="宋体"/>
                <w:color w:val="auto"/>
                <w:sz w:val="24"/>
                <w:szCs w:val="24"/>
                <w:highlight w:val="none"/>
              </w:rPr>
            </w:pPr>
          </w:p>
        </w:tc>
        <w:tc>
          <w:tcPr>
            <w:tcW w:w="1570" w:type="dxa"/>
            <w:shd w:val="clear" w:color="000000" w:fill="FFFFFF"/>
            <w:noWrap w:val="0"/>
            <w:tcMar>
              <w:left w:w="108" w:type="dxa"/>
              <w:right w:w="108" w:type="dxa"/>
            </w:tcMar>
            <w:vAlign w:val="center"/>
          </w:tcPr>
          <w:p w14:paraId="7BADC39A">
            <w:pPr>
              <w:jc w:val="center"/>
              <w:rPr>
                <w:rFonts w:hint="eastAsia" w:ascii="宋体" w:hAnsi="宋体" w:eastAsia="宋体" w:cs="宋体"/>
                <w:color w:val="auto"/>
                <w:sz w:val="24"/>
                <w:szCs w:val="24"/>
                <w:highlight w:val="none"/>
              </w:rPr>
            </w:pPr>
          </w:p>
        </w:tc>
      </w:tr>
      <w:tr w14:paraId="5FDFE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2FD359F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125" w:type="dxa"/>
            <w:gridSpan w:val="4"/>
            <w:shd w:val="clear" w:color="000000" w:fill="FFFFFF"/>
            <w:noWrap w:val="0"/>
            <w:tcMar>
              <w:left w:w="108" w:type="dxa"/>
              <w:right w:w="108" w:type="dxa"/>
            </w:tcMar>
            <w:vAlign w:val="center"/>
          </w:tcPr>
          <w:p w14:paraId="62D3A719">
            <w:pPr>
              <w:jc w:val="center"/>
              <w:rPr>
                <w:rFonts w:hint="eastAsia" w:ascii="宋体" w:hAnsi="宋体" w:eastAsia="宋体" w:cs="宋体"/>
                <w:color w:val="auto"/>
                <w:sz w:val="24"/>
                <w:szCs w:val="24"/>
                <w:highlight w:val="none"/>
              </w:rPr>
            </w:pPr>
          </w:p>
        </w:tc>
        <w:tc>
          <w:tcPr>
            <w:tcW w:w="1712" w:type="dxa"/>
            <w:gridSpan w:val="2"/>
            <w:shd w:val="clear" w:color="000000" w:fill="FFFFFF"/>
            <w:noWrap w:val="0"/>
            <w:tcMar>
              <w:left w:w="108" w:type="dxa"/>
              <w:right w:w="108" w:type="dxa"/>
            </w:tcMar>
            <w:vAlign w:val="center"/>
          </w:tcPr>
          <w:p w14:paraId="13B01883">
            <w:pPr>
              <w:jc w:val="center"/>
              <w:rPr>
                <w:rFonts w:hint="eastAsia" w:ascii="宋体" w:hAnsi="宋体" w:eastAsia="宋体" w:cs="宋体"/>
                <w:color w:val="auto"/>
                <w:sz w:val="24"/>
                <w:szCs w:val="24"/>
                <w:highlight w:val="none"/>
              </w:rPr>
            </w:pPr>
          </w:p>
        </w:tc>
        <w:tc>
          <w:tcPr>
            <w:tcW w:w="1570" w:type="dxa"/>
            <w:shd w:val="clear" w:color="000000" w:fill="FFFFFF"/>
            <w:noWrap w:val="0"/>
            <w:tcMar>
              <w:left w:w="108" w:type="dxa"/>
              <w:right w:w="108" w:type="dxa"/>
            </w:tcMar>
            <w:vAlign w:val="center"/>
          </w:tcPr>
          <w:p w14:paraId="57981539">
            <w:pPr>
              <w:jc w:val="center"/>
              <w:rPr>
                <w:rFonts w:hint="eastAsia" w:ascii="宋体" w:hAnsi="宋体" w:eastAsia="宋体" w:cs="宋体"/>
                <w:color w:val="auto"/>
                <w:sz w:val="24"/>
                <w:szCs w:val="24"/>
                <w:highlight w:val="none"/>
              </w:rPr>
            </w:pPr>
          </w:p>
        </w:tc>
      </w:tr>
      <w:tr w14:paraId="272C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663EE39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5125" w:type="dxa"/>
            <w:gridSpan w:val="4"/>
            <w:shd w:val="clear" w:color="000000" w:fill="FFFFFF"/>
            <w:noWrap w:val="0"/>
            <w:tcMar>
              <w:left w:w="108" w:type="dxa"/>
              <w:right w:w="108" w:type="dxa"/>
            </w:tcMar>
            <w:vAlign w:val="center"/>
          </w:tcPr>
          <w:p w14:paraId="29789995">
            <w:pPr>
              <w:jc w:val="center"/>
              <w:rPr>
                <w:rFonts w:hint="eastAsia" w:ascii="宋体" w:hAnsi="宋体" w:eastAsia="宋体" w:cs="宋体"/>
                <w:color w:val="auto"/>
                <w:sz w:val="24"/>
                <w:szCs w:val="24"/>
                <w:highlight w:val="none"/>
              </w:rPr>
            </w:pPr>
          </w:p>
        </w:tc>
        <w:tc>
          <w:tcPr>
            <w:tcW w:w="1712" w:type="dxa"/>
            <w:gridSpan w:val="2"/>
            <w:shd w:val="clear" w:color="000000" w:fill="FFFFFF"/>
            <w:noWrap w:val="0"/>
            <w:tcMar>
              <w:left w:w="108" w:type="dxa"/>
              <w:right w:w="108" w:type="dxa"/>
            </w:tcMar>
            <w:vAlign w:val="center"/>
          </w:tcPr>
          <w:p w14:paraId="1A150418">
            <w:pPr>
              <w:jc w:val="center"/>
              <w:rPr>
                <w:rFonts w:hint="eastAsia" w:ascii="宋体" w:hAnsi="宋体" w:eastAsia="宋体" w:cs="宋体"/>
                <w:color w:val="auto"/>
                <w:sz w:val="24"/>
                <w:szCs w:val="24"/>
                <w:highlight w:val="none"/>
              </w:rPr>
            </w:pPr>
          </w:p>
        </w:tc>
        <w:tc>
          <w:tcPr>
            <w:tcW w:w="1570" w:type="dxa"/>
            <w:shd w:val="clear" w:color="000000" w:fill="FFFFFF"/>
            <w:noWrap w:val="0"/>
            <w:tcMar>
              <w:left w:w="108" w:type="dxa"/>
              <w:right w:w="108" w:type="dxa"/>
            </w:tcMar>
            <w:vAlign w:val="center"/>
          </w:tcPr>
          <w:p w14:paraId="3AAF93B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r>
      <w:tr w14:paraId="45D25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37" w:hRule="atLeast"/>
        </w:trPr>
        <w:tc>
          <w:tcPr>
            <w:tcW w:w="701" w:type="dxa"/>
            <w:shd w:val="clear" w:color="auto" w:fill="FFFFFF"/>
            <w:noWrap w:val="0"/>
            <w:tcMar>
              <w:left w:w="108" w:type="dxa"/>
              <w:right w:w="108" w:type="dxa"/>
            </w:tcMar>
            <w:vAlign w:val="center"/>
          </w:tcPr>
          <w:p w14:paraId="01325A1E">
            <w:pPr>
              <w:ind w:left="8" w:hanging="9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注意：</w:t>
            </w:r>
          </w:p>
        </w:tc>
        <w:tc>
          <w:tcPr>
            <w:tcW w:w="8407" w:type="dxa"/>
            <w:gridSpan w:val="7"/>
            <w:shd w:val="clear" w:color="auto" w:fill="FFFFFF"/>
            <w:noWrap w:val="0"/>
            <w:tcMar>
              <w:left w:w="108" w:type="dxa"/>
              <w:right w:w="108" w:type="dxa"/>
            </w:tcMar>
            <w:vAlign w:val="center"/>
          </w:tcPr>
          <w:p w14:paraId="22ECC6FC">
            <w:pPr>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6D3A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20" w:hRule="atLeast"/>
        </w:trPr>
        <w:tc>
          <w:tcPr>
            <w:tcW w:w="2207" w:type="dxa"/>
            <w:gridSpan w:val="2"/>
            <w:shd w:val="clear" w:color="000000" w:fill="FFFFFF"/>
            <w:noWrap w:val="0"/>
            <w:tcMar>
              <w:left w:w="108" w:type="dxa"/>
              <w:right w:w="108" w:type="dxa"/>
            </w:tcMar>
            <w:vAlign w:val="center"/>
          </w:tcPr>
          <w:p w14:paraId="3D8E2D94">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接收原件经办人(招标代理)：</w:t>
            </w:r>
          </w:p>
        </w:tc>
        <w:tc>
          <w:tcPr>
            <w:tcW w:w="1994" w:type="dxa"/>
            <w:gridSpan w:val="2"/>
            <w:shd w:val="clear" w:color="000000" w:fill="FFFFFF"/>
            <w:noWrap w:val="0"/>
            <w:tcMar>
              <w:left w:w="108" w:type="dxa"/>
              <w:right w:w="108" w:type="dxa"/>
            </w:tcMar>
            <w:vAlign w:val="center"/>
          </w:tcPr>
          <w:p w14:paraId="59FC7B89">
            <w:pPr>
              <w:jc w:val="center"/>
              <w:rPr>
                <w:rFonts w:hint="eastAsia" w:ascii="宋体" w:hAnsi="宋体" w:eastAsia="宋体" w:cs="宋体"/>
                <w:color w:val="auto"/>
                <w:sz w:val="24"/>
                <w:szCs w:val="24"/>
                <w:highlight w:val="none"/>
              </w:rPr>
            </w:pPr>
          </w:p>
        </w:tc>
        <w:tc>
          <w:tcPr>
            <w:tcW w:w="1625" w:type="dxa"/>
            <w:shd w:val="clear" w:color="000000" w:fill="FFFFFF"/>
            <w:noWrap w:val="0"/>
            <w:tcMar>
              <w:left w:w="108" w:type="dxa"/>
              <w:right w:w="108" w:type="dxa"/>
            </w:tcMar>
            <w:vAlign w:val="center"/>
          </w:tcPr>
          <w:p w14:paraId="0694152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接收时间：</w:t>
            </w:r>
          </w:p>
        </w:tc>
        <w:tc>
          <w:tcPr>
            <w:tcW w:w="3282" w:type="dxa"/>
            <w:gridSpan w:val="3"/>
            <w:shd w:val="clear" w:color="000000" w:fill="FFFFFF"/>
            <w:noWrap w:val="0"/>
            <w:tcMar>
              <w:left w:w="108" w:type="dxa"/>
              <w:right w:w="108" w:type="dxa"/>
            </w:tcMar>
            <w:vAlign w:val="center"/>
          </w:tcPr>
          <w:p w14:paraId="5FA9C745">
            <w:pPr>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   时  分</w:t>
            </w:r>
          </w:p>
        </w:tc>
      </w:tr>
      <w:tr w14:paraId="4016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0CE4129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退还原件接收人(投标人)：</w:t>
            </w:r>
          </w:p>
        </w:tc>
        <w:tc>
          <w:tcPr>
            <w:tcW w:w="1994" w:type="dxa"/>
            <w:gridSpan w:val="2"/>
            <w:shd w:val="clear" w:color="000000" w:fill="FFFFFF"/>
            <w:noWrap w:val="0"/>
            <w:tcMar>
              <w:left w:w="108" w:type="dxa"/>
              <w:right w:w="108" w:type="dxa"/>
            </w:tcMar>
            <w:vAlign w:val="center"/>
          </w:tcPr>
          <w:p w14:paraId="1FCD203A">
            <w:pPr>
              <w:jc w:val="center"/>
              <w:rPr>
                <w:rFonts w:hint="eastAsia" w:ascii="宋体" w:hAnsi="宋体" w:eastAsia="宋体" w:cs="宋体"/>
                <w:color w:val="auto"/>
                <w:sz w:val="24"/>
                <w:szCs w:val="24"/>
                <w:highlight w:val="none"/>
              </w:rPr>
            </w:pPr>
          </w:p>
        </w:tc>
        <w:tc>
          <w:tcPr>
            <w:tcW w:w="1625" w:type="dxa"/>
            <w:shd w:val="clear" w:color="000000" w:fill="FFFFFF"/>
            <w:noWrap w:val="0"/>
            <w:tcMar>
              <w:left w:w="108" w:type="dxa"/>
              <w:right w:w="108" w:type="dxa"/>
            </w:tcMar>
            <w:vAlign w:val="center"/>
          </w:tcPr>
          <w:p w14:paraId="466C765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退还时间：</w:t>
            </w:r>
          </w:p>
        </w:tc>
        <w:tc>
          <w:tcPr>
            <w:tcW w:w="3282" w:type="dxa"/>
            <w:gridSpan w:val="3"/>
            <w:shd w:val="clear" w:color="000000" w:fill="FFFFFF"/>
            <w:noWrap w:val="0"/>
            <w:tcMar>
              <w:left w:w="108" w:type="dxa"/>
              <w:right w:w="108" w:type="dxa"/>
            </w:tcMar>
            <w:vAlign w:val="center"/>
          </w:tcPr>
          <w:p w14:paraId="5C218342">
            <w:pPr>
              <w:ind w:firstLine="240" w:firstLineChars="1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   时   分</w:t>
            </w:r>
          </w:p>
        </w:tc>
      </w:tr>
    </w:tbl>
    <w:p w14:paraId="2D95B650">
      <w:pPr>
        <w:rPr>
          <w:rFonts w:hint="eastAsia" w:ascii="宋体" w:hAnsi="宋体" w:eastAsia="宋体" w:cs="宋体"/>
          <w:color w:val="auto"/>
          <w:highlight w:val="none"/>
        </w:rPr>
      </w:pPr>
    </w:p>
    <w:p w14:paraId="38A46AD2">
      <w:pPr>
        <w:rPr>
          <w:rFonts w:hint="eastAsia" w:ascii="宋体" w:hAnsi="宋体" w:eastAsia="宋体" w:cs="宋体"/>
          <w:color w:val="auto"/>
          <w:highlight w:val="none"/>
        </w:rPr>
      </w:pPr>
    </w:p>
    <w:p w14:paraId="32BFDCF2">
      <w:pPr>
        <w:rPr>
          <w:rFonts w:hint="eastAsia" w:ascii="宋体" w:hAnsi="宋体" w:eastAsia="宋体" w:cs="宋体"/>
          <w:color w:val="auto"/>
          <w:highlight w:val="none"/>
        </w:rPr>
      </w:pPr>
    </w:p>
    <w:p w14:paraId="2649EE3D">
      <w:pPr>
        <w:pStyle w:val="3"/>
        <w:keepNext w:val="0"/>
        <w:keepLines w:val="0"/>
        <w:pageBreakBefore w:val="0"/>
        <w:widowControl w:val="0"/>
        <w:kinsoku/>
        <w:wordWrap/>
        <w:overflowPunct/>
        <w:topLinePunct w:val="0"/>
        <w:autoSpaceDE w:val="0"/>
        <w:autoSpaceDN w:val="0"/>
        <w:bidi w:val="0"/>
        <w:adjustRightInd w:val="0"/>
        <w:snapToGrid/>
        <w:jc w:val="center"/>
        <w:textAlignment w:val="auto"/>
        <w:outlineLvl w:val="0"/>
        <w:rPr>
          <w:rFonts w:hint="eastAsia" w:ascii="宋体" w:hAnsi="宋体" w:eastAsia="宋体" w:cs="宋体"/>
          <w:snapToGrid w:val="0"/>
          <w:color w:val="auto"/>
          <w:kern w:val="0"/>
          <w:highlight w:val="none"/>
        </w:rPr>
      </w:pPr>
      <w:bookmarkStart w:id="253" w:name="_Toc3649"/>
      <w:r>
        <w:rPr>
          <w:rFonts w:hint="eastAsia" w:ascii="宋体" w:hAnsi="宋体" w:eastAsia="宋体" w:cs="宋体"/>
          <w:b/>
          <w:bCs/>
          <w:color w:val="auto"/>
          <w:highlight w:val="none"/>
        </w:rPr>
        <w:t>第七章</w:t>
      </w: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rPr>
        <w:t>建设工程施工合同</w:t>
      </w:r>
      <w:bookmarkEnd w:id="253"/>
    </w:p>
    <w:p w14:paraId="3B053518">
      <w:pPr>
        <w:wordWrap w:val="0"/>
        <w:adjustRightInd w:val="0"/>
        <w:snapToGrid w:val="0"/>
        <w:spacing w:line="440" w:lineRule="exact"/>
        <w:rPr>
          <w:rFonts w:hint="eastAsia" w:ascii="宋体" w:hAnsi="宋体" w:eastAsia="宋体" w:cs="宋体"/>
          <w:snapToGrid w:val="0"/>
          <w:color w:val="auto"/>
          <w:kern w:val="0"/>
          <w:highlight w:val="none"/>
          <w:lang w:val="en-US" w:eastAsia="zh-CN"/>
        </w:rPr>
      </w:pPr>
      <w:r>
        <w:rPr>
          <w:rFonts w:hint="eastAsia" w:ascii="宋体" w:hAnsi="宋体" w:eastAsia="宋体" w:cs="宋体"/>
          <w:snapToGrid w:val="0"/>
          <w:color w:val="auto"/>
          <w:kern w:val="0"/>
          <w:highlight w:val="none"/>
        </w:rPr>
        <w:t xml:space="preserve">    （略），按《广东省建设工程标准施工合同》（2009年版）或《建设工程施工合同（示范文本）》（GF—2017—0201）执</w:t>
      </w:r>
      <w:r>
        <w:rPr>
          <w:rFonts w:hint="eastAsia" w:ascii="宋体" w:hAnsi="宋体" w:eastAsia="宋体" w:cs="宋体"/>
          <w:snapToGrid w:val="0"/>
          <w:color w:val="auto"/>
          <w:kern w:val="0"/>
          <w:highlight w:val="none"/>
          <w:lang w:val="en-US" w:eastAsia="zh-CN"/>
        </w:rPr>
        <w:t>行。</w:t>
      </w:r>
      <w:bookmarkEnd w:id="244"/>
      <w:bookmarkEnd w:id="245"/>
      <w:bookmarkEnd w:id="246"/>
      <w:bookmarkEnd w:id="247"/>
      <w:bookmarkEnd w:id="248"/>
      <w:bookmarkEnd w:id="249"/>
      <w:bookmarkEnd w:id="250"/>
    </w:p>
    <w:p w14:paraId="1235F78C">
      <w:pPr>
        <w:rPr>
          <w:rFonts w:hint="eastAsia" w:ascii="宋体" w:hAnsi="宋体" w:eastAsia="宋体" w:cs="宋体"/>
          <w:color w:val="auto"/>
          <w:highlight w:val="none"/>
        </w:rPr>
      </w:pPr>
    </w:p>
    <w:sectPr>
      <w:footerReference r:id="rId7" w:type="default"/>
      <w:endnotePr>
        <w:numFmt w:val="decimal"/>
      </w:endnotePr>
      <w:pgSz w:w="11906" w:h="16838"/>
      <w:pgMar w:top="1134" w:right="1134" w:bottom="1134" w:left="1134" w:header="850" w:footer="850" w:gutter="0"/>
      <w:pgBorders>
        <w:top w:val="none" w:sz="0" w:space="0"/>
        <w:left w:val="none" w:sz="0" w:space="0"/>
        <w:bottom w:val="none" w:sz="0" w:space="0"/>
        <w:right w:val="none" w:sz="0" w:space="0"/>
      </w:pgBorders>
      <w:pgNumType w:fmt="decimal" w:start="1"/>
      <w:cols w:space="0" w:num="1"/>
      <w:rtlGutter w:val="0"/>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E1360">
    <w:pPr>
      <w:pStyle w:val="12"/>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1B00B">
    <w:pPr>
      <w:pStyle w:val="12"/>
      <w:pBdr>
        <w:between w:val="none" w:color="auto" w:sz="0" w:space="0"/>
      </w:pBdr>
      <w:rPr>
        <w:rFonts w:hint="eastAsia"/>
      </w:rPr>
    </w:pPr>
    <w:r>
      <mc:AlternateContent>
        <mc:Choice Requires="wps">
          <w:drawing>
            <wp:anchor distT="0" distB="0" distL="114300" distR="114300" simplePos="0" relativeHeight="251661312" behindDoc="0" locked="0" layoutInCell="1" allowOverlap="1">
              <wp:simplePos x="0" y="0"/>
              <wp:positionH relativeFrom="margin">
                <wp:posOffset>2778760</wp:posOffset>
              </wp:positionH>
              <wp:positionV relativeFrom="paragraph">
                <wp:posOffset>47625</wp:posOffset>
              </wp:positionV>
              <wp:extent cx="1828800" cy="304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a:noFill/>
                      </a:ln>
                    </wps:spPr>
                    <wps:txbx>
                      <w:txbxContent>
                        <w:p w14:paraId="0B8863C0">
                          <w:pPr>
                            <w:pStyle w:val="12"/>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rPr>
                              <w:rFonts w:ascii="Times New Roman"/>
                              <w:sz w:val="21"/>
                            </w:rPr>
                            <w:t>65</w:t>
                          </w:r>
                          <w:r>
                            <w:rPr>
                              <w:rFonts w:ascii="Times New Roman"/>
                              <w:sz w:val="21"/>
                            </w:rPr>
                            <w:fldChar w:fldCharType="end"/>
                          </w:r>
                          <w:r>
                            <w:rPr>
                              <w:rFonts w:hint="eastAsia" w:ascii="Times New Roman"/>
                              <w:sz w:val="21"/>
                            </w:rPr>
                            <w:t>—</w:t>
                          </w:r>
                        </w:p>
                      </w:txbxContent>
                    </wps:txbx>
                    <wps:bodyPr wrap="none" lIns="0" tIns="0" rIns="0" bIns="0" upright="0"/>
                  </wps:wsp>
                </a:graphicData>
              </a:graphic>
            </wp:anchor>
          </w:drawing>
        </mc:Choice>
        <mc:Fallback>
          <w:pict>
            <v:shape id="_x0000_s1026" o:spid="_x0000_s1026" o:spt="202" type="#_x0000_t202" style="position:absolute;left:0pt;margin-left:218.8pt;margin-top:3.75pt;height:24pt;width:144pt;mso-position-horizontal-relative:margin;mso-wrap-style:none;z-index:251661312;mso-width-relative:page;mso-height-relative:page;" filled="f" stroked="f" coordsize="21600,21600" o:gfxdata="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Td/M1gAAAAgBAAAPAAAAAAAAAAEAIAAAACIAAABkcnMvZG93bnJldi54bWxQ&#10;SwECFAAUAAAACACHTuJAJz11xMABAAB+AwAADgAAAAAAAAABACAAAAAlAQAAZHJzL2Uyb0RvYy54&#10;bWxQSwUGAAAAAAYABgBZAQAAVwUAAAAA&#10;">
              <v:fill on="f" focussize="0,0"/>
              <v:stroke on="f"/>
              <v:imagedata o:title=""/>
              <o:lock v:ext="edit" aspectratio="f"/>
              <v:textbox inset="0mm,0mm,0mm,0mm">
                <w:txbxContent>
                  <w:p w14:paraId="0B8863C0">
                    <w:pPr>
                      <w:pStyle w:val="12"/>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rPr>
                        <w:rFonts w:ascii="Times New Roman"/>
                        <w:sz w:val="21"/>
                      </w:rPr>
                      <w:t>65</w:t>
                    </w:r>
                    <w:r>
                      <w:rPr>
                        <w:rFonts w:ascii="Times New Roman"/>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533A2">
    <w:pPr>
      <w:pStyle w:val="8"/>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F6B080"/>
    <w:multiLevelType w:val="singleLevel"/>
    <w:tmpl w:val="C0F6B080"/>
    <w:lvl w:ilvl="0" w:tentative="0">
      <w:start w:val="4"/>
      <w:numFmt w:val="decimal"/>
      <w:suff w:val="nothing"/>
      <w:lvlText w:val="（%1）"/>
      <w:lvlJc w:val="left"/>
      <w:rPr>
        <w:rFonts w:hint="default"/>
        <w:color w:val="000000"/>
      </w:rPr>
    </w:lvl>
  </w:abstractNum>
  <w:abstractNum w:abstractNumId="1">
    <w:nsid w:val="57266DC0"/>
    <w:multiLevelType w:val="singleLevel"/>
    <w:tmpl w:val="57266DC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5A5A0F"/>
    <w:rsid w:val="02A621BC"/>
    <w:rsid w:val="048F20A3"/>
    <w:rsid w:val="04D806FC"/>
    <w:rsid w:val="06B367E6"/>
    <w:rsid w:val="06B91B76"/>
    <w:rsid w:val="07155C37"/>
    <w:rsid w:val="073F4648"/>
    <w:rsid w:val="0AD32F06"/>
    <w:rsid w:val="0B0B36D7"/>
    <w:rsid w:val="0BE223FA"/>
    <w:rsid w:val="0F204B8F"/>
    <w:rsid w:val="12E0742D"/>
    <w:rsid w:val="13313E49"/>
    <w:rsid w:val="1360594A"/>
    <w:rsid w:val="137A2AA4"/>
    <w:rsid w:val="14A423A8"/>
    <w:rsid w:val="17B670B8"/>
    <w:rsid w:val="18216AAC"/>
    <w:rsid w:val="1AC83EF4"/>
    <w:rsid w:val="1AE43477"/>
    <w:rsid w:val="1C5A5A0F"/>
    <w:rsid w:val="1C712A1E"/>
    <w:rsid w:val="1C8E7BC6"/>
    <w:rsid w:val="1C9A1A46"/>
    <w:rsid w:val="1F4B7FF0"/>
    <w:rsid w:val="22DE117B"/>
    <w:rsid w:val="2430726D"/>
    <w:rsid w:val="257F27A2"/>
    <w:rsid w:val="28E41FF1"/>
    <w:rsid w:val="2C063C1D"/>
    <w:rsid w:val="2CA03074"/>
    <w:rsid w:val="2E750BE6"/>
    <w:rsid w:val="2F2D691A"/>
    <w:rsid w:val="2F942A1D"/>
    <w:rsid w:val="2FA116EE"/>
    <w:rsid w:val="31CA1248"/>
    <w:rsid w:val="324A5632"/>
    <w:rsid w:val="35EE2B08"/>
    <w:rsid w:val="37B5046F"/>
    <w:rsid w:val="39355167"/>
    <w:rsid w:val="3AA23697"/>
    <w:rsid w:val="3D6267D9"/>
    <w:rsid w:val="3EDC55D2"/>
    <w:rsid w:val="424E557E"/>
    <w:rsid w:val="42630C27"/>
    <w:rsid w:val="470C0374"/>
    <w:rsid w:val="47524481"/>
    <w:rsid w:val="479C4FDD"/>
    <w:rsid w:val="48384D06"/>
    <w:rsid w:val="4A7C1A49"/>
    <w:rsid w:val="4AAE5049"/>
    <w:rsid w:val="4C066EC9"/>
    <w:rsid w:val="4CDC69E0"/>
    <w:rsid w:val="4D4D4FCD"/>
    <w:rsid w:val="4E41243B"/>
    <w:rsid w:val="4E6879C7"/>
    <w:rsid w:val="4F3342D7"/>
    <w:rsid w:val="529214B7"/>
    <w:rsid w:val="563C475B"/>
    <w:rsid w:val="58273749"/>
    <w:rsid w:val="58313520"/>
    <w:rsid w:val="589661EB"/>
    <w:rsid w:val="58B32187"/>
    <w:rsid w:val="59927FEE"/>
    <w:rsid w:val="5AD65B96"/>
    <w:rsid w:val="5CCC16A6"/>
    <w:rsid w:val="5CF30D54"/>
    <w:rsid w:val="5F683FD7"/>
    <w:rsid w:val="62250BCA"/>
    <w:rsid w:val="64592401"/>
    <w:rsid w:val="64AF30A1"/>
    <w:rsid w:val="659B206D"/>
    <w:rsid w:val="69D837FB"/>
    <w:rsid w:val="6A2B7DCF"/>
    <w:rsid w:val="6D97577B"/>
    <w:rsid w:val="6F6347AD"/>
    <w:rsid w:val="70A97C9F"/>
    <w:rsid w:val="70C60851"/>
    <w:rsid w:val="711D243B"/>
    <w:rsid w:val="735D6B83"/>
    <w:rsid w:val="74485A21"/>
    <w:rsid w:val="74F17E67"/>
    <w:rsid w:val="74F77471"/>
    <w:rsid w:val="769F64EF"/>
    <w:rsid w:val="771960A8"/>
    <w:rsid w:val="773521BD"/>
    <w:rsid w:val="78251543"/>
    <w:rsid w:val="7A0E3036"/>
    <w:rsid w:val="7ABF684C"/>
    <w:rsid w:val="7BA633EC"/>
    <w:rsid w:val="7C833A9B"/>
    <w:rsid w:val="7D273438"/>
    <w:rsid w:val="7DA27D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宋体"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kern w:val="0"/>
      <w:sz w:val="24"/>
    </w:rPr>
  </w:style>
  <w:style w:type="paragraph" w:styleId="5">
    <w:name w:val="heading 3"/>
    <w:basedOn w:val="6"/>
    <w:next w:val="6"/>
    <w:qFormat/>
    <w:uiPriority w:val="0"/>
    <w:pPr>
      <w:keepNext/>
      <w:keepLines/>
      <w:spacing w:before="120" w:beforeLines="0" w:beforeAutospacing="0" w:after="120" w:afterLines="0" w:afterAutospacing="0"/>
      <w:jc w:val="center"/>
      <w:outlineLvl w:val="2"/>
    </w:pPr>
    <w:rPr>
      <w:sz w:val="24"/>
    </w:rPr>
  </w:style>
  <w:style w:type="paragraph" w:styleId="2">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8">
    <w:name w:val="Body Text"/>
    <w:basedOn w:val="1"/>
    <w:qFormat/>
    <w:uiPriority w:val="0"/>
    <w:pPr>
      <w:spacing w:after="120" w:afterLines="0" w:afterAutospacing="0"/>
    </w:pPr>
  </w:style>
  <w:style w:type="paragraph" w:styleId="9">
    <w:name w:val="Body Text Indent"/>
    <w:basedOn w:val="1"/>
    <w:qFormat/>
    <w:uiPriority w:val="0"/>
    <w:pPr>
      <w:ind w:firstLine="560" w:firstLineChars="200"/>
    </w:pPr>
  </w:style>
  <w:style w:type="paragraph" w:styleId="10">
    <w:name w:val="toc 3"/>
    <w:basedOn w:val="1"/>
    <w:next w:val="1"/>
    <w:qFormat/>
    <w:uiPriority w:val="0"/>
    <w:pPr>
      <w:ind w:left="561"/>
      <w:jc w:val="left"/>
    </w:pPr>
    <w:rPr>
      <w:sz w:val="24"/>
    </w:rPr>
  </w:style>
  <w:style w:type="paragraph" w:styleId="11">
    <w:name w:val="Body Text Indent 2"/>
    <w:basedOn w:val="1"/>
    <w:qFormat/>
    <w:uiPriority w:val="0"/>
    <w:pPr>
      <w:spacing w:line="480" w:lineRule="auto"/>
      <w:ind w:firstLine="561"/>
    </w:pPr>
    <w:rPr>
      <w:rFonts w:ascii="宋体"/>
    </w:rPr>
  </w:style>
  <w:style w:type="paragraph" w:styleId="12">
    <w:name w:val="footer"/>
    <w:basedOn w:val="1"/>
    <w:qFormat/>
    <w:uiPriority w:val="0"/>
    <w:pPr>
      <w:widowControl/>
      <w:tabs>
        <w:tab w:val="center" w:pos="4153"/>
        <w:tab w:val="right" w:pos="8306"/>
      </w:tabs>
      <w:snapToGrid w:val="0"/>
      <w:jc w:val="left"/>
    </w:pPr>
    <w:rPr>
      <w:kern w:val="0"/>
      <w:sz w:val="18"/>
    </w:rPr>
  </w:style>
  <w:style w:type="paragraph" w:styleId="13">
    <w:name w:val="toc 1"/>
    <w:basedOn w:val="1"/>
    <w:next w:val="1"/>
    <w:qFormat/>
    <w:uiPriority w:val="0"/>
    <w:pPr>
      <w:spacing w:before="120" w:beforeLines="0" w:beforeAutospacing="0" w:after="120" w:afterLines="0" w:afterAutospacing="0"/>
      <w:jc w:val="left"/>
    </w:pPr>
    <w:rPr>
      <w:caps/>
      <w:sz w:val="24"/>
    </w:rPr>
  </w:style>
  <w:style w:type="paragraph" w:styleId="14">
    <w:name w:val="toc 2"/>
    <w:basedOn w:val="1"/>
    <w:next w:val="1"/>
    <w:qFormat/>
    <w:uiPriority w:val="0"/>
    <w:pPr>
      <w:ind w:left="278"/>
      <w:jc w:val="left"/>
    </w:pPr>
    <w:rPr>
      <w:smallCaps/>
      <w:sz w:val="24"/>
    </w:rPr>
  </w:style>
  <w:style w:type="paragraph" w:styleId="15">
    <w:name w:val="Body Text 2"/>
    <w:basedOn w:val="1"/>
    <w:next w:val="8"/>
    <w:qFormat/>
    <w:uiPriority w:val="0"/>
    <w:pPr>
      <w:spacing w:line="500" w:lineRule="exact"/>
    </w:pPr>
    <w:rPr>
      <w:rFonts w:ascii="宋体"/>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20">
    <w:name w:val="NormalCharacter"/>
    <w:semiHidden/>
    <w:qFormat/>
    <w:uiPriority w:val="0"/>
    <w:rPr>
      <w:rFonts w:ascii="宋体"/>
      <w:kern w:val="2"/>
      <w:sz w:val="24"/>
      <w:lang w:val="en-US" w:eastAsia="zh-CN" w:bidi="ar-SA"/>
    </w:rPr>
  </w:style>
  <w:style w:type="paragraph" w:customStyle="1" w:styleId="21">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
    <w:name w:val="普通(网站)1"/>
    <w:basedOn w:val="1"/>
    <w:qFormat/>
    <w:uiPriority w:val="0"/>
    <w:pPr>
      <w:spacing w:before="100" w:beforeAutospacing="1" w:after="100" w:afterAutospacing="1"/>
      <w:jc w:val="left"/>
    </w:pPr>
    <w:rPr>
      <w:rFonts w:ascii="宋体" w:hAnsi="宋体" w:eastAsia="宋体"/>
      <w:kern w:val="0"/>
      <w:sz w:val="24"/>
    </w:rPr>
  </w:style>
  <w:style w:type="paragraph" w:customStyle="1" w:styleId="23">
    <w:name w:val="样式 宋体 行距: 1.5 倍行距"/>
    <w:basedOn w:val="24"/>
    <w:next w:val="1"/>
    <w:qFormat/>
    <w:uiPriority w:val="0"/>
    <w:pPr>
      <w:jc w:val="center"/>
    </w:pPr>
    <w:rPr>
      <w:rFonts w:ascii="Times New Roman"/>
      <w:b/>
    </w:rPr>
  </w:style>
  <w:style w:type="paragraph" w:customStyle="1" w:styleId="24">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23"/>
    <w:qFormat/>
    <w:uiPriority w:val="0"/>
    <w:pPr>
      <w:widowControl w:val="0"/>
      <w:jc w:val="both"/>
    </w:pPr>
    <w:rPr>
      <w:rFonts w:ascii="Calibri" w:hAnsi="Calibri" w:eastAsia="宋体" w:cs="黑体"/>
      <w:kern w:val="2"/>
      <w:sz w:val="21"/>
      <w:szCs w:val="24"/>
      <w:lang w:val="en-US" w:eastAsia="zh-CN" w:bidi="ar-SA"/>
    </w:rPr>
  </w:style>
  <w:style w:type="paragraph" w:customStyle="1" w:styleId="25">
    <w:name w:val="标题 3 New New"/>
    <w:basedOn w:val="26"/>
    <w:next w:val="26"/>
    <w:qFormat/>
    <w:uiPriority w:val="0"/>
    <w:pPr>
      <w:keepNext/>
      <w:keepLines/>
      <w:spacing w:before="120" w:beforeLines="0" w:beforeAutospacing="0" w:after="120" w:afterLines="0" w:afterAutospacing="0"/>
      <w:jc w:val="center"/>
      <w:outlineLvl w:val="2"/>
    </w:pPr>
    <w:rPr>
      <w:sz w:val="24"/>
    </w:rPr>
  </w:style>
  <w:style w:type="paragraph" w:customStyle="1" w:styleId="26">
    <w:name w:val="正文缩进 New"/>
    <w:basedOn w:val="27"/>
    <w:qFormat/>
    <w:uiPriority w:val="0"/>
    <w:pPr>
      <w:widowControl/>
      <w:ind w:firstLine="420"/>
      <w:jc w:val="left"/>
    </w:pPr>
    <w:rPr>
      <w:kern w:val="0"/>
      <w:sz w:val="20"/>
    </w:rPr>
  </w:style>
  <w:style w:type="paragraph" w:customStyle="1" w:styleId="27">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28">
    <w:name w:val="正文文本缩进 New"/>
    <w:basedOn w:val="27"/>
    <w:qFormat/>
    <w:uiPriority w:val="0"/>
    <w:pPr>
      <w:ind w:firstLine="560" w:firstLineChars="200"/>
    </w:pPr>
    <w:rPr>
      <w:rFonts w:ascii="宋体"/>
      <w:kern w:val="2"/>
      <w:sz w:val="24"/>
    </w:rPr>
  </w:style>
  <w:style w:type="paragraph" w:customStyle="1" w:styleId="29">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正文 New New New New New New New New New New New New New New"/>
    <w:basedOn w:val="1"/>
    <w:qFormat/>
    <w:uiPriority w:val="0"/>
    <w:pPr>
      <w:spacing w:line="240" w:lineRule="auto"/>
    </w:pPr>
    <w:rPr>
      <w:rFonts w:ascii="Times New Roman" w:eastAsia="楷体_GB2312"/>
      <w:sz w:val="21"/>
      <w:szCs w:val="21"/>
    </w:rPr>
  </w:style>
  <w:style w:type="paragraph" w:customStyle="1" w:styleId="31">
    <w:name w:val="正文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32">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3">
    <w:name w:val="正文文本缩进 31"/>
    <w:basedOn w:val="1"/>
    <w:qFormat/>
    <w:uiPriority w:val="0"/>
    <w:pPr>
      <w:ind w:firstLine="570"/>
    </w:pPr>
    <w:rPr>
      <w:color w:val="0000FF"/>
      <w:kern w:val="0"/>
      <w:sz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5.png"/><Relationship Id="rId34" Type="http://schemas.openxmlformats.org/officeDocument/2006/relationships/image" Target="media/image14.jpeg"/><Relationship Id="rId33" Type="http://schemas.openxmlformats.org/officeDocument/2006/relationships/image" Target="media/image13.wmf"/><Relationship Id="rId32" Type="http://schemas.openxmlformats.org/officeDocument/2006/relationships/oleObject" Target="embeddings/oleObject12.bin"/><Relationship Id="rId31" Type="http://schemas.openxmlformats.org/officeDocument/2006/relationships/image" Target="media/image12.wmf"/><Relationship Id="rId30" Type="http://schemas.openxmlformats.org/officeDocument/2006/relationships/oleObject" Target="embeddings/oleObject11.bin"/><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10.bin"/><Relationship Id="rId27" Type="http://schemas.openxmlformats.org/officeDocument/2006/relationships/image" Target="media/image10.wmf"/><Relationship Id="rId26" Type="http://schemas.openxmlformats.org/officeDocument/2006/relationships/oleObject" Target="embeddings/oleObject9.bin"/><Relationship Id="rId25" Type="http://schemas.openxmlformats.org/officeDocument/2006/relationships/image" Target="media/image9.wmf"/><Relationship Id="rId24" Type="http://schemas.openxmlformats.org/officeDocument/2006/relationships/oleObject" Target="embeddings/oleObject8.bin"/><Relationship Id="rId23" Type="http://schemas.openxmlformats.org/officeDocument/2006/relationships/image" Target="media/image8.wmf"/><Relationship Id="rId22" Type="http://schemas.openxmlformats.org/officeDocument/2006/relationships/oleObject" Target="embeddings/oleObject7.bin"/><Relationship Id="rId21" Type="http://schemas.openxmlformats.org/officeDocument/2006/relationships/image" Target="media/image7.w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5.bin"/><Relationship Id="rId17" Type="http://schemas.openxmlformats.org/officeDocument/2006/relationships/image" Target="media/image5.wmf"/><Relationship Id="rId16" Type="http://schemas.openxmlformats.org/officeDocument/2006/relationships/oleObject" Target="embeddings/oleObject4.bin"/><Relationship Id="rId15" Type="http://schemas.openxmlformats.org/officeDocument/2006/relationships/image" Target="media/image4.wmf"/><Relationship Id="rId14" Type="http://schemas.openxmlformats.org/officeDocument/2006/relationships/oleObject" Target="embeddings/oleObject3.bin"/><Relationship Id="rId13" Type="http://schemas.openxmlformats.org/officeDocument/2006/relationships/image" Target="media/image3.wmf"/><Relationship Id="rId12" Type="http://schemas.openxmlformats.org/officeDocument/2006/relationships/oleObject" Target="embeddings/oleObject2.bin"/><Relationship Id="rId11" Type="http://schemas.openxmlformats.org/officeDocument/2006/relationships/image" Target="media/image2.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695</Words>
  <Characters>759</Characters>
  <Lines>0</Lines>
  <Paragraphs>0</Paragraphs>
  <TotalTime>0</TotalTime>
  <ScaleCrop>false</ScaleCrop>
  <LinksUpToDate>false</LinksUpToDate>
  <CharactersWithSpaces>897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2025-09-25T08:58:00Z</dcterms:created>
  <dc:creator>明正</dc:creator>
  <cp:lastModifiedBy>Leon</cp:lastModifiedBy>
  <dcterms:modified xsi:type="dcterms:W3CDTF">2025-10-17T07:13:02Z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097F5BB6FF214DD184C0AA90A1B8A92A_13</vt:lpwstr>
  </property>
  <property fmtid="{D5CDD505-2E9C-101B-9397-08002B2CF9AE}" pid="4" name="KSOTemplateDocerSaveRecord">
    <vt:lpwstr>eyJoZGlkIjoiNWI0ZTY2YWNjYTlkY2Y2NWI1NWViNmFkMzY3ZGVjZjAiLCJ1c2VySWQiOiIzMjI4NDYzOTkifQ==</vt:lpwstr>
  </property>
</Properties>
</file>