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84793E0">
      <w:pPr>
        <w:pStyle w:val="140"/>
        <w:wordWrap w:val="0"/>
        <w:adjustRightInd w:val="0"/>
        <w:snapToGrid w:val="0"/>
        <w:spacing w:line="360" w:lineRule="auto"/>
        <w:jc w:val="center"/>
        <w:rPr>
          <w:rFonts w:hint="eastAsia" w:ascii="宋体" w:hAnsi="宋体" w:eastAsia="宋体" w:cs="宋体"/>
          <w:b/>
          <w:bCs w:val="0"/>
          <w:snapToGrid w:val="0"/>
          <w:color w:val="auto"/>
          <w:kern w:val="0"/>
          <w:sz w:val="48"/>
          <w:szCs w:val="48"/>
          <w:highlight w:val="none"/>
          <w:lang w:val="en-US" w:eastAsia="zh-CN"/>
        </w:rPr>
        <w:sectPr>
          <w:footerReference r:id="rId5" w:type="default"/>
          <w:endnotePr>
            <w:numFmt w:val="decimal"/>
          </w:endnotePr>
          <w:pgSz w:w="11905" w:h="16838"/>
          <w:pgMar w:top="1440" w:right="1417" w:bottom="1440" w:left="1417" w:header="850" w:footer="992" w:gutter="0"/>
          <w:pgNumType w:fmt="decimal" w:start="1"/>
          <w:cols w:space="720" w:num="1"/>
          <w:rtlGutter w:val="0"/>
          <w:docGrid w:type="lines" w:linePitch="317" w:charSpace="0"/>
        </w:sectPr>
      </w:pPr>
      <w:r>
        <w:rPr>
          <w:rFonts w:hint="eastAsia" w:ascii="宋体" w:hAnsi="宋体" w:eastAsia="宋体" w:cs="宋体"/>
          <w:b/>
          <w:bCs w:val="0"/>
          <w:snapToGrid w:val="0"/>
          <w:color w:val="auto"/>
          <w:kern w:val="0"/>
          <w:sz w:val="48"/>
          <w:szCs w:val="48"/>
          <w:highlight w:val="none"/>
          <w:lang w:val="en-US" w:eastAsia="zh-CN"/>
        </w:rPr>
        <w:drawing>
          <wp:inline distT="0" distB="0" distL="114300" distR="114300">
            <wp:extent cx="5740400" cy="8126095"/>
            <wp:effectExtent l="0" t="0" r="0" b="1905"/>
            <wp:docPr id="2" name="图片 2" descr="10、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招标文件封面_01"/>
                    <pic:cNvPicPr>
                      <a:picLocks noChangeAspect="1"/>
                    </pic:cNvPicPr>
                  </pic:nvPicPr>
                  <pic:blipFill>
                    <a:blip r:embed="rId9"/>
                    <a:stretch>
                      <a:fillRect/>
                    </a:stretch>
                  </pic:blipFill>
                  <pic:spPr>
                    <a:xfrm>
                      <a:off x="0" y="0"/>
                      <a:ext cx="5740400" cy="8126095"/>
                    </a:xfrm>
                    <a:prstGeom prst="rect">
                      <a:avLst/>
                    </a:prstGeom>
                  </pic:spPr>
                </pic:pic>
              </a:graphicData>
            </a:graphic>
          </wp:inline>
        </w:drawing>
      </w:r>
    </w:p>
    <w:p w14:paraId="65C97C1D">
      <w:pPr>
        <w:spacing w:line="240" w:lineRule="auto"/>
        <w:jc w:val="center"/>
        <w:rPr>
          <w:b/>
          <w:bCs/>
          <w:color w:val="auto"/>
          <w:sz w:val="44"/>
          <w:szCs w:val="32"/>
          <w:highlight w:val="none"/>
        </w:rPr>
      </w:pPr>
      <w:r>
        <w:rPr>
          <w:rFonts w:hAnsi="宋体"/>
          <w:b/>
          <w:bCs/>
          <w:color w:val="auto"/>
          <w:sz w:val="36"/>
          <w:szCs w:val="32"/>
          <w:highlight w:val="none"/>
        </w:rPr>
        <w:t>目</w:t>
      </w:r>
      <w:r>
        <w:rPr>
          <w:rFonts w:hint="eastAsia" w:hAnsi="宋体"/>
          <w:b/>
          <w:bCs/>
          <w:color w:val="auto"/>
          <w:sz w:val="36"/>
          <w:szCs w:val="32"/>
          <w:highlight w:val="none"/>
        </w:rPr>
        <w:t xml:space="preserve">  </w:t>
      </w:r>
      <w:r>
        <w:rPr>
          <w:rFonts w:hAnsi="宋体"/>
          <w:b/>
          <w:bCs/>
          <w:color w:val="auto"/>
          <w:sz w:val="36"/>
          <w:szCs w:val="32"/>
          <w:highlight w:val="none"/>
        </w:rPr>
        <w:t>录</w:t>
      </w:r>
    </w:p>
    <w:p w14:paraId="4BB8A033">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TOC \o "1-3" \h \u </w:instrText>
      </w:r>
      <w:r>
        <w:rPr>
          <w:rFonts w:hint="eastAsia" w:hAnsi="宋体" w:cs="宋体"/>
          <w:color w:val="auto"/>
          <w:szCs w:val="24"/>
          <w:highlight w:val="none"/>
        </w:rPr>
        <w:fldChar w:fldCharType="separate"/>
      </w: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_Toc27704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_Toc27704 \h </w:instrText>
      </w:r>
      <w:r>
        <w:rPr>
          <w:color w:val="auto"/>
          <w:highlight w:val="none"/>
        </w:rPr>
        <w:fldChar w:fldCharType="separate"/>
      </w:r>
      <w:r>
        <w:rPr>
          <w:color w:val="auto"/>
          <w:highlight w:val="none"/>
        </w:rPr>
        <w:t>4</w:t>
      </w:r>
      <w:r>
        <w:rPr>
          <w:color w:val="auto"/>
          <w:highlight w:val="none"/>
        </w:rPr>
        <w:fldChar w:fldCharType="end"/>
      </w:r>
      <w:r>
        <w:rPr>
          <w:rFonts w:hint="eastAsia" w:hAnsi="宋体" w:cs="宋体"/>
          <w:color w:val="auto"/>
          <w:szCs w:val="24"/>
          <w:highlight w:val="none"/>
        </w:rPr>
        <w:fldChar w:fldCharType="end"/>
      </w:r>
    </w:p>
    <w:p w14:paraId="0373E891">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_Toc9597 </w:instrText>
      </w:r>
      <w:r>
        <w:rPr>
          <w:rFonts w:hint="eastAsia" w:hAnsi="宋体" w:cs="宋体"/>
          <w:color w:val="auto"/>
          <w:szCs w:val="24"/>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_Toc9597 \h </w:instrText>
      </w:r>
      <w:r>
        <w:rPr>
          <w:color w:val="auto"/>
          <w:highlight w:val="none"/>
        </w:rPr>
        <w:fldChar w:fldCharType="separate"/>
      </w:r>
      <w:r>
        <w:rPr>
          <w:color w:val="auto"/>
          <w:highlight w:val="none"/>
        </w:rPr>
        <w:t>4</w:t>
      </w:r>
      <w:r>
        <w:rPr>
          <w:color w:val="auto"/>
          <w:highlight w:val="none"/>
        </w:rPr>
        <w:fldChar w:fldCharType="end"/>
      </w:r>
      <w:r>
        <w:rPr>
          <w:rFonts w:hint="eastAsia" w:hAnsi="宋体" w:cs="宋体"/>
          <w:color w:val="auto"/>
          <w:szCs w:val="24"/>
          <w:highlight w:val="none"/>
        </w:rPr>
        <w:fldChar w:fldCharType="end"/>
      </w:r>
    </w:p>
    <w:p w14:paraId="3DF7B10E">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_Toc26691 </w:instrText>
      </w:r>
      <w:r>
        <w:rPr>
          <w:rFonts w:hint="eastAsia" w:hAnsi="宋体" w:cs="宋体"/>
          <w:color w:val="auto"/>
          <w:szCs w:val="24"/>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_Toc26691 \h </w:instrText>
      </w:r>
      <w:r>
        <w:rPr>
          <w:color w:val="auto"/>
          <w:highlight w:val="none"/>
        </w:rPr>
        <w:fldChar w:fldCharType="separate"/>
      </w:r>
      <w:r>
        <w:rPr>
          <w:color w:val="auto"/>
          <w:highlight w:val="none"/>
        </w:rPr>
        <w:t>10</w:t>
      </w:r>
      <w:r>
        <w:rPr>
          <w:color w:val="auto"/>
          <w:highlight w:val="none"/>
        </w:rPr>
        <w:fldChar w:fldCharType="end"/>
      </w:r>
      <w:r>
        <w:rPr>
          <w:rFonts w:hint="eastAsia" w:hAnsi="宋体" w:cs="宋体"/>
          <w:color w:val="auto"/>
          <w:szCs w:val="24"/>
          <w:highlight w:val="none"/>
        </w:rPr>
        <w:fldChar w:fldCharType="end"/>
      </w:r>
    </w:p>
    <w:p w14:paraId="35F720E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_Toc24029 </w:instrText>
      </w:r>
      <w:r>
        <w:rPr>
          <w:rFonts w:hint="eastAsia" w:hAnsi="宋体" w:cs="宋体"/>
          <w:color w:val="auto"/>
          <w:szCs w:val="24"/>
          <w:highlight w:val="none"/>
        </w:rPr>
        <w:fldChar w:fldCharType="separate"/>
      </w:r>
      <w:r>
        <w:rPr>
          <w:rFonts w:hint="eastAsia"/>
          <w:bCs/>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_Toc24029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2BFBF101">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_Toc26173 </w:instrText>
      </w:r>
      <w:r>
        <w:rPr>
          <w:rFonts w:hint="eastAsia" w:hAnsi="宋体" w:cs="宋体"/>
          <w:color w:val="auto"/>
          <w:szCs w:val="24"/>
          <w:highlight w:val="none"/>
        </w:rPr>
        <w:fldChar w:fldCharType="separate"/>
      </w:r>
      <w:r>
        <w:rPr>
          <w:rFonts w:hint="eastAsia"/>
          <w:bCs/>
          <w:snapToGrid w:val="0"/>
          <w:color w:val="auto"/>
          <w:kern w:val="0"/>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_Toc26173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751EF9D0">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_Toc26825 </w:instrText>
      </w:r>
      <w:r>
        <w:rPr>
          <w:rFonts w:hint="eastAsia" w:hAnsi="宋体" w:cs="宋体"/>
          <w:color w:val="auto"/>
          <w:szCs w:val="24"/>
          <w:highlight w:val="none"/>
        </w:rPr>
        <w:fldChar w:fldCharType="separate"/>
      </w:r>
      <w:r>
        <w:rPr>
          <w:rFonts w:hint="eastAsia"/>
          <w:bCs/>
          <w:snapToGrid w:val="0"/>
          <w:color w:val="auto"/>
          <w:kern w:val="0"/>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_Toc26825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61FA4670">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_Toc18577 </w:instrText>
      </w:r>
      <w:r>
        <w:rPr>
          <w:rFonts w:hint="eastAsia" w:hAnsi="宋体" w:cs="宋体"/>
          <w:color w:val="auto"/>
          <w:szCs w:val="24"/>
          <w:highlight w:val="none"/>
        </w:rPr>
        <w:fldChar w:fldCharType="separate"/>
      </w:r>
      <w:r>
        <w:rPr>
          <w:rFonts w:hint="eastAsia" w:ascii="宋体" w:hAnsi="宋体" w:cs="宋体"/>
          <w:bCs/>
          <w:snapToGrid w:val="0"/>
          <w:color w:val="auto"/>
          <w:kern w:val="0"/>
          <w:highlight w:val="none"/>
        </w:rPr>
        <w:t>3．获取招标文件</w:t>
      </w:r>
      <w:r>
        <w:rPr>
          <w:color w:val="auto"/>
          <w:highlight w:val="none"/>
        </w:rPr>
        <w:tab/>
      </w:r>
      <w:r>
        <w:rPr>
          <w:color w:val="auto"/>
          <w:highlight w:val="none"/>
        </w:rPr>
        <w:fldChar w:fldCharType="begin"/>
      </w:r>
      <w:r>
        <w:rPr>
          <w:color w:val="auto"/>
          <w:highlight w:val="none"/>
        </w:rPr>
        <w:instrText xml:space="preserve"> PAGEREF _Toc18577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13C94F9F">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_Toc932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4．服务期限</w:t>
      </w:r>
      <w:r>
        <w:rPr>
          <w:color w:val="auto"/>
          <w:highlight w:val="none"/>
        </w:rPr>
        <w:tab/>
      </w:r>
      <w:r>
        <w:rPr>
          <w:color w:val="auto"/>
          <w:highlight w:val="none"/>
        </w:rPr>
        <w:fldChar w:fldCharType="begin"/>
      </w:r>
      <w:r>
        <w:rPr>
          <w:color w:val="auto"/>
          <w:highlight w:val="none"/>
        </w:rPr>
        <w:instrText xml:space="preserve"> PAGEREF _Toc932 \h </w:instrText>
      </w:r>
      <w:r>
        <w:rPr>
          <w:color w:val="auto"/>
          <w:highlight w:val="none"/>
        </w:rPr>
        <w:fldChar w:fldCharType="separate"/>
      </w:r>
      <w:r>
        <w:rPr>
          <w:color w:val="auto"/>
          <w:highlight w:val="none"/>
        </w:rPr>
        <w:t>15</w:t>
      </w:r>
      <w:r>
        <w:rPr>
          <w:color w:val="auto"/>
          <w:highlight w:val="none"/>
        </w:rPr>
        <w:fldChar w:fldCharType="end"/>
      </w:r>
      <w:r>
        <w:rPr>
          <w:rFonts w:hint="eastAsia" w:hAnsi="宋体" w:cs="宋体"/>
          <w:color w:val="auto"/>
          <w:szCs w:val="24"/>
          <w:highlight w:val="none"/>
        </w:rPr>
        <w:fldChar w:fldCharType="end"/>
      </w:r>
    </w:p>
    <w:p w14:paraId="37123A90">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_Toc20762 </w:instrText>
      </w:r>
      <w:r>
        <w:rPr>
          <w:rFonts w:hint="eastAsia" w:hAnsi="宋体" w:cs="宋体"/>
          <w:color w:val="auto"/>
          <w:szCs w:val="24"/>
          <w:highlight w:val="none"/>
        </w:rPr>
        <w:fldChar w:fldCharType="separate"/>
      </w:r>
      <w:r>
        <w:rPr>
          <w:rFonts w:hint="eastAsia" w:hAnsi="宋体" w:cs="宋体"/>
          <w:snapToGrid w:val="0"/>
          <w:color w:val="auto"/>
          <w:highlight w:val="none"/>
        </w:rPr>
        <w:t>5．服务标准</w:t>
      </w:r>
      <w:r>
        <w:rPr>
          <w:color w:val="auto"/>
          <w:highlight w:val="none"/>
        </w:rPr>
        <w:tab/>
      </w:r>
      <w:r>
        <w:rPr>
          <w:color w:val="auto"/>
          <w:highlight w:val="none"/>
        </w:rPr>
        <w:fldChar w:fldCharType="begin"/>
      </w:r>
      <w:r>
        <w:rPr>
          <w:color w:val="auto"/>
          <w:highlight w:val="none"/>
        </w:rPr>
        <w:instrText xml:space="preserve"> PAGEREF _Toc20762 \h </w:instrText>
      </w:r>
      <w:r>
        <w:rPr>
          <w:color w:val="auto"/>
          <w:highlight w:val="none"/>
        </w:rPr>
        <w:fldChar w:fldCharType="separate"/>
      </w:r>
      <w:r>
        <w:rPr>
          <w:color w:val="auto"/>
          <w:highlight w:val="none"/>
        </w:rPr>
        <w:t>15</w:t>
      </w:r>
      <w:r>
        <w:rPr>
          <w:color w:val="auto"/>
          <w:highlight w:val="none"/>
        </w:rPr>
        <w:fldChar w:fldCharType="end"/>
      </w:r>
      <w:r>
        <w:rPr>
          <w:rFonts w:hint="eastAsia" w:hAnsi="宋体" w:cs="宋体"/>
          <w:color w:val="auto"/>
          <w:szCs w:val="24"/>
          <w:highlight w:val="none"/>
        </w:rPr>
        <w:fldChar w:fldCharType="end"/>
      </w:r>
    </w:p>
    <w:p w14:paraId="67CD71B3">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_Toc730 </w:instrText>
      </w:r>
      <w:r>
        <w:rPr>
          <w:rFonts w:hint="eastAsia" w:hAnsi="宋体" w:cs="宋体"/>
          <w:color w:val="auto"/>
          <w:szCs w:val="24"/>
          <w:highlight w:val="none"/>
        </w:rPr>
        <w:fldChar w:fldCharType="separate"/>
      </w:r>
      <w:r>
        <w:rPr>
          <w:rFonts w:hint="eastAsia" w:hAnsi="宋体" w:cs="宋体"/>
          <w:snapToGrid w:val="0"/>
          <w:color w:val="auto"/>
          <w:highlight w:val="none"/>
        </w:rPr>
        <w:t>6．现场踏勘</w:t>
      </w:r>
      <w:r>
        <w:rPr>
          <w:color w:val="auto"/>
          <w:highlight w:val="none"/>
        </w:rPr>
        <w:tab/>
      </w:r>
      <w:r>
        <w:rPr>
          <w:color w:val="auto"/>
          <w:highlight w:val="none"/>
        </w:rPr>
        <w:fldChar w:fldCharType="begin"/>
      </w:r>
      <w:r>
        <w:rPr>
          <w:color w:val="auto"/>
          <w:highlight w:val="none"/>
        </w:rPr>
        <w:instrText xml:space="preserve"> PAGEREF _Toc730 \h </w:instrText>
      </w:r>
      <w:r>
        <w:rPr>
          <w:color w:val="auto"/>
          <w:highlight w:val="none"/>
        </w:rPr>
        <w:fldChar w:fldCharType="separate"/>
      </w:r>
      <w:r>
        <w:rPr>
          <w:color w:val="auto"/>
          <w:highlight w:val="none"/>
        </w:rPr>
        <w:t>15</w:t>
      </w:r>
      <w:r>
        <w:rPr>
          <w:color w:val="auto"/>
          <w:highlight w:val="none"/>
        </w:rPr>
        <w:fldChar w:fldCharType="end"/>
      </w:r>
      <w:r>
        <w:rPr>
          <w:rFonts w:hint="eastAsia" w:hAnsi="宋体" w:cs="宋体"/>
          <w:color w:val="auto"/>
          <w:szCs w:val="24"/>
          <w:highlight w:val="none"/>
        </w:rPr>
        <w:fldChar w:fldCharType="end"/>
      </w:r>
    </w:p>
    <w:p w14:paraId="4E06DBE1">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_Toc7335 </w:instrText>
      </w:r>
      <w:r>
        <w:rPr>
          <w:rFonts w:hint="eastAsia" w:hAnsi="宋体" w:cs="宋体"/>
          <w:color w:val="auto"/>
          <w:szCs w:val="24"/>
          <w:highlight w:val="none"/>
        </w:rPr>
        <w:fldChar w:fldCharType="separate"/>
      </w:r>
      <w:r>
        <w:rPr>
          <w:rFonts w:hint="eastAsia" w:hAnsi="宋体" w:cs="宋体"/>
          <w:snapToGrid w:val="0"/>
          <w:color w:val="auto"/>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_Toc7335 \h </w:instrText>
      </w:r>
      <w:r>
        <w:rPr>
          <w:color w:val="auto"/>
          <w:highlight w:val="none"/>
        </w:rPr>
        <w:fldChar w:fldCharType="separate"/>
      </w:r>
      <w:r>
        <w:rPr>
          <w:color w:val="auto"/>
          <w:highlight w:val="none"/>
        </w:rPr>
        <w:t>15</w:t>
      </w:r>
      <w:r>
        <w:rPr>
          <w:color w:val="auto"/>
          <w:highlight w:val="none"/>
        </w:rPr>
        <w:fldChar w:fldCharType="end"/>
      </w:r>
      <w:r>
        <w:rPr>
          <w:rFonts w:hint="eastAsia" w:hAnsi="宋体" w:cs="宋体"/>
          <w:color w:val="auto"/>
          <w:szCs w:val="24"/>
          <w:highlight w:val="none"/>
        </w:rPr>
        <w:fldChar w:fldCharType="end"/>
      </w:r>
    </w:p>
    <w:p w14:paraId="0FCF9E93">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_Toc2500 </w:instrText>
      </w:r>
      <w:r>
        <w:rPr>
          <w:rFonts w:hint="eastAsia" w:hAnsi="宋体" w:cs="宋体"/>
          <w:color w:val="auto"/>
          <w:szCs w:val="24"/>
          <w:highlight w:val="none"/>
        </w:rPr>
        <w:fldChar w:fldCharType="separate"/>
      </w:r>
      <w:r>
        <w:rPr>
          <w:rFonts w:hint="eastAsia" w:hAnsi="宋体" w:cs="宋体"/>
          <w:snapToGrid w:val="0"/>
          <w:color w:val="auto"/>
          <w:highlight w:val="none"/>
        </w:rPr>
        <w:t>8．最高投标限价</w:t>
      </w:r>
      <w:r>
        <w:rPr>
          <w:color w:val="auto"/>
          <w:highlight w:val="none"/>
        </w:rPr>
        <w:tab/>
      </w:r>
      <w:r>
        <w:rPr>
          <w:color w:val="auto"/>
          <w:highlight w:val="none"/>
        </w:rPr>
        <w:fldChar w:fldCharType="begin"/>
      </w:r>
      <w:r>
        <w:rPr>
          <w:color w:val="auto"/>
          <w:highlight w:val="none"/>
        </w:rPr>
        <w:instrText xml:space="preserve"> PAGEREF _Toc2500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547D15D2">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_Toc31693 </w:instrText>
      </w:r>
      <w:r>
        <w:rPr>
          <w:rFonts w:hint="eastAsia" w:hAnsi="宋体" w:cs="宋体"/>
          <w:color w:val="auto"/>
          <w:szCs w:val="24"/>
          <w:highlight w:val="none"/>
        </w:rPr>
        <w:fldChar w:fldCharType="separate"/>
      </w:r>
      <w:r>
        <w:rPr>
          <w:rFonts w:hint="eastAsia" w:hAnsi="宋体" w:cs="宋体"/>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_Toc31693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6BEF9306">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_Toc32452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_Toc32452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szCs w:val="24"/>
          <w:highlight w:val="none"/>
        </w:rPr>
        <w:fldChar w:fldCharType="end"/>
      </w:r>
    </w:p>
    <w:p w14:paraId="5C989072">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_Toc6940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11．电子投标</w:t>
      </w:r>
      <w:r>
        <w:rPr>
          <w:color w:val="auto"/>
          <w:highlight w:val="none"/>
        </w:rPr>
        <w:tab/>
      </w:r>
      <w:r>
        <w:rPr>
          <w:color w:val="auto"/>
          <w:highlight w:val="none"/>
        </w:rPr>
        <w:fldChar w:fldCharType="begin"/>
      </w:r>
      <w:r>
        <w:rPr>
          <w:color w:val="auto"/>
          <w:highlight w:val="none"/>
        </w:rPr>
        <w:instrText xml:space="preserve"> PAGEREF _Toc6940 \h </w:instrText>
      </w:r>
      <w:r>
        <w:rPr>
          <w:color w:val="auto"/>
          <w:highlight w:val="none"/>
        </w:rPr>
        <w:fldChar w:fldCharType="separate"/>
      </w:r>
      <w:r>
        <w:rPr>
          <w:color w:val="auto"/>
          <w:highlight w:val="none"/>
        </w:rPr>
        <w:t>19</w:t>
      </w:r>
      <w:r>
        <w:rPr>
          <w:color w:val="auto"/>
          <w:highlight w:val="none"/>
        </w:rPr>
        <w:fldChar w:fldCharType="end"/>
      </w:r>
      <w:r>
        <w:rPr>
          <w:rFonts w:hint="eastAsia" w:hAnsi="宋体" w:cs="宋体"/>
          <w:color w:val="auto"/>
          <w:szCs w:val="24"/>
          <w:highlight w:val="none"/>
        </w:rPr>
        <w:fldChar w:fldCharType="end"/>
      </w:r>
    </w:p>
    <w:p w14:paraId="07F6670D">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_Toc1294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12. 投标文件的提交</w:t>
      </w:r>
      <w:r>
        <w:rPr>
          <w:color w:val="auto"/>
          <w:highlight w:val="none"/>
        </w:rPr>
        <w:tab/>
      </w:r>
      <w:r>
        <w:rPr>
          <w:color w:val="auto"/>
          <w:highlight w:val="none"/>
        </w:rPr>
        <w:fldChar w:fldCharType="begin"/>
      </w:r>
      <w:r>
        <w:rPr>
          <w:color w:val="auto"/>
          <w:highlight w:val="none"/>
        </w:rPr>
        <w:instrText xml:space="preserve"> PAGEREF _Toc1294 \h </w:instrText>
      </w:r>
      <w:r>
        <w:rPr>
          <w:color w:val="auto"/>
          <w:highlight w:val="none"/>
        </w:rPr>
        <w:fldChar w:fldCharType="separate"/>
      </w:r>
      <w:r>
        <w:rPr>
          <w:color w:val="auto"/>
          <w:highlight w:val="none"/>
        </w:rPr>
        <w:t>20</w:t>
      </w:r>
      <w:r>
        <w:rPr>
          <w:color w:val="auto"/>
          <w:highlight w:val="none"/>
        </w:rPr>
        <w:fldChar w:fldCharType="end"/>
      </w:r>
      <w:r>
        <w:rPr>
          <w:rFonts w:hint="eastAsia" w:hAnsi="宋体" w:cs="宋体"/>
          <w:color w:val="auto"/>
          <w:szCs w:val="24"/>
          <w:highlight w:val="none"/>
        </w:rPr>
        <w:fldChar w:fldCharType="end"/>
      </w:r>
    </w:p>
    <w:p w14:paraId="5A84934E">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_Toc20994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13．投标有效期</w:t>
      </w:r>
      <w:r>
        <w:rPr>
          <w:color w:val="auto"/>
          <w:highlight w:val="none"/>
        </w:rPr>
        <w:tab/>
      </w:r>
      <w:r>
        <w:rPr>
          <w:color w:val="auto"/>
          <w:highlight w:val="none"/>
        </w:rPr>
        <w:fldChar w:fldCharType="begin"/>
      </w:r>
      <w:r>
        <w:rPr>
          <w:color w:val="auto"/>
          <w:highlight w:val="none"/>
        </w:rPr>
        <w:instrText xml:space="preserve"> PAGEREF _Toc20994 \h </w:instrText>
      </w:r>
      <w:r>
        <w:rPr>
          <w:color w:val="auto"/>
          <w:highlight w:val="none"/>
        </w:rPr>
        <w:fldChar w:fldCharType="separate"/>
      </w:r>
      <w:r>
        <w:rPr>
          <w:color w:val="auto"/>
          <w:highlight w:val="none"/>
        </w:rPr>
        <w:t>21</w:t>
      </w:r>
      <w:r>
        <w:rPr>
          <w:color w:val="auto"/>
          <w:highlight w:val="none"/>
        </w:rPr>
        <w:fldChar w:fldCharType="end"/>
      </w:r>
      <w:r>
        <w:rPr>
          <w:rFonts w:hint="eastAsia" w:hAnsi="宋体" w:cs="宋体"/>
          <w:color w:val="auto"/>
          <w:szCs w:val="24"/>
          <w:highlight w:val="none"/>
        </w:rPr>
        <w:fldChar w:fldCharType="end"/>
      </w:r>
    </w:p>
    <w:p w14:paraId="5036CCA7">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_Toc11340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14．开标</w:t>
      </w:r>
      <w:r>
        <w:rPr>
          <w:color w:val="auto"/>
          <w:highlight w:val="none"/>
        </w:rPr>
        <w:tab/>
      </w:r>
      <w:r>
        <w:rPr>
          <w:color w:val="auto"/>
          <w:highlight w:val="none"/>
        </w:rPr>
        <w:fldChar w:fldCharType="begin"/>
      </w:r>
      <w:r>
        <w:rPr>
          <w:color w:val="auto"/>
          <w:highlight w:val="none"/>
        </w:rPr>
        <w:instrText xml:space="preserve"> PAGEREF _Toc11340 \h </w:instrText>
      </w:r>
      <w:r>
        <w:rPr>
          <w:color w:val="auto"/>
          <w:highlight w:val="none"/>
        </w:rPr>
        <w:fldChar w:fldCharType="separate"/>
      </w:r>
      <w:r>
        <w:rPr>
          <w:color w:val="auto"/>
          <w:highlight w:val="none"/>
        </w:rPr>
        <w:t>21</w:t>
      </w:r>
      <w:r>
        <w:rPr>
          <w:color w:val="auto"/>
          <w:highlight w:val="none"/>
        </w:rPr>
        <w:fldChar w:fldCharType="end"/>
      </w:r>
      <w:r>
        <w:rPr>
          <w:rFonts w:hint="eastAsia" w:hAnsi="宋体" w:cs="宋体"/>
          <w:color w:val="auto"/>
          <w:szCs w:val="24"/>
          <w:highlight w:val="none"/>
        </w:rPr>
        <w:fldChar w:fldCharType="end"/>
      </w:r>
    </w:p>
    <w:p w14:paraId="7DF346BD">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_Toc8702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15．评标</w:t>
      </w:r>
      <w:r>
        <w:rPr>
          <w:color w:val="auto"/>
          <w:highlight w:val="none"/>
        </w:rPr>
        <w:tab/>
      </w:r>
      <w:r>
        <w:rPr>
          <w:color w:val="auto"/>
          <w:highlight w:val="none"/>
        </w:rPr>
        <w:fldChar w:fldCharType="begin"/>
      </w:r>
      <w:r>
        <w:rPr>
          <w:color w:val="auto"/>
          <w:highlight w:val="none"/>
        </w:rPr>
        <w:instrText xml:space="preserve"> PAGEREF _Toc8702 \h </w:instrText>
      </w:r>
      <w:r>
        <w:rPr>
          <w:color w:val="auto"/>
          <w:highlight w:val="none"/>
        </w:rPr>
        <w:fldChar w:fldCharType="separate"/>
      </w:r>
      <w:r>
        <w:rPr>
          <w:color w:val="auto"/>
          <w:highlight w:val="none"/>
        </w:rPr>
        <w:t>23</w:t>
      </w:r>
      <w:r>
        <w:rPr>
          <w:color w:val="auto"/>
          <w:highlight w:val="none"/>
        </w:rPr>
        <w:fldChar w:fldCharType="end"/>
      </w:r>
      <w:r>
        <w:rPr>
          <w:rFonts w:hint="eastAsia" w:hAnsi="宋体" w:cs="宋体"/>
          <w:color w:val="auto"/>
          <w:szCs w:val="24"/>
          <w:highlight w:val="none"/>
        </w:rPr>
        <w:fldChar w:fldCharType="end"/>
      </w:r>
    </w:p>
    <w:p w14:paraId="6107D8A3">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_Toc8746 </w:instrText>
      </w:r>
      <w:r>
        <w:rPr>
          <w:rFonts w:hint="eastAsia" w:hAnsi="宋体" w:cs="宋体"/>
          <w:color w:val="auto"/>
          <w:szCs w:val="24"/>
          <w:highlight w:val="none"/>
        </w:rPr>
        <w:fldChar w:fldCharType="separate"/>
      </w:r>
      <w:r>
        <w:rPr>
          <w:rFonts w:hint="eastAsia" w:ascii="宋体" w:hAnsi="宋体" w:eastAsia="宋体" w:cs="宋体"/>
          <w:bCs/>
          <w:color w:val="auto"/>
          <w:szCs w:val="22"/>
          <w:highlight w:val="none"/>
        </w:rPr>
        <w:t>表1 综合评分表</w:t>
      </w:r>
      <w:r>
        <w:rPr>
          <w:color w:val="auto"/>
          <w:highlight w:val="none"/>
        </w:rPr>
        <w:tab/>
      </w:r>
      <w:r>
        <w:rPr>
          <w:color w:val="auto"/>
          <w:highlight w:val="none"/>
        </w:rPr>
        <w:fldChar w:fldCharType="begin"/>
      </w:r>
      <w:r>
        <w:rPr>
          <w:color w:val="auto"/>
          <w:highlight w:val="none"/>
        </w:rPr>
        <w:instrText xml:space="preserve"> PAGEREF _Toc8746 \h </w:instrText>
      </w:r>
      <w:r>
        <w:rPr>
          <w:color w:val="auto"/>
          <w:highlight w:val="none"/>
        </w:rPr>
        <w:fldChar w:fldCharType="separate"/>
      </w:r>
      <w:r>
        <w:rPr>
          <w:color w:val="auto"/>
          <w:highlight w:val="none"/>
        </w:rPr>
        <w:t>27</w:t>
      </w:r>
      <w:r>
        <w:rPr>
          <w:color w:val="auto"/>
          <w:highlight w:val="none"/>
        </w:rPr>
        <w:fldChar w:fldCharType="end"/>
      </w:r>
      <w:r>
        <w:rPr>
          <w:rFonts w:hint="eastAsia" w:hAnsi="宋体" w:cs="宋体"/>
          <w:color w:val="auto"/>
          <w:szCs w:val="24"/>
          <w:highlight w:val="none"/>
        </w:rPr>
        <w:fldChar w:fldCharType="end"/>
      </w:r>
    </w:p>
    <w:p w14:paraId="29C8EB88">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_Toc28942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16．推荐</w:t>
      </w:r>
      <w:r>
        <w:rPr>
          <w:rFonts w:hint="eastAsia" w:hAnsi="宋体" w:cs="宋体"/>
          <w:snapToGrid w:val="0"/>
          <w:color w:val="auto"/>
          <w:kern w:val="0"/>
          <w:szCs w:val="24"/>
          <w:highlight w:val="none"/>
          <w:lang w:eastAsia="zh-CN"/>
        </w:rPr>
        <w:t>定</w:t>
      </w:r>
      <w:r>
        <w:rPr>
          <w:rFonts w:hint="eastAsia" w:hAnsi="宋体" w:cs="宋体"/>
          <w:snapToGrid w:val="0"/>
          <w:color w:val="auto"/>
          <w:kern w:val="0"/>
          <w:szCs w:val="24"/>
          <w:highlight w:val="none"/>
        </w:rPr>
        <w:t>标候选人</w:t>
      </w:r>
      <w:r>
        <w:rPr>
          <w:color w:val="auto"/>
          <w:highlight w:val="none"/>
        </w:rPr>
        <w:tab/>
      </w:r>
      <w:r>
        <w:rPr>
          <w:color w:val="auto"/>
          <w:highlight w:val="none"/>
        </w:rPr>
        <w:fldChar w:fldCharType="begin"/>
      </w:r>
      <w:r>
        <w:rPr>
          <w:color w:val="auto"/>
          <w:highlight w:val="none"/>
        </w:rPr>
        <w:instrText xml:space="preserve"> PAGEREF _Toc28942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6B6BA016">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_Toc31901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17．</w:t>
      </w:r>
      <w:r>
        <w:rPr>
          <w:rFonts w:hint="eastAsia" w:hAnsi="宋体" w:cs="宋体"/>
          <w:snapToGrid w:val="0"/>
          <w:color w:val="auto"/>
          <w:kern w:val="0"/>
          <w:szCs w:val="24"/>
          <w:highlight w:val="none"/>
          <w:lang w:eastAsia="zh-CN"/>
        </w:rPr>
        <w:t>评标结果</w:t>
      </w:r>
      <w:r>
        <w:rPr>
          <w:rFonts w:hint="eastAsia" w:hAnsi="宋体" w:cs="宋体"/>
          <w:snapToGrid w:val="0"/>
          <w:color w:val="auto"/>
          <w:kern w:val="0"/>
          <w:szCs w:val="24"/>
          <w:highlight w:val="none"/>
        </w:rPr>
        <w:t>公示</w:t>
      </w:r>
      <w:r>
        <w:rPr>
          <w:color w:val="auto"/>
          <w:highlight w:val="none"/>
        </w:rPr>
        <w:tab/>
      </w:r>
      <w:r>
        <w:rPr>
          <w:color w:val="auto"/>
          <w:highlight w:val="none"/>
        </w:rPr>
        <w:fldChar w:fldCharType="begin"/>
      </w:r>
      <w:r>
        <w:rPr>
          <w:color w:val="auto"/>
          <w:highlight w:val="none"/>
        </w:rPr>
        <w:instrText xml:space="preserve"> PAGEREF _Toc31901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7F52D90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_Toc32237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_Toc32237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531C738A">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_Toc10226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1．资格评审环节</w:t>
      </w:r>
      <w:r>
        <w:rPr>
          <w:color w:val="auto"/>
          <w:highlight w:val="none"/>
        </w:rPr>
        <w:tab/>
      </w:r>
      <w:r>
        <w:rPr>
          <w:color w:val="auto"/>
          <w:highlight w:val="none"/>
        </w:rPr>
        <w:fldChar w:fldCharType="begin"/>
      </w:r>
      <w:r>
        <w:rPr>
          <w:color w:val="auto"/>
          <w:highlight w:val="none"/>
        </w:rPr>
        <w:instrText xml:space="preserve"> PAGEREF _Toc10226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107D645A">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_Toc4655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2．形式评审环节</w:t>
      </w:r>
      <w:r>
        <w:rPr>
          <w:color w:val="auto"/>
          <w:highlight w:val="none"/>
        </w:rPr>
        <w:tab/>
      </w:r>
      <w:r>
        <w:rPr>
          <w:color w:val="auto"/>
          <w:highlight w:val="none"/>
        </w:rPr>
        <w:fldChar w:fldCharType="begin"/>
      </w:r>
      <w:r>
        <w:rPr>
          <w:color w:val="auto"/>
          <w:highlight w:val="none"/>
        </w:rPr>
        <w:instrText xml:space="preserve"> PAGEREF _Toc4655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51BAC790">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_Toc1031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_Toc1031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5949CE76">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_Toc8328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4．其他</w:t>
      </w:r>
      <w:r>
        <w:rPr>
          <w:color w:val="auto"/>
          <w:highlight w:val="none"/>
        </w:rPr>
        <w:tab/>
      </w:r>
      <w:r>
        <w:rPr>
          <w:color w:val="auto"/>
          <w:highlight w:val="none"/>
        </w:rPr>
        <w:fldChar w:fldCharType="begin"/>
      </w:r>
      <w:r>
        <w:rPr>
          <w:color w:val="auto"/>
          <w:highlight w:val="none"/>
        </w:rPr>
        <w:instrText xml:space="preserve"> PAGEREF _Toc8328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65B9A39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_Toc10714 </w:instrText>
      </w:r>
      <w:r>
        <w:rPr>
          <w:rFonts w:hint="eastAsia" w:hAnsi="宋体" w:cs="宋体"/>
          <w:color w:val="auto"/>
          <w:szCs w:val="24"/>
          <w:highlight w:val="none"/>
        </w:rPr>
        <w:fldChar w:fldCharType="separate"/>
      </w:r>
      <w:r>
        <w:rPr>
          <w:rFonts w:hint="eastAsia" w:hAnsi="宋体" w:cs="宋体"/>
          <w:bCs/>
          <w:snapToGrid w:val="0"/>
          <w:color w:val="auto"/>
          <w:kern w:val="0"/>
          <w:szCs w:val="21"/>
          <w:highlight w:val="none"/>
          <w:lang w:val="en-US" w:eastAsia="zh-CN"/>
        </w:rPr>
        <w:t>第五节.定标</w:t>
      </w:r>
      <w:r>
        <w:rPr>
          <w:color w:val="auto"/>
          <w:highlight w:val="none"/>
        </w:rPr>
        <w:tab/>
      </w:r>
      <w:r>
        <w:rPr>
          <w:color w:val="auto"/>
          <w:highlight w:val="none"/>
        </w:rPr>
        <w:fldChar w:fldCharType="begin"/>
      </w:r>
      <w:r>
        <w:rPr>
          <w:color w:val="auto"/>
          <w:highlight w:val="none"/>
        </w:rPr>
        <w:instrText xml:space="preserve"> PAGEREF _Toc10714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4BDE2DC3">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_Toc4754 </w:instrText>
      </w:r>
      <w:r>
        <w:rPr>
          <w:rFonts w:hint="eastAsia" w:hAnsi="宋体" w:cs="宋体"/>
          <w:color w:val="auto"/>
          <w:szCs w:val="24"/>
          <w:highlight w:val="none"/>
        </w:rPr>
        <w:fldChar w:fldCharType="separate"/>
      </w:r>
      <w:r>
        <w:rPr>
          <w:rFonts w:hint="eastAsia" w:hAnsi="宋体" w:cs="宋体"/>
          <w:bCs/>
          <w:color w:val="auto"/>
          <w:highlight w:val="none"/>
          <w:lang w:val="en-US" w:eastAsia="zh-CN"/>
        </w:rPr>
        <w:t>1.</w:t>
      </w:r>
      <w:r>
        <w:rPr>
          <w:rFonts w:hint="eastAsia" w:ascii="宋体" w:hAnsi="宋体" w:eastAsia="宋体" w:cs="宋体"/>
          <w:bCs/>
          <w:color w:val="auto"/>
          <w:szCs w:val="24"/>
          <w:highlight w:val="none"/>
          <w:lang w:eastAsia="zh-CN"/>
        </w:rPr>
        <w:t>确定</w:t>
      </w:r>
      <w:r>
        <w:rPr>
          <w:rFonts w:hint="eastAsia" w:ascii="宋体" w:hAnsi="宋体" w:eastAsia="宋体" w:cs="宋体"/>
          <w:bCs/>
          <w:color w:val="auto"/>
          <w:szCs w:val="24"/>
          <w:highlight w:val="none"/>
        </w:rPr>
        <w:t>定标时间</w:t>
      </w:r>
      <w:r>
        <w:rPr>
          <w:color w:val="auto"/>
          <w:highlight w:val="none"/>
        </w:rPr>
        <w:tab/>
      </w:r>
      <w:r>
        <w:rPr>
          <w:color w:val="auto"/>
          <w:highlight w:val="none"/>
        </w:rPr>
        <w:fldChar w:fldCharType="begin"/>
      </w:r>
      <w:r>
        <w:rPr>
          <w:color w:val="auto"/>
          <w:highlight w:val="none"/>
        </w:rPr>
        <w:instrText xml:space="preserve"> PAGEREF _Toc4754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5419249A">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_Toc9939 </w:instrText>
      </w:r>
      <w:r>
        <w:rPr>
          <w:rFonts w:hint="eastAsia" w:hAnsi="宋体" w:cs="宋体"/>
          <w:color w:val="auto"/>
          <w:szCs w:val="24"/>
          <w:highlight w:val="none"/>
        </w:rPr>
        <w:fldChar w:fldCharType="separate"/>
      </w:r>
      <w:r>
        <w:rPr>
          <w:rFonts w:hint="eastAsia" w:hAnsi="宋体" w:cs="宋体"/>
          <w:bCs/>
          <w:color w:val="auto"/>
          <w:highlight w:val="none"/>
          <w:lang w:val="en-US" w:eastAsia="zh-CN"/>
        </w:rPr>
        <w:t>2</w:t>
      </w:r>
      <w:r>
        <w:rPr>
          <w:rFonts w:hint="eastAsia" w:ascii="宋体" w:hAnsi="宋体" w:eastAsia="宋体" w:cs="宋体"/>
          <w:bCs/>
          <w:color w:val="auto"/>
          <w:highlight w:val="none"/>
        </w:rPr>
        <w:t>.</w:t>
      </w:r>
      <w:r>
        <w:rPr>
          <w:rFonts w:hint="eastAsia" w:ascii="宋体" w:hAnsi="宋体" w:eastAsia="宋体" w:cs="宋体"/>
          <w:color w:val="auto"/>
          <w:highlight w:val="none"/>
          <w:lang w:eastAsia="zh-CN"/>
        </w:rPr>
        <w:t>定标委员会</w:t>
      </w:r>
      <w:r>
        <w:rPr>
          <w:color w:val="auto"/>
          <w:highlight w:val="none"/>
        </w:rPr>
        <w:tab/>
      </w:r>
      <w:r>
        <w:rPr>
          <w:color w:val="auto"/>
          <w:highlight w:val="none"/>
        </w:rPr>
        <w:fldChar w:fldCharType="begin"/>
      </w:r>
      <w:r>
        <w:rPr>
          <w:color w:val="auto"/>
          <w:highlight w:val="none"/>
        </w:rPr>
        <w:instrText xml:space="preserve"> PAGEREF _Toc9939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5469CF1F">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_Toc10625 </w:instrText>
      </w:r>
      <w:r>
        <w:rPr>
          <w:rFonts w:hint="eastAsia" w:hAnsi="宋体" w:cs="宋体"/>
          <w:color w:val="auto"/>
          <w:szCs w:val="24"/>
          <w:highlight w:val="none"/>
        </w:rPr>
        <w:fldChar w:fldCharType="separate"/>
      </w:r>
      <w:r>
        <w:rPr>
          <w:rFonts w:hint="eastAsia" w:hAnsi="宋体" w:cs="宋体"/>
          <w:bCs/>
          <w:color w:val="auto"/>
          <w:highlight w:val="none"/>
          <w:lang w:val="en-US" w:eastAsia="zh-CN"/>
        </w:rPr>
        <w:t>3</w:t>
      </w:r>
      <w:r>
        <w:rPr>
          <w:rFonts w:hint="eastAsia" w:ascii="宋体" w:hAnsi="宋体" w:eastAsia="宋体" w:cs="宋体"/>
          <w:bCs/>
          <w:color w:val="auto"/>
          <w:highlight w:val="none"/>
        </w:rPr>
        <w:t>.</w:t>
      </w:r>
      <w:r>
        <w:rPr>
          <w:rFonts w:hint="eastAsia" w:ascii="宋体" w:hAnsi="宋体" w:eastAsia="宋体" w:cs="宋体"/>
          <w:bCs/>
          <w:strike w:val="0"/>
          <w:dstrike w:val="0"/>
          <w:color w:val="auto"/>
          <w:kern w:val="2"/>
          <w:szCs w:val="24"/>
          <w:highlight w:val="none"/>
          <w:lang w:val="en-US" w:eastAsia="zh-CN"/>
        </w:rPr>
        <w:t>组建招标监督小组</w:t>
      </w:r>
      <w:r>
        <w:rPr>
          <w:color w:val="auto"/>
          <w:highlight w:val="none"/>
        </w:rPr>
        <w:tab/>
      </w:r>
      <w:r>
        <w:rPr>
          <w:color w:val="auto"/>
          <w:highlight w:val="none"/>
        </w:rPr>
        <w:fldChar w:fldCharType="begin"/>
      </w:r>
      <w:r>
        <w:rPr>
          <w:color w:val="auto"/>
          <w:highlight w:val="none"/>
        </w:rPr>
        <w:instrText xml:space="preserve"> PAGEREF _Toc10625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0BE6BF63">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_Toc8984 </w:instrText>
      </w:r>
      <w:r>
        <w:rPr>
          <w:rFonts w:hint="eastAsia" w:hAnsi="宋体" w:cs="宋体"/>
          <w:color w:val="auto"/>
          <w:szCs w:val="24"/>
          <w:highlight w:val="none"/>
        </w:rPr>
        <w:fldChar w:fldCharType="separate"/>
      </w:r>
      <w:r>
        <w:rPr>
          <w:rFonts w:hint="eastAsia" w:hAnsi="宋体" w:cs="宋体"/>
          <w:color w:val="auto"/>
          <w:highlight w:val="none"/>
          <w:lang w:val="en-US" w:eastAsia="zh-CN"/>
        </w:rPr>
        <w:t>4</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定标办法</w:t>
      </w:r>
      <w:r>
        <w:rPr>
          <w:color w:val="auto"/>
          <w:highlight w:val="none"/>
        </w:rPr>
        <w:tab/>
      </w:r>
      <w:r>
        <w:rPr>
          <w:color w:val="auto"/>
          <w:highlight w:val="none"/>
        </w:rPr>
        <w:fldChar w:fldCharType="begin"/>
      </w:r>
      <w:r>
        <w:rPr>
          <w:color w:val="auto"/>
          <w:highlight w:val="none"/>
        </w:rPr>
        <w:instrText xml:space="preserve"> PAGEREF _Toc8984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7646550D">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_Toc12701 </w:instrText>
      </w:r>
      <w:r>
        <w:rPr>
          <w:rFonts w:hint="eastAsia" w:hAnsi="宋体" w:cs="宋体"/>
          <w:color w:val="auto"/>
          <w:szCs w:val="24"/>
          <w:highlight w:val="none"/>
        </w:rPr>
        <w:fldChar w:fldCharType="separate"/>
      </w:r>
      <w:r>
        <w:rPr>
          <w:rFonts w:hint="eastAsia" w:hAnsi="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定标结果</w:t>
      </w:r>
      <w:r>
        <w:rPr>
          <w:rFonts w:hint="eastAsia" w:ascii="宋体" w:hAnsi="宋体" w:eastAsia="宋体" w:cs="宋体"/>
          <w:color w:val="auto"/>
          <w:highlight w:val="none"/>
        </w:rPr>
        <w:t>公示</w:t>
      </w:r>
      <w:r>
        <w:rPr>
          <w:color w:val="auto"/>
          <w:highlight w:val="none"/>
        </w:rPr>
        <w:tab/>
      </w:r>
      <w:r>
        <w:rPr>
          <w:color w:val="auto"/>
          <w:highlight w:val="none"/>
        </w:rPr>
        <w:fldChar w:fldCharType="begin"/>
      </w:r>
      <w:r>
        <w:rPr>
          <w:color w:val="auto"/>
          <w:highlight w:val="none"/>
        </w:rPr>
        <w:instrText xml:space="preserve"> PAGEREF _Toc12701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781D3E0F">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_Toc21410 </w:instrText>
      </w:r>
      <w:r>
        <w:rPr>
          <w:rFonts w:hint="eastAsia" w:hAnsi="宋体" w:cs="宋体"/>
          <w:color w:val="auto"/>
          <w:szCs w:val="24"/>
          <w:highlight w:val="none"/>
        </w:rPr>
        <w:fldChar w:fldCharType="separate"/>
      </w:r>
      <w:r>
        <w:rPr>
          <w:rFonts w:hint="eastAsia" w:ascii="宋体" w:hAnsi="宋体" w:eastAsia="宋体" w:cs="宋体"/>
          <w:color w:val="auto"/>
          <w:highlight w:val="none"/>
          <w:lang w:val="en-US" w:eastAsia="zh-CN"/>
        </w:rPr>
        <w:t>6.中标人确定</w:t>
      </w:r>
      <w:r>
        <w:rPr>
          <w:color w:val="auto"/>
          <w:highlight w:val="none"/>
        </w:rPr>
        <w:tab/>
      </w:r>
      <w:r>
        <w:rPr>
          <w:color w:val="auto"/>
          <w:highlight w:val="none"/>
        </w:rPr>
        <w:fldChar w:fldCharType="begin"/>
      </w:r>
      <w:r>
        <w:rPr>
          <w:color w:val="auto"/>
          <w:highlight w:val="none"/>
        </w:rPr>
        <w:instrText xml:space="preserve"> PAGEREF _Toc21410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25F34966">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_Toc1669 </w:instrText>
      </w:r>
      <w:r>
        <w:rPr>
          <w:rFonts w:hint="eastAsia" w:hAnsi="宋体" w:cs="宋体"/>
          <w:color w:val="auto"/>
          <w:szCs w:val="24"/>
          <w:highlight w:val="none"/>
        </w:rPr>
        <w:fldChar w:fldCharType="separate"/>
      </w:r>
      <w:r>
        <w:rPr>
          <w:rFonts w:hint="eastAsia" w:ascii="宋体" w:hAnsi="宋体" w:eastAsia="宋体" w:cs="宋体"/>
          <w:color w:val="auto"/>
          <w:highlight w:val="none"/>
          <w:lang w:val="en-US" w:eastAsia="zh-CN"/>
        </w:rPr>
        <w:t>7.异议和投诉</w:t>
      </w:r>
      <w:r>
        <w:rPr>
          <w:color w:val="auto"/>
          <w:highlight w:val="none"/>
        </w:rPr>
        <w:tab/>
      </w:r>
      <w:r>
        <w:rPr>
          <w:color w:val="auto"/>
          <w:highlight w:val="none"/>
        </w:rPr>
        <w:fldChar w:fldCharType="begin"/>
      </w:r>
      <w:r>
        <w:rPr>
          <w:color w:val="auto"/>
          <w:highlight w:val="none"/>
        </w:rPr>
        <w:instrText xml:space="preserve"> PAGEREF _Toc1669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3C9A5F29">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_Toc24056 </w:instrText>
      </w:r>
      <w:r>
        <w:rPr>
          <w:rFonts w:hint="eastAsia" w:hAnsi="宋体" w:cs="宋体"/>
          <w:color w:val="auto"/>
          <w:szCs w:val="24"/>
          <w:highlight w:val="none"/>
        </w:rPr>
        <w:fldChar w:fldCharType="separate"/>
      </w:r>
      <w:r>
        <w:rPr>
          <w:rFonts w:hint="eastAsia" w:hAnsi="宋体" w:cs="宋体"/>
          <w:snapToGrid w:val="0"/>
          <w:color w:val="auto"/>
          <w:szCs w:val="22"/>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_Toc24056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4D15D2E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_Toc5760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1．中标通知书</w:t>
      </w:r>
      <w:r>
        <w:rPr>
          <w:color w:val="auto"/>
          <w:highlight w:val="none"/>
        </w:rPr>
        <w:tab/>
      </w:r>
      <w:r>
        <w:rPr>
          <w:color w:val="auto"/>
          <w:highlight w:val="none"/>
        </w:rPr>
        <w:fldChar w:fldCharType="begin"/>
      </w:r>
      <w:r>
        <w:rPr>
          <w:color w:val="auto"/>
          <w:highlight w:val="none"/>
        </w:rPr>
        <w:instrText xml:space="preserve"> PAGEREF _Toc5760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57C0B268">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_Toc17074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2．中标结果公示</w:t>
      </w:r>
      <w:r>
        <w:rPr>
          <w:color w:val="auto"/>
          <w:highlight w:val="none"/>
        </w:rPr>
        <w:tab/>
      </w:r>
      <w:r>
        <w:rPr>
          <w:color w:val="auto"/>
          <w:highlight w:val="none"/>
        </w:rPr>
        <w:fldChar w:fldCharType="begin"/>
      </w:r>
      <w:r>
        <w:rPr>
          <w:color w:val="auto"/>
          <w:highlight w:val="none"/>
        </w:rPr>
        <w:instrText xml:space="preserve"> PAGEREF _Toc17074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2CEA7D43">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_Toc17773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3</w:t>
      </w:r>
      <w:r>
        <w:rPr>
          <w:rFonts w:hint="eastAsia" w:hAnsi="宋体" w:cs="宋体"/>
          <w:bCs/>
          <w:snapToGrid w:val="0"/>
          <w:color w:val="auto"/>
          <w:kern w:val="0"/>
          <w:szCs w:val="24"/>
          <w:highlight w:val="none"/>
        </w:rPr>
        <w:t>．履约保证</w:t>
      </w:r>
      <w:r>
        <w:rPr>
          <w:color w:val="auto"/>
          <w:highlight w:val="none"/>
        </w:rPr>
        <w:tab/>
      </w:r>
      <w:r>
        <w:rPr>
          <w:color w:val="auto"/>
          <w:highlight w:val="none"/>
        </w:rPr>
        <w:fldChar w:fldCharType="begin"/>
      </w:r>
      <w:r>
        <w:rPr>
          <w:color w:val="auto"/>
          <w:highlight w:val="none"/>
        </w:rPr>
        <w:instrText xml:space="preserve"> PAGEREF _Toc17773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357DE38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_Toc19769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4.合同订立</w:t>
      </w:r>
      <w:r>
        <w:rPr>
          <w:color w:val="auto"/>
          <w:highlight w:val="none"/>
        </w:rPr>
        <w:tab/>
      </w:r>
      <w:r>
        <w:rPr>
          <w:color w:val="auto"/>
          <w:highlight w:val="none"/>
        </w:rPr>
        <w:fldChar w:fldCharType="begin"/>
      </w:r>
      <w:r>
        <w:rPr>
          <w:color w:val="auto"/>
          <w:highlight w:val="none"/>
        </w:rPr>
        <w:instrText xml:space="preserve"> PAGEREF _Toc19769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58F979F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_Toc21517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5</w:t>
      </w:r>
      <w:r>
        <w:rPr>
          <w:rFonts w:hint="eastAsia" w:hAnsi="宋体" w:cs="宋体"/>
          <w:bCs/>
          <w:snapToGrid w:val="0"/>
          <w:color w:val="auto"/>
          <w:kern w:val="0"/>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_Toc21517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4F1D9ABF">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_Toc14941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6</w:t>
      </w:r>
      <w:r>
        <w:rPr>
          <w:rFonts w:hint="eastAsia" w:hAnsi="宋体" w:cs="宋体"/>
          <w:bCs/>
          <w:snapToGrid w:val="0"/>
          <w:color w:val="auto"/>
          <w:kern w:val="0"/>
          <w:szCs w:val="24"/>
          <w:highlight w:val="none"/>
        </w:rPr>
        <w:t>．分包</w:t>
      </w:r>
      <w:r>
        <w:rPr>
          <w:color w:val="auto"/>
          <w:highlight w:val="none"/>
        </w:rPr>
        <w:tab/>
      </w:r>
      <w:r>
        <w:rPr>
          <w:color w:val="auto"/>
          <w:highlight w:val="none"/>
        </w:rPr>
        <w:fldChar w:fldCharType="begin"/>
      </w:r>
      <w:r>
        <w:rPr>
          <w:color w:val="auto"/>
          <w:highlight w:val="none"/>
        </w:rPr>
        <w:instrText xml:space="preserve"> PAGEREF _Toc14941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32C52D1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_Toc22200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7</w:t>
      </w:r>
      <w:r>
        <w:rPr>
          <w:rFonts w:hint="eastAsia" w:hAnsi="宋体" w:cs="宋体"/>
          <w:bCs/>
          <w:snapToGrid w:val="0"/>
          <w:color w:val="auto"/>
          <w:kern w:val="0"/>
          <w:szCs w:val="24"/>
          <w:highlight w:val="none"/>
        </w:rPr>
        <w:t>．监理服务期限</w:t>
      </w:r>
      <w:r>
        <w:rPr>
          <w:color w:val="auto"/>
          <w:highlight w:val="none"/>
        </w:rPr>
        <w:tab/>
      </w:r>
      <w:r>
        <w:rPr>
          <w:color w:val="auto"/>
          <w:highlight w:val="none"/>
        </w:rPr>
        <w:fldChar w:fldCharType="begin"/>
      </w:r>
      <w:r>
        <w:rPr>
          <w:color w:val="auto"/>
          <w:highlight w:val="none"/>
        </w:rPr>
        <w:instrText xml:space="preserve"> PAGEREF _Toc22200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388D2D5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_Toc5299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8</w:t>
      </w:r>
      <w:r>
        <w:rPr>
          <w:rFonts w:hint="eastAsia" w:hAnsi="宋体" w:cs="宋体"/>
          <w:bCs/>
          <w:snapToGrid w:val="0"/>
          <w:color w:val="auto"/>
          <w:kern w:val="0"/>
          <w:szCs w:val="24"/>
          <w:highlight w:val="none"/>
        </w:rPr>
        <w:t>．项目监理机构</w:t>
      </w:r>
      <w:r>
        <w:rPr>
          <w:color w:val="auto"/>
          <w:highlight w:val="none"/>
        </w:rPr>
        <w:tab/>
      </w:r>
      <w:r>
        <w:rPr>
          <w:color w:val="auto"/>
          <w:highlight w:val="none"/>
        </w:rPr>
        <w:fldChar w:fldCharType="begin"/>
      </w:r>
      <w:r>
        <w:rPr>
          <w:color w:val="auto"/>
          <w:highlight w:val="none"/>
        </w:rPr>
        <w:instrText xml:space="preserve"> PAGEREF _Toc5299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2C14F420">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_Toc24265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9</w:t>
      </w:r>
      <w:r>
        <w:rPr>
          <w:rFonts w:hint="eastAsia" w:hAnsi="宋体" w:cs="宋体"/>
          <w:snapToGrid w:val="0"/>
          <w:color w:val="auto"/>
          <w:kern w:val="0"/>
          <w:szCs w:val="24"/>
          <w:highlight w:val="none"/>
        </w:rPr>
        <w:t>．安全防护</w:t>
      </w:r>
      <w:r>
        <w:rPr>
          <w:color w:val="auto"/>
          <w:highlight w:val="none"/>
        </w:rPr>
        <w:tab/>
      </w:r>
      <w:r>
        <w:rPr>
          <w:color w:val="auto"/>
          <w:highlight w:val="none"/>
        </w:rPr>
        <w:fldChar w:fldCharType="begin"/>
      </w:r>
      <w:r>
        <w:rPr>
          <w:color w:val="auto"/>
          <w:highlight w:val="none"/>
        </w:rPr>
        <w:instrText xml:space="preserve"> PAGEREF _Toc24265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64ECDD3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_Toc31970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10</w:t>
      </w:r>
      <w:r>
        <w:rPr>
          <w:rFonts w:hint="eastAsia" w:hAnsi="宋体" w:cs="宋体"/>
          <w:snapToGrid w:val="0"/>
          <w:color w:val="auto"/>
          <w:kern w:val="0"/>
          <w:szCs w:val="24"/>
          <w:highlight w:val="none"/>
        </w:rPr>
        <w:t>．接受监督</w:t>
      </w:r>
      <w:r>
        <w:rPr>
          <w:color w:val="auto"/>
          <w:highlight w:val="none"/>
        </w:rPr>
        <w:tab/>
      </w:r>
      <w:r>
        <w:rPr>
          <w:color w:val="auto"/>
          <w:highlight w:val="none"/>
        </w:rPr>
        <w:fldChar w:fldCharType="begin"/>
      </w:r>
      <w:r>
        <w:rPr>
          <w:color w:val="auto"/>
          <w:highlight w:val="none"/>
        </w:rPr>
        <w:instrText xml:space="preserve"> PAGEREF _Toc31970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778427EF">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_Toc21561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rPr>
        <w:t>．监理档案移交</w:t>
      </w:r>
      <w:r>
        <w:rPr>
          <w:color w:val="auto"/>
          <w:highlight w:val="none"/>
        </w:rPr>
        <w:tab/>
      </w:r>
      <w:r>
        <w:rPr>
          <w:color w:val="auto"/>
          <w:highlight w:val="none"/>
        </w:rPr>
        <w:fldChar w:fldCharType="begin"/>
      </w:r>
      <w:r>
        <w:rPr>
          <w:color w:val="auto"/>
          <w:highlight w:val="none"/>
        </w:rPr>
        <w:instrText xml:space="preserve"> PAGEREF _Toc21561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07F3F891">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_Toc1342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1</w:t>
      </w:r>
      <w:r>
        <w:rPr>
          <w:rFonts w:hint="eastAsia" w:hAnsi="宋体" w:cs="宋体"/>
          <w:bCs/>
          <w:snapToGrid w:val="0"/>
          <w:color w:val="auto"/>
          <w:kern w:val="0"/>
          <w:szCs w:val="24"/>
          <w:highlight w:val="none"/>
          <w:lang w:val="en-US" w:eastAsia="zh-CN"/>
        </w:rPr>
        <w:t>2</w:t>
      </w:r>
      <w:r>
        <w:rPr>
          <w:rFonts w:hint="eastAsia" w:hAnsi="宋体" w:cs="宋体"/>
          <w:snapToGrid w:val="0"/>
          <w:color w:val="auto"/>
          <w:kern w:val="0"/>
          <w:szCs w:val="24"/>
          <w:highlight w:val="none"/>
        </w:rPr>
        <w:t>．不良行为处理</w:t>
      </w:r>
      <w:r>
        <w:rPr>
          <w:color w:val="auto"/>
          <w:highlight w:val="none"/>
        </w:rPr>
        <w:tab/>
      </w:r>
      <w:r>
        <w:rPr>
          <w:color w:val="auto"/>
          <w:highlight w:val="none"/>
        </w:rPr>
        <w:fldChar w:fldCharType="begin"/>
      </w:r>
      <w:r>
        <w:rPr>
          <w:color w:val="auto"/>
          <w:highlight w:val="none"/>
        </w:rPr>
        <w:instrText xml:space="preserve"> PAGEREF _Toc1342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4989D6A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_Toc10563 </w:instrText>
      </w:r>
      <w:r>
        <w:rPr>
          <w:rFonts w:hint="eastAsia" w:hAnsi="宋体" w:cs="宋体"/>
          <w:color w:val="auto"/>
          <w:szCs w:val="24"/>
          <w:highlight w:val="none"/>
        </w:rPr>
        <w:fldChar w:fldCharType="separate"/>
      </w:r>
      <w:r>
        <w:rPr>
          <w:rFonts w:hint="eastAsia" w:ascii="宋体" w:hAnsi="宋体" w:cs="宋体"/>
          <w:bCs/>
          <w:snapToGrid w:val="0"/>
          <w:color w:val="auto"/>
          <w:kern w:val="0"/>
          <w:szCs w:val="24"/>
          <w:highlight w:val="none"/>
        </w:rPr>
        <w:t>1</w:t>
      </w:r>
      <w:r>
        <w:rPr>
          <w:rFonts w:hint="eastAsia" w:ascii="宋体" w:hAnsi="宋体" w:cs="宋体"/>
          <w:bCs/>
          <w:snapToGrid w:val="0"/>
          <w:color w:val="auto"/>
          <w:kern w:val="0"/>
          <w:szCs w:val="24"/>
          <w:highlight w:val="none"/>
          <w:lang w:val="en-US" w:eastAsia="zh-CN"/>
        </w:rPr>
        <w:t>3</w:t>
      </w:r>
      <w:r>
        <w:rPr>
          <w:rFonts w:hint="eastAsia" w:ascii="宋体" w:hAnsi="宋体" w:cs="宋体"/>
          <w:snapToGrid w:val="0"/>
          <w:color w:val="auto"/>
          <w:kern w:val="0"/>
          <w:szCs w:val="24"/>
          <w:highlight w:val="none"/>
        </w:rPr>
        <w:t>．</w:t>
      </w:r>
      <w:r>
        <w:rPr>
          <w:rFonts w:hint="eastAsia" w:ascii="宋体" w:hAnsi="宋体" w:cs="宋体"/>
          <w:bCs/>
          <w:snapToGrid w:val="0"/>
          <w:color w:val="auto"/>
          <w:kern w:val="0"/>
          <w:szCs w:val="24"/>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_Toc10563 \h </w:instrText>
      </w:r>
      <w:r>
        <w:rPr>
          <w:color w:val="auto"/>
          <w:highlight w:val="none"/>
        </w:rPr>
        <w:fldChar w:fldCharType="separate"/>
      </w:r>
      <w:r>
        <w:rPr>
          <w:color w:val="auto"/>
          <w:highlight w:val="none"/>
        </w:rPr>
        <w:t>42</w:t>
      </w:r>
      <w:r>
        <w:rPr>
          <w:color w:val="auto"/>
          <w:highlight w:val="none"/>
        </w:rPr>
        <w:fldChar w:fldCharType="end"/>
      </w:r>
      <w:r>
        <w:rPr>
          <w:rFonts w:hint="eastAsia" w:hAnsi="宋体" w:cs="宋体"/>
          <w:color w:val="auto"/>
          <w:szCs w:val="24"/>
          <w:highlight w:val="none"/>
        </w:rPr>
        <w:fldChar w:fldCharType="end"/>
      </w:r>
    </w:p>
    <w:p w14:paraId="3EFD8B3D">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_Toc17256 </w:instrText>
      </w:r>
      <w:r>
        <w:rPr>
          <w:rFonts w:hint="eastAsia" w:hAnsi="宋体" w:cs="宋体"/>
          <w:color w:val="auto"/>
          <w:szCs w:val="24"/>
          <w:highlight w:val="none"/>
        </w:rPr>
        <w:fldChar w:fldCharType="separate"/>
      </w:r>
      <w:r>
        <w:rPr>
          <w:rFonts w:hint="eastAsia" w:hAnsi="宋体" w:cs="宋体"/>
          <w:snapToGrid w:val="0"/>
          <w:color w:val="auto"/>
          <w:szCs w:val="32"/>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_Toc17256 \h </w:instrText>
      </w:r>
      <w:r>
        <w:rPr>
          <w:color w:val="auto"/>
          <w:highlight w:val="none"/>
        </w:rPr>
        <w:fldChar w:fldCharType="separate"/>
      </w:r>
      <w:r>
        <w:rPr>
          <w:color w:val="auto"/>
          <w:highlight w:val="none"/>
        </w:rPr>
        <w:t>43</w:t>
      </w:r>
      <w:r>
        <w:rPr>
          <w:color w:val="auto"/>
          <w:highlight w:val="none"/>
        </w:rPr>
        <w:fldChar w:fldCharType="end"/>
      </w:r>
      <w:r>
        <w:rPr>
          <w:rFonts w:hint="eastAsia" w:hAnsi="宋体" w:cs="宋体"/>
          <w:color w:val="auto"/>
          <w:szCs w:val="24"/>
          <w:highlight w:val="none"/>
        </w:rPr>
        <w:fldChar w:fldCharType="end"/>
      </w:r>
    </w:p>
    <w:p w14:paraId="4937036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_Toc8205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1．现场办公条件</w:t>
      </w:r>
      <w:r>
        <w:rPr>
          <w:color w:val="auto"/>
          <w:highlight w:val="none"/>
        </w:rPr>
        <w:tab/>
      </w:r>
      <w:r>
        <w:rPr>
          <w:color w:val="auto"/>
          <w:highlight w:val="none"/>
        </w:rPr>
        <w:fldChar w:fldCharType="begin"/>
      </w:r>
      <w:r>
        <w:rPr>
          <w:color w:val="auto"/>
          <w:highlight w:val="none"/>
        </w:rPr>
        <w:instrText xml:space="preserve"> PAGEREF _Toc8205 \h </w:instrText>
      </w:r>
      <w:r>
        <w:rPr>
          <w:color w:val="auto"/>
          <w:highlight w:val="none"/>
        </w:rPr>
        <w:fldChar w:fldCharType="separate"/>
      </w:r>
      <w:r>
        <w:rPr>
          <w:color w:val="auto"/>
          <w:highlight w:val="none"/>
        </w:rPr>
        <w:t>43</w:t>
      </w:r>
      <w:r>
        <w:rPr>
          <w:color w:val="auto"/>
          <w:highlight w:val="none"/>
        </w:rPr>
        <w:fldChar w:fldCharType="end"/>
      </w:r>
      <w:r>
        <w:rPr>
          <w:rFonts w:hint="eastAsia" w:hAnsi="宋体" w:cs="宋体"/>
          <w:color w:val="auto"/>
          <w:szCs w:val="24"/>
          <w:highlight w:val="none"/>
        </w:rPr>
        <w:fldChar w:fldCharType="end"/>
      </w:r>
    </w:p>
    <w:p w14:paraId="515875B0">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_Toc4048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2．监理服务费</w:t>
      </w:r>
      <w:r>
        <w:rPr>
          <w:color w:val="auto"/>
          <w:highlight w:val="none"/>
        </w:rPr>
        <w:tab/>
      </w:r>
      <w:r>
        <w:rPr>
          <w:color w:val="auto"/>
          <w:highlight w:val="none"/>
        </w:rPr>
        <w:fldChar w:fldCharType="begin"/>
      </w:r>
      <w:r>
        <w:rPr>
          <w:color w:val="auto"/>
          <w:highlight w:val="none"/>
        </w:rPr>
        <w:instrText xml:space="preserve"> PAGEREF _Toc4048 \h </w:instrText>
      </w:r>
      <w:r>
        <w:rPr>
          <w:color w:val="auto"/>
          <w:highlight w:val="none"/>
        </w:rPr>
        <w:fldChar w:fldCharType="separate"/>
      </w:r>
      <w:r>
        <w:rPr>
          <w:color w:val="auto"/>
          <w:highlight w:val="none"/>
        </w:rPr>
        <w:t>43</w:t>
      </w:r>
      <w:r>
        <w:rPr>
          <w:color w:val="auto"/>
          <w:highlight w:val="none"/>
        </w:rPr>
        <w:fldChar w:fldCharType="end"/>
      </w:r>
      <w:r>
        <w:rPr>
          <w:rFonts w:hint="eastAsia" w:hAnsi="宋体" w:cs="宋体"/>
          <w:color w:val="auto"/>
          <w:szCs w:val="24"/>
          <w:highlight w:val="none"/>
        </w:rPr>
        <w:fldChar w:fldCharType="end"/>
      </w:r>
    </w:p>
    <w:p w14:paraId="26F04AAA">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_Toc23204 </w:instrText>
      </w:r>
      <w:r>
        <w:rPr>
          <w:rFonts w:hint="eastAsia" w:hAnsi="宋体" w:cs="宋体"/>
          <w:color w:val="auto"/>
          <w:szCs w:val="24"/>
          <w:highlight w:val="none"/>
        </w:rPr>
        <w:fldChar w:fldCharType="separate"/>
      </w:r>
      <w:r>
        <w:rPr>
          <w:rFonts w:hint="eastAsia" w:ascii="宋体" w:hAnsi="宋体" w:eastAsia="宋体" w:cs="宋体"/>
          <w:bCs/>
          <w:snapToGrid w:val="0"/>
          <w:color w:val="auto"/>
          <w:kern w:val="0"/>
          <w:szCs w:val="24"/>
          <w:highlight w:val="none"/>
        </w:rPr>
        <w:t>3．监理服务费发票</w:t>
      </w:r>
      <w:r>
        <w:rPr>
          <w:color w:val="auto"/>
          <w:highlight w:val="none"/>
        </w:rPr>
        <w:tab/>
      </w:r>
      <w:r>
        <w:rPr>
          <w:color w:val="auto"/>
          <w:highlight w:val="none"/>
        </w:rPr>
        <w:fldChar w:fldCharType="begin"/>
      </w:r>
      <w:r>
        <w:rPr>
          <w:color w:val="auto"/>
          <w:highlight w:val="none"/>
        </w:rPr>
        <w:instrText xml:space="preserve"> PAGEREF _Toc23204 \h </w:instrText>
      </w:r>
      <w:r>
        <w:rPr>
          <w:color w:val="auto"/>
          <w:highlight w:val="none"/>
        </w:rPr>
        <w:fldChar w:fldCharType="separate"/>
      </w:r>
      <w:r>
        <w:rPr>
          <w:color w:val="auto"/>
          <w:highlight w:val="none"/>
        </w:rPr>
        <w:t>44</w:t>
      </w:r>
      <w:r>
        <w:rPr>
          <w:color w:val="auto"/>
          <w:highlight w:val="none"/>
        </w:rPr>
        <w:fldChar w:fldCharType="end"/>
      </w:r>
      <w:r>
        <w:rPr>
          <w:rFonts w:hint="eastAsia" w:hAnsi="宋体" w:cs="宋体"/>
          <w:color w:val="auto"/>
          <w:szCs w:val="24"/>
          <w:highlight w:val="none"/>
        </w:rPr>
        <w:fldChar w:fldCharType="end"/>
      </w:r>
    </w:p>
    <w:p w14:paraId="5AE550E9">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_Toc27200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4．违约责任</w:t>
      </w:r>
      <w:r>
        <w:rPr>
          <w:color w:val="auto"/>
          <w:highlight w:val="none"/>
        </w:rPr>
        <w:tab/>
      </w:r>
      <w:r>
        <w:rPr>
          <w:color w:val="auto"/>
          <w:highlight w:val="none"/>
        </w:rPr>
        <w:fldChar w:fldCharType="begin"/>
      </w:r>
      <w:r>
        <w:rPr>
          <w:color w:val="auto"/>
          <w:highlight w:val="none"/>
        </w:rPr>
        <w:instrText xml:space="preserve"> PAGEREF _Toc27200 \h </w:instrText>
      </w:r>
      <w:r>
        <w:rPr>
          <w:color w:val="auto"/>
          <w:highlight w:val="none"/>
        </w:rPr>
        <w:fldChar w:fldCharType="separate"/>
      </w:r>
      <w:r>
        <w:rPr>
          <w:color w:val="auto"/>
          <w:highlight w:val="none"/>
        </w:rPr>
        <w:t>44</w:t>
      </w:r>
      <w:r>
        <w:rPr>
          <w:color w:val="auto"/>
          <w:highlight w:val="none"/>
        </w:rPr>
        <w:fldChar w:fldCharType="end"/>
      </w:r>
      <w:r>
        <w:rPr>
          <w:rFonts w:hint="eastAsia" w:hAnsi="宋体" w:cs="宋体"/>
          <w:color w:val="auto"/>
          <w:szCs w:val="24"/>
          <w:highlight w:val="none"/>
        </w:rPr>
        <w:fldChar w:fldCharType="end"/>
      </w:r>
    </w:p>
    <w:p w14:paraId="4E4DD76A">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_Toc28624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5．</w:t>
      </w:r>
      <w:r>
        <w:rPr>
          <w:rFonts w:hint="eastAsia" w:hAnsi="宋体" w:cs="宋体"/>
          <w:bCs/>
          <w:snapToGrid w:val="0"/>
          <w:color w:val="auto"/>
          <w:kern w:val="0"/>
          <w:szCs w:val="24"/>
          <w:highlight w:val="none"/>
          <w:lang w:val="en-US" w:eastAsia="zh-CN"/>
        </w:rPr>
        <w:t>监理服务费的</w:t>
      </w:r>
      <w:r>
        <w:rPr>
          <w:rFonts w:hint="eastAsia" w:hAnsi="宋体" w:cs="宋体"/>
          <w:bCs/>
          <w:snapToGrid w:val="0"/>
          <w:color w:val="auto"/>
          <w:kern w:val="0"/>
          <w:szCs w:val="24"/>
          <w:highlight w:val="none"/>
        </w:rPr>
        <w:t>支付</w:t>
      </w:r>
      <w:r>
        <w:rPr>
          <w:color w:val="auto"/>
          <w:highlight w:val="none"/>
        </w:rPr>
        <w:tab/>
      </w:r>
      <w:r>
        <w:rPr>
          <w:color w:val="auto"/>
          <w:highlight w:val="none"/>
        </w:rPr>
        <w:fldChar w:fldCharType="begin"/>
      </w:r>
      <w:r>
        <w:rPr>
          <w:color w:val="auto"/>
          <w:highlight w:val="none"/>
        </w:rPr>
        <w:instrText xml:space="preserve"> PAGEREF _Toc28624 \h </w:instrText>
      </w:r>
      <w:r>
        <w:rPr>
          <w:color w:val="auto"/>
          <w:highlight w:val="none"/>
        </w:rPr>
        <w:fldChar w:fldCharType="separate"/>
      </w:r>
      <w:r>
        <w:rPr>
          <w:color w:val="auto"/>
          <w:highlight w:val="none"/>
        </w:rPr>
        <w:t>45</w:t>
      </w:r>
      <w:r>
        <w:rPr>
          <w:color w:val="auto"/>
          <w:highlight w:val="none"/>
        </w:rPr>
        <w:fldChar w:fldCharType="end"/>
      </w:r>
      <w:r>
        <w:rPr>
          <w:rFonts w:hint="eastAsia" w:hAnsi="宋体" w:cs="宋体"/>
          <w:color w:val="auto"/>
          <w:szCs w:val="24"/>
          <w:highlight w:val="none"/>
        </w:rPr>
        <w:fldChar w:fldCharType="end"/>
      </w:r>
    </w:p>
    <w:p w14:paraId="4DA0FAE0">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_Toc29669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6．</w:t>
      </w:r>
      <w:r>
        <w:rPr>
          <w:rFonts w:hint="eastAsia" w:ascii="Times New Roman"/>
          <w:snapToGrid w:val="0"/>
          <w:color w:val="auto"/>
          <w:szCs w:val="22"/>
          <w:highlight w:val="none"/>
        </w:rPr>
        <w:t>监理人违约及违约责任</w:t>
      </w:r>
      <w:r>
        <w:rPr>
          <w:color w:val="auto"/>
          <w:highlight w:val="none"/>
        </w:rPr>
        <w:tab/>
      </w:r>
      <w:r>
        <w:rPr>
          <w:color w:val="auto"/>
          <w:highlight w:val="none"/>
        </w:rPr>
        <w:fldChar w:fldCharType="begin"/>
      </w:r>
      <w:r>
        <w:rPr>
          <w:color w:val="auto"/>
          <w:highlight w:val="none"/>
        </w:rPr>
        <w:instrText xml:space="preserve"> PAGEREF _Toc29669 \h </w:instrText>
      </w:r>
      <w:r>
        <w:rPr>
          <w:color w:val="auto"/>
          <w:highlight w:val="none"/>
        </w:rPr>
        <w:fldChar w:fldCharType="separate"/>
      </w:r>
      <w:r>
        <w:rPr>
          <w:color w:val="auto"/>
          <w:highlight w:val="none"/>
        </w:rPr>
        <w:t>47</w:t>
      </w:r>
      <w:r>
        <w:rPr>
          <w:color w:val="auto"/>
          <w:highlight w:val="none"/>
        </w:rPr>
        <w:fldChar w:fldCharType="end"/>
      </w:r>
      <w:r>
        <w:rPr>
          <w:rFonts w:hint="eastAsia" w:hAnsi="宋体" w:cs="宋体"/>
          <w:color w:val="auto"/>
          <w:szCs w:val="24"/>
          <w:highlight w:val="none"/>
        </w:rPr>
        <w:fldChar w:fldCharType="end"/>
      </w:r>
    </w:p>
    <w:p w14:paraId="7C10241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_Toc21384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7. 工程质量、造价、进度控制及安全生产管理</w:t>
      </w:r>
      <w:r>
        <w:rPr>
          <w:color w:val="auto"/>
          <w:highlight w:val="none"/>
        </w:rPr>
        <w:tab/>
      </w:r>
      <w:r>
        <w:rPr>
          <w:color w:val="auto"/>
          <w:highlight w:val="none"/>
        </w:rPr>
        <w:fldChar w:fldCharType="begin"/>
      </w:r>
      <w:r>
        <w:rPr>
          <w:color w:val="auto"/>
          <w:highlight w:val="none"/>
        </w:rPr>
        <w:instrText xml:space="preserve"> PAGEREF _Toc21384 \h </w:instrText>
      </w:r>
      <w:r>
        <w:rPr>
          <w:color w:val="auto"/>
          <w:highlight w:val="none"/>
        </w:rPr>
        <w:fldChar w:fldCharType="separate"/>
      </w:r>
      <w:r>
        <w:rPr>
          <w:color w:val="auto"/>
          <w:highlight w:val="none"/>
        </w:rPr>
        <w:t>52</w:t>
      </w:r>
      <w:r>
        <w:rPr>
          <w:color w:val="auto"/>
          <w:highlight w:val="none"/>
        </w:rPr>
        <w:fldChar w:fldCharType="end"/>
      </w:r>
      <w:r>
        <w:rPr>
          <w:rFonts w:hint="eastAsia" w:hAnsi="宋体" w:cs="宋体"/>
          <w:color w:val="auto"/>
          <w:szCs w:val="24"/>
          <w:highlight w:val="none"/>
        </w:rPr>
        <w:fldChar w:fldCharType="end"/>
      </w:r>
    </w:p>
    <w:p w14:paraId="4179CDAB">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_Toc12907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_Toc12907 \h </w:instrText>
      </w:r>
      <w:r>
        <w:rPr>
          <w:color w:val="auto"/>
          <w:highlight w:val="none"/>
        </w:rPr>
        <w:fldChar w:fldCharType="separate"/>
      </w:r>
      <w:r>
        <w:rPr>
          <w:color w:val="auto"/>
          <w:highlight w:val="none"/>
        </w:rPr>
        <w:t>57</w:t>
      </w:r>
      <w:r>
        <w:rPr>
          <w:color w:val="auto"/>
          <w:highlight w:val="none"/>
        </w:rPr>
        <w:fldChar w:fldCharType="end"/>
      </w:r>
      <w:r>
        <w:rPr>
          <w:rFonts w:hint="eastAsia" w:hAnsi="宋体" w:cs="宋体"/>
          <w:color w:val="auto"/>
          <w:szCs w:val="24"/>
          <w:highlight w:val="none"/>
        </w:rPr>
        <w:fldChar w:fldCharType="end"/>
      </w:r>
    </w:p>
    <w:p w14:paraId="2D1D1092">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_Toc6160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_Toc6160 \h </w:instrText>
      </w:r>
      <w:r>
        <w:rPr>
          <w:color w:val="auto"/>
          <w:highlight w:val="none"/>
        </w:rPr>
        <w:fldChar w:fldCharType="separate"/>
      </w:r>
      <w:r>
        <w:rPr>
          <w:color w:val="auto"/>
          <w:highlight w:val="none"/>
        </w:rPr>
        <w:t>59</w:t>
      </w:r>
      <w:r>
        <w:rPr>
          <w:color w:val="auto"/>
          <w:highlight w:val="none"/>
        </w:rPr>
        <w:fldChar w:fldCharType="end"/>
      </w:r>
      <w:r>
        <w:rPr>
          <w:rFonts w:hint="eastAsia" w:hAnsi="宋体" w:cs="宋体"/>
          <w:color w:val="auto"/>
          <w:szCs w:val="24"/>
          <w:highlight w:val="none"/>
        </w:rPr>
        <w:fldChar w:fldCharType="end"/>
      </w:r>
    </w:p>
    <w:p w14:paraId="4221F299">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_Toc11556 </w:instrText>
      </w:r>
      <w:r>
        <w:rPr>
          <w:rFonts w:hint="eastAsia" w:hAnsi="宋体" w:cs="宋体"/>
          <w:color w:val="auto"/>
          <w:szCs w:val="24"/>
          <w:highlight w:val="none"/>
        </w:rPr>
        <w:fldChar w:fldCharType="separate"/>
      </w:r>
      <w:r>
        <w:rPr>
          <w:rFonts w:hint="eastAsia" w:ascii="Times New Roman"/>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_Toc11556 \h </w:instrText>
      </w:r>
      <w:r>
        <w:rPr>
          <w:color w:val="auto"/>
          <w:highlight w:val="none"/>
        </w:rPr>
        <w:fldChar w:fldCharType="separate"/>
      </w:r>
      <w:r>
        <w:rPr>
          <w:color w:val="auto"/>
          <w:highlight w:val="none"/>
        </w:rPr>
        <w:t>59</w:t>
      </w:r>
      <w:r>
        <w:rPr>
          <w:color w:val="auto"/>
          <w:highlight w:val="none"/>
        </w:rPr>
        <w:fldChar w:fldCharType="end"/>
      </w:r>
      <w:r>
        <w:rPr>
          <w:rFonts w:hint="eastAsia" w:hAnsi="宋体" w:cs="宋体"/>
          <w:color w:val="auto"/>
          <w:szCs w:val="24"/>
          <w:highlight w:val="none"/>
        </w:rPr>
        <w:fldChar w:fldCharType="end"/>
      </w:r>
    </w:p>
    <w:p w14:paraId="45C83E8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_Toc29964 </w:instrText>
      </w:r>
      <w:r>
        <w:rPr>
          <w:rFonts w:hint="eastAsia" w:hAnsi="宋体" w:cs="宋体"/>
          <w:color w:val="auto"/>
          <w:szCs w:val="24"/>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_Toc29964 \h </w:instrText>
      </w:r>
      <w:r>
        <w:rPr>
          <w:color w:val="auto"/>
          <w:highlight w:val="none"/>
        </w:rPr>
        <w:fldChar w:fldCharType="separate"/>
      </w:r>
      <w:r>
        <w:rPr>
          <w:color w:val="auto"/>
          <w:highlight w:val="none"/>
        </w:rPr>
        <w:t>60</w:t>
      </w:r>
      <w:r>
        <w:rPr>
          <w:color w:val="auto"/>
          <w:highlight w:val="none"/>
        </w:rPr>
        <w:fldChar w:fldCharType="end"/>
      </w:r>
      <w:r>
        <w:rPr>
          <w:rFonts w:hint="eastAsia" w:hAnsi="宋体" w:cs="宋体"/>
          <w:color w:val="auto"/>
          <w:szCs w:val="24"/>
          <w:highlight w:val="none"/>
        </w:rPr>
        <w:fldChar w:fldCharType="end"/>
      </w:r>
    </w:p>
    <w:p w14:paraId="232D2188">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_Toc15452 </w:instrText>
      </w:r>
      <w:r>
        <w:rPr>
          <w:rFonts w:hint="eastAsia" w:hAnsi="宋体" w:cs="宋体"/>
          <w:color w:val="auto"/>
          <w:szCs w:val="24"/>
          <w:highlight w:val="none"/>
        </w:rPr>
        <w:fldChar w:fldCharType="separate"/>
      </w:r>
      <w:r>
        <w:rPr>
          <w:rFonts w:hint="eastAsia"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_Toc15452 \h </w:instrText>
      </w:r>
      <w:r>
        <w:rPr>
          <w:color w:val="auto"/>
          <w:highlight w:val="none"/>
        </w:rPr>
        <w:fldChar w:fldCharType="separate"/>
      </w:r>
      <w:r>
        <w:rPr>
          <w:color w:val="auto"/>
          <w:highlight w:val="none"/>
        </w:rPr>
        <w:t>61</w:t>
      </w:r>
      <w:r>
        <w:rPr>
          <w:color w:val="auto"/>
          <w:highlight w:val="none"/>
        </w:rPr>
        <w:fldChar w:fldCharType="end"/>
      </w:r>
      <w:r>
        <w:rPr>
          <w:rFonts w:hint="eastAsia" w:hAnsi="宋体" w:cs="宋体"/>
          <w:color w:val="auto"/>
          <w:szCs w:val="24"/>
          <w:highlight w:val="none"/>
        </w:rPr>
        <w:fldChar w:fldCharType="end"/>
      </w:r>
    </w:p>
    <w:p w14:paraId="66A19424">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_Toc11266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_Toc11266 \h </w:instrText>
      </w:r>
      <w:r>
        <w:rPr>
          <w:color w:val="auto"/>
          <w:highlight w:val="none"/>
        </w:rPr>
        <w:fldChar w:fldCharType="separate"/>
      </w:r>
      <w:r>
        <w:rPr>
          <w:color w:val="auto"/>
          <w:highlight w:val="none"/>
        </w:rPr>
        <w:t>63</w:t>
      </w:r>
      <w:r>
        <w:rPr>
          <w:color w:val="auto"/>
          <w:highlight w:val="none"/>
        </w:rPr>
        <w:fldChar w:fldCharType="end"/>
      </w:r>
      <w:r>
        <w:rPr>
          <w:rFonts w:hint="eastAsia" w:hAnsi="宋体" w:cs="宋体"/>
          <w:color w:val="auto"/>
          <w:szCs w:val="24"/>
          <w:highlight w:val="none"/>
        </w:rPr>
        <w:fldChar w:fldCharType="end"/>
      </w:r>
    </w:p>
    <w:p w14:paraId="770DF32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_Toc25663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_Toc25663 \h </w:instrText>
      </w:r>
      <w:r>
        <w:rPr>
          <w:color w:val="auto"/>
          <w:highlight w:val="none"/>
        </w:rPr>
        <w:fldChar w:fldCharType="separate"/>
      </w:r>
      <w:r>
        <w:rPr>
          <w:color w:val="auto"/>
          <w:highlight w:val="none"/>
        </w:rPr>
        <w:t>64</w:t>
      </w:r>
      <w:r>
        <w:rPr>
          <w:color w:val="auto"/>
          <w:highlight w:val="none"/>
        </w:rPr>
        <w:fldChar w:fldCharType="end"/>
      </w:r>
      <w:r>
        <w:rPr>
          <w:rFonts w:hint="eastAsia" w:hAnsi="宋体" w:cs="宋体"/>
          <w:color w:val="auto"/>
          <w:szCs w:val="24"/>
          <w:highlight w:val="none"/>
        </w:rPr>
        <w:fldChar w:fldCharType="end"/>
      </w:r>
    </w:p>
    <w:p w14:paraId="1616589D">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_Toc24104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格式六 投标人基本情况表</w:t>
      </w:r>
      <w:r>
        <w:rPr>
          <w:color w:val="auto"/>
          <w:highlight w:val="none"/>
        </w:rPr>
        <w:tab/>
      </w:r>
      <w:r>
        <w:rPr>
          <w:color w:val="auto"/>
          <w:highlight w:val="none"/>
        </w:rPr>
        <w:fldChar w:fldCharType="begin"/>
      </w:r>
      <w:r>
        <w:rPr>
          <w:color w:val="auto"/>
          <w:highlight w:val="none"/>
        </w:rPr>
        <w:instrText xml:space="preserve"> PAGEREF _Toc24104 \h </w:instrText>
      </w:r>
      <w:r>
        <w:rPr>
          <w:color w:val="auto"/>
          <w:highlight w:val="none"/>
        </w:rPr>
        <w:fldChar w:fldCharType="separate"/>
      </w:r>
      <w:r>
        <w:rPr>
          <w:color w:val="auto"/>
          <w:highlight w:val="none"/>
        </w:rPr>
        <w:t>65</w:t>
      </w:r>
      <w:r>
        <w:rPr>
          <w:color w:val="auto"/>
          <w:highlight w:val="none"/>
        </w:rPr>
        <w:fldChar w:fldCharType="end"/>
      </w:r>
      <w:r>
        <w:rPr>
          <w:rFonts w:hint="eastAsia" w:hAnsi="宋体" w:cs="宋体"/>
          <w:color w:val="auto"/>
          <w:szCs w:val="24"/>
          <w:highlight w:val="none"/>
        </w:rPr>
        <w:fldChar w:fldCharType="end"/>
      </w:r>
    </w:p>
    <w:p w14:paraId="58D47F6A">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_Toc8190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格式七 总监理工程师任职声明（适用于无任职项目）</w:t>
      </w:r>
      <w:r>
        <w:rPr>
          <w:color w:val="auto"/>
          <w:highlight w:val="none"/>
        </w:rPr>
        <w:tab/>
      </w:r>
      <w:r>
        <w:rPr>
          <w:color w:val="auto"/>
          <w:highlight w:val="none"/>
        </w:rPr>
        <w:fldChar w:fldCharType="begin"/>
      </w:r>
      <w:r>
        <w:rPr>
          <w:color w:val="auto"/>
          <w:highlight w:val="none"/>
        </w:rPr>
        <w:instrText xml:space="preserve"> PAGEREF _Toc8190 \h </w:instrText>
      </w:r>
      <w:r>
        <w:rPr>
          <w:color w:val="auto"/>
          <w:highlight w:val="none"/>
        </w:rPr>
        <w:fldChar w:fldCharType="separate"/>
      </w:r>
      <w:r>
        <w:rPr>
          <w:color w:val="auto"/>
          <w:highlight w:val="none"/>
        </w:rPr>
        <w:t>66</w:t>
      </w:r>
      <w:r>
        <w:rPr>
          <w:color w:val="auto"/>
          <w:highlight w:val="none"/>
        </w:rPr>
        <w:fldChar w:fldCharType="end"/>
      </w:r>
      <w:r>
        <w:rPr>
          <w:rFonts w:hint="eastAsia" w:hAnsi="宋体" w:cs="宋体"/>
          <w:color w:val="auto"/>
          <w:szCs w:val="24"/>
          <w:highlight w:val="none"/>
        </w:rPr>
        <w:fldChar w:fldCharType="end"/>
      </w:r>
    </w:p>
    <w:p w14:paraId="2D980CCE">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_Toc17780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格式八 总监理工程师任职声明（适用于有任职项目）</w:t>
      </w:r>
      <w:r>
        <w:rPr>
          <w:color w:val="auto"/>
          <w:highlight w:val="none"/>
        </w:rPr>
        <w:tab/>
      </w:r>
      <w:r>
        <w:rPr>
          <w:color w:val="auto"/>
          <w:highlight w:val="none"/>
        </w:rPr>
        <w:fldChar w:fldCharType="begin"/>
      </w:r>
      <w:r>
        <w:rPr>
          <w:color w:val="auto"/>
          <w:highlight w:val="none"/>
        </w:rPr>
        <w:instrText xml:space="preserve"> PAGEREF _Toc17780 \h </w:instrText>
      </w:r>
      <w:r>
        <w:rPr>
          <w:color w:val="auto"/>
          <w:highlight w:val="none"/>
        </w:rPr>
        <w:fldChar w:fldCharType="separate"/>
      </w:r>
      <w:r>
        <w:rPr>
          <w:color w:val="auto"/>
          <w:highlight w:val="none"/>
        </w:rPr>
        <w:t>67</w:t>
      </w:r>
      <w:r>
        <w:rPr>
          <w:color w:val="auto"/>
          <w:highlight w:val="none"/>
        </w:rPr>
        <w:fldChar w:fldCharType="end"/>
      </w:r>
      <w:r>
        <w:rPr>
          <w:rFonts w:hint="eastAsia" w:hAnsi="宋体" w:cs="宋体"/>
          <w:color w:val="auto"/>
          <w:szCs w:val="24"/>
          <w:highlight w:val="none"/>
        </w:rPr>
        <w:fldChar w:fldCharType="end"/>
      </w:r>
    </w:p>
    <w:p w14:paraId="3F6F78BE">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_Toc26395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格式九 总监理工程师任职项目情况表</w:t>
      </w:r>
      <w:r>
        <w:rPr>
          <w:color w:val="auto"/>
          <w:highlight w:val="none"/>
        </w:rPr>
        <w:tab/>
      </w:r>
      <w:r>
        <w:rPr>
          <w:color w:val="auto"/>
          <w:highlight w:val="none"/>
        </w:rPr>
        <w:fldChar w:fldCharType="begin"/>
      </w:r>
      <w:r>
        <w:rPr>
          <w:color w:val="auto"/>
          <w:highlight w:val="none"/>
        </w:rPr>
        <w:instrText xml:space="preserve"> PAGEREF _Toc26395 \h </w:instrText>
      </w:r>
      <w:r>
        <w:rPr>
          <w:color w:val="auto"/>
          <w:highlight w:val="none"/>
        </w:rPr>
        <w:fldChar w:fldCharType="separate"/>
      </w:r>
      <w:r>
        <w:rPr>
          <w:color w:val="auto"/>
          <w:highlight w:val="none"/>
        </w:rPr>
        <w:t>68</w:t>
      </w:r>
      <w:r>
        <w:rPr>
          <w:color w:val="auto"/>
          <w:highlight w:val="none"/>
        </w:rPr>
        <w:fldChar w:fldCharType="end"/>
      </w:r>
      <w:r>
        <w:rPr>
          <w:rFonts w:hint="eastAsia" w:hAnsi="宋体" w:cs="宋体"/>
          <w:color w:val="auto"/>
          <w:szCs w:val="24"/>
          <w:highlight w:val="none"/>
        </w:rPr>
        <w:fldChar w:fldCharType="end"/>
      </w:r>
    </w:p>
    <w:p w14:paraId="7E45D1B3">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_Toc4928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w:t>
      </w:r>
      <w:r>
        <w:rPr>
          <w:rFonts w:hint="eastAsia" w:hAnsi="宋体" w:cs="宋体"/>
          <w:bCs/>
          <w:snapToGrid w:val="0"/>
          <w:color w:val="auto"/>
          <w:kern w:val="0"/>
          <w:szCs w:val="24"/>
          <w:highlight w:val="none"/>
        </w:rPr>
        <w:t>十 项目监理机构组成人员汇总表</w:t>
      </w:r>
      <w:r>
        <w:rPr>
          <w:color w:val="auto"/>
          <w:highlight w:val="none"/>
        </w:rPr>
        <w:tab/>
      </w:r>
      <w:r>
        <w:rPr>
          <w:color w:val="auto"/>
          <w:highlight w:val="none"/>
        </w:rPr>
        <w:fldChar w:fldCharType="begin"/>
      </w:r>
      <w:r>
        <w:rPr>
          <w:color w:val="auto"/>
          <w:highlight w:val="none"/>
        </w:rPr>
        <w:instrText xml:space="preserve"> PAGEREF _Toc4928 \h </w:instrText>
      </w:r>
      <w:r>
        <w:rPr>
          <w:color w:val="auto"/>
          <w:highlight w:val="none"/>
        </w:rPr>
        <w:fldChar w:fldCharType="separate"/>
      </w:r>
      <w:r>
        <w:rPr>
          <w:color w:val="auto"/>
          <w:highlight w:val="none"/>
        </w:rPr>
        <w:t>69</w:t>
      </w:r>
      <w:r>
        <w:rPr>
          <w:color w:val="auto"/>
          <w:highlight w:val="none"/>
        </w:rPr>
        <w:fldChar w:fldCharType="end"/>
      </w:r>
      <w:r>
        <w:rPr>
          <w:rFonts w:hint="eastAsia" w:hAnsi="宋体" w:cs="宋体"/>
          <w:color w:val="auto"/>
          <w:szCs w:val="24"/>
          <w:highlight w:val="none"/>
        </w:rPr>
        <w:fldChar w:fldCharType="end"/>
      </w:r>
    </w:p>
    <w:p w14:paraId="71369DC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_Toc17913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格式十一 总监理工程师简历表</w:t>
      </w:r>
      <w:r>
        <w:rPr>
          <w:color w:val="auto"/>
          <w:highlight w:val="none"/>
        </w:rPr>
        <w:tab/>
      </w:r>
      <w:r>
        <w:rPr>
          <w:color w:val="auto"/>
          <w:highlight w:val="none"/>
        </w:rPr>
        <w:fldChar w:fldCharType="begin"/>
      </w:r>
      <w:r>
        <w:rPr>
          <w:color w:val="auto"/>
          <w:highlight w:val="none"/>
        </w:rPr>
        <w:instrText xml:space="preserve"> PAGEREF _Toc17913 \h </w:instrText>
      </w:r>
      <w:r>
        <w:rPr>
          <w:color w:val="auto"/>
          <w:highlight w:val="none"/>
        </w:rPr>
        <w:fldChar w:fldCharType="separate"/>
      </w:r>
      <w:r>
        <w:rPr>
          <w:color w:val="auto"/>
          <w:highlight w:val="none"/>
        </w:rPr>
        <w:t>70</w:t>
      </w:r>
      <w:r>
        <w:rPr>
          <w:color w:val="auto"/>
          <w:highlight w:val="none"/>
        </w:rPr>
        <w:fldChar w:fldCharType="end"/>
      </w:r>
      <w:r>
        <w:rPr>
          <w:rFonts w:hint="eastAsia" w:hAnsi="宋体" w:cs="宋体"/>
          <w:color w:val="auto"/>
          <w:szCs w:val="24"/>
          <w:highlight w:val="none"/>
        </w:rPr>
        <w:fldChar w:fldCharType="end"/>
      </w:r>
    </w:p>
    <w:p w14:paraId="0AD0DD58">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_Toc2307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格式十二 其他拟派人员简历表</w:t>
      </w:r>
      <w:r>
        <w:rPr>
          <w:color w:val="auto"/>
          <w:highlight w:val="none"/>
        </w:rPr>
        <w:tab/>
      </w:r>
      <w:r>
        <w:rPr>
          <w:color w:val="auto"/>
          <w:highlight w:val="none"/>
        </w:rPr>
        <w:fldChar w:fldCharType="begin"/>
      </w:r>
      <w:r>
        <w:rPr>
          <w:color w:val="auto"/>
          <w:highlight w:val="none"/>
        </w:rPr>
        <w:instrText xml:space="preserve"> PAGEREF _Toc2307 \h </w:instrText>
      </w:r>
      <w:r>
        <w:rPr>
          <w:color w:val="auto"/>
          <w:highlight w:val="none"/>
        </w:rPr>
        <w:fldChar w:fldCharType="separate"/>
      </w:r>
      <w:r>
        <w:rPr>
          <w:color w:val="auto"/>
          <w:highlight w:val="none"/>
        </w:rPr>
        <w:t>71</w:t>
      </w:r>
      <w:r>
        <w:rPr>
          <w:color w:val="auto"/>
          <w:highlight w:val="none"/>
        </w:rPr>
        <w:fldChar w:fldCharType="end"/>
      </w:r>
      <w:r>
        <w:rPr>
          <w:rFonts w:hint="eastAsia" w:hAnsi="宋体" w:cs="宋体"/>
          <w:color w:val="auto"/>
          <w:szCs w:val="24"/>
          <w:highlight w:val="none"/>
        </w:rPr>
        <w:fldChar w:fldCharType="end"/>
      </w:r>
    </w:p>
    <w:p w14:paraId="16E2D4B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_Toc27697 </w:instrText>
      </w:r>
      <w:r>
        <w:rPr>
          <w:rFonts w:hint="eastAsia" w:hAnsi="宋体" w:cs="宋体"/>
          <w:color w:val="auto"/>
          <w:szCs w:val="24"/>
          <w:highlight w:val="none"/>
        </w:rPr>
        <w:fldChar w:fldCharType="separate"/>
      </w:r>
      <w:r>
        <w:rPr>
          <w:rFonts w:hint="eastAsia"/>
          <w:bCs/>
          <w:color w:val="auto"/>
          <w:highlight w:val="none"/>
          <w:lang w:val="en-US" w:eastAsia="zh-CN"/>
        </w:rPr>
        <w:t>格式十三 原件一览表</w:t>
      </w:r>
      <w:r>
        <w:rPr>
          <w:color w:val="auto"/>
          <w:highlight w:val="none"/>
        </w:rPr>
        <w:tab/>
      </w:r>
      <w:r>
        <w:rPr>
          <w:color w:val="auto"/>
          <w:highlight w:val="none"/>
        </w:rPr>
        <w:fldChar w:fldCharType="begin"/>
      </w:r>
      <w:r>
        <w:rPr>
          <w:color w:val="auto"/>
          <w:highlight w:val="none"/>
        </w:rPr>
        <w:instrText xml:space="preserve"> PAGEREF _Toc27697 \h </w:instrText>
      </w:r>
      <w:r>
        <w:rPr>
          <w:color w:val="auto"/>
          <w:highlight w:val="none"/>
        </w:rPr>
        <w:fldChar w:fldCharType="separate"/>
      </w:r>
      <w:r>
        <w:rPr>
          <w:color w:val="auto"/>
          <w:highlight w:val="none"/>
        </w:rPr>
        <w:t>72</w:t>
      </w:r>
      <w:r>
        <w:rPr>
          <w:color w:val="auto"/>
          <w:highlight w:val="none"/>
        </w:rPr>
        <w:fldChar w:fldCharType="end"/>
      </w:r>
      <w:r>
        <w:rPr>
          <w:rFonts w:hint="eastAsia" w:hAnsi="宋体" w:cs="宋体"/>
          <w:color w:val="auto"/>
          <w:szCs w:val="24"/>
          <w:highlight w:val="none"/>
        </w:rPr>
        <w:fldChar w:fldCharType="end"/>
      </w:r>
    </w:p>
    <w:p w14:paraId="7716EE19">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_Toc17397 </w:instrText>
      </w:r>
      <w:r>
        <w:rPr>
          <w:rFonts w:hint="eastAsia" w:hAnsi="宋体" w:cs="宋体"/>
          <w:color w:val="auto"/>
          <w:szCs w:val="24"/>
          <w:highlight w:val="none"/>
        </w:rPr>
        <w:fldChar w:fldCharType="separate"/>
      </w:r>
      <w:r>
        <w:rPr>
          <w:rFonts w:hint="eastAsia" w:hAnsi="Times New Roman" w:cs="Times New Roman"/>
          <w:bCs/>
          <w:color w:val="auto"/>
          <w:highlight w:val="none"/>
          <w:lang w:val="en-US" w:eastAsia="zh-CN"/>
        </w:rPr>
        <w:t>格式十四 定标因素评审资料</w:t>
      </w:r>
      <w:r>
        <w:rPr>
          <w:color w:val="auto"/>
          <w:highlight w:val="none"/>
        </w:rPr>
        <w:tab/>
      </w:r>
      <w:r>
        <w:rPr>
          <w:color w:val="auto"/>
          <w:highlight w:val="none"/>
        </w:rPr>
        <w:fldChar w:fldCharType="begin"/>
      </w:r>
      <w:r>
        <w:rPr>
          <w:color w:val="auto"/>
          <w:highlight w:val="none"/>
        </w:rPr>
        <w:instrText xml:space="preserve"> PAGEREF _Toc17397 \h </w:instrText>
      </w:r>
      <w:r>
        <w:rPr>
          <w:color w:val="auto"/>
          <w:highlight w:val="none"/>
        </w:rPr>
        <w:fldChar w:fldCharType="separate"/>
      </w:r>
      <w:r>
        <w:rPr>
          <w:color w:val="auto"/>
          <w:highlight w:val="none"/>
        </w:rPr>
        <w:t>73</w:t>
      </w:r>
      <w:r>
        <w:rPr>
          <w:color w:val="auto"/>
          <w:highlight w:val="none"/>
        </w:rPr>
        <w:fldChar w:fldCharType="end"/>
      </w:r>
      <w:r>
        <w:rPr>
          <w:rFonts w:hint="eastAsia" w:hAnsi="宋体" w:cs="宋体"/>
          <w:color w:val="auto"/>
          <w:szCs w:val="24"/>
          <w:highlight w:val="none"/>
        </w:rPr>
        <w:fldChar w:fldCharType="end"/>
      </w:r>
    </w:p>
    <w:p w14:paraId="5DE9E5FB">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_Toc26162 </w:instrText>
      </w:r>
      <w:r>
        <w:rPr>
          <w:rFonts w:hint="eastAsia" w:hAnsi="宋体" w:cs="宋体"/>
          <w:color w:val="auto"/>
          <w:szCs w:val="24"/>
          <w:highlight w:val="none"/>
        </w:rPr>
        <w:fldChar w:fldCharType="separate"/>
      </w:r>
      <w:r>
        <w:rPr>
          <w:rFonts w:hint="eastAsia" w:ascii="宋体" w:hAnsi="宋体" w:cs="宋体"/>
          <w:color w:val="auto"/>
          <w:kern w:val="44"/>
          <w:szCs w:val="22"/>
          <w:highlight w:val="none"/>
        </w:rPr>
        <w:t>第六章 建设工程监理合同</w:t>
      </w:r>
      <w:r>
        <w:rPr>
          <w:color w:val="auto"/>
          <w:highlight w:val="none"/>
        </w:rPr>
        <w:tab/>
      </w:r>
      <w:r>
        <w:rPr>
          <w:color w:val="auto"/>
          <w:highlight w:val="none"/>
        </w:rPr>
        <w:fldChar w:fldCharType="begin"/>
      </w:r>
      <w:r>
        <w:rPr>
          <w:color w:val="auto"/>
          <w:highlight w:val="none"/>
        </w:rPr>
        <w:instrText xml:space="preserve"> PAGEREF _Toc26162 \h </w:instrText>
      </w:r>
      <w:r>
        <w:rPr>
          <w:color w:val="auto"/>
          <w:highlight w:val="none"/>
        </w:rPr>
        <w:fldChar w:fldCharType="separate"/>
      </w:r>
      <w:r>
        <w:rPr>
          <w:color w:val="auto"/>
          <w:highlight w:val="none"/>
        </w:rPr>
        <w:t>74</w:t>
      </w:r>
      <w:r>
        <w:rPr>
          <w:color w:val="auto"/>
          <w:highlight w:val="none"/>
        </w:rPr>
        <w:fldChar w:fldCharType="end"/>
      </w:r>
      <w:r>
        <w:rPr>
          <w:rFonts w:hint="eastAsia" w:hAnsi="宋体" w:cs="宋体"/>
          <w:color w:val="auto"/>
          <w:szCs w:val="24"/>
          <w:highlight w:val="none"/>
        </w:rPr>
        <w:fldChar w:fldCharType="end"/>
      </w:r>
    </w:p>
    <w:p w14:paraId="04AFE2B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hAnsi="宋体" w:cs="宋体"/>
          <w:color w:val="auto"/>
          <w:szCs w:val="24"/>
          <w:highlight w:val="none"/>
        </w:rPr>
      </w:pPr>
      <w:r>
        <w:rPr>
          <w:rFonts w:hint="eastAsia" w:hAnsi="宋体" w:cs="宋体"/>
          <w:color w:val="auto"/>
          <w:szCs w:val="24"/>
          <w:highlight w:val="none"/>
        </w:rPr>
        <w:fldChar w:fldCharType="end"/>
      </w:r>
    </w:p>
    <w:p w14:paraId="72C6CDF7">
      <w:pPr>
        <w:bidi w:val="0"/>
        <w:rPr>
          <w:rFonts w:hint="eastAsia"/>
          <w:color w:val="auto"/>
          <w:highlight w:val="none"/>
        </w:rPr>
      </w:pPr>
    </w:p>
    <w:p w14:paraId="44E278EF">
      <w:pPr>
        <w:bidi w:val="0"/>
        <w:rPr>
          <w:rFonts w:hint="eastAsia"/>
          <w:color w:val="auto"/>
          <w:highlight w:val="none"/>
        </w:rPr>
      </w:pPr>
    </w:p>
    <w:p w14:paraId="4CFFDCA3">
      <w:pPr>
        <w:bidi w:val="0"/>
        <w:rPr>
          <w:rFonts w:hint="eastAsia"/>
          <w:color w:val="auto"/>
          <w:highlight w:val="none"/>
        </w:rPr>
      </w:pPr>
    </w:p>
    <w:p w14:paraId="49FACEF0">
      <w:pPr>
        <w:bidi w:val="0"/>
        <w:rPr>
          <w:rFonts w:hint="eastAsia"/>
          <w:color w:val="auto"/>
          <w:highlight w:val="none"/>
        </w:rPr>
      </w:pPr>
    </w:p>
    <w:p w14:paraId="67D59685">
      <w:pPr>
        <w:bidi w:val="0"/>
        <w:rPr>
          <w:rFonts w:hint="eastAsia"/>
          <w:color w:val="auto"/>
          <w:highlight w:val="none"/>
        </w:rPr>
      </w:pPr>
    </w:p>
    <w:p w14:paraId="3CF29BF7">
      <w:pPr>
        <w:bidi w:val="0"/>
        <w:rPr>
          <w:rFonts w:hint="eastAsia"/>
          <w:color w:val="auto"/>
          <w:highlight w:val="none"/>
        </w:rPr>
      </w:pPr>
    </w:p>
    <w:p w14:paraId="1C6B5B71">
      <w:pPr>
        <w:bidi w:val="0"/>
        <w:rPr>
          <w:rFonts w:hint="eastAsia"/>
          <w:color w:val="auto"/>
          <w:highlight w:val="none"/>
        </w:rPr>
      </w:pPr>
    </w:p>
    <w:p w14:paraId="00CD5A72">
      <w:pPr>
        <w:bidi w:val="0"/>
        <w:rPr>
          <w:rFonts w:hint="eastAsia"/>
          <w:color w:val="auto"/>
          <w:highlight w:val="none"/>
        </w:rPr>
      </w:pPr>
    </w:p>
    <w:p w14:paraId="7906C4F8">
      <w:pPr>
        <w:bidi w:val="0"/>
        <w:rPr>
          <w:rFonts w:hint="eastAsia"/>
          <w:color w:val="auto"/>
          <w:highlight w:val="none"/>
        </w:rPr>
      </w:pPr>
    </w:p>
    <w:p w14:paraId="7FA25707">
      <w:pPr>
        <w:bidi w:val="0"/>
        <w:rPr>
          <w:rFonts w:hint="eastAsia"/>
          <w:color w:val="auto"/>
          <w:highlight w:val="none"/>
        </w:rPr>
      </w:pPr>
    </w:p>
    <w:p w14:paraId="1AC08286">
      <w:pPr>
        <w:bidi w:val="0"/>
        <w:rPr>
          <w:rFonts w:hint="eastAsia"/>
          <w:color w:val="auto"/>
          <w:highlight w:val="none"/>
        </w:rPr>
      </w:pPr>
    </w:p>
    <w:p w14:paraId="73AD38DD">
      <w:pPr>
        <w:pStyle w:val="2"/>
        <w:wordWrap w:val="0"/>
        <w:autoSpaceDE/>
        <w:autoSpaceDN/>
        <w:snapToGrid w:val="0"/>
        <w:spacing w:line="440" w:lineRule="exact"/>
        <w:jc w:val="center"/>
        <w:rPr>
          <w:rFonts w:ascii="Times New Roman"/>
          <w:b/>
          <w:snapToGrid w:val="0"/>
          <w:color w:val="auto"/>
          <w:sz w:val="32"/>
          <w:szCs w:val="22"/>
          <w:highlight w:val="none"/>
        </w:rPr>
      </w:pPr>
      <w:bookmarkStart w:id="0" w:name="_Toc27704"/>
      <w:r>
        <w:rPr>
          <w:rFonts w:hint="eastAsia" w:ascii="Times New Roman"/>
          <w:b/>
          <w:snapToGrid w:val="0"/>
          <w:color w:val="auto"/>
          <w:sz w:val="32"/>
          <w:szCs w:val="22"/>
          <w:highlight w:val="none"/>
        </w:rPr>
        <w:t>第一章 投标人须知</w:t>
      </w:r>
      <w:bookmarkEnd w:id="0"/>
    </w:p>
    <w:p w14:paraId="64D39061">
      <w:pPr>
        <w:pStyle w:val="3"/>
        <w:wordWrap w:val="0"/>
        <w:autoSpaceDE/>
        <w:autoSpaceDN/>
        <w:snapToGrid w:val="0"/>
        <w:spacing w:before="260" w:after="260" w:line="440" w:lineRule="exact"/>
        <w:jc w:val="both"/>
        <w:rPr>
          <w:rFonts w:ascii="Times New Roman"/>
          <w:b/>
          <w:snapToGrid w:val="0"/>
          <w:color w:val="auto"/>
          <w:highlight w:val="none"/>
        </w:rPr>
      </w:pPr>
      <w:bookmarkStart w:id="1" w:name="_Hlt127175444"/>
      <w:bookmarkEnd w:id="1"/>
      <w:bookmarkStart w:id="2" w:name="_Toc9597"/>
      <w:bookmarkStart w:id="3" w:name="_Toc4883"/>
      <w:bookmarkStart w:id="4" w:name="_Hlt120077520"/>
      <w:r>
        <w:rPr>
          <w:rFonts w:hint="eastAsia" w:ascii="Times New Roman"/>
          <w:b/>
          <w:snapToGrid w:val="0"/>
          <w:color w:val="auto"/>
          <w:highlight w:val="none"/>
        </w:rPr>
        <w:t>第一节 投标人须知前附表</w:t>
      </w:r>
      <w:bookmarkEnd w:id="2"/>
      <w:bookmarkEnd w:id="3"/>
    </w:p>
    <w:tbl>
      <w:tblPr>
        <w:tblStyle w:val="31"/>
        <w:tblW w:w="9705"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7259"/>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内容</w:t>
            </w:r>
          </w:p>
        </w:tc>
        <w:tc>
          <w:tcPr>
            <w:tcW w:w="7259"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18"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项目名称</w:t>
            </w:r>
          </w:p>
        </w:tc>
        <w:tc>
          <w:tcPr>
            <w:tcW w:w="7259"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lang w:eastAsia="zh-CN"/>
              </w:rPr>
              <w:t>广东省韶关市红军过粤北重点展示园建设项目(纪念馆内改造提升)监理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项目业主</w:t>
            </w:r>
          </w:p>
        </w:tc>
        <w:tc>
          <w:tcPr>
            <w:tcW w:w="7259"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jc w:val="left"/>
              <w:rPr>
                <w:rFonts w:hint="default" w:hAnsi="宋体" w:eastAsia="宋体" w:cs="宋体"/>
                <w:snapToGrid w:val="0"/>
                <w:color w:val="auto"/>
                <w:kern w:val="0"/>
                <w:szCs w:val="24"/>
                <w:highlight w:val="none"/>
                <w:lang w:val="en-US" w:eastAsia="zh-CN"/>
              </w:rPr>
            </w:pPr>
            <w:r>
              <w:rPr>
                <w:rFonts w:hint="eastAsia" w:hAnsi="宋体" w:cs="宋体"/>
                <w:color w:val="auto"/>
                <w:kern w:val="2"/>
                <w:sz w:val="24"/>
                <w:szCs w:val="22"/>
                <w:highlight w:val="none"/>
                <w:lang w:val="en-US" w:eastAsia="zh-CN" w:bidi="ar-SA"/>
              </w:rPr>
              <w:t>中共仁化县委宣传部</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项目批准部门</w:t>
            </w:r>
          </w:p>
        </w:tc>
        <w:tc>
          <w:tcPr>
            <w:tcW w:w="7259"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jc w:val="left"/>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lang w:eastAsia="zh-CN"/>
              </w:rPr>
              <w:t>仁化县发展改革和政务数据局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项目批准文号</w:t>
            </w:r>
          </w:p>
        </w:tc>
        <w:tc>
          <w:tcPr>
            <w:tcW w:w="7259" w:type="dxa"/>
            <w:tcBorders>
              <w:top w:val="single" w:color="auto" w:sz="4" w:space="0"/>
              <w:left w:val="single" w:color="auto" w:sz="4" w:space="0"/>
              <w:bottom w:val="single" w:color="auto" w:sz="4" w:space="0"/>
              <w:right w:val="single" w:color="auto" w:sz="4" w:space="0"/>
            </w:tcBorders>
            <w:vAlign w:val="center"/>
          </w:tcPr>
          <w:p w14:paraId="52204F50">
            <w:pPr>
              <w:pStyle w:val="118"/>
              <w:keepNext w:val="0"/>
              <w:keepLines w:val="0"/>
              <w:pageBreakBefore w:val="0"/>
              <w:widowControl w:val="0"/>
              <w:kinsoku/>
              <w:overflowPunct/>
              <w:topLinePunct w:val="0"/>
              <w:autoSpaceDE/>
              <w:autoSpaceDN/>
              <w:bidi w:val="0"/>
              <w:spacing w:line="500" w:lineRule="exact"/>
              <w:jc w:val="left"/>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lang w:eastAsia="zh-CN"/>
              </w:rPr>
              <w:t>仁发改投审[2022]43号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项目代码</w:t>
            </w:r>
          </w:p>
        </w:tc>
        <w:tc>
          <w:tcPr>
            <w:tcW w:w="7259" w:type="dxa"/>
            <w:tcBorders>
              <w:top w:val="single" w:color="auto" w:sz="4" w:space="0"/>
              <w:left w:val="single" w:color="auto" w:sz="4" w:space="0"/>
              <w:bottom w:val="single" w:color="auto" w:sz="4" w:space="0"/>
              <w:right w:val="single" w:color="auto" w:sz="4" w:space="0"/>
            </w:tcBorders>
            <w:vAlign w:val="center"/>
          </w:tcPr>
          <w:p w14:paraId="2BAFF47C">
            <w:pPr>
              <w:pStyle w:val="118"/>
              <w:keepNext w:val="0"/>
              <w:keepLines w:val="0"/>
              <w:pageBreakBefore w:val="0"/>
              <w:widowControl w:val="0"/>
              <w:kinsoku/>
              <w:overflowPunct/>
              <w:topLinePunct w:val="0"/>
              <w:autoSpaceDE/>
              <w:autoSpaceDN/>
              <w:bidi w:val="0"/>
              <w:spacing w:line="500" w:lineRule="exact"/>
              <w:jc w:val="left"/>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lang w:eastAsia="zh-CN"/>
              </w:rPr>
              <w:t>2112-440000-04-01-198317</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highlight w:val="none"/>
              </w:rPr>
            </w:pPr>
            <w:r>
              <w:rPr>
                <w:rFonts w:hint="eastAsia" w:hAnsi="宋体" w:cs="宋体"/>
                <w:color w:val="auto"/>
                <w:kern w:val="0"/>
                <w:szCs w:val="24"/>
                <w:highlight w:val="none"/>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highlight w:val="none"/>
              </w:rPr>
            </w:pPr>
            <w:r>
              <w:rPr>
                <w:rFonts w:hint="eastAsia" w:hAnsi="宋体" w:cs="宋体"/>
                <w:color w:val="auto"/>
                <w:kern w:val="0"/>
                <w:szCs w:val="24"/>
                <w:highlight w:val="none"/>
              </w:rPr>
              <w:t>及出资比例</w:t>
            </w:r>
          </w:p>
        </w:tc>
        <w:tc>
          <w:tcPr>
            <w:tcW w:w="7259"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tabs>
                <w:tab w:val="left" w:pos="5679"/>
              </w:tabs>
              <w:kinsoku/>
              <w:wordWrap w:val="0"/>
              <w:overflowPunct/>
              <w:topLinePunct w:val="0"/>
              <w:autoSpaceDE/>
              <w:autoSpaceDN/>
              <w:bidi w:val="0"/>
              <w:adjustRightInd w:val="0"/>
              <w:snapToGrid w:val="0"/>
              <w:spacing w:line="240" w:lineRule="auto"/>
              <w:jc w:val="left"/>
              <w:textAlignment w:val="auto"/>
              <w:rPr>
                <w:rFonts w:hint="default" w:hAnsi="宋体" w:eastAsia="宋体" w:cs="宋体"/>
                <w:color w:val="auto"/>
                <w:kern w:val="0"/>
                <w:szCs w:val="24"/>
                <w:highlight w:val="none"/>
                <w:lang w:val="en-US" w:eastAsia="zh-CN"/>
              </w:rPr>
            </w:pPr>
            <w:r>
              <w:rPr>
                <w:rFonts w:hint="eastAsia" w:hAnsi="宋体" w:cs="宋体"/>
                <w:color w:val="auto"/>
                <w:szCs w:val="22"/>
                <w:highlight w:val="none"/>
                <w:lang w:val="en-US" w:eastAsia="zh-CN"/>
              </w:rPr>
              <w:t>由上级资金和县财政资金安排解决</w:t>
            </w:r>
            <w:r>
              <w:rPr>
                <w:rFonts w:hint="eastAsia" w:hAnsi="宋体" w:cs="宋体"/>
                <w:color w:val="auto"/>
                <w:kern w:val="0"/>
                <w:szCs w:val="24"/>
                <w:highlight w:val="none"/>
                <w:lang w:eastAsia="zh-CN"/>
              </w:rPr>
              <w:t>；</w:t>
            </w:r>
            <w:r>
              <w:rPr>
                <w:rFonts w:hint="eastAsia" w:hAnsi="宋体" w:cs="宋体"/>
                <w:color w:val="auto"/>
                <w:kern w:val="0"/>
                <w:szCs w:val="24"/>
                <w:highlight w:val="none"/>
              </w:rPr>
              <w:t>100%</w:t>
            </w:r>
            <w:r>
              <w:rPr>
                <w:rFonts w:hint="eastAsia" w:hAnsi="宋体" w:cs="宋体"/>
                <w:color w:val="auto"/>
                <w:kern w:val="0"/>
                <w:szCs w:val="24"/>
                <w:highlight w:val="none"/>
                <w:lang w:eastAsia="zh-CN"/>
              </w:rPr>
              <w:tab/>
            </w:r>
            <w:r>
              <w:rPr>
                <w:rFonts w:hint="eastAsia" w:hAnsi="宋体" w:cs="宋体"/>
                <w:color w:val="auto"/>
                <w:kern w:val="0"/>
                <w:szCs w:val="24"/>
                <w:highlight w:val="none"/>
                <w:lang w:val="en-US" w:eastAsia="zh-CN"/>
              </w:rPr>
              <w:t xml:space="preserve">   </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招标人</w:t>
            </w:r>
          </w:p>
        </w:tc>
        <w:tc>
          <w:tcPr>
            <w:tcW w:w="7259" w:type="dxa"/>
            <w:tcBorders>
              <w:top w:val="single" w:color="auto" w:sz="4" w:space="0"/>
              <w:left w:val="single" w:color="auto" w:sz="4" w:space="0"/>
              <w:bottom w:val="single" w:color="auto" w:sz="4" w:space="0"/>
              <w:right w:val="single" w:color="auto" w:sz="4" w:space="0"/>
            </w:tcBorders>
            <w:vAlign w:val="center"/>
          </w:tcPr>
          <w:p w14:paraId="2B78CE37">
            <w:pPr>
              <w:pStyle w:val="118"/>
              <w:keepNext w:val="0"/>
              <w:keepLines w:val="0"/>
              <w:pageBreakBefore w:val="0"/>
              <w:tabs>
                <w:tab w:val="left" w:pos="1890"/>
              </w:tabs>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cs="宋体"/>
                <w:color w:val="auto"/>
                <w:kern w:val="2"/>
                <w:sz w:val="24"/>
                <w:szCs w:val="22"/>
                <w:highlight w:val="none"/>
                <w:lang w:val="en-US" w:eastAsia="zh-CN" w:bidi="ar-SA"/>
              </w:rPr>
              <w:t>中共仁化县委宣传部</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招标代理机构</w:t>
            </w:r>
          </w:p>
        </w:tc>
        <w:tc>
          <w:tcPr>
            <w:tcW w:w="7259" w:type="dxa"/>
            <w:tcBorders>
              <w:top w:val="single" w:color="auto" w:sz="4" w:space="0"/>
              <w:left w:val="single" w:color="auto" w:sz="4" w:space="0"/>
              <w:bottom w:val="single" w:color="auto" w:sz="4" w:space="0"/>
              <w:right w:val="single" w:color="auto" w:sz="4" w:space="0"/>
            </w:tcBorders>
            <w:vAlign w:val="center"/>
          </w:tcPr>
          <w:p w14:paraId="247F9F6F">
            <w:pPr>
              <w:pStyle w:val="118"/>
              <w:keepNext w:val="0"/>
              <w:keepLines w:val="0"/>
              <w:pageBreakBefore w:val="0"/>
              <w:tabs>
                <w:tab w:val="left" w:pos="1890"/>
              </w:tabs>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cs="宋体"/>
                <w:color w:val="auto"/>
                <w:kern w:val="2"/>
                <w:sz w:val="24"/>
                <w:szCs w:val="22"/>
                <w:highlight w:val="none"/>
                <w:lang w:val="en-US" w:eastAsia="zh-CN" w:bidi="ar-SA"/>
              </w:rPr>
              <w:t>韶关鹰正项目管理有限公司</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施工单位</w:t>
            </w:r>
          </w:p>
        </w:tc>
        <w:tc>
          <w:tcPr>
            <w:tcW w:w="7259"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rPr>
                <w:rFonts w:hint="eastAsia" w:hAnsi="宋体" w:eastAsia="宋体" w:cs="宋体"/>
                <w:bCs/>
                <w:snapToGrid w:val="0"/>
                <w:color w:val="auto"/>
                <w:kern w:val="0"/>
                <w:szCs w:val="24"/>
                <w:highlight w:val="none"/>
                <w:lang w:val="en-US" w:eastAsia="zh-CN"/>
              </w:rPr>
            </w:pPr>
            <w:r>
              <w:rPr>
                <w:rFonts w:hint="eastAsia" w:hAnsi="宋体" w:cs="宋体"/>
                <w:bCs/>
                <w:snapToGrid w:val="0"/>
                <w:color w:val="auto"/>
                <w:kern w:val="0"/>
                <w:szCs w:val="24"/>
                <w:highlight w:val="none"/>
                <w:lang w:val="en-US" w:eastAsia="zh-CN"/>
              </w:rPr>
              <w:t>待定</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建设地点</w:t>
            </w:r>
          </w:p>
        </w:tc>
        <w:tc>
          <w:tcPr>
            <w:tcW w:w="7259"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bCs/>
                <w:snapToGrid w:val="0"/>
                <w:color w:val="auto"/>
                <w:kern w:val="0"/>
                <w:szCs w:val="24"/>
                <w:highlight w:val="none"/>
              </w:rPr>
            </w:pPr>
            <w:r>
              <w:rPr>
                <w:rFonts w:hint="eastAsia" w:hAnsi="宋体" w:cs="宋体"/>
                <w:color w:val="auto"/>
                <w:szCs w:val="22"/>
                <w:highlight w:val="none"/>
                <w:lang w:val="en-US" w:eastAsia="zh-CN"/>
              </w:rPr>
              <w:t>韶关市仁化县城口镇</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74"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建设内容和规模</w:t>
            </w:r>
          </w:p>
        </w:tc>
        <w:tc>
          <w:tcPr>
            <w:tcW w:w="7259" w:type="dxa"/>
            <w:tcBorders>
              <w:top w:val="single" w:color="auto" w:sz="4" w:space="0"/>
              <w:left w:val="single" w:color="auto" w:sz="4" w:space="0"/>
              <w:bottom w:val="single" w:color="auto" w:sz="4" w:space="0"/>
              <w:right w:val="single" w:color="auto" w:sz="4" w:space="0"/>
            </w:tcBorders>
            <w:vAlign w:val="center"/>
          </w:tcPr>
          <w:p w14:paraId="68E06B34">
            <w:pPr>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红军长征粤北纪念馆展陈改造提升，涉及改造面积约5500㎡。</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54"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项目总投资</w:t>
            </w:r>
          </w:p>
        </w:tc>
        <w:tc>
          <w:tcPr>
            <w:tcW w:w="7259" w:type="dxa"/>
            <w:tcBorders>
              <w:top w:val="single" w:color="auto" w:sz="4" w:space="0"/>
              <w:left w:val="single" w:color="auto" w:sz="4" w:space="0"/>
              <w:bottom w:val="single" w:color="auto" w:sz="4" w:space="0"/>
              <w:right w:val="single" w:color="auto" w:sz="4" w:space="0"/>
            </w:tcBorders>
            <w:vAlign w:val="center"/>
          </w:tcPr>
          <w:p w14:paraId="2CAD9F0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default" w:hAnsi="宋体" w:cs="宋体"/>
                <w:color w:val="auto"/>
                <w:szCs w:val="22"/>
                <w:highlight w:val="none"/>
                <w:lang w:val="en-US" w:eastAsia="zh-CN"/>
              </w:rPr>
            </w:pPr>
            <w:r>
              <w:rPr>
                <w:rFonts w:hint="eastAsia" w:ascii="宋体" w:hAnsi="宋体" w:eastAsia="宋体" w:cs="宋体"/>
                <w:color w:val="auto"/>
                <w:kern w:val="0"/>
                <w:sz w:val="24"/>
                <w:szCs w:val="24"/>
                <w:highlight w:val="none"/>
                <w:lang w:val="en-US" w:eastAsia="zh-CN" w:bidi="ar-SA"/>
              </w:rPr>
              <w:t>项目估算总投资26771.75万元</w:t>
            </w:r>
            <w:r>
              <w:rPr>
                <w:rFonts w:hint="eastAsia" w:hAnsi="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本项目</w:t>
            </w:r>
            <w:r>
              <w:rPr>
                <w:rFonts w:hint="eastAsia" w:hAnsi="宋体" w:cs="宋体"/>
                <w:color w:val="auto"/>
                <w:sz w:val="24"/>
                <w:szCs w:val="24"/>
                <w:highlight w:val="none"/>
                <w:lang w:val="en-US" w:eastAsia="zh-CN"/>
              </w:rPr>
              <w:t>总投资约3000万元，馆内建设</w:t>
            </w:r>
            <w:r>
              <w:rPr>
                <w:rFonts w:hint="eastAsia" w:ascii="宋体" w:hAnsi="宋体" w:eastAsia="宋体" w:cs="宋体"/>
                <w:color w:val="auto"/>
                <w:kern w:val="0"/>
                <w:sz w:val="24"/>
                <w:szCs w:val="24"/>
                <w:highlight w:val="none"/>
                <w:lang w:val="en-US" w:eastAsia="zh-CN" w:bidi="ar-SA"/>
              </w:rPr>
              <w:t>费</w:t>
            </w:r>
            <w:r>
              <w:rPr>
                <w:rFonts w:hint="eastAsia" w:hAnsi="宋体" w:cs="宋体"/>
                <w:color w:val="auto"/>
                <w:kern w:val="0"/>
                <w:sz w:val="24"/>
                <w:szCs w:val="24"/>
                <w:highlight w:val="none"/>
                <w:lang w:val="en-US" w:eastAsia="zh-CN" w:bidi="ar-SA"/>
              </w:rPr>
              <w:t>（含设计施工一体化建设费、展陈各物料费用）</w:t>
            </w:r>
            <w:r>
              <w:rPr>
                <w:rFonts w:hint="eastAsia" w:ascii="宋体" w:hAnsi="宋体" w:eastAsia="宋体" w:cs="宋体"/>
                <w:color w:val="auto"/>
                <w:kern w:val="0"/>
                <w:sz w:val="24"/>
                <w:szCs w:val="24"/>
                <w:highlight w:val="none"/>
                <w:lang w:val="en-US" w:eastAsia="zh-CN" w:bidi="ar-SA"/>
              </w:rPr>
              <w:t>约2952.97万元</w:t>
            </w:r>
            <w:r>
              <w:rPr>
                <w:rFonts w:hint="eastAsia" w:hAnsi="宋体" w:cs="宋体"/>
                <w:color w:val="auto"/>
                <w:kern w:val="0"/>
                <w:sz w:val="24"/>
                <w:szCs w:val="24"/>
                <w:highlight w:val="none"/>
                <w:lang w:val="en-US" w:eastAsia="zh-CN" w:bidi="ar-SA"/>
              </w:rPr>
              <w:t>，</w:t>
            </w:r>
            <w:r>
              <w:rPr>
                <w:rFonts w:hint="eastAsia" w:ascii="宋体" w:hAnsi="宋体" w:eastAsia="宋体" w:cs="宋体"/>
                <w:color w:val="auto"/>
                <w:szCs w:val="22"/>
                <w:highlight w:val="none"/>
                <w:lang w:val="en-US" w:eastAsia="zh-CN"/>
              </w:rPr>
              <w:t>本次招标监理服务费为</w:t>
            </w:r>
            <w:r>
              <w:rPr>
                <w:rFonts w:hint="eastAsia" w:hAnsi="宋体" w:cs="宋体"/>
                <w:color w:val="auto"/>
                <w:szCs w:val="22"/>
                <w:highlight w:val="none"/>
                <w:lang w:val="en-US" w:eastAsia="zh-CN"/>
              </w:rPr>
              <w:t>61.58</w:t>
            </w:r>
            <w:r>
              <w:rPr>
                <w:rFonts w:hint="eastAsia" w:ascii="宋体" w:hAnsi="宋体" w:eastAsia="宋体" w:cs="宋体"/>
                <w:color w:val="auto"/>
                <w:szCs w:val="22"/>
                <w:highlight w:val="none"/>
                <w:lang w:val="en-US" w:eastAsia="zh-CN"/>
              </w:rPr>
              <w:t>万元</w:t>
            </w:r>
            <w:r>
              <w:rPr>
                <w:rFonts w:hint="eastAsia" w:hAnsi="宋体" w:cs="宋体"/>
                <w:color w:val="auto"/>
                <w:szCs w:val="22"/>
                <w:highlight w:val="none"/>
                <w:lang w:val="en-US" w:eastAsia="zh-CN"/>
              </w:rPr>
              <w:t>。</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招标范围</w:t>
            </w:r>
          </w:p>
        </w:tc>
        <w:tc>
          <w:tcPr>
            <w:tcW w:w="7259"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项目建设施工阶段监理（含施工准备阶段、施工阶段、工程竣工结算阶段和保修阶段监理）</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标段划分</w:t>
            </w:r>
          </w:p>
        </w:tc>
        <w:tc>
          <w:tcPr>
            <w:tcW w:w="7259"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snapToGrid w:val="0"/>
                <w:color w:val="auto"/>
                <w:kern w:val="0"/>
                <w:szCs w:val="24"/>
                <w:highlight w:val="none"/>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投标人资格要求</w:t>
            </w:r>
          </w:p>
        </w:tc>
        <w:tc>
          <w:tcPr>
            <w:tcW w:w="7259"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Ansi="宋体" w:cs="宋体"/>
                <w:color w:val="auto"/>
                <w:szCs w:val="24"/>
                <w:highlight w:val="none"/>
              </w:rPr>
            </w:pPr>
            <w:r>
              <w:rPr>
                <w:rFonts w:hint="eastAsia" w:hAnsi="宋体" w:cs="宋体"/>
                <w:color w:val="auto"/>
                <w:szCs w:val="24"/>
                <w:highlight w:val="none"/>
              </w:rPr>
              <w:t>1．本次招标</w:t>
            </w:r>
            <w:r>
              <w:rPr>
                <w:rFonts w:hint="eastAsia" w:hAnsi="宋体" w:cs="宋体"/>
                <w:b/>
                <w:bCs/>
                <w:color w:val="auto"/>
                <w:szCs w:val="24"/>
                <w:highlight w:val="none"/>
              </w:rPr>
              <w:t>不</w:t>
            </w:r>
            <w:r>
              <w:rPr>
                <w:rFonts w:hint="eastAsia" w:hAnsi="宋体" w:cs="宋体"/>
                <w:color w:val="auto"/>
                <w:szCs w:val="24"/>
                <w:highlight w:val="none"/>
              </w:rPr>
              <w:t>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Ansi="宋体" w:cs="宋体"/>
                <w:color w:val="auto"/>
                <w:szCs w:val="24"/>
                <w:highlight w:val="none"/>
              </w:rPr>
            </w:pPr>
            <w:r>
              <w:rPr>
                <w:rFonts w:hint="eastAsia" w:hAnsi="宋体" w:cs="宋体"/>
                <w:color w:val="auto"/>
                <w:szCs w:val="24"/>
                <w:highlight w:val="none"/>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ascii="宋体" w:hAnsi="宋体" w:eastAsia="宋体" w:cs="宋体"/>
                <w:color w:val="auto"/>
                <w:szCs w:val="24"/>
                <w:highlight w:val="none"/>
              </w:rPr>
            </w:pPr>
            <w:r>
              <w:rPr>
                <w:rFonts w:hint="eastAsia" w:hAnsi="宋体" w:cs="宋体"/>
                <w:color w:val="auto"/>
                <w:szCs w:val="24"/>
                <w:highlight w:val="none"/>
              </w:rPr>
              <w:t xml:space="preserve">2.2 </w:t>
            </w:r>
            <w:r>
              <w:rPr>
                <w:rFonts w:hint="eastAsia" w:ascii="宋体" w:hAnsi="宋体" w:eastAsia="宋体" w:cs="宋体"/>
                <w:color w:val="auto"/>
                <w:szCs w:val="24"/>
                <w:highlight w:val="none"/>
              </w:rPr>
              <w:t>投标人须具备以下资质之一：①工程监理综合资质；②</w:t>
            </w:r>
            <w:r>
              <w:rPr>
                <w:rFonts w:hint="eastAsia" w:hAnsi="宋体" w:cs="宋体"/>
                <w:color w:val="auto"/>
                <w:szCs w:val="24"/>
                <w:highlight w:val="none"/>
                <w:lang w:eastAsia="zh-CN"/>
              </w:rPr>
              <w:t>房屋建筑工程监理乙级或以上资质</w:t>
            </w:r>
            <w:r>
              <w:rPr>
                <w:rFonts w:hint="eastAsia" w:ascii="宋体" w:hAnsi="宋体" w:eastAsia="宋体" w:cs="宋体"/>
                <w:color w:val="auto"/>
                <w:szCs w:val="24"/>
                <w:highlight w:val="none"/>
              </w:rPr>
              <w:t>。</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2.3 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 xml:space="preserve">3.1 </w:t>
            </w:r>
            <w:r>
              <w:rPr>
                <w:rFonts w:hint="eastAsia" w:hAnsi="宋体" w:cs="宋体"/>
                <w:color w:val="auto"/>
                <w:szCs w:val="24"/>
                <w:highlight w:val="none"/>
                <w:lang w:eastAsia="zh-CN"/>
              </w:rPr>
              <w:t>拟派总监理工程师为房屋建筑工程专业注册监理工程师</w:t>
            </w:r>
            <w:r>
              <w:rPr>
                <w:rFonts w:hint="eastAsia" w:hAnsi="宋体" w:cs="宋体"/>
                <w:color w:val="auto"/>
                <w:szCs w:val="24"/>
                <w:highlight w:val="none"/>
              </w:rPr>
              <w:t>，应持有国家住建部印发的有效注册证书，其担任总监理工程师职务的其他在施（包括已中标未开工、已开工未竣工）建设工程项目不得超过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（14）</w:t>
            </w:r>
            <w:r>
              <w:rPr>
                <w:rFonts w:hint="eastAsia" w:hAnsi="宋体" w:cs="宋体"/>
                <w:color w:val="auto"/>
                <w:kern w:val="0"/>
                <w:highlight w:val="none"/>
              </w:rPr>
              <w:t>被“信用中国”网站（https://www.creditchina.gov.cn）发布的《法人和非法人组织公共信用信息报告》列为严重失信主体名单的</w:t>
            </w:r>
            <w:r>
              <w:rPr>
                <w:rFonts w:hint="eastAsia" w:hAnsi="宋体" w:cs="宋体"/>
                <w:color w:val="auto"/>
                <w:szCs w:val="24"/>
                <w:highlight w:val="none"/>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Ansi="宋体" w:cs="宋体"/>
                <w:color w:val="auto"/>
                <w:szCs w:val="24"/>
                <w:highlight w:val="none"/>
              </w:rPr>
            </w:pPr>
            <w:r>
              <w:rPr>
                <w:rFonts w:hint="eastAsia" w:hAnsi="宋体" w:cs="宋体"/>
                <w:color w:val="auto"/>
                <w:szCs w:val="24"/>
                <w:highlight w:val="none"/>
              </w:rPr>
              <w:t>4.2 招标人拒绝以下名单中的单位参加本次投标：</w:t>
            </w:r>
          </w:p>
          <w:tbl>
            <w:tblPr>
              <w:tblStyle w:val="31"/>
              <w:tblW w:w="6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3229"/>
              <w:gridCol w:w="2966"/>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229"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966"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5B757AB9">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3229" w:type="dxa"/>
                  <w:noWrap w:val="0"/>
                  <w:vAlign w:val="center"/>
                </w:tcPr>
                <w:p w14:paraId="33309A4E">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中共仁化县委宣传部</w:t>
                  </w:r>
                </w:p>
              </w:tc>
              <w:tc>
                <w:tcPr>
                  <w:tcW w:w="2966" w:type="dxa"/>
                  <w:noWrap w:val="0"/>
                  <w:vAlign w:val="center"/>
                </w:tcPr>
                <w:p w14:paraId="3109F4A9">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kern w:val="2"/>
                      <w:sz w:val="24"/>
                      <w:szCs w:val="24"/>
                      <w:highlight w:val="none"/>
                      <w:lang w:val="en-US" w:eastAsia="zh-CN" w:bidi="ar-SA"/>
                    </w:rPr>
                    <w:t>本项目的</w:t>
                  </w:r>
                  <w:r>
                    <w:rPr>
                      <w:rFonts w:hint="eastAsia" w:ascii="宋体" w:hAnsi="宋体" w:eastAsia="宋体" w:cs="宋体"/>
                      <w:color w:val="auto"/>
                      <w:sz w:val="24"/>
                      <w:szCs w:val="24"/>
                      <w:highlight w:val="none"/>
                      <w:lang w:val="en-US" w:eastAsia="zh-CN"/>
                    </w:rPr>
                    <w:t>业主</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招标人</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28FEDDA3">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3229" w:type="dxa"/>
                  <w:noWrap w:val="0"/>
                  <w:vAlign w:val="center"/>
                </w:tcPr>
                <w:p w14:paraId="22B974FA">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snapToGrid w:val="0"/>
                      <w:color w:val="auto"/>
                      <w:kern w:val="0"/>
                      <w:sz w:val="24"/>
                      <w:highlight w:val="none"/>
                      <w:lang w:eastAsia="zh-CN"/>
                    </w:rPr>
                    <w:t>韶关鹰正项目管理有限公司</w:t>
                  </w:r>
                </w:p>
              </w:tc>
              <w:tc>
                <w:tcPr>
                  <w:tcW w:w="2966" w:type="dxa"/>
                  <w:noWrap w:val="0"/>
                  <w:vAlign w:val="center"/>
                </w:tcPr>
                <w:p w14:paraId="3A221F21">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为本项目的招标代理机构</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74118216">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3229" w:type="dxa"/>
                  <w:noWrap w:val="0"/>
                  <w:vAlign w:val="center"/>
                </w:tcPr>
                <w:p w14:paraId="0A3FF80A">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广州金良工程咨询有限公司</w:t>
                  </w:r>
                </w:p>
              </w:tc>
              <w:tc>
                <w:tcPr>
                  <w:tcW w:w="2966" w:type="dxa"/>
                  <w:noWrap w:val="0"/>
                  <w:vAlign w:val="center"/>
                </w:tcPr>
                <w:p w14:paraId="5C95264F">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为本项目的可研编制单位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服务期限</w:t>
            </w:r>
          </w:p>
        </w:tc>
        <w:tc>
          <w:tcPr>
            <w:tcW w:w="7259"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服务标准</w:t>
            </w:r>
          </w:p>
        </w:tc>
        <w:tc>
          <w:tcPr>
            <w:tcW w:w="7259"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jc w:val="left"/>
              <w:rPr>
                <w:rFonts w:hAnsi="宋体" w:cs="宋体"/>
                <w:snapToGrid w:val="0"/>
                <w:color w:val="auto"/>
                <w:kern w:val="0"/>
                <w:szCs w:val="24"/>
                <w:highlight w:val="none"/>
              </w:rPr>
            </w:pPr>
            <w:r>
              <w:rPr>
                <w:rFonts w:hint="eastAsia" w:hAnsi="宋体" w:cs="宋体"/>
                <w:snapToGrid w:val="0"/>
                <w:color w:val="auto"/>
                <w:kern w:val="0"/>
                <w:szCs w:val="24"/>
                <w:highlight w:val="none"/>
              </w:rPr>
              <w:t>工程质量达到合格或以上标准。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最高投标限价</w:t>
            </w:r>
          </w:p>
        </w:tc>
        <w:tc>
          <w:tcPr>
            <w:tcW w:w="7259"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bCs/>
                <w:color w:val="auto"/>
                <w:szCs w:val="24"/>
                <w:highlight w:val="none"/>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投标保证金</w:t>
            </w:r>
          </w:p>
        </w:tc>
        <w:tc>
          <w:tcPr>
            <w:tcW w:w="7259"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textAlignment w:val="auto"/>
              <w:rPr>
                <w:rFonts w:hAnsi="宋体" w:cs="宋体"/>
                <w:color w:val="auto"/>
                <w:highlight w:val="none"/>
              </w:rPr>
            </w:pPr>
            <w:r>
              <w:rPr>
                <w:rFonts w:hint="eastAsia" w:hAnsi="宋体" w:cs="宋体"/>
                <w:color w:val="auto"/>
                <w:highlight w:val="none"/>
              </w:rPr>
              <w:t>1.投标人须缴纳金额为人民币</w:t>
            </w:r>
            <w:r>
              <w:rPr>
                <w:rFonts w:hint="eastAsia" w:hAnsi="宋体" w:cs="宋体"/>
                <w:b/>
                <w:bCs/>
                <w:color w:val="auto"/>
                <w:highlight w:val="none"/>
                <w:u w:val="single"/>
                <w:lang w:val="en-US" w:eastAsia="zh-CN"/>
              </w:rPr>
              <w:t>壹万</w:t>
            </w:r>
            <w:r>
              <w:rPr>
                <w:rFonts w:hint="eastAsia" w:hAnsi="宋体" w:cs="宋体"/>
                <w:b/>
                <w:bCs/>
                <w:color w:val="auto"/>
                <w:highlight w:val="none"/>
              </w:rPr>
              <w:t>元</w:t>
            </w:r>
            <w:r>
              <w:rPr>
                <w:rFonts w:hint="eastAsia" w:hAnsi="宋体" w:cs="宋体"/>
                <w:color w:val="auto"/>
                <w:highlight w:val="none"/>
              </w:rPr>
              <w:t>的投标保证。</w:t>
            </w:r>
          </w:p>
          <w:p w14:paraId="0BEC4750">
            <w:pPr>
              <w:keepNext w:val="0"/>
              <w:keepLines w:val="0"/>
              <w:pageBreakBefore w:val="0"/>
              <w:widowControl w:val="0"/>
              <w:kinsoku/>
              <w:overflowPunct/>
              <w:topLinePunct w:val="0"/>
              <w:autoSpaceDE/>
              <w:autoSpaceDN/>
              <w:bidi w:val="0"/>
              <w:snapToGrid w:val="0"/>
              <w:spacing w:line="500" w:lineRule="exact"/>
              <w:textAlignment w:val="auto"/>
              <w:rPr>
                <w:rFonts w:hAnsi="宋体" w:cs="宋体"/>
                <w:color w:val="auto"/>
                <w:highlight w:val="none"/>
              </w:rPr>
            </w:pPr>
            <w:r>
              <w:rPr>
                <w:rFonts w:hint="eastAsia" w:hAnsi="宋体" w:cs="宋体"/>
                <w:color w:val="auto"/>
                <w:highlight w:val="none"/>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textAlignment w:val="auto"/>
              <w:rPr>
                <w:rFonts w:hAnsi="宋体" w:cs="宋体"/>
                <w:color w:val="auto"/>
                <w:highlight w:val="none"/>
              </w:rPr>
            </w:pPr>
            <w:r>
              <w:rPr>
                <w:rFonts w:hint="eastAsia" w:hAnsi="宋体" w:cs="宋体"/>
                <w:color w:val="auto"/>
                <w:highlight w:val="none"/>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color w:val="auto"/>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投标有效期</w:t>
            </w:r>
          </w:p>
        </w:tc>
        <w:tc>
          <w:tcPr>
            <w:tcW w:w="7259"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snapToGrid w:val="0"/>
                <w:color w:val="auto"/>
                <w:kern w:val="0"/>
                <w:szCs w:val="24"/>
                <w:highlight w:val="none"/>
              </w:rPr>
              <w:t>本次招标的投标有效期为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投标文件组成</w:t>
            </w:r>
          </w:p>
        </w:tc>
        <w:tc>
          <w:tcPr>
            <w:tcW w:w="7259"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rPr>
                <w:rFonts w:hint="eastAsia" w:hAnsi="宋体" w:cs="宋体"/>
                <w:snapToGrid w:val="0"/>
                <w:color w:val="auto"/>
                <w:kern w:val="0"/>
                <w:szCs w:val="24"/>
                <w:highlight w:val="none"/>
              </w:rPr>
            </w:pPr>
            <w:r>
              <w:rPr>
                <w:rFonts w:hint="eastAsia" w:hAnsi="宋体" w:cs="宋体"/>
                <w:snapToGrid w:val="0"/>
                <w:color w:val="auto"/>
                <w:kern w:val="0"/>
                <w:szCs w:val="24"/>
                <w:highlight w:val="none"/>
              </w:rPr>
              <w:t>投标文件包括商务标书、监理大纲</w:t>
            </w:r>
            <w:r>
              <w:rPr>
                <w:rFonts w:hint="eastAsia" w:hAnsi="宋体" w:cs="宋体"/>
                <w:snapToGrid w:val="0"/>
                <w:color w:val="auto"/>
                <w:kern w:val="0"/>
                <w:szCs w:val="24"/>
                <w:highlight w:val="none"/>
                <w:lang w:eastAsia="zh-CN"/>
              </w:rPr>
              <w:t>、定标文件三</w:t>
            </w:r>
            <w:r>
              <w:rPr>
                <w:rFonts w:hint="eastAsia" w:hAnsi="宋体" w:cs="宋体"/>
                <w:snapToGrid w:val="0"/>
                <w:color w:val="auto"/>
                <w:kern w:val="0"/>
                <w:szCs w:val="24"/>
                <w:highlight w:val="none"/>
              </w:rPr>
              <w:t>个分册。</w:t>
            </w:r>
          </w:p>
          <w:p w14:paraId="75638248">
            <w:pPr>
              <w:keepNext w:val="0"/>
              <w:keepLines w:val="0"/>
              <w:pageBreakBefore w:val="0"/>
              <w:widowControl w:val="0"/>
              <w:kinsoku/>
              <w:wordWrap w:val="0"/>
              <w:overflowPunct/>
              <w:topLinePunct w:val="0"/>
              <w:autoSpaceDE/>
              <w:autoSpaceDN/>
              <w:bidi w:val="0"/>
              <w:adjustRightInd w:val="0"/>
              <w:snapToGrid w:val="0"/>
              <w:spacing w:line="500" w:lineRule="exact"/>
              <w:rPr>
                <w:rFonts w:hint="eastAsia" w:hAnsi="宋体" w:cs="宋体"/>
                <w:snapToGrid w:val="0"/>
                <w:color w:val="auto"/>
                <w:kern w:val="0"/>
                <w:szCs w:val="24"/>
                <w:highlight w:val="none"/>
              </w:rPr>
            </w:pP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评标方法</w:t>
            </w:r>
          </w:p>
        </w:tc>
        <w:tc>
          <w:tcPr>
            <w:tcW w:w="7259"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snapToGrid w:val="0"/>
                <w:color w:val="auto"/>
                <w:kern w:val="0"/>
                <w:szCs w:val="24"/>
                <w:highlight w:val="none"/>
              </w:rPr>
              <w:t>综合评估法</w:t>
            </w:r>
          </w:p>
        </w:tc>
      </w:tr>
      <w:tr w14:paraId="6A3352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5B45BFD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23</w:t>
            </w:r>
          </w:p>
        </w:tc>
        <w:tc>
          <w:tcPr>
            <w:tcW w:w="1725" w:type="dxa"/>
            <w:tcBorders>
              <w:top w:val="single" w:color="auto" w:sz="4" w:space="0"/>
              <w:left w:val="single" w:color="auto" w:sz="4" w:space="0"/>
              <w:bottom w:val="single" w:color="auto" w:sz="4" w:space="0"/>
              <w:right w:val="single" w:color="auto" w:sz="4" w:space="0"/>
            </w:tcBorders>
            <w:vAlign w:val="center"/>
          </w:tcPr>
          <w:p w14:paraId="446FB411">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hAnsi="宋体" w:cs="宋体"/>
                <w:snapToGrid w:val="0"/>
                <w:color w:val="auto"/>
                <w:kern w:val="0"/>
                <w:szCs w:val="24"/>
                <w:highlight w:val="none"/>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定标办法</w:t>
            </w:r>
          </w:p>
        </w:tc>
        <w:tc>
          <w:tcPr>
            <w:tcW w:w="7259" w:type="dxa"/>
            <w:tcBorders>
              <w:top w:val="single" w:color="auto" w:sz="4" w:space="0"/>
              <w:left w:val="single" w:color="auto" w:sz="4" w:space="0"/>
              <w:bottom w:val="single" w:color="auto" w:sz="4" w:space="0"/>
              <w:right w:val="single" w:color="auto" w:sz="4" w:space="0"/>
            </w:tcBorders>
            <w:vAlign w:val="center"/>
          </w:tcPr>
          <w:p w14:paraId="3923702E">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采用评定分离的项目，应选定下列定标办法：</w:t>
            </w:r>
          </w:p>
          <w:p w14:paraId="481B761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☑票决数量法</w:t>
            </w:r>
          </w:p>
          <w:p w14:paraId="078BCFA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□票决计分法</w:t>
            </w:r>
          </w:p>
          <w:p w14:paraId="08451E7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□集体议事法</w:t>
            </w:r>
          </w:p>
          <w:p w14:paraId="6A4AF255">
            <w:pPr>
              <w:pStyle w:val="30"/>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hAnsi="宋体" w:cs="宋体"/>
                <w:snapToGrid w:val="0"/>
                <w:color w:val="auto"/>
                <w:kern w:val="0"/>
                <w:szCs w:val="24"/>
                <w:highlight w:val="none"/>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□其他方法：</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4</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hAnsi="宋体" w:cs="宋体"/>
                <w:snapToGrid w:val="0"/>
                <w:color w:val="auto"/>
                <w:kern w:val="0"/>
                <w:szCs w:val="24"/>
                <w:highlight w:val="none"/>
              </w:rPr>
            </w:pPr>
            <w:r>
              <w:rPr>
                <w:rFonts w:hint="eastAsia" w:hAnsi="宋体" w:cs="宋体"/>
                <w:snapToGrid w:val="0"/>
                <w:color w:val="auto"/>
                <w:kern w:val="0"/>
                <w:szCs w:val="24"/>
                <w:highlight w:val="none"/>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方式</w:t>
            </w:r>
          </w:p>
        </w:tc>
        <w:tc>
          <w:tcPr>
            <w:tcW w:w="7259"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240" w:lineRule="auto"/>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本次招标监理大纲</w:t>
            </w:r>
            <w:r>
              <w:rPr>
                <w:rFonts w:hint="eastAsia" w:hAnsi="宋体" w:cs="宋体"/>
                <w:snapToGrid w:val="0"/>
                <w:color w:val="auto"/>
                <w:kern w:val="0"/>
                <w:szCs w:val="24"/>
                <w:highlight w:val="none"/>
                <w:u w:val="single"/>
              </w:rPr>
              <w:t xml:space="preserve"> 不采用 </w:t>
            </w:r>
            <w:r>
              <w:rPr>
                <w:rFonts w:hint="eastAsia" w:hAnsi="宋体" w:cs="宋体"/>
                <w:snapToGrid w:val="0"/>
                <w:color w:val="auto"/>
                <w:kern w:val="0"/>
                <w:szCs w:val="24"/>
                <w:highlight w:val="none"/>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vMerge w:val="restart"/>
            <w:tcBorders>
              <w:top w:val="single" w:color="auto" w:sz="4" w:space="0"/>
              <w:left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5</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w:t>
            </w:r>
          </w:p>
        </w:tc>
        <w:tc>
          <w:tcPr>
            <w:tcW w:w="7259"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评标委员会由</w:t>
            </w:r>
            <w:r>
              <w:rPr>
                <w:rFonts w:hint="eastAsia" w:hAnsi="宋体" w:cs="宋体"/>
                <w:snapToGrid w:val="0"/>
                <w:color w:val="auto"/>
                <w:kern w:val="0"/>
                <w:szCs w:val="24"/>
                <w:highlight w:val="none"/>
                <w:u w:val="single"/>
              </w:rPr>
              <w:t xml:space="preserve"> 5 </w:t>
            </w:r>
            <w:r>
              <w:rPr>
                <w:rFonts w:hint="eastAsia" w:hAnsi="宋体" w:cs="宋体"/>
                <w:snapToGrid w:val="0"/>
                <w:color w:val="auto"/>
                <w:kern w:val="0"/>
                <w:szCs w:val="24"/>
                <w:highlight w:val="none"/>
              </w:rPr>
              <w:t>人组成，其中招标人代表</w:t>
            </w:r>
            <w:r>
              <w:rPr>
                <w:rFonts w:hint="eastAsia" w:hAnsi="宋体" w:cs="宋体"/>
                <w:snapToGrid w:val="0"/>
                <w:color w:val="auto"/>
                <w:kern w:val="0"/>
                <w:szCs w:val="24"/>
                <w:highlight w:val="none"/>
                <w:u w:val="single"/>
              </w:rPr>
              <w:t xml:space="preserve"> 0 </w:t>
            </w:r>
            <w:r>
              <w:rPr>
                <w:rFonts w:hint="eastAsia" w:hAnsi="宋体" w:cs="宋体"/>
                <w:snapToGrid w:val="0"/>
                <w:color w:val="auto"/>
                <w:kern w:val="0"/>
                <w:szCs w:val="24"/>
                <w:highlight w:val="none"/>
              </w:rPr>
              <w:t>人，专家</w:t>
            </w:r>
            <w:r>
              <w:rPr>
                <w:rFonts w:hint="eastAsia" w:hAnsi="宋体" w:cs="宋体"/>
                <w:snapToGrid w:val="0"/>
                <w:color w:val="auto"/>
                <w:kern w:val="0"/>
                <w:szCs w:val="24"/>
                <w:highlight w:val="none"/>
                <w:u w:val="single"/>
              </w:rPr>
              <w:t xml:space="preserve"> 5 </w:t>
            </w:r>
            <w:r>
              <w:rPr>
                <w:rFonts w:hint="eastAsia" w:hAnsi="宋体" w:cs="宋体"/>
                <w:snapToGrid w:val="0"/>
                <w:color w:val="auto"/>
                <w:kern w:val="0"/>
                <w:szCs w:val="24"/>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szCs w:val="24"/>
                <w:highlight w:val="none"/>
              </w:rPr>
              <w:t>中随机抽取，其中技术类专家</w:t>
            </w:r>
            <w:r>
              <w:rPr>
                <w:rFonts w:hint="eastAsia" w:hAnsi="宋体" w:cs="宋体"/>
                <w:snapToGrid w:val="0"/>
                <w:color w:val="auto"/>
                <w:kern w:val="0"/>
                <w:szCs w:val="24"/>
                <w:highlight w:val="none"/>
                <w:u w:val="single"/>
              </w:rPr>
              <w:t xml:space="preserve"> 3 </w:t>
            </w:r>
            <w:r>
              <w:rPr>
                <w:rFonts w:hint="eastAsia" w:hAnsi="宋体" w:cs="宋体"/>
                <w:snapToGrid w:val="0"/>
                <w:color w:val="auto"/>
                <w:kern w:val="0"/>
                <w:szCs w:val="24"/>
                <w:highlight w:val="none"/>
              </w:rPr>
              <w:t>人，经济类专家</w:t>
            </w:r>
            <w:r>
              <w:rPr>
                <w:rFonts w:hint="eastAsia" w:hAnsi="宋体" w:cs="宋体"/>
                <w:snapToGrid w:val="0"/>
                <w:color w:val="auto"/>
                <w:kern w:val="0"/>
                <w:szCs w:val="24"/>
                <w:highlight w:val="none"/>
                <w:u w:val="single"/>
              </w:rPr>
              <w:t xml:space="preserve"> 2 </w:t>
            </w:r>
            <w:r>
              <w:rPr>
                <w:rFonts w:hint="eastAsia" w:hAnsi="宋体" w:cs="宋体"/>
                <w:snapToGrid w:val="0"/>
                <w:color w:val="auto"/>
                <w:kern w:val="0"/>
                <w:szCs w:val="24"/>
                <w:highlight w:val="none"/>
              </w:rPr>
              <w:t>人。</w:t>
            </w:r>
          </w:p>
        </w:tc>
      </w:tr>
      <w:tr w14:paraId="6AC05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vMerge w:val="continue"/>
            <w:tcBorders>
              <w:left w:val="single" w:color="auto" w:sz="4" w:space="0"/>
              <w:bottom w:val="single" w:color="auto" w:sz="4" w:space="0"/>
              <w:right w:val="single" w:color="auto" w:sz="4" w:space="0"/>
            </w:tcBorders>
            <w:vAlign w:val="center"/>
          </w:tcPr>
          <w:p w14:paraId="24492E91">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hAnsi="宋体" w:cs="宋体"/>
                <w:snapToGrid w:val="0"/>
                <w:color w:val="auto"/>
                <w:kern w:val="0"/>
                <w:szCs w:val="24"/>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14:paraId="65A3ECE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lang w:eastAsia="zh-CN"/>
              </w:rPr>
              <w:t>定标委员会</w:t>
            </w:r>
          </w:p>
        </w:tc>
        <w:tc>
          <w:tcPr>
            <w:tcW w:w="7259" w:type="dxa"/>
            <w:tcBorders>
              <w:top w:val="single" w:color="auto" w:sz="4" w:space="0"/>
              <w:left w:val="single" w:color="auto" w:sz="4" w:space="0"/>
              <w:bottom w:val="single" w:color="auto" w:sz="4" w:space="0"/>
              <w:right w:val="single" w:color="auto" w:sz="4" w:space="0"/>
            </w:tcBorders>
            <w:vAlign w:val="center"/>
          </w:tcPr>
          <w:p w14:paraId="52EDFDC3">
            <w:pPr>
              <w:keepNext w:val="0"/>
              <w:keepLines w:val="0"/>
              <w:pageBreakBefore w:val="0"/>
              <w:widowControl w:val="0"/>
              <w:kinsoku/>
              <w:wordWrap w:val="0"/>
              <w:overflowPunct/>
              <w:topLinePunct w:val="0"/>
              <w:autoSpaceDE/>
              <w:autoSpaceDN/>
              <w:bidi w:val="0"/>
              <w:adjustRightInd w:val="0"/>
              <w:snapToGrid w:val="0"/>
              <w:spacing w:line="500" w:lineRule="exact"/>
              <w:rPr>
                <w:rFonts w:hint="eastAsia" w:hAnsi="宋体" w:cs="宋体"/>
                <w:snapToGrid w:val="0"/>
                <w:color w:val="auto"/>
                <w:kern w:val="0"/>
                <w:szCs w:val="24"/>
                <w:highlight w:val="none"/>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Fonts w:hint="eastAsia" w:ascii="宋体" w:hAnsi="宋体" w:eastAsia="宋体" w:cs="宋体"/>
                <w:color w:val="auto"/>
                <w:sz w:val="24"/>
                <w:szCs w:val="24"/>
                <w:highlight w:val="none"/>
                <w:u w:val="none"/>
              </w:rPr>
              <w:t>定标委员会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6</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7259"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w:t>
            </w:r>
            <w:r>
              <w:rPr>
                <w:rFonts w:hint="eastAsia" w:hAnsi="宋体" w:cs="宋体"/>
                <w:snapToGrid w:val="0"/>
                <w:color w:val="auto"/>
                <w:kern w:val="0"/>
                <w:sz w:val="24"/>
                <w:szCs w:val="24"/>
                <w:highlight w:val="none"/>
                <w:lang w:val="en-US" w:eastAsia="zh-CN"/>
              </w:rPr>
              <w:t>投标文件格式</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7</w:t>
            </w:r>
          </w:p>
        </w:tc>
        <w:tc>
          <w:tcPr>
            <w:tcW w:w="1725"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联系方式</w:t>
            </w:r>
          </w:p>
        </w:tc>
        <w:tc>
          <w:tcPr>
            <w:tcW w:w="7259" w:type="dxa"/>
            <w:tcBorders>
              <w:top w:val="single" w:color="auto" w:sz="4" w:space="0"/>
              <w:left w:val="single" w:color="auto" w:sz="4" w:space="0"/>
              <w:bottom w:val="single" w:color="auto" w:sz="4" w:space="0"/>
              <w:right w:val="single" w:color="auto" w:sz="4" w:space="0"/>
            </w:tcBorders>
            <w:vAlign w:val="center"/>
          </w:tcPr>
          <w:p w14:paraId="7B1282C5">
            <w:pPr>
              <w:keepNext w:val="0"/>
              <w:keepLines w:val="0"/>
              <w:pageBreakBefore w:val="0"/>
              <w:widowControl/>
              <w:suppressLineNumbers w:val="0"/>
              <w:overflowPunct/>
              <w:topLinePunct w:val="0"/>
              <w:bidi w:val="0"/>
              <w:spacing w:line="240" w:lineRule="auto"/>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单位名称：中共仁化县委宣传部</w:t>
            </w:r>
          </w:p>
          <w:p w14:paraId="51000959">
            <w:pPr>
              <w:keepNext w:val="0"/>
              <w:keepLines w:val="0"/>
              <w:pageBreakBefore w:val="0"/>
              <w:widowControl/>
              <w:suppressLineNumbers w:val="0"/>
              <w:overflowPunct/>
              <w:topLinePunct w:val="0"/>
              <w:bidi w:val="0"/>
              <w:spacing w:line="240" w:lineRule="auto"/>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办公地址：韶关市仁化县丹霞街道新城路2号</w:t>
            </w:r>
          </w:p>
          <w:p w14:paraId="3E429FF4">
            <w:pPr>
              <w:keepNext w:val="0"/>
              <w:keepLines w:val="0"/>
              <w:pageBreakBefore w:val="0"/>
              <w:widowControl/>
              <w:suppressLineNumbers w:val="0"/>
              <w:overflowPunct/>
              <w:topLinePunct w:val="0"/>
              <w:bidi w:val="0"/>
              <w:spacing w:line="240" w:lineRule="auto"/>
              <w:jc w:val="left"/>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联系人（部门）：邓女士</w:t>
            </w:r>
          </w:p>
          <w:p w14:paraId="6B1F2003">
            <w:pPr>
              <w:pStyle w:val="89"/>
              <w:keepNext w:val="0"/>
              <w:keepLines w:val="0"/>
              <w:pageBreakBefore w:val="0"/>
              <w:widowControl w:val="0"/>
              <w:tabs>
                <w:tab w:val="left" w:pos="1890"/>
              </w:tabs>
              <w:kinsoku/>
              <w:wordWrap/>
              <w:overflowPunct/>
              <w:topLinePunct w:val="0"/>
              <w:autoSpaceDE/>
              <w:autoSpaceDN/>
              <w:bidi w:val="0"/>
              <w:adjustRightInd/>
              <w:snapToGrid/>
              <w:spacing w:line="460" w:lineRule="exact"/>
              <w:jc w:val="left"/>
              <w:textAlignment w:val="auto"/>
              <w:rPr>
                <w:rFonts w:hAnsi="宋体" w:cs="宋体"/>
                <w:snapToGrid w:val="0"/>
                <w:color w:val="auto"/>
                <w:kern w:val="0"/>
                <w:szCs w:val="24"/>
                <w:highlight w:val="none"/>
              </w:rPr>
            </w:pPr>
            <w:r>
              <w:rPr>
                <w:rFonts w:hint="eastAsia" w:ascii="宋体" w:hAnsi="宋体" w:eastAsia="宋体" w:cs="宋体"/>
                <w:color w:val="auto"/>
                <w:kern w:val="0"/>
                <w:sz w:val="24"/>
                <w:szCs w:val="24"/>
                <w:highlight w:val="none"/>
                <w:lang w:val="en-US" w:eastAsia="zh-CN" w:bidi="ar"/>
              </w:rPr>
              <w:t>联系电话：</w:t>
            </w:r>
            <w:r>
              <w:rPr>
                <w:rFonts w:hint="eastAsia" w:ascii="宋体" w:hAnsi="宋体" w:eastAsia="宋体" w:cs="宋体"/>
                <w:b w:val="0"/>
                <w:bCs w:val="0"/>
                <w:i w:val="0"/>
                <w:color w:val="auto"/>
                <w:kern w:val="0"/>
                <w:sz w:val="24"/>
                <w:szCs w:val="24"/>
                <w:highlight w:val="none"/>
                <w:u w:val="none"/>
                <w:lang w:val="en-US" w:eastAsia="zh-CN" w:bidi="ar"/>
              </w:rPr>
              <w:t>0751-6800373</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75"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8</w:t>
            </w:r>
          </w:p>
        </w:tc>
        <w:tc>
          <w:tcPr>
            <w:tcW w:w="1725"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联系方式</w:t>
            </w:r>
          </w:p>
        </w:tc>
        <w:tc>
          <w:tcPr>
            <w:tcW w:w="7259" w:type="dxa"/>
            <w:tcBorders>
              <w:top w:val="single" w:color="auto" w:sz="4" w:space="0"/>
              <w:left w:val="single" w:color="auto" w:sz="4" w:space="0"/>
              <w:bottom w:val="single" w:color="auto" w:sz="4" w:space="0"/>
              <w:right w:val="single" w:color="auto" w:sz="4" w:space="0"/>
            </w:tcBorders>
            <w:vAlign w:val="center"/>
          </w:tcPr>
          <w:p w14:paraId="095FBB18">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单位名称：韶关鹰正项目管理有限公司</w:t>
            </w:r>
          </w:p>
          <w:p w14:paraId="014B1F79">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bidi="ar"/>
              </w:rPr>
              <w:t>办公地址：</w:t>
            </w:r>
            <w:r>
              <w:rPr>
                <w:rFonts w:hint="eastAsia" w:ascii="宋体" w:hAnsi="宋体" w:eastAsia="宋体" w:cs="宋体"/>
                <w:snapToGrid w:val="0"/>
                <w:color w:val="auto"/>
                <w:kern w:val="0"/>
                <w:sz w:val="24"/>
                <w:szCs w:val="24"/>
                <w:highlight w:val="none"/>
                <w:lang w:eastAsia="zh-CN"/>
              </w:rPr>
              <w:t>韶关市武江区沙洲路32号</w:t>
            </w:r>
            <w:r>
              <w:rPr>
                <w:rFonts w:hint="eastAsia" w:ascii="宋体" w:hAnsi="宋体" w:eastAsia="宋体" w:cs="宋体"/>
                <w:snapToGrid w:val="0"/>
                <w:color w:val="auto"/>
                <w:kern w:val="0"/>
                <w:sz w:val="24"/>
                <w:szCs w:val="24"/>
                <w:highlight w:val="none"/>
                <w:lang w:val="en-US" w:eastAsia="zh-CN"/>
              </w:rPr>
              <w:t>404</w:t>
            </w:r>
            <w:r>
              <w:rPr>
                <w:rFonts w:hint="eastAsia" w:ascii="宋体" w:hAnsi="宋体" w:eastAsia="宋体" w:cs="宋体"/>
                <w:snapToGrid w:val="0"/>
                <w:color w:val="auto"/>
                <w:kern w:val="0"/>
                <w:sz w:val="24"/>
                <w:szCs w:val="24"/>
                <w:highlight w:val="none"/>
                <w:lang w:eastAsia="zh-CN"/>
              </w:rPr>
              <w:t>房</w:t>
            </w:r>
          </w:p>
          <w:p w14:paraId="516A7E33">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联系人（部门）：</w:t>
            </w:r>
          </w:p>
          <w:p w14:paraId="38F90041">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项目负责人：邓鹰</w:t>
            </w:r>
          </w:p>
          <w:p w14:paraId="7811AA05">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经办人：</w:t>
            </w:r>
            <w:r>
              <w:rPr>
                <w:rFonts w:hint="eastAsia" w:ascii="宋体" w:hAnsi="宋体" w:eastAsia="宋体" w:cs="宋体"/>
                <w:b w:val="0"/>
                <w:bCs w:val="0"/>
                <w:i w:val="0"/>
                <w:color w:val="auto"/>
                <w:kern w:val="0"/>
                <w:sz w:val="24"/>
                <w:szCs w:val="24"/>
                <w:highlight w:val="none"/>
                <w:u w:val="none"/>
                <w:lang w:val="en-US" w:eastAsia="zh-CN" w:bidi="ar"/>
              </w:rPr>
              <w:t>邓子彦</w:t>
            </w:r>
          </w:p>
          <w:p w14:paraId="496D9FE7">
            <w:pPr>
              <w:keepNext w:val="0"/>
              <w:keepLines w:val="0"/>
              <w:pageBreakBefore w:val="0"/>
              <w:widowControl w:val="0"/>
              <w:tabs>
                <w:tab w:val="left" w:pos="1890"/>
              </w:tabs>
              <w:kinsoku/>
              <w:wordWrap/>
              <w:overflowPunct/>
              <w:topLinePunct w:val="0"/>
              <w:autoSpaceDE/>
              <w:autoSpaceDN/>
              <w:bidi w:val="0"/>
              <w:adjustRightInd/>
              <w:snapToGrid w:val="0"/>
              <w:spacing w:line="460" w:lineRule="exact"/>
              <w:jc w:val="left"/>
              <w:textAlignment w:val="auto"/>
              <w:rPr>
                <w:rFonts w:hint="default" w:ascii="宋体" w:hAnsi="宋体" w:eastAsia="宋体" w:cs="宋体"/>
                <w:snapToGrid w:val="0"/>
                <w:color w:val="auto"/>
                <w:kern w:val="0"/>
                <w:sz w:val="24"/>
                <w:szCs w:val="24"/>
                <w:highlight w:val="none"/>
                <w:lang w:val="en-US"/>
              </w:rPr>
            </w:pPr>
            <w:r>
              <w:rPr>
                <w:rFonts w:hint="eastAsia" w:ascii="宋体" w:hAnsi="宋体" w:eastAsia="宋体" w:cs="宋体"/>
                <w:color w:val="auto"/>
                <w:kern w:val="2"/>
                <w:sz w:val="24"/>
                <w:szCs w:val="24"/>
                <w:highlight w:val="none"/>
                <w:lang w:val="en-US" w:eastAsia="zh-CN" w:bidi="ar"/>
              </w:rPr>
              <w:t>联系电话：</w:t>
            </w:r>
            <w:r>
              <w:rPr>
                <w:rFonts w:hint="eastAsia" w:ascii="宋体" w:hAnsi="宋体" w:eastAsia="宋体" w:cs="宋体"/>
                <w:snapToGrid w:val="0"/>
                <w:color w:val="auto"/>
                <w:kern w:val="0"/>
                <w:sz w:val="24"/>
                <w:szCs w:val="24"/>
                <w:highlight w:val="none"/>
                <w:lang w:eastAsia="zh-CN"/>
              </w:rPr>
              <w:t>0751-8355683</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9</w:t>
            </w:r>
          </w:p>
        </w:tc>
        <w:tc>
          <w:tcPr>
            <w:tcW w:w="1725"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联系方式</w:t>
            </w:r>
          </w:p>
        </w:tc>
        <w:tc>
          <w:tcPr>
            <w:tcW w:w="7259" w:type="dxa"/>
            <w:tcBorders>
              <w:top w:val="single" w:color="auto" w:sz="4" w:space="0"/>
              <w:left w:val="single" w:color="auto" w:sz="4" w:space="0"/>
              <w:bottom w:val="single" w:color="auto" w:sz="4" w:space="0"/>
              <w:right w:val="single" w:color="auto" w:sz="4" w:space="0"/>
            </w:tcBorders>
            <w:vAlign w:val="center"/>
          </w:tcPr>
          <w:p w14:paraId="1DDA50C3">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单位名称：韶关市公共资源交易中心</w:t>
            </w:r>
          </w:p>
          <w:p w14:paraId="65175BD2">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办公地址：仁化县丹霞大道228号12楼韶关市公共资源交易中心仁化分中心</w:t>
            </w:r>
          </w:p>
          <w:p w14:paraId="082882C5">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联系人（部门）：工程交易部</w:t>
            </w:r>
          </w:p>
          <w:p w14:paraId="62718451">
            <w:pPr>
              <w:keepNext w:val="0"/>
              <w:keepLines w:val="0"/>
              <w:pageBreakBefore w:val="0"/>
              <w:widowControl w:val="0"/>
              <w:tabs>
                <w:tab w:val="left" w:pos="1890"/>
              </w:tabs>
              <w:kinsoku/>
              <w:wordWrap/>
              <w:overflowPunct/>
              <w:topLinePunct w:val="0"/>
              <w:autoSpaceDE/>
              <w:autoSpaceDN/>
              <w:bidi w:val="0"/>
              <w:adjustRightInd/>
              <w:snapToGrid w:val="0"/>
              <w:spacing w:line="4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2"/>
                <w:sz w:val="24"/>
                <w:szCs w:val="24"/>
                <w:highlight w:val="none"/>
                <w:lang w:val="en-US" w:eastAsia="zh-CN" w:bidi="ar"/>
              </w:rPr>
              <w:t>联系电话：</w:t>
            </w:r>
            <w:r>
              <w:rPr>
                <w:rFonts w:hint="eastAsia" w:ascii="宋体" w:hAnsi="宋体" w:eastAsia="宋体" w:cs="宋体"/>
                <w:snapToGrid w:val="0"/>
                <w:color w:val="auto"/>
                <w:kern w:val="0"/>
                <w:sz w:val="24"/>
                <w:szCs w:val="24"/>
                <w:highlight w:val="none"/>
              </w:rPr>
              <w:t>0751-6354032</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lang w:val="en-US" w:eastAsia="zh-CN"/>
              </w:rPr>
              <w:t>30</w:t>
            </w:r>
          </w:p>
        </w:tc>
        <w:tc>
          <w:tcPr>
            <w:tcW w:w="1725" w:type="dxa"/>
            <w:tcBorders>
              <w:top w:val="single" w:color="auto" w:sz="4" w:space="0"/>
              <w:left w:val="single" w:color="auto" w:sz="4" w:space="0"/>
              <w:bottom w:val="single" w:color="auto" w:sz="4" w:space="0"/>
              <w:right w:val="single" w:color="auto" w:sz="4" w:space="0"/>
            </w:tcBorders>
            <w:vAlign w:val="center"/>
          </w:tcPr>
          <w:p w14:paraId="5EB098A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行政监督部门</w:t>
            </w:r>
          </w:p>
          <w:p w14:paraId="45C4639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联系方式</w:t>
            </w:r>
          </w:p>
        </w:tc>
        <w:tc>
          <w:tcPr>
            <w:tcW w:w="7259" w:type="dxa"/>
            <w:tcBorders>
              <w:top w:val="single" w:color="auto" w:sz="4" w:space="0"/>
              <w:left w:val="single" w:color="auto" w:sz="4" w:space="0"/>
              <w:bottom w:val="single" w:color="auto" w:sz="4" w:space="0"/>
              <w:right w:val="single" w:color="auto" w:sz="4" w:space="0"/>
            </w:tcBorders>
            <w:vAlign w:val="center"/>
          </w:tcPr>
          <w:p w14:paraId="10E81AB0">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b w:val="0"/>
                <w:bCs/>
                <w:iCs/>
                <w:color w:val="auto"/>
                <w:sz w:val="24"/>
                <w:szCs w:val="24"/>
                <w:highlight w:val="none"/>
              </w:rPr>
            </w:pPr>
            <w:r>
              <w:rPr>
                <w:rFonts w:hint="eastAsia" w:ascii="宋体" w:hAnsi="宋体" w:eastAsia="宋体" w:cs="宋体"/>
                <w:b w:val="0"/>
                <w:bCs/>
                <w:iCs/>
                <w:color w:val="auto"/>
                <w:sz w:val="24"/>
                <w:szCs w:val="24"/>
                <w:highlight w:val="none"/>
              </w:rPr>
              <w:t>单位名称：仁化县住房和城乡建设管理局</w:t>
            </w:r>
          </w:p>
          <w:p w14:paraId="4020E65E">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b w:val="0"/>
                <w:bCs/>
                <w:iCs/>
                <w:color w:val="auto"/>
                <w:sz w:val="24"/>
                <w:szCs w:val="24"/>
                <w:highlight w:val="none"/>
              </w:rPr>
            </w:pPr>
            <w:r>
              <w:rPr>
                <w:rFonts w:hint="eastAsia" w:ascii="宋体" w:hAnsi="宋体" w:eastAsia="宋体" w:cs="宋体"/>
                <w:b w:val="0"/>
                <w:bCs/>
                <w:iCs/>
                <w:color w:val="auto"/>
                <w:sz w:val="24"/>
                <w:szCs w:val="24"/>
                <w:highlight w:val="none"/>
              </w:rPr>
              <w:t>办公地址：仁化县丹霞大道228号仁化县行政服务中心6楼</w:t>
            </w:r>
          </w:p>
          <w:p w14:paraId="46449A7E">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b w:val="0"/>
                <w:bCs/>
                <w:iCs/>
                <w:color w:val="auto"/>
                <w:sz w:val="24"/>
                <w:szCs w:val="24"/>
                <w:highlight w:val="none"/>
              </w:rPr>
            </w:pPr>
            <w:r>
              <w:rPr>
                <w:rFonts w:hint="eastAsia" w:ascii="宋体" w:hAnsi="宋体" w:eastAsia="宋体" w:cs="宋体"/>
                <w:b w:val="0"/>
                <w:bCs/>
                <w:iCs/>
                <w:color w:val="auto"/>
                <w:sz w:val="24"/>
                <w:szCs w:val="24"/>
                <w:highlight w:val="none"/>
              </w:rPr>
              <w:t>联系人（部门）：建筑业监督管理股</w:t>
            </w:r>
          </w:p>
          <w:p w14:paraId="20EAC73D">
            <w:pPr>
              <w:keepNext w:val="0"/>
              <w:keepLines w:val="0"/>
              <w:pageBreakBefore w:val="0"/>
              <w:widowControl w:val="0"/>
              <w:tabs>
                <w:tab w:val="left" w:pos="1890"/>
              </w:tabs>
              <w:kinsoku/>
              <w:wordWrap/>
              <w:overflowPunct/>
              <w:topLinePunct w:val="0"/>
              <w:autoSpaceDE/>
              <w:autoSpaceDN/>
              <w:bidi w:val="0"/>
              <w:adjustRightInd/>
              <w:snapToGrid w:val="0"/>
              <w:spacing w:line="4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val="0"/>
                <w:bCs/>
                <w:iCs/>
                <w:color w:val="auto"/>
                <w:sz w:val="24"/>
                <w:szCs w:val="24"/>
                <w:highlight w:val="none"/>
              </w:rPr>
              <w:t xml:space="preserve">联系电话：0751-6354573 </w:t>
            </w:r>
            <w:r>
              <w:rPr>
                <w:rFonts w:hint="eastAsia" w:ascii="宋体" w:hAnsi="宋体" w:eastAsia="宋体" w:cs="宋体"/>
                <w:snapToGrid w:val="0"/>
                <w:color w:val="auto"/>
                <w:kern w:val="0"/>
                <w:sz w:val="24"/>
                <w:szCs w:val="24"/>
                <w:highlight w:val="none"/>
              </w:rPr>
              <w:t>  </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03"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bookmarkStart w:id="5" w:name="_Toc122859103"/>
            <w:bookmarkStart w:id="6" w:name="_Toc122671103"/>
            <w:bookmarkStart w:id="7" w:name="_Toc122769943"/>
            <w:r>
              <w:rPr>
                <w:rFonts w:hint="eastAsia" w:hAnsi="宋体" w:cs="宋体"/>
                <w:snapToGrid w:val="0"/>
                <w:color w:val="auto"/>
                <w:kern w:val="0"/>
                <w:szCs w:val="24"/>
                <w:highlight w:val="none"/>
              </w:rPr>
              <w:t>3</w:t>
            </w:r>
            <w:r>
              <w:rPr>
                <w:rFonts w:hint="eastAsia" w:hAnsi="宋体" w:cs="宋体"/>
                <w:snapToGrid w:val="0"/>
                <w:color w:val="auto"/>
                <w:kern w:val="0"/>
                <w:szCs w:val="24"/>
                <w:highlight w:val="none"/>
                <w:lang w:val="en-US" w:eastAsia="zh-CN"/>
              </w:rPr>
              <w:t>1</w:t>
            </w:r>
          </w:p>
        </w:tc>
        <w:tc>
          <w:tcPr>
            <w:tcW w:w="1725"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术语</w:t>
            </w:r>
          </w:p>
        </w:tc>
        <w:tc>
          <w:tcPr>
            <w:tcW w:w="7259"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32</w:t>
            </w:r>
          </w:p>
        </w:tc>
        <w:tc>
          <w:tcPr>
            <w:tcW w:w="1725"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Ansi="宋体" w:cs="宋体"/>
                <w:snapToGrid w:val="0"/>
                <w:color w:val="auto"/>
                <w:kern w:val="0"/>
                <w:szCs w:val="24"/>
                <w:highlight w:val="none"/>
              </w:rPr>
            </w:pPr>
            <w:r>
              <w:rPr>
                <w:rFonts w:hint="eastAsia" w:ascii="宋体" w:hAnsi="宋体" w:eastAsia="宋体" w:cs="宋体"/>
                <w:color w:val="auto"/>
                <w:kern w:val="2"/>
                <w:sz w:val="24"/>
                <w:highlight w:val="none"/>
                <w:lang w:val="en-US" w:eastAsia="zh-CN" w:bidi="ar-SA"/>
              </w:rPr>
              <w:t>招标代理费</w:t>
            </w:r>
          </w:p>
        </w:tc>
        <w:tc>
          <w:tcPr>
            <w:tcW w:w="7259" w:type="dxa"/>
            <w:tcBorders>
              <w:top w:val="single" w:color="auto" w:sz="4" w:space="0"/>
              <w:left w:val="single" w:color="auto" w:sz="4" w:space="0"/>
              <w:bottom w:val="single" w:color="auto" w:sz="4" w:space="0"/>
              <w:right w:val="single" w:color="auto" w:sz="4" w:space="0"/>
            </w:tcBorders>
            <w:vAlign w:val="center"/>
          </w:tcPr>
          <w:p w14:paraId="7DC1CEF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textAlignment w:val="auto"/>
              <w:rPr>
                <w:rFonts w:hAnsi="宋体" w:cs="宋体"/>
                <w:snapToGrid w:val="0"/>
                <w:color w:val="auto"/>
                <w:szCs w:val="24"/>
                <w:highlight w:val="none"/>
              </w:rPr>
            </w:pPr>
            <w:r>
              <w:rPr>
                <w:rFonts w:hint="eastAsia" w:ascii="宋体" w:hAnsi="宋体" w:eastAsia="宋体" w:cs="宋体"/>
                <w:snapToGrid w:val="0"/>
                <w:color w:val="auto"/>
                <w:kern w:val="0"/>
                <w:sz w:val="24"/>
                <w:szCs w:val="24"/>
                <w:highlight w:val="none"/>
                <w:lang w:val="en-US" w:eastAsia="zh-CN"/>
              </w:rPr>
              <w:t>本项目的招标代理服务费由中标人支付。该费用不再另行报价，由投标人在投标报价时综合考虑在内。</w:t>
            </w:r>
            <w:r>
              <w:rPr>
                <w:rFonts w:hint="eastAsia" w:ascii="宋体" w:hAnsi="宋体" w:eastAsia="宋体" w:cs="宋体"/>
                <w:color w:val="auto"/>
                <w:sz w:val="24"/>
                <w:szCs w:val="24"/>
                <w:highlight w:val="none"/>
                <w:lang w:val="en-US" w:eastAsia="zh-CN"/>
              </w:rPr>
              <w:t>招标代理服务费参照《招标代理服务收费管理暂行办法》计价格[2002]1980号文计算</w:t>
            </w:r>
            <w:r>
              <w:rPr>
                <w:rFonts w:hint="eastAsia" w:hAnsi="宋体" w:cs="宋体"/>
                <w:color w:val="auto"/>
                <w:kern w:val="2"/>
                <w:highlight w:val="none"/>
              </w:rPr>
              <w:t>。</w:t>
            </w:r>
            <w:r>
              <w:rPr>
                <w:rFonts w:hint="eastAsia" w:ascii="宋体" w:hAnsi="宋体" w:eastAsia="宋体" w:cs="宋体"/>
                <w:snapToGrid w:val="0"/>
                <w:color w:val="auto"/>
                <w:kern w:val="0"/>
                <w:sz w:val="24"/>
                <w:szCs w:val="24"/>
                <w:highlight w:val="none"/>
                <w:lang w:val="en-US" w:eastAsia="zh-CN"/>
              </w:rPr>
              <w:t>中标人在领取中标通知书前须向招标代理机构一次性支付。</w:t>
            </w:r>
          </w:p>
        </w:tc>
      </w:tr>
    </w:tbl>
    <w:p w14:paraId="30F6F4BB">
      <w:pPr>
        <w:pStyle w:val="3"/>
        <w:wordWrap w:val="0"/>
        <w:autoSpaceDE/>
        <w:autoSpaceDN/>
        <w:snapToGrid w:val="0"/>
        <w:spacing w:before="260" w:after="260" w:line="440" w:lineRule="exact"/>
        <w:jc w:val="both"/>
        <w:rPr>
          <w:rFonts w:ascii="Times New Roman"/>
          <w:b/>
          <w:snapToGrid w:val="0"/>
          <w:color w:val="auto"/>
          <w:highlight w:val="none"/>
        </w:rPr>
        <w:sectPr>
          <w:footerReference r:id="rId6" w:type="default"/>
          <w:endnotePr>
            <w:numFmt w:val="decimal"/>
          </w:endnotePr>
          <w:pgSz w:w="11906" w:h="16838"/>
          <w:pgMar w:top="1417" w:right="1417" w:bottom="1417" w:left="1417" w:header="850" w:footer="992" w:gutter="0"/>
          <w:pgNumType w:start="1"/>
          <w:cols w:space="0" w:num="1"/>
          <w:docGrid w:linePitch="327" w:charSpace="0"/>
        </w:sectPr>
      </w:pPr>
    </w:p>
    <w:p w14:paraId="21CE9C32">
      <w:pPr>
        <w:pStyle w:val="3"/>
        <w:wordWrap w:val="0"/>
        <w:autoSpaceDE/>
        <w:autoSpaceDN/>
        <w:snapToGrid w:val="0"/>
        <w:spacing w:after="120" w:afterLines="50" w:line="440" w:lineRule="exact"/>
        <w:jc w:val="both"/>
        <w:rPr>
          <w:rFonts w:ascii="Times New Roman"/>
          <w:snapToGrid w:val="0"/>
          <w:color w:val="auto"/>
          <w:highlight w:val="none"/>
        </w:rPr>
      </w:pPr>
      <w:bookmarkStart w:id="8" w:name="_Toc26691"/>
      <w:bookmarkStart w:id="9" w:name="_Toc714"/>
      <w:r>
        <w:rPr>
          <w:rFonts w:hint="eastAsia" w:ascii="Times New Roman"/>
          <w:b/>
          <w:snapToGrid w:val="0"/>
          <w:color w:val="auto"/>
          <w:highlight w:val="none"/>
        </w:rPr>
        <w:t>第二节 重要事项时间地点一览表</w:t>
      </w:r>
      <w:bookmarkEnd w:id="8"/>
      <w:bookmarkEnd w:id="9"/>
    </w:p>
    <w:tbl>
      <w:tblPr>
        <w:tblStyle w:val="31"/>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0"/>
        <w:gridCol w:w="1455"/>
        <w:gridCol w:w="7124"/>
      </w:tblGrid>
      <w:tr w14:paraId="4DA2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1B37F3D1">
            <w:pPr>
              <w:pStyle w:val="89"/>
              <w:keepNext w:val="0"/>
              <w:keepLines w:val="0"/>
              <w:widowControl w:val="0"/>
              <w:suppressLineNumbers w:val="0"/>
              <w:pBdr>
                <w:top w:val="none" w:color="auto" w:sz="0" w:space="0"/>
                <w:left w:val="none" w:color="auto" w:sz="0" w:space="0"/>
                <w:bottom w:val="none" w:color="auto" w:sz="0" w:space="0"/>
                <w:right w:val="none" w:color="auto" w:sz="0" w:space="0"/>
              </w:pBdr>
              <w:tabs>
                <w:tab w:val="left" w:pos="1890"/>
              </w:tabs>
              <w:wordWrap w:val="0"/>
              <w:adjustRightInd w:val="0"/>
              <w:snapToGrid w:val="0"/>
              <w:spacing w:before="0" w:beforeLines="0" w:beforeAutospacing="0" w:after="260" w:afterLines="0" w:afterAutospacing="0" w:line="440" w:lineRule="exac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b/>
                <w:bCs/>
                <w:caps w:val="0"/>
                <w:smallCaps w:val="0"/>
                <w:snapToGrid w:val="0"/>
                <w:color w:val="auto"/>
                <w:spacing w:val="0"/>
                <w:kern w:val="0"/>
                <w:sz w:val="24"/>
                <w:szCs w:val="24"/>
                <w:highlight w:val="none"/>
                <w:lang w:val="en-US" w:eastAsia="zh-CN"/>
              </w:rPr>
              <w:t xml:space="preserve"> </w:t>
            </w:r>
            <w:r>
              <w:rPr>
                <w:rFonts w:hint="eastAsia" w:ascii="宋体" w:hAnsi="宋体" w:eastAsia="宋体" w:cs="宋体"/>
                <w:i w:val="0"/>
                <w:caps w:val="0"/>
                <w:color w:val="auto"/>
                <w:spacing w:val="0"/>
                <w:sz w:val="24"/>
                <w:szCs w:val="24"/>
                <w:highlight w:val="none"/>
              </w:rPr>
              <w:t>1</w:t>
            </w:r>
          </w:p>
        </w:tc>
        <w:tc>
          <w:tcPr>
            <w:tcW w:w="1455" w:type="dxa"/>
            <w:noWrap w:val="0"/>
            <w:vAlign w:val="center"/>
          </w:tcPr>
          <w:p w14:paraId="02420B1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招标公告</w:t>
            </w:r>
          </w:p>
          <w:p w14:paraId="06B0FAE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发布时间</w:t>
            </w:r>
          </w:p>
        </w:tc>
        <w:tc>
          <w:tcPr>
            <w:tcW w:w="7124" w:type="dxa"/>
            <w:noWrap w:val="0"/>
            <w:vAlign w:val="center"/>
          </w:tcPr>
          <w:p w14:paraId="77DA56E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4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16</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 xml:space="preserve"> 20 </w:t>
            </w:r>
            <w:r>
              <w:rPr>
                <w:rFonts w:hint="eastAsia" w:ascii="宋体" w:hAnsi="宋体" w:eastAsia="宋体" w:cs="宋体"/>
                <w:i w:val="0"/>
                <w:caps w:val="0"/>
                <w:color w:val="auto"/>
                <w:spacing w:val="0"/>
                <w:sz w:val="24"/>
                <w:szCs w:val="24"/>
                <w:highlight w:val="none"/>
              </w:rPr>
              <w:t>时</w:t>
            </w:r>
            <w:r>
              <w:rPr>
                <w:rFonts w:hint="eastAsia" w:cs="宋体"/>
                <w:i w:val="0"/>
                <w:caps w:val="0"/>
                <w:color w:val="auto"/>
                <w:spacing w:val="0"/>
                <w:sz w:val="24"/>
                <w:szCs w:val="24"/>
                <w:highlight w:val="none"/>
                <w:u w:val="single"/>
                <w:lang w:val="en-US" w:eastAsia="zh-CN"/>
              </w:rPr>
              <w:t xml:space="preserve"> 00 </w:t>
            </w:r>
            <w:r>
              <w:rPr>
                <w:rFonts w:hint="eastAsia" w:ascii="宋体" w:hAnsi="宋体" w:eastAsia="宋体" w:cs="宋体"/>
                <w:i w:val="0"/>
                <w:caps w:val="0"/>
                <w:color w:val="auto"/>
                <w:spacing w:val="0"/>
                <w:sz w:val="24"/>
                <w:szCs w:val="24"/>
                <w:highlight w:val="none"/>
              </w:rPr>
              <w:t>分</w:t>
            </w:r>
          </w:p>
        </w:tc>
      </w:tr>
      <w:tr w14:paraId="7944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787CE7C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2</w:t>
            </w:r>
          </w:p>
        </w:tc>
        <w:tc>
          <w:tcPr>
            <w:tcW w:w="1455" w:type="dxa"/>
            <w:noWrap w:val="0"/>
            <w:vAlign w:val="center"/>
          </w:tcPr>
          <w:p w14:paraId="183E06F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lang w:val="en-US" w:eastAsia="zh-CN"/>
              </w:rPr>
              <w:t>获取招标文件截止时</w:t>
            </w:r>
            <w:r>
              <w:rPr>
                <w:rFonts w:hint="eastAsia" w:ascii="宋体" w:hAnsi="宋体" w:eastAsia="宋体" w:cs="宋体"/>
                <w:i w:val="0"/>
                <w:caps w:val="0"/>
                <w:color w:val="auto"/>
                <w:spacing w:val="0"/>
                <w:sz w:val="24"/>
                <w:szCs w:val="24"/>
                <w:highlight w:val="none"/>
              </w:rPr>
              <w:t>间</w:t>
            </w:r>
          </w:p>
        </w:tc>
        <w:tc>
          <w:tcPr>
            <w:tcW w:w="7124" w:type="dxa"/>
            <w:noWrap w:val="0"/>
            <w:vAlign w:val="center"/>
          </w:tcPr>
          <w:p w14:paraId="04BA47C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5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10</w:t>
            </w:r>
            <w:r>
              <w:rPr>
                <w:rFonts w:hint="eastAsia" w:ascii="宋体" w:hAnsi="宋体" w:eastAsia="宋体" w:cs="宋体"/>
                <w:i w:val="0"/>
                <w:caps w:val="0"/>
                <w:color w:val="auto"/>
                <w:spacing w:val="0"/>
                <w:sz w:val="24"/>
                <w:szCs w:val="24"/>
                <w:highlight w:val="none"/>
              </w:rPr>
              <w:t>时</w:t>
            </w:r>
            <w:r>
              <w:rPr>
                <w:rFonts w:hint="eastAsia" w:cs="宋体"/>
                <w:i w:val="0"/>
                <w:caps w:val="0"/>
                <w:color w:val="auto"/>
                <w:spacing w:val="0"/>
                <w:sz w:val="24"/>
                <w:szCs w:val="24"/>
                <w:highlight w:val="none"/>
                <w:u w:val="single"/>
                <w:lang w:val="en-US" w:eastAsia="zh-CN"/>
              </w:rPr>
              <w:t>00</w:t>
            </w:r>
            <w:r>
              <w:rPr>
                <w:rFonts w:hint="eastAsia" w:ascii="宋体" w:hAnsi="宋体" w:eastAsia="宋体" w:cs="宋体"/>
                <w:i w:val="0"/>
                <w:caps w:val="0"/>
                <w:color w:val="auto"/>
                <w:spacing w:val="0"/>
                <w:sz w:val="24"/>
                <w:szCs w:val="24"/>
                <w:highlight w:val="none"/>
              </w:rPr>
              <w:t>分</w:t>
            </w:r>
          </w:p>
        </w:tc>
      </w:tr>
      <w:tr w14:paraId="5D35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0B463BA3">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3</w:t>
            </w:r>
          </w:p>
        </w:tc>
        <w:tc>
          <w:tcPr>
            <w:tcW w:w="1455" w:type="dxa"/>
            <w:noWrap w:val="0"/>
            <w:vAlign w:val="center"/>
          </w:tcPr>
          <w:p w14:paraId="1E3855D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网上提问</w:t>
            </w:r>
          </w:p>
          <w:p w14:paraId="01E2C1F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截止时间</w:t>
            </w:r>
          </w:p>
        </w:tc>
        <w:tc>
          <w:tcPr>
            <w:tcW w:w="7124" w:type="dxa"/>
            <w:noWrap w:val="0"/>
            <w:vAlign w:val="center"/>
          </w:tcPr>
          <w:p w14:paraId="70B18913">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4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28 </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69B4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5E189C42">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4</w:t>
            </w:r>
          </w:p>
        </w:tc>
        <w:tc>
          <w:tcPr>
            <w:tcW w:w="1455" w:type="dxa"/>
            <w:noWrap w:val="0"/>
            <w:vAlign w:val="center"/>
          </w:tcPr>
          <w:p w14:paraId="5328B2D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网上答疑</w:t>
            </w:r>
          </w:p>
          <w:p w14:paraId="2C204C8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时间</w:t>
            </w:r>
          </w:p>
        </w:tc>
        <w:tc>
          <w:tcPr>
            <w:tcW w:w="7124" w:type="dxa"/>
            <w:noWrap w:val="0"/>
            <w:vAlign w:val="center"/>
          </w:tcPr>
          <w:p w14:paraId="36BBF24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4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28 </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color w:val="auto"/>
                <w:kern w:val="2"/>
                <w:sz w:val="24"/>
                <w:szCs w:val="24"/>
                <w:highlight w:val="none"/>
                <w:u w:val="single"/>
                <w:lang w:val="en-US" w:eastAsia="zh-CN" w:bidi="ar-SA"/>
              </w:rPr>
              <w:t xml:space="preserve">16 </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30</w:t>
            </w:r>
            <w:r>
              <w:rPr>
                <w:rFonts w:hint="eastAsia" w:ascii="宋体" w:hAnsi="宋体" w:eastAsia="宋体" w:cs="宋体"/>
                <w:color w:val="auto"/>
                <w:kern w:val="2"/>
                <w:sz w:val="24"/>
                <w:szCs w:val="24"/>
                <w:highlight w:val="none"/>
                <w:lang w:val="en-US" w:eastAsia="zh-CN" w:bidi="ar-SA"/>
              </w:rPr>
              <w:t>分至</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5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1 </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7887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600" w:type="dxa"/>
            <w:noWrap w:val="0"/>
            <w:vAlign w:val="center"/>
          </w:tcPr>
          <w:p w14:paraId="3C72420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5</w:t>
            </w:r>
          </w:p>
        </w:tc>
        <w:tc>
          <w:tcPr>
            <w:tcW w:w="1455" w:type="dxa"/>
            <w:noWrap w:val="0"/>
            <w:vAlign w:val="center"/>
          </w:tcPr>
          <w:p w14:paraId="3B324EF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投标保证缴</w:t>
            </w:r>
          </w:p>
          <w:p w14:paraId="04B7ADE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纳截止时间</w:t>
            </w:r>
          </w:p>
        </w:tc>
        <w:tc>
          <w:tcPr>
            <w:tcW w:w="7124" w:type="dxa"/>
            <w:noWrap w:val="0"/>
            <w:vAlign w:val="center"/>
          </w:tcPr>
          <w:p w14:paraId="268A259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投标保证金到账截止时间：</w:t>
            </w:r>
            <w:r>
              <w:rPr>
                <w:rFonts w:hint="eastAsia" w:ascii="宋体" w:hAnsi="宋体" w:eastAsia="宋体" w:cs="宋体"/>
                <w:i w:val="0"/>
                <w:caps w:val="0"/>
                <w:color w:val="auto"/>
                <w:spacing w:val="0"/>
                <w:sz w:val="24"/>
                <w:szCs w:val="24"/>
                <w:highlight w:val="none"/>
                <w:lang w:val="en-US" w:eastAsia="zh-CN"/>
              </w:rPr>
              <w:t xml:space="preserve">  </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5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7 </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10</w:t>
            </w:r>
            <w:r>
              <w:rPr>
                <w:rFonts w:hint="eastAsia" w:ascii="宋体" w:hAnsi="宋体" w:eastAsia="宋体" w:cs="宋体"/>
                <w:i w:val="0"/>
                <w:caps w:val="0"/>
                <w:color w:val="auto"/>
                <w:spacing w:val="0"/>
                <w:sz w:val="24"/>
                <w:szCs w:val="24"/>
                <w:highlight w:val="none"/>
              </w:rPr>
              <w:t>时</w:t>
            </w:r>
            <w:r>
              <w:rPr>
                <w:rFonts w:hint="eastAsia" w:cs="宋体"/>
                <w:i w:val="0"/>
                <w:caps w:val="0"/>
                <w:color w:val="auto"/>
                <w:spacing w:val="0"/>
                <w:sz w:val="24"/>
                <w:szCs w:val="24"/>
                <w:highlight w:val="none"/>
                <w:u w:val="single"/>
                <w:lang w:val="en-US" w:eastAsia="zh-CN"/>
              </w:rPr>
              <w:t>00</w:t>
            </w:r>
            <w:r>
              <w:rPr>
                <w:rFonts w:hint="eastAsia" w:ascii="宋体" w:hAnsi="宋体" w:eastAsia="宋体" w:cs="宋体"/>
                <w:i w:val="0"/>
                <w:caps w:val="0"/>
                <w:color w:val="auto"/>
                <w:spacing w:val="0"/>
                <w:sz w:val="24"/>
                <w:szCs w:val="24"/>
                <w:highlight w:val="none"/>
              </w:rPr>
              <w:t>分；</w:t>
            </w:r>
          </w:p>
          <w:p w14:paraId="3840CD8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i w:val="0"/>
                <w:caps w:val="0"/>
                <w:color w:val="auto"/>
                <w:spacing w:val="0"/>
                <w:sz w:val="24"/>
                <w:szCs w:val="24"/>
                <w:highlight w:val="none"/>
              </w:rPr>
              <w:t>投标保证担保</w:t>
            </w:r>
            <w:r>
              <w:rPr>
                <w:rFonts w:hint="eastAsia" w:ascii="宋体" w:hAnsi="宋体" w:eastAsia="宋体" w:cs="宋体"/>
                <w:i w:val="0"/>
                <w:caps w:val="0"/>
                <w:color w:val="auto"/>
                <w:spacing w:val="0"/>
                <w:sz w:val="24"/>
                <w:szCs w:val="24"/>
                <w:highlight w:val="none"/>
                <w:lang w:val="en-US" w:eastAsia="zh-CN"/>
              </w:rPr>
              <w:t>办理</w:t>
            </w:r>
            <w:r>
              <w:rPr>
                <w:rFonts w:hint="eastAsia" w:ascii="宋体" w:hAnsi="宋体" w:eastAsia="宋体" w:cs="宋体"/>
                <w:i w:val="0"/>
                <w:caps w:val="0"/>
                <w:color w:val="auto"/>
                <w:spacing w:val="0"/>
                <w:sz w:val="24"/>
                <w:szCs w:val="24"/>
                <w:highlight w:val="none"/>
              </w:rPr>
              <w:t>截止时间：</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5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7 </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10</w:t>
            </w:r>
            <w:r>
              <w:rPr>
                <w:rFonts w:hint="eastAsia" w:ascii="宋体" w:hAnsi="宋体" w:eastAsia="宋体" w:cs="宋体"/>
                <w:i w:val="0"/>
                <w:caps w:val="0"/>
                <w:color w:val="auto"/>
                <w:spacing w:val="0"/>
                <w:sz w:val="24"/>
                <w:szCs w:val="24"/>
                <w:highlight w:val="none"/>
              </w:rPr>
              <w:t>时</w:t>
            </w:r>
            <w:r>
              <w:rPr>
                <w:rFonts w:hint="eastAsia" w:cs="宋体"/>
                <w:i w:val="0"/>
                <w:caps w:val="0"/>
                <w:color w:val="auto"/>
                <w:spacing w:val="0"/>
                <w:sz w:val="24"/>
                <w:szCs w:val="24"/>
                <w:highlight w:val="none"/>
                <w:u w:val="single"/>
                <w:lang w:val="en-US" w:eastAsia="zh-CN"/>
              </w:rPr>
              <w:t>00</w:t>
            </w:r>
            <w:r>
              <w:rPr>
                <w:rFonts w:hint="eastAsia" w:ascii="宋体" w:hAnsi="宋体" w:eastAsia="宋体" w:cs="宋体"/>
                <w:i w:val="0"/>
                <w:caps w:val="0"/>
                <w:color w:val="auto"/>
                <w:spacing w:val="0"/>
                <w:sz w:val="24"/>
                <w:szCs w:val="24"/>
                <w:highlight w:val="none"/>
              </w:rPr>
              <w:t>分</w:t>
            </w:r>
            <w:r>
              <w:rPr>
                <w:rFonts w:hint="eastAsia" w:ascii="宋体" w:hAnsi="宋体" w:eastAsia="宋体" w:cs="宋体"/>
                <w:i w:val="0"/>
                <w:caps w:val="0"/>
                <w:color w:val="auto"/>
                <w:spacing w:val="0"/>
                <w:sz w:val="24"/>
                <w:szCs w:val="24"/>
                <w:highlight w:val="none"/>
                <w:lang w:val="en-US" w:eastAsia="zh-CN"/>
              </w:rPr>
              <w:t>；</w:t>
            </w:r>
          </w:p>
          <w:p w14:paraId="23332E6F">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投标保证保险投保截止时间：</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5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7</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10</w:t>
            </w:r>
            <w:r>
              <w:rPr>
                <w:rFonts w:hint="eastAsia" w:ascii="宋体" w:hAnsi="宋体" w:eastAsia="宋体" w:cs="宋体"/>
                <w:i w:val="0"/>
                <w:caps w:val="0"/>
                <w:color w:val="auto"/>
                <w:spacing w:val="0"/>
                <w:sz w:val="24"/>
                <w:szCs w:val="24"/>
                <w:highlight w:val="none"/>
              </w:rPr>
              <w:t>时</w:t>
            </w:r>
            <w:r>
              <w:rPr>
                <w:rFonts w:hint="eastAsia" w:cs="宋体"/>
                <w:i w:val="0"/>
                <w:caps w:val="0"/>
                <w:color w:val="auto"/>
                <w:spacing w:val="0"/>
                <w:sz w:val="24"/>
                <w:szCs w:val="24"/>
                <w:highlight w:val="none"/>
                <w:u w:val="single"/>
                <w:lang w:val="en-US" w:eastAsia="zh-CN"/>
              </w:rPr>
              <w:t>00</w:t>
            </w:r>
            <w:r>
              <w:rPr>
                <w:rFonts w:hint="eastAsia" w:ascii="宋体" w:hAnsi="宋体" w:eastAsia="宋体" w:cs="宋体"/>
                <w:i w:val="0"/>
                <w:caps w:val="0"/>
                <w:color w:val="auto"/>
                <w:spacing w:val="0"/>
                <w:sz w:val="24"/>
                <w:szCs w:val="24"/>
                <w:highlight w:val="none"/>
              </w:rPr>
              <w:t>分</w:t>
            </w:r>
            <w:r>
              <w:rPr>
                <w:rFonts w:hint="eastAsia" w:ascii="宋体" w:hAnsi="宋体" w:eastAsia="宋体" w:cs="宋体"/>
                <w:caps w:val="0"/>
                <w:smallCaps w:val="0"/>
                <w:snapToGrid w:val="0"/>
                <w:color w:val="auto"/>
                <w:spacing w:val="0"/>
                <w:kern w:val="0"/>
                <w:sz w:val="24"/>
                <w:szCs w:val="24"/>
                <w:highlight w:val="none"/>
                <w:lang w:eastAsia="zh-CN"/>
              </w:rPr>
              <w:t>。</w:t>
            </w:r>
          </w:p>
        </w:tc>
      </w:tr>
      <w:tr w14:paraId="393A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600" w:type="dxa"/>
            <w:noWrap w:val="0"/>
            <w:vAlign w:val="center"/>
          </w:tcPr>
          <w:p w14:paraId="664C0EE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6</w:t>
            </w:r>
          </w:p>
        </w:tc>
        <w:tc>
          <w:tcPr>
            <w:tcW w:w="1455" w:type="dxa"/>
            <w:noWrap w:val="0"/>
            <w:vAlign w:val="center"/>
          </w:tcPr>
          <w:p w14:paraId="6EA4AD4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电子投标</w:t>
            </w:r>
          </w:p>
          <w:p w14:paraId="4FFE2BB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截止时间</w:t>
            </w:r>
          </w:p>
        </w:tc>
        <w:tc>
          <w:tcPr>
            <w:tcW w:w="7124" w:type="dxa"/>
            <w:noWrap w:val="0"/>
            <w:vAlign w:val="center"/>
          </w:tcPr>
          <w:p w14:paraId="76C9B4D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5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10</w:t>
            </w:r>
            <w:r>
              <w:rPr>
                <w:rFonts w:hint="eastAsia" w:ascii="宋体" w:hAnsi="宋体" w:eastAsia="宋体" w:cs="宋体"/>
                <w:i w:val="0"/>
                <w:caps w:val="0"/>
                <w:color w:val="auto"/>
                <w:spacing w:val="0"/>
                <w:sz w:val="24"/>
                <w:szCs w:val="24"/>
                <w:highlight w:val="none"/>
              </w:rPr>
              <w:t>时</w:t>
            </w:r>
            <w:r>
              <w:rPr>
                <w:rFonts w:hint="eastAsia" w:cs="宋体"/>
                <w:i w:val="0"/>
                <w:caps w:val="0"/>
                <w:color w:val="auto"/>
                <w:spacing w:val="0"/>
                <w:sz w:val="24"/>
                <w:szCs w:val="24"/>
                <w:highlight w:val="none"/>
                <w:u w:val="single"/>
                <w:lang w:val="en-US" w:eastAsia="zh-CN"/>
              </w:rPr>
              <w:t>00</w:t>
            </w:r>
            <w:r>
              <w:rPr>
                <w:rFonts w:hint="eastAsia" w:ascii="宋体" w:hAnsi="宋体" w:eastAsia="宋体" w:cs="宋体"/>
                <w:i w:val="0"/>
                <w:caps w:val="0"/>
                <w:color w:val="auto"/>
                <w:spacing w:val="0"/>
                <w:sz w:val="24"/>
                <w:szCs w:val="24"/>
                <w:highlight w:val="none"/>
              </w:rPr>
              <w:t>分</w:t>
            </w:r>
          </w:p>
        </w:tc>
      </w:tr>
      <w:tr w14:paraId="2839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noWrap w:val="0"/>
            <w:vAlign w:val="center"/>
          </w:tcPr>
          <w:p w14:paraId="52BF59A7">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7</w:t>
            </w:r>
          </w:p>
        </w:tc>
        <w:tc>
          <w:tcPr>
            <w:tcW w:w="1455" w:type="dxa"/>
            <w:noWrap w:val="0"/>
            <w:vAlign w:val="center"/>
          </w:tcPr>
          <w:p w14:paraId="5FC8423D">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投标相关资料（如有）</w:t>
            </w:r>
          </w:p>
          <w:p w14:paraId="1C2803B0">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递交时间</w:t>
            </w:r>
          </w:p>
        </w:tc>
        <w:tc>
          <w:tcPr>
            <w:tcW w:w="7124" w:type="dxa"/>
            <w:noWrap w:val="0"/>
            <w:vAlign w:val="center"/>
          </w:tcPr>
          <w:p w14:paraId="4F677A70">
            <w:pPr>
              <w:pStyle w:val="89"/>
              <w:tabs>
                <w:tab w:val="left" w:pos="1890"/>
              </w:tabs>
              <w:wordWrap w:val="0"/>
              <w:adjustRightInd w:val="0"/>
              <w:snapToGrid w:val="0"/>
              <w:spacing w:line="400" w:lineRule="exact"/>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 xml:space="preserve">  </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5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i w:val="0"/>
                <w:caps w:val="0"/>
                <w:color w:val="auto"/>
                <w:spacing w:val="0"/>
                <w:kern w:val="0"/>
                <w:sz w:val="24"/>
                <w:szCs w:val="24"/>
                <w:highlight w:val="none"/>
                <w:u w:val="single"/>
                <w:lang w:val="en-US" w:eastAsia="zh-CN" w:bidi="ar-SA"/>
              </w:rPr>
              <w:t>09</w:t>
            </w:r>
            <w:r>
              <w:rPr>
                <w:rFonts w:hint="eastAsia" w:ascii="宋体" w:hAnsi="宋体" w:eastAsia="宋体" w:cs="宋体"/>
                <w:i w:val="0"/>
                <w:caps w:val="0"/>
                <w:color w:val="auto"/>
                <w:spacing w:val="0"/>
                <w:sz w:val="24"/>
                <w:szCs w:val="24"/>
                <w:highlight w:val="none"/>
              </w:rPr>
              <w:t>时</w:t>
            </w:r>
            <w:r>
              <w:rPr>
                <w:rFonts w:hint="eastAsia" w:ascii="宋体" w:hAnsi="宋体" w:cs="宋体"/>
                <w:i w:val="0"/>
                <w:caps w:val="0"/>
                <w:color w:val="auto"/>
                <w:spacing w:val="0"/>
                <w:kern w:val="0"/>
                <w:sz w:val="24"/>
                <w:szCs w:val="24"/>
                <w:highlight w:val="none"/>
                <w:u w:val="single"/>
                <w:lang w:val="en-US" w:eastAsia="zh-CN" w:bidi="ar-SA"/>
              </w:rPr>
              <w:t>3</w:t>
            </w:r>
            <w:r>
              <w:rPr>
                <w:rFonts w:hint="eastAsia" w:ascii="宋体" w:hAnsi="宋体" w:eastAsia="宋体" w:cs="宋体"/>
                <w:i w:val="0"/>
                <w:caps w:val="0"/>
                <w:color w:val="auto"/>
                <w:spacing w:val="0"/>
                <w:kern w:val="0"/>
                <w:sz w:val="24"/>
                <w:szCs w:val="24"/>
                <w:highlight w:val="none"/>
                <w:u w:val="single"/>
                <w:lang w:val="en-US" w:eastAsia="zh-CN" w:bidi="ar-SA"/>
              </w:rPr>
              <w:t>0</w:t>
            </w:r>
            <w:r>
              <w:rPr>
                <w:rFonts w:hint="eastAsia" w:ascii="宋体" w:hAnsi="宋体" w:eastAsia="宋体" w:cs="宋体"/>
                <w:i w:val="0"/>
                <w:caps w:val="0"/>
                <w:color w:val="auto"/>
                <w:spacing w:val="0"/>
                <w:sz w:val="24"/>
                <w:szCs w:val="24"/>
                <w:highlight w:val="none"/>
              </w:rPr>
              <w:t>分</w:t>
            </w:r>
            <w:r>
              <w:rPr>
                <w:rFonts w:hint="eastAsia" w:ascii="宋体" w:hAnsi="宋体" w:eastAsia="宋体" w:cs="宋体"/>
                <w:color w:val="auto"/>
                <w:kern w:val="2"/>
                <w:sz w:val="24"/>
                <w:szCs w:val="24"/>
                <w:highlight w:val="none"/>
                <w:lang w:val="en-US" w:eastAsia="zh-CN" w:bidi="ar-SA"/>
              </w:rPr>
              <w:t>至</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5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10</w:t>
            </w:r>
            <w:r>
              <w:rPr>
                <w:rFonts w:hint="eastAsia" w:ascii="宋体" w:hAnsi="宋体" w:eastAsia="宋体" w:cs="宋体"/>
                <w:i w:val="0"/>
                <w:caps w:val="0"/>
                <w:color w:val="auto"/>
                <w:spacing w:val="0"/>
                <w:sz w:val="24"/>
                <w:szCs w:val="24"/>
                <w:highlight w:val="none"/>
              </w:rPr>
              <w:t>时</w:t>
            </w:r>
            <w:r>
              <w:rPr>
                <w:rFonts w:hint="eastAsia" w:cs="宋体"/>
                <w:i w:val="0"/>
                <w:caps w:val="0"/>
                <w:color w:val="auto"/>
                <w:spacing w:val="0"/>
                <w:sz w:val="24"/>
                <w:szCs w:val="24"/>
                <w:highlight w:val="none"/>
                <w:u w:val="single"/>
                <w:lang w:val="en-US" w:eastAsia="zh-CN"/>
              </w:rPr>
              <w:t>00</w:t>
            </w:r>
            <w:r>
              <w:rPr>
                <w:rFonts w:hint="eastAsia" w:ascii="宋体" w:hAnsi="宋体" w:eastAsia="宋体" w:cs="宋体"/>
                <w:i w:val="0"/>
                <w:caps w:val="0"/>
                <w:color w:val="auto"/>
                <w:spacing w:val="0"/>
                <w:sz w:val="24"/>
                <w:szCs w:val="24"/>
                <w:highlight w:val="none"/>
              </w:rPr>
              <w:t>分</w:t>
            </w:r>
          </w:p>
        </w:tc>
      </w:tr>
      <w:tr w14:paraId="61B2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noWrap w:val="0"/>
            <w:vAlign w:val="center"/>
          </w:tcPr>
          <w:p w14:paraId="27752D4E">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8</w:t>
            </w:r>
          </w:p>
        </w:tc>
        <w:tc>
          <w:tcPr>
            <w:tcW w:w="1455" w:type="dxa"/>
            <w:noWrap w:val="0"/>
            <w:vAlign w:val="center"/>
          </w:tcPr>
          <w:p w14:paraId="04583A87">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投标相关资料（如有）</w:t>
            </w:r>
          </w:p>
          <w:p w14:paraId="5FED563E">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递交地点</w:t>
            </w:r>
          </w:p>
        </w:tc>
        <w:tc>
          <w:tcPr>
            <w:tcW w:w="7124" w:type="dxa"/>
            <w:noWrap w:val="0"/>
            <w:vAlign w:val="center"/>
          </w:tcPr>
          <w:p w14:paraId="4CB7EE78">
            <w:pPr>
              <w:pStyle w:val="89"/>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递交场所：</w:t>
            </w:r>
            <w:r>
              <w:rPr>
                <w:rFonts w:hint="eastAsia" w:ascii="宋体" w:hAnsi="宋体" w:eastAsia="宋体" w:cs="宋体"/>
                <w:color w:val="auto"/>
                <w:kern w:val="2"/>
                <w:sz w:val="24"/>
                <w:szCs w:val="24"/>
                <w:highlight w:val="none"/>
                <w:u w:val="single"/>
                <w:lang w:val="en-US" w:eastAsia="zh-CN" w:bidi="ar-SA"/>
              </w:rPr>
              <w:t>韶关市公共资源交易中心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仁化县丹霞大道228号11楼韶关市公共资源交易中心仁化分中心</w:t>
            </w:r>
            <w:r>
              <w:rPr>
                <w:rFonts w:hint="eastAsia" w:ascii="宋体" w:hAnsi="宋体" w:eastAsia="宋体" w:cs="宋体"/>
                <w:color w:val="auto"/>
                <w:kern w:val="2"/>
                <w:sz w:val="24"/>
                <w:szCs w:val="24"/>
                <w:highlight w:val="none"/>
                <w:lang w:val="en-US" w:eastAsia="zh-CN" w:bidi="ar-SA"/>
              </w:rPr>
              <w:t>，具体房间号以当日现场通知为准。</w:t>
            </w:r>
          </w:p>
        </w:tc>
      </w:tr>
      <w:tr w14:paraId="31CB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00" w:type="dxa"/>
            <w:noWrap w:val="0"/>
            <w:vAlign w:val="center"/>
          </w:tcPr>
          <w:p w14:paraId="78F6BC7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455" w:type="dxa"/>
            <w:noWrap w:val="0"/>
            <w:vAlign w:val="center"/>
          </w:tcPr>
          <w:p w14:paraId="3D852BE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开标时间</w:t>
            </w:r>
          </w:p>
        </w:tc>
        <w:tc>
          <w:tcPr>
            <w:tcW w:w="7124" w:type="dxa"/>
            <w:noWrap w:val="0"/>
            <w:vAlign w:val="center"/>
          </w:tcPr>
          <w:p w14:paraId="4372E2AB">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kern w:val="2"/>
                <w:sz w:val="24"/>
                <w:szCs w:val="24"/>
                <w:highlight w:val="none"/>
                <w:u w:val="single"/>
                <w:lang w:val="en-US" w:eastAsia="zh-CN" w:bidi="ar-SA"/>
              </w:rPr>
              <w:t>2026年</w:t>
            </w:r>
            <w:r>
              <w:rPr>
                <w:rFonts w:hint="eastAsia" w:cs="宋体"/>
                <w:i w:val="0"/>
                <w:caps w:val="0"/>
                <w:color w:val="auto"/>
                <w:spacing w:val="0"/>
                <w:sz w:val="24"/>
                <w:szCs w:val="24"/>
                <w:highlight w:val="none"/>
                <w:u w:val="none"/>
                <w:lang w:val="en-US" w:eastAsia="zh-CN"/>
              </w:rPr>
              <w:t xml:space="preserve"> </w:t>
            </w:r>
            <w:r>
              <w:rPr>
                <w:rFonts w:hint="eastAsia" w:cs="宋体"/>
                <w:i w:val="0"/>
                <w:caps w:val="0"/>
                <w:color w:val="auto"/>
                <w:spacing w:val="0"/>
                <w:sz w:val="24"/>
                <w:szCs w:val="24"/>
                <w:highlight w:val="none"/>
                <w:u w:val="single"/>
                <w:lang w:val="en-US" w:eastAsia="zh-CN"/>
              </w:rPr>
              <w:t xml:space="preserve">5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8</w:t>
            </w:r>
            <w:bookmarkStart w:id="347" w:name="_GoBack"/>
            <w:bookmarkEnd w:id="347"/>
            <w:r>
              <w:rPr>
                <w:rFonts w:hint="eastAsia" w:cs="宋体"/>
                <w:i w:val="0"/>
                <w:caps w:val="0"/>
                <w:color w:val="auto"/>
                <w:spacing w:val="0"/>
                <w:sz w:val="24"/>
                <w:szCs w:val="24"/>
                <w:highlight w:val="none"/>
                <w:u w:val="single"/>
                <w:lang w:val="en-US" w:eastAsia="zh-CN"/>
              </w:rPr>
              <w:t xml:space="preserve"> </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i w:val="0"/>
                <w:caps w:val="0"/>
                <w:color w:val="auto"/>
                <w:spacing w:val="0"/>
                <w:kern w:val="2"/>
                <w:sz w:val="24"/>
                <w:szCs w:val="24"/>
                <w:highlight w:val="none"/>
                <w:u w:val="single"/>
                <w:lang w:val="en-US" w:eastAsia="zh-CN" w:bidi="ar-SA"/>
              </w:rPr>
              <w:t>10</w:t>
            </w:r>
            <w:r>
              <w:rPr>
                <w:rFonts w:hint="eastAsia" w:ascii="宋体" w:hAnsi="宋体" w:eastAsia="宋体" w:cs="宋体"/>
                <w:i w:val="0"/>
                <w:caps w:val="0"/>
                <w:color w:val="auto"/>
                <w:spacing w:val="0"/>
                <w:kern w:val="2"/>
                <w:sz w:val="24"/>
                <w:szCs w:val="24"/>
                <w:highlight w:val="none"/>
                <w:u w:val="none"/>
                <w:lang w:val="en-US" w:eastAsia="zh-CN" w:bidi="ar-SA"/>
              </w:rPr>
              <w:t>时</w:t>
            </w:r>
            <w:r>
              <w:rPr>
                <w:rFonts w:hint="eastAsia" w:ascii="宋体" w:hAnsi="宋体" w:eastAsia="宋体" w:cs="宋体"/>
                <w:i w:val="0"/>
                <w:caps w:val="0"/>
                <w:color w:val="auto"/>
                <w:spacing w:val="0"/>
                <w:kern w:val="2"/>
                <w:sz w:val="24"/>
                <w:szCs w:val="24"/>
                <w:highlight w:val="none"/>
                <w:u w:val="single"/>
                <w:lang w:val="en-US" w:eastAsia="zh-CN" w:bidi="ar-SA"/>
              </w:rPr>
              <w:t>00</w:t>
            </w:r>
            <w:r>
              <w:rPr>
                <w:rFonts w:hint="eastAsia" w:ascii="宋体" w:hAnsi="宋体" w:eastAsia="宋体" w:cs="宋体"/>
                <w:i w:val="0"/>
                <w:caps w:val="0"/>
                <w:color w:val="auto"/>
                <w:spacing w:val="0"/>
                <w:kern w:val="2"/>
                <w:sz w:val="24"/>
                <w:szCs w:val="24"/>
                <w:highlight w:val="none"/>
                <w:u w:val="none"/>
                <w:lang w:val="en-US" w:eastAsia="zh-CN" w:bidi="ar-SA"/>
              </w:rPr>
              <w:t>分</w:t>
            </w:r>
          </w:p>
        </w:tc>
      </w:tr>
      <w:tr w14:paraId="320C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600" w:type="dxa"/>
            <w:noWrap w:val="0"/>
            <w:vAlign w:val="center"/>
          </w:tcPr>
          <w:p w14:paraId="0E63CB1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455" w:type="dxa"/>
            <w:noWrap w:val="0"/>
            <w:vAlign w:val="center"/>
          </w:tcPr>
          <w:p w14:paraId="4CBB9428">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开标地点</w:t>
            </w:r>
          </w:p>
        </w:tc>
        <w:tc>
          <w:tcPr>
            <w:tcW w:w="7124" w:type="dxa"/>
            <w:noWrap w:val="0"/>
            <w:vAlign w:val="center"/>
          </w:tcPr>
          <w:p w14:paraId="253348DF">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SA"/>
              </w:rPr>
              <w:t>递交场所： 韶关市公共资源交易中心仁化分中心，地址：仁化县丹霞大道228号11楼韶关市公共资源交易中心仁化分中心，具体房间号以当日现场通知为准</w:t>
            </w:r>
            <w:r>
              <w:rPr>
                <w:rFonts w:hint="eastAsia" w:ascii="宋体" w:hAnsi="宋体" w:eastAsia="宋体" w:cs="宋体"/>
                <w:color w:val="auto"/>
                <w:kern w:val="2"/>
                <w:sz w:val="24"/>
                <w:szCs w:val="24"/>
                <w:highlight w:val="none"/>
                <w:lang w:val="en-US" w:eastAsia="zh-CN" w:bidi="ar-SA"/>
              </w:rPr>
              <w:t>。</w:t>
            </w:r>
          </w:p>
        </w:tc>
      </w:tr>
      <w:tr w14:paraId="13DB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00" w:type="dxa"/>
            <w:noWrap w:val="0"/>
            <w:vAlign w:val="center"/>
          </w:tcPr>
          <w:p w14:paraId="1B46987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i w:val="0"/>
                <w:caps w:val="0"/>
                <w:color w:val="auto"/>
                <w:spacing w:val="0"/>
                <w:sz w:val="24"/>
                <w:szCs w:val="24"/>
                <w:highlight w:val="none"/>
                <w:lang w:val="en-US"/>
              </w:rPr>
            </w:pPr>
            <w:r>
              <w:rPr>
                <w:rFonts w:hint="eastAsia" w:ascii="宋体" w:hAnsi="宋体" w:eastAsia="宋体" w:cs="宋体"/>
                <w:color w:val="auto"/>
                <w:kern w:val="2"/>
                <w:sz w:val="24"/>
                <w:szCs w:val="24"/>
                <w:highlight w:val="none"/>
                <w:lang w:val="en-US" w:eastAsia="zh-CN" w:bidi="ar-SA"/>
              </w:rPr>
              <w:t>11</w:t>
            </w:r>
          </w:p>
        </w:tc>
        <w:tc>
          <w:tcPr>
            <w:tcW w:w="1455" w:type="dxa"/>
            <w:noWrap w:val="0"/>
            <w:vAlign w:val="center"/>
          </w:tcPr>
          <w:p w14:paraId="2E05A177">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其他</w:t>
            </w:r>
          </w:p>
        </w:tc>
        <w:tc>
          <w:tcPr>
            <w:tcW w:w="7124" w:type="dxa"/>
            <w:noWrap w:val="0"/>
            <w:vAlign w:val="center"/>
          </w:tcPr>
          <w:p w14:paraId="423BA51D">
            <w:pPr>
              <w:pStyle w:val="89"/>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201A1718">
      <w:pPr>
        <w:pStyle w:val="41"/>
        <w:rPr>
          <w:color w:val="auto"/>
          <w:highlight w:val="none"/>
        </w:rPr>
        <w:sectPr>
          <w:endnotePr>
            <w:numFmt w:val="decimal"/>
          </w:endnotePr>
          <w:pgSz w:w="11906" w:h="16838"/>
          <w:pgMar w:top="1417" w:right="1417" w:bottom="1417" w:left="1417" w:header="850" w:footer="992" w:gutter="0"/>
          <w:cols w:space="0" w:num="1"/>
          <w:docGrid w:linePitch="327" w:charSpace="0"/>
        </w:sectPr>
      </w:pPr>
    </w:p>
    <w:p w14:paraId="59BCED9A">
      <w:pPr>
        <w:pStyle w:val="3"/>
        <w:keepNext w:val="0"/>
        <w:keepLines w:val="0"/>
        <w:pageBreakBefore w:val="0"/>
        <w:topLinePunct w:val="0"/>
        <w:bidi w:val="0"/>
        <w:spacing w:line="500" w:lineRule="exact"/>
        <w:textAlignment w:val="auto"/>
        <w:rPr>
          <w:b/>
          <w:bCs/>
          <w:color w:val="auto"/>
          <w:highlight w:val="none"/>
        </w:rPr>
      </w:pPr>
      <w:bookmarkStart w:id="10" w:name="_Hlt87793819"/>
      <w:bookmarkEnd w:id="10"/>
      <w:bookmarkStart w:id="11" w:name="_Toc24029"/>
      <w:bookmarkStart w:id="12" w:name="_Toc29916"/>
      <w:bookmarkStart w:id="13" w:name="_Hlt69698705"/>
      <w:bookmarkStart w:id="14" w:name="_Hlt69698754"/>
      <w:r>
        <w:rPr>
          <w:rFonts w:hint="eastAsia"/>
          <w:b/>
          <w:bCs/>
          <w:color w:val="auto"/>
          <w:highlight w:val="none"/>
        </w:rPr>
        <w:t>第三节 投标人须知</w:t>
      </w:r>
      <w:bookmarkStart w:id="15" w:name="_Hlt69669159"/>
      <w:bookmarkEnd w:id="15"/>
      <w:r>
        <w:rPr>
          <w:rFonts w:hint="eastAsia"/>
          <w:b/>
          <w:bCs/>
          <w:color w:val="auto"/>
          <w:highlight w:val="none"/>
        </w:rPr>
        <w:t>正文</w:t>
      </w:r>
      <w:bookmarkEnd w:id="11"/>
      <w:bookmarkEnd w:id="12"/>
    </w:p>
    <w:bookmarkEnd w:id="13"/>
    <w:bookmarkEnd w:id="14"/>
    <w:p w14:paraId="1CAD0699">
      <w:pPr>
        <w:pStyle w:val="9"/>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auto"/>
          <w:sz w:val="24"/>
          <w:highlight w:val="none"/>
        </w:rPr>
      </w:pPr>
      <w:r>
        <w:rPr>
          <w:rFonts w:hint="eastAsia" w:hAnsi="宋体" w:cs="宋体"/>
          <w:color w:val="auto"/>
          <w:sz w:val="24"/>
          <w:szCs w:val="24"/>
          <w:highlight w:val="none"/>
          <w:u w:val="single"/>
          <w:lang w:eastAsia="zh-CN"/>
        </w:rPr>
        <w:t>广东省韶关市红军过粤北重点展示园建设项目</w:t>
      </w:r>
      <w:r>
        <w:rPr>
          <w:rFonts w:hint="eastAsia" w:ascii="宋体" w:hAnsi="宋体" w:eastAsia="宋体" w:cs="宋体"/>
          <w:color w:val="auto"/>
          <w:sz w:val="24"/>
          <w:szCs w:val="24"/>
          <w:highlight w:val="none"/>
          <w:u w:val="none"/>
          <w:lang w:val="en-US" w:eastAsia="zh-CN"/>
        </w:rPr>
        <w:t>业</w:t>
      </w:r>
      <w:r>
        <w:rPr>
          <w:rFonts w:hint="eastAsia" w:ascii="宋体" w:hAnsi="宋体" w:eastAsia="宋体" w:cs="宋体"/>
          <w:color w:val="auto"/>
          <w:kern w:val="0"/>
          <w:sz w:val="24"/>
          <w:szCs w:val="22"/>
          <w:highlight w:val="none"/>
        </w:rPr>
        <w:t>经</w:t>
      </w:r>
      <w:r>
        <w:rPr>
          <w:rFonts w:hint="eastAsia" w:hAnsi="宋体" w:cs="宋体"/>
          <w:b w:val="0"/>
          <w:bCs w:val="0"/>
          <w:color w:val="auto"/>
          <w:kern w:val="0"/>
          <w:sz w:val="24"/>
          <w:szCs w:val="22"/>
          <w:highlight w:val="none"/>
          <w:u w:val="single"/>
          <w:lang w:val="en-US" w:eastAsia="zh-CN"/>
        </w:rPr>
        <w:t>仁化县发展改革和政务数据局</w:t>
      </w:r>
      <w:r>
        <w:rPr>
          <w:rFonts w:hint="eastAsia" w:ascii="宋体" w:hAnsi="宋体" w:eastAsia="宋体" w:cs="宋体"/>
          <w:color w:val="auto"/>
          <w:kern w:val="0"/>
          <w:sz w:val="24"/>
          <w:szCs w:val="22"/>
          <w:highlight w:val="none"/>
        </w:rPr>
        <w:t>以</w:t>
      </w:r>
      <w:r>
        <w:rPr>
          <w:rFonts w:hint="eastAsia" w:ascii="宋体" w:hAnsi="宋体" w:eastAsia="宋体" w:cs="宋体"/>
          <w:color w:val="auto"/>
          <w:kern w:val="0"/>
          <w:sz w:val="24"/>
          <w:szCs w:val="22"/>
          <w:highlight w:val="none"/>
          <w:lang w:eastAsia="zh-CN"/>
        </w:rPr>
        <w:t>《</w:t>
      </w:r>
      <w:r>
        <w:rPr>
          <w:rFonts w:hint="eastAsia" w:hAnsi="宋体" w:cs="宋体"/>
          <w:color w:val="auto"/>
          <w:kern w:val="0"/>
          <w:sz w:val="24"/>
          <w:szCs w:val="22"/>
          <w:highlight w:val="none"/>
          <w:u w:val="single"/>
          <w:lang w:eastAsia="zh-CN"/>
        </w:rPr>
        <w:t>仁化县发展和改革局关于广东省韶关市红军过粤北重点展示园建设项目可行性研究报告的批复</w:t>
      </w:r>
      <w:r>
        <w:rPr>
          <w:rFonts w:hint="eastAsia" w:ascii="宋体" w:hAnsi="宋体" w:eastAsia="宋体" w:cs="宋体"/>
          <w:color w:val="auto"/>
          <w:kern w:val="0"/>
          <w:sz w:val="24"/>
          <w:szCs w:val="22"/>
          <w:highlight w:val="none"/>
          <w:u w:val="single"/>
          <w:lang w:eastAsia="zh-CN"/>
        </w:rPr>
        <w:t>》（</w:t>
      </w:r>
      <w:r>
        <w:rPr>
          <w:rFonts w:hint="eastAsia" w:hAnsi="宋体" w:cs="宋体"/>
          <w:color w:val="auto"/>
          <w:kern w:val="0"/>
          <w:sz w:val="24"/>
          <w:szCs w:val="22"/>
          <w:highlight w:val="none"/>
          <w:u w:val="single"/>
          <w:lang w:val="en-US" w:eastAsia="zh-CN"/>
        </w:rPr>
        <w:t>仁发改投审[2022]43号</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rPr>
        <w:t>文批准建设，项目代码为</w:t>
      </w:r>
      <w:r>
        <w:rPr>
          <w:rFonts w:hint="eastAsia" w:hAnsi="宋体" w:cs="宋体"/>
          <w:color w:val="auto"/>
          <w:kern w:val="0"/>
          <w:sz w:val="24"/>
          <w:szCs w:val="22"/>
          <w:highlight w:val="none"/>
          <w:u w:val="single"/>
          <w:lang w:val="en-US" w:eastAsia="zh-CN"/>
        </w:rPr>
        <w:t>2112-440000-04-01-198317</w:t>
      </w:r>
      <w:r>
        <w:rPr>
          <w:rFonts w:hint="eastAsia" w:ascii="宋体" w:hAnsi="宋体" w:eastAsia="宋体" w:cs="宋体"/>
          <w:color w:val="auto"/>
          <w:kern w:val="0"/>
          <w:sz w:val="24"/>
          <w:szCs w:val="22"/>
          <w:highlight w:val="none"/>
        </w:rPr>
        <w:t>。本项目业主为</w:t>
      </w:r>
      <w:r>
        <w:rPr>
          <w:rFonts w:hint="eastAsia" w:hAnsi="宋体" w:cs="宋体"/>
          <w:color w:val="auto"/>
          <w:kern w:val="0"/>
          <w:sz w:val="24"/>
          <w:szCs w:val="22"/>
          <w:highlight w:val="none"/>
          <w:u w:val="single"/>
          <w:lang w:val="en-US" w:eastAsia="zh-CN"/>
        </w:rPr>
        <w:t>中共仁化县委宣传部</w:t>
      </w:r>
      <w:r>
        <w:rPr>
          <w:rFonts w:hint="eastAsia" w:ascii="宋体" w:hAnsi="宋体" w:eastAsia="宋体" w:cs="宋体"/>
          <w:color w:val="auto"/>
          <w:kern w:val="0"/>
          <w:sz w:val="24"/>
          <w:szCs w:val="22"/>
          <w:highlight w:val="none"/>
        </w:rPr>
        <w:t>，建设资金来自</w:t>
      </w:r>
      <w:r>
        <w:rPr>
          <w:rFonts w:hint="eastAsia" w:hAnsi="宋体" w:cs="宋体"/>
          <w:color w:val="auto"/>
          <w:kern w:val="0"/>
          <w:sz w:val="24"/>
          <w:szCs w:val="22"/>
          <w:highlight w:val="none"/>
          <w:u w:val="single"/>
          <w:lang w:val="en-US" w:eastAsia="zh-CN"/>
        </w:rPr>
        <w:t>由上级资金和县财政资金安排解决</w:t>
      </w:r>
      <w:r>
        <w:rPr>
          <w:rFonts w:hint="eastAsia" w:ascii="宋体" w:hAnsi="宋体" w:eastAsia="宋体" w:cs="宋体"/>
          <w:color w:val="auto"/>
          <w:kern w:val="0"/>
          <w:sz w:val="24"/>
          <w:szCs w:val="22"/>
          <w:highlight w:val="none"/>
        </w:rPr>
        <w:t>，招标人为</w:t>
      </w:r>
      <w:r>
        <w:rPr>
          <w:rFonts w:hint="eastAsia" w:hAnsi="宋体" w:cs="宋体"/>
          <w:color w:val="auto"/>
          <w:kern w:val="0"/>
          <w:sz w:val="24"/>
          <w:szCs w:val="22"/>
          <w:highlight w:val="none"/>
          <w:u w:val="single"/>
          <w:lang w:eastAsia="zh-CN"/>
        </w:rPr>
        <w:t>中共仁化县委宣传部</w:t>
      </w:r>
      <w:r>
        <w:rPr>
          <w:rFonts w:hint="eastAsia" w:ascii="宋体" w:hAnsi="宋体" w:eastAsia="宋体" w:cs="宋体"/>
          <w:color w:val="auto"/>
          <w:kern w:val="0"/>
          <w:sz w:val="24"/>
          <w:szCs w:val="22"/>
          <w:highlight w:val="none"/>
        </w:rPr>
        <w:t>，招标代理机构为</w:t>
      </w:r>
      <w:r>
        <w:rPr>
          <w:rFonts w:hint="eastAsia" w:hAnsi="宋体" w:cs="宋体"/>
          <w:color w:val="auto"/>
          <w:kern w:val="0"/>
          <w:sz w:val="24"/>
          <w:szCs w:val="22"/>
          <w:highlight w:val="none"/>
          <w:u w:val="single"/>
          <w:lang w:val="en-US" w:eastAsia="zh-CN"/>
        </w:rPr>
        <w:t>韶关鹰正项目管理有限公司</w:t>
      </w:r>
      <w:r>
        <w:rPr>
          <w:rFonts w:hint="eastAsia" w:ascii="宋体" w:hAnsi="宋体" w:eastAsia="宋体" w:cs="宋体"/>
          <w:color w:val="auto"/>
          <w:kern w:val="0"/>
          <w:sz w:val="24"/>
          <w:szCs w:val="22"/>
          <w:highlight w:val="none"/>
        </w:rPr>
        <w:t>。项目已具备招标条件，现对该项目</w:t>
      </w:r>
      <w:r>
        <w:rPr>
          <w:rFonts w:hint="eastAsia" w:ascii="宋体" w:hAnsi="宋体" w:eastAsia="宋体" w:cs="宋体"/>
          <w:color w:val="auto"/>
          <w:kern w:val="0"/>
          <w:sz w:val="24"/>
          <w:szCs w:val="22"/>
          <w:highlight w:val="none"/>
          <w:lang w:val="en-US" w:eastAsia="zh-CN"/>
        </w:rPr>
        <w:t>的</w:t>
      </w:r>
      <w:r>
        <w:rPr>
          <w:rFonts w:hint="eastAsia" w:hAnsi="宋体" w:cs="宋体"/>
          <w:snapToGrid w:val="0"/>
          <w:color w:val="auto"/>
          <w:kern w:val="0"/>
          <w:szCs w:val="24"/>
          <w:highlight w:val="none"/>
          <w:u w:val="single"/>
          <w:lang w:eastAsia="zh-CN"/>
        </w:rPr>
        <w:t>纪念馆内改造提升</w:t>
      </w:r>
      <w:r>
        <w:rPr>
          <w:rFonts w:hint="eastAsia" w:hAnsi="宋体" w:cs="宋体"/>
          <w:color w:val="auto"/>
          <w:sz w:val="24"/>
          <w:szCs w:val="24"/>
          <w:highlight w:val="none"/>
          <w:u w:val="single"/>
          <w:lang w:val="en-US" w:eastAsia="zh-CN"/>
        </w:rPr>
        <w:t>监理</w:t>
      </w:r>
      <w:r>
        <w:rPr>
          <w:rFonts w:hint="eastAsia" w:ascii="宋体" w:hAnsi="宋体" w:eastAsia="宋体" w:cs="宋体"/>
          <w:color w:val="auto"/>
          <w:kern w:val="0"/>
          <w:sz w:val="24"/>
          <w:szCs w:val="22"/>
          <w:highlight w:val="none"/>
        </w:rPr>
        <w:t>进行公开招标。</w:t>
      </w:r>
    </w:p>
    <w:p w14:paraId="6E939B6A">
      <w:pPr>
        <w:pStyle w:val="89"/>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highlight w:val="none"/>
        </w:rPr>
      </w:pPr>
      <w:bookmarkStart w:id="16" w:name="_Toc26173"/>
      <w:r>
        <w:rPr>
          <w:rFonts w:hint="eastAsia"/>
          <w:b/>
          <w:bCs/>
          <w:snapToGrid w:val="0"/>
          <w:color w:val="auto"/>
          <w:kern w:val="0"/>
          <w:sz w:val="24"/>
          <w:highlight w:val="none"/>
        </w:rPr>
        <w:t>1．项目概况、招标范围和标段划分、投标费用</w:t>
      </w:r>
      <w:bookmarkEnd w:id="16"/>
    </w:p>
    <w:p w14:paraId="5A9B532C">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w:t>
      </w:r>
      <w:r>
        <w:rPr>
          <w:rFonts w:hint="eastAsia" w:ascii="宋体" w:hAnsi="宋体" w:cs="宋体"/>
          <w:snapToGrid w:val="0"/>
          <w:color w:val="auto"/>
          <w:kern w:val="0"/>
          <w:sz w:val="24"/>
          <w:highlight w:val="none"/>
        </w:rPr>
        <w:t xml:space="preserve"> 项目概况</w:t>
      </w:r>
    </w:p>
    <w:p w14:paraId="457EF3D7">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 xml:space="preserve"> 建设地点：</w:t>
      </w:r>
      <w:r>
        <w:rPr>
          <w:rFonts w:hint="eastAsia" w:hAnsi="宋体" w:cs="宋体"/>
          <w:snapToGrid w:val="0"/>
          <w:color w:val="auto"/>
          <w:kern w:val="0"/>
          <w:sz w:val="24"/>
          <w:szCs w:val="24"/>
          <w:highlight w:val="none"/>
          <w:lang w:eastAsia="zh-CN"/>
        </w:rPr>
        <w:t>韶关市仁化县城口镇</w:t>
      </w:r>
      <w:r>
        <w:rPr>
          <w:rFonts w:hint="eastAsia" w:hAnsi="宋体" w:eastAsia="宋体" w:cs="宋体"/>
          <w:snapToGrid w:val="0"/>
          <w:color w:val="auto"/>
          <w:kern w:val="0"/>
          <w:sz w:val="24"/>
          <w:szCs w:val="24"/>
          <w:highlight w:val="none"/>
          <w:lang w:eastAsia="zh-CN"/>
        </w:rPr>
        <w:t>。</w:t>
      </w:r>
    </w:p>
    <w:p w14:paraId="74BEFDF3">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Times New Roman" w:hAnsi="宋体" w:eastAsia="宋体" w:cs="宋体"/>
          <w:snapToGrid w:val="0"/>
          <w:color w:val="auto"/>
          <w:kern w:val="0"/>
          <w:sz w:val="24"/>
          <w:szCs w:val="24"/>
          <w:highlight w:val="none"/>
          <w:lang w:val="en-US" w:eastAsia="zh-CN"/>
        </w:rPr>
      </w:pPr>
      <w:r>
        <w:rPr>
          <w:rFonts w:hint="eastAsia" w:ascii="宋体" w:hAnsi="宋体" w:cs="宋体"/>
          <w:b/>
          <w:bCs/>
          <w:snapToGrid w:val="0"/>
          <w:color w:val="auto"/>
          <w:kern w:val="0"/>
          <w:sz w:val="24"/>
          <w:highlight w:val="none"/>
          <w:lang w:val="en-US" w:eastAsia="zh-CN"/>
        </w:rPr>
        <w:t xml:space="preserve">1.1.2 </w:t>
      </w:r>
      <w:r>
        <w:rPr>
          <w:rFonts w:hint="eastAsia" w:ascii="宋体" w:hAnsi="宋体" w:cs="宋体"/>
          <w:b w:val="0"/>
          <w:bCs w:val="0"/>
          <w:snapToGrid w:val="0"/>
          <w:color w:val="auto"/>
          <w:kern w:val="0"/>
          <w:sz w:val="24"/>
          <w:highlight w:val="none"/>
          <w:lang w:val="en-US" w:eastAsia="zh-CN"/>
        </w:rPr>
        <w:t>建设内容：</w:t>
      </w:r>
      <w:r>
        <w:rPr>
          <w:rFonts w:hint="eastAsia" w:ascii="宋体" w:hAnsi="宋体" w:eastAsia="宋体" w:cs="宋体"/>
          <w:color w:val="auto"/>
          <w:sz w:val="24"/>
          <w:szCs w:val="24"/>
          <w:highlight w:val="none"/>
          <w:lang w:val="en-US" w:eastAsia="zh-CN"/>
        </w:rPr>
        <w:t>红军长征粤北纪念馆展陈改造提升，涉及改造面积约5500㎡。</w:t>
      </w:r>
    </w:p>
    <w:p w14:paraId="7C259B8C">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jc w:val="left"/>
        <w:textAlignment w:val="auto"/>
        <w:rPr>
          <w:rFonts w:hint="eastAsia" w:hAnsi="宋体" w:cs="宋体"/>
          <w:color w:val="auto"/>
          <w:szCs w:val="22"/>
          <w:highlight w:val="none"/>
          <w:lang w:val="en-US" w:eastAsia="zh-CN"/>
        </w:rPr>
      </w:pPr>
      <w:r>
        <w:rPr>
          <w:rFonts w:hint="eastAsia" w:ascii="宋体" w:hAnsi="宋体" w:cs="宋体"/>
          <w:b/>
          <w:bCs/>
          <w:snapToGrid w:val="0"/>
          <w:color w:val="auto"/>
          <w:kern w:val="0"/>
          <w:sz w:val="24"/>
          <w:highlight w:val="none"/>
        </w:rPr>
        <w:t xml:space="preserve">1.1.3 </w:t>
      </w:r>
      <w:r>
        <w:rPr>
          <w:rFonts w:hint="eastAsia" w:ascii="宋体" w:hAnsi="宋体" w:eastAsia="宋体" w:cs="宋体"/>
          <w:snapToGrid w:val="0"/>
          <w:color w:val="auto"/>
          <w:kern w:val="0"/>
          <w:sz w:val="24"/>
          <w:szCs w:val="24"/>
          <w:highlight w:val="none"/>
          <w:lang w:val="en-US" w:eastAsia="zh-CN"/>
        </w:rPr>
        <w:t>项目总投资：</w:t>
      </w:r>
      <w:r>
        <w:rPr>
          <w:rFonts w:hint="eastAsia" w:ascii="宋体" w:hAnsi="宋体" w:eastAsia="宋体" w:cs="宋体"/>
          <w:color w:val="auto"/>
          <w:kern w:val="0"/>
          <w:sz w:val="24"/>
          <w:szCs w:val="24"/>
          <w:highlight w:val="none"/>
          <w:lang w:val="en-US" w:eastAsia="zh-CN" w:bidi="ar-SA"/>
        </w:rPr>
        <w:t>项目估算总投资26771.75万元</w:t>
      </w:r>
      <w:r>
        <w:rPr>
          <w:rFonts w:hint="eastAsia" w:hAnsi="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本项目</w:t>
      </w:r>
      <w:r>
        <w:rPr>
          <w:rFonts w:hint="eastAsia" w:hAnsi="宋体" w:cs="宋体"/>
          <w:color w:val="auto"/>
          <w:sz w:val="24"/>
          <w:szCs w:val="24"/>
          <w:highlight w:val="none"/>
          <w:lang w:val="en-US" w:eastAsia="zh-CN"/>
        </w:rPr>
        <w:t>总投资约3000万元，馆内建设</w:t>
      </w:r>
      <w:r>
        <w:rPr>
          <w:rFonts w:hint="eastAsia" w:ascii="宋体" w:hAnsi="宋体" w:eastAsia="宋体" w:cs="宋体"/>
          <w:color w:val="auto"/>
          <w:kern w:val="0"/>
          <w:sz w:val="24"/>
          <w:szCs w:val="24"/>
          <w:highlight w:val="none"/>
          <w:lang w:val="en-US" w:eastAsia="zh-CN" w:bidi="ar-SA"/>
        </w:rPr>
        <w:t>费</w:t>
      </w:r>
      <w:r>
        <w:rPr>
          <w:rFonts w:hint="eastAsia" w:hAnsi="宋体" w:cs="宋体"/>
          <w:color w:val="auto"/>
          <w:kern w:val="0"/>
          <w:sz w:val="24"/>
          <w:szCs w:val="24"/>
          <w:highlight w:val="none"/>
          <w:lang w:val="en-US" w:eastAsia="zh-CN" w:bidi="ar-SA"/>
        </w:rPr>
        <w:t>（含设计施工一体化建设费、展陈各物料费用）</w:t>
      </w:r>
      <w:r>
        <w:rPr>
          <w:rFonts w:hint="eastAsia" w:ascii="宋体" w:hAnsi="宋体" w:eastAsia="宋体" w:cs="宋体"/>
          <w:color w:val="auto"/>
          <w:kern w:val="0"/>
          <w:sz w:val="24"/>
          <w:szCs w:val="24"/>
          <w:highlight w:val="none"/>
          <w:lang w:val="en-US" w:eastAsia="zh-CN" w:bidi="ar-SA"/>
        </w:rPr>
        <w:t>约2952.97万元</w:t>
      </w:r>
      <w:r>
        <w:rPr>
          <w:rFonts w:hint="eastAsia" w:hAnsi="宋体" w:cs="宋体"/>
          <w:color w:val="auto"/>
          <w:kern w:val="0"/>
          <w:sz w:val="24"/>
          <w:szCs w:val="24"/>
          <w:highlight w:val="none"/>
          <w:lang w:val="en-US" w:eastAsia="zh-CN" w:bidi="ar-SA"/>
        </w:rPr>
        <w:t>，</w:t>
      </w:r>
      <w:r>
        <w:rPr>
          <w:rFonts w:hint="eastAsia" w:ascii="宋体" w:hAnsi="宋体" w:eastAsia="宋体" w:cs="宋体"/>
          <w:color w:val="auto"/>
          <w:szCs w:val="22"/>
          <w:highlight w:val="none"/>
          <w:lang w:val="en-US" w:eastAsia="zh-CN"/>
        </w:rPr>
        <w:t>本次招标监理服务费为</w:t>
      </w:r>
      <w:r>
        <w:rPr>
          <w:rFonts w:hint="eastAsia" w:hAnsi="宋体" w:cs="宋体"/>
          <w:color w:val="auto"/>
          <w:szCs w:val="22"/>
          <w:highlight w:val="none"/>
          <w:lang w:val="en-US" w:eastAsia="zh-CN"/>
        </w:rPr>
        <w:t>61.58</w:t>
      </w:r>
      <w:r>
        <w:rPr>
          <w:rFonts w:hint="eastAsia" w:ascii="宋体" w:hAnsi="宋体" w:eastAsia="宋体" w:cs="宋体"/>
          <w:color w:val="auto"/>
          <w:szCs w:val="22"/>
          <w:highlight w:val="none"/>
          <w:lang w:val="en-US" w:eastAsia="zh-CN"/>
        </w:rPr>
        <w:t>万元</w:t>
      </w:r>
      <w:r>
        <w:rPr>
          <w:rFonts w:hint="eastAsia" w:hAnsi="宋体" w:cs="宋体"/>
          <w:color w:val="auto"/>
          <w:szCs w:val="22"/>
          <w:highlight w:val="none"/>
          <w:lang w:val="en-US" w:eastAsia="zh-CN"/>
        </w:rPr>
        <w:t>。</w:t>
      </w:r>
    </w:p>
    <w:p w14:paraId="737B5441">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 xml:space="preserve">1.2 </w:t>
      </w:r>
      <w:r>
        <w:rPr>
          <w:rFonts w:hint="eastAsia" w:ascii="宋体" w:hAnsi="宋体" w:cs="宋体"/>
          <w:snapToGrid w:val="0"/>
          <w:color w:val="auto"/>
          <w:kern w:val="0"/>
          <w:sz w:val="24"/>
          <w:highlight w:val="none"/>
        </w:rPr>
        <w:t>招标范围和标段划分</w:t>
      </w:r>
    </w:p>
    <w:p w14:paraId="5C8BB663">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 xml:space="preserve"> 招标范围</w:t>
      </w:r>
    </w:p>
    <w:p w14:paraId="0F812CFE">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监理：项目建设施工阶段监理（含施工准备阶段、施工阶段、工程竣工结算阶段和保修阶段监理）</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1.2.2</w:t>
      </w:r>
      <w:r>
        <w:rPr>
          <w:rFonts w:hint="eastAsia" w:hAnsi="宋体" w:cs="宋体"/>
          <w:snapToGrid w:val="0"/>
          <w:color w:val="auto"/>
          <w:kern w:val="0"/>
          <w:szCs w:val="24"/>
          <w:highlight w:val="none"/>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1.3</w:t>
      </w:r>
      <w:r>
        <w:rPr>
          <w:rFonts w:hint="eastAsia" w:hAnsi="宋体" w:cs="宋体"/>
          <w:snapToGrid w:val="0"/>
          <w:color w:val="auto"/>
          <w:kern w:val="0"/>
          <w:szCs w:val="24"/>
          <w:highlight w:val="none"/>
        </w:rPr>
        <w:t xml:space="preserve"> 投标费用：投标人应承担所有准备和参加投标的相关费用，不论投标结果如何，招标人均无义务和责任承担这些费用。</w:t>
      </w:r>
    </w:p>
    <w:p w14:paraId="6BE91A1C">
      <w:pPr>
        <w:pStyle w:val="89"/>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auto"/>
          <w:kern w:val="0"/>
          <w:sz w:val="24"/>
          <w:highlight w:val="none"/>
        </w:rPr>
      </w:pPr>
      <w:bookmarkStart w:id="17" w:name="_Toc31795"/>
      <w:bookmarkStart w:id="18" w:name="_Toc26825"/>
      <w:r>
        <w:rPr>
          <w:rFonts w:hint="eastAsia"/>
          <w:b/>
          <w:bCs/>
          <w:snapToGrid w:val="0"/>
          <w:color w:val="auto"/>
          <w:kern w:val="0"/>
          <w:sz w:val="24"/>
          <w:highlight w:val="none"/>
        </w:rPr>
        <w:t>2．投标人资格要求</w:t>
      </w:r>
      <w:bookmarkEnd w:id="17"/>
      <w:bookmarkEnd w:id="18"/>
      <w:bookmarkStart w:id="19" w:name="_Hlt74496495"/>
      <w:bookmarkEnd w:id="19"/>
    </w:p>
    <w:p w14:paraId="229AFBAA">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2.1</w:t>
      </w:r>
      <w:r>
        <w:rPr>
          <w:rFonts w:hint="eastAsia" w:ascii="宋体" w:hAnsi="宋体" w:cs="宋体"/>
          <w:snapToGrid w:val="0"/>
          <w:color w:val="auto"/>
          <w:kern w:val="0"/>
          <w:sz w:val="24"/>
          <w:highlight w:val="none"/>
        </w:rPr>
        <w:t xml:space="preserve"> 本次招标</w:t>
      </w:r>
      <w:r>
        <w:rPr>
          <w:rFonts w:hint="eastAsia" w:ascii="宋体" w:hAnsi="宋体" w:cs="宋体"/>
          <w:b/>
          <w:bCs/>
          <w:snapToGrid w:val="0"/>
          <w:color w:val="auto"/>
          <w:kern w:val="0"/>
          <w:sz w:val="24"/>
          <w:highlight w:val="none"/>
        </w:rPr>
        <w:t>不</w:t>
      </w:r>
      <w:r>
        <w:rPr>
          <w:rFonts w:hint="eastAsia" w:ascii="宋体" w:hAnsi="宋体" w:cs="宋体"/>
          <w:snapToGrid w:val="0"/>
          <w:color w:val="auto"/>
          <w:kern w:val="0"/>
          <w:sz w:val="24"/>
          <w:highlight w:val="none"/>
        </w:rPr>
        <w:t>接受联合体投标。</w:t>
      </w:r>
    </w:p>
    <w:p w14:paraId="376870ED">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w:t>
      </w:r>
      <w:r>
        <w:rPr>
          <w:rFonts w:hint="eastAsia" w:ascii="宋体" w:hAnsi="宋体" w:cs="宋体"/>
          <w:snapToGrid w:val="0"/>
          <w:color w:val="auto"/>
          <w:kern w:val="0"/>
          <w:sz w:val="24"/>
          <w:highlight w:val="none"/>
        </w:rPr>
        <w:t xml:space="preserve"> 资格资质要求</w:t>
      </w:r>
    </w:p>
    <w:p w14:paraId="296608D7">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2.2.1</w:t>
      </w:r>
      <w:r>
        <w:rPr>
          <w:rFonts w:hint="eastAsia" w:ascii="宋体" w:hAnsi="宋体" w:cs="宋体"/>
          <w:snapToGrid w:val="0"/>
          <w:color w:val="auto"/>
          <w:kern w:val="0"/>
          <w:sz w:val="24"/>
          <w:highlight w:val="none"/>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2.2.2</w:t>
      </w:r>
      <w:r>
        <w:rPr>
          <w:rFonts w:hint="eastAsia" w:hAnsi="宋体" w:cs="宋体"/>
          <w:snapToGrid w:val="0"/>
          <w:color w:val="auto"/>
          <w:kern w:val="0"/>
          <w:szCs w:val="24"/>
          <w:highlight w:val="none"/>
        </w:rPr>
        <w:t xml:space="preserve"> </w:t>
      </w:r>
      <w:r>
        <w:rPr>
          <w:rFonts w:hint="eastAsia" w:ascii="宋体" w:hAnsi="宋体" w:eastAsia="宋体" w:cs="宋体"/>
          <w:color w:val="auto"/>
          <w:szCs w:val="24"/>
          <w:highlight w:val="none"/>
        </w:rPr>
        <w:t>投标人须具备以下资质之一：①工程监理综合资质；②</w:t>
      </w:r>
      <w:r>
        <w:rPr>
          <w:rFonts w:hint="eastAsia" w:hAnsi="宋体" w:cs="宋体"/>
          <w:color w:val="auto"/>
          <w:szCs w:val="24"/>
          <w:highlight w:val="none"/>
          <w:lang w:eastAsia="zh-CN"/>
        </w:rPr>
        <w:t>房屋建筑工程监理乙级或以上资质</w:t>
      </w:r>
      <w:r>
        <w:rPr>
          <w:rFonts w:hint="eastAsia" w:hAnsi="宋体" w:cs="宋体"/>
          <w:snapToGrid w:val="0"/>
          <w:color w:val="auto"/>
          <w:kern w:val="0"/>
          <w:szCs w:val="24"/>
          <w:highlight w:val="none"/>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hAnsi="宋体" w:cs="宋体"/>
          <w:b/>
          <w:bCs/>
          <w:snapToGrid w:val="0"/>
          <w:color w:val="auto"/>
          <w:kern w:val="0"/>
          <w:szCs w:val="24"/>
          <w:highlight w:val="none"/>
        </w:rPr>
        <w:t>2.2.3</w:t>
      </w:r>
      <w:r>
        <w:rPr>
          <w:rFonts w:hint="eastAsia" w:hAnsi="宋体" w:cs="宋体"/>
          <w:snapToGrid w:val="0"/>
          <w:color w:val="auto"/>
          <w:kern w:val="0"/>
          <w:szCs w:val="24"/>
          <w:highlight w:val="none"/>
        </w:rPr>
        <w:t xml:space="preserve"> </w:t>
      </w:r>
      <w:r>
        <w:rPr>
          <w:rFonts w:hint="eastAsia" w:hAnsi="宋体" w:cs="宋体"/>
          <w:color w:val="auto"/>
          <w:szCs w:val="24"/>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3EE3233">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w:t>
      </w:r>
      <w:r>
        <w:rPr>
          <w:rFonts w:hint="eastAsia" w:ascii="宋体" w:hAnsi="宋体" w:cs="宋体"/>
          <w:snapToGrid w:val="0"/>
          <w:color w:val="auto"/>
          <w:kern w:val="0"/>
          <w:sz w:val="24"/>
          <w:highlight w:val="none"/>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ascii="宋体" w:hAnsi="宋体" w:cs="宋体"/>
          <w:b/>
          <w:bCs/>
          <w:snapToGrid w:val="0"/>
          <w:color w:val="auto"/>
          <w:kern w:val="0"/>
          <w:sz w:val="24"/>
          <w:highlight w:val="none"/>
        </w:rPr>
        <w:t>2.3.1</w:t>
      </w:r>
      <w:r>
        <w:rPr>
          <w:rFonts w:hint="eastAsia" w:ascii="宋体" w:hAnsi="宋体" w:cs="宋体"/>
          <w:snapToGrid w:val="0"/>
          <w:color w:val="auto"/>
          <w:kern w:val="0"/>
          <w:sz w:val="24"/>
          <w:highlight w:val="none"/>
        </w:rPr>
        <w:t xml:space="preserve"> </w:t>
      </w:r>
      <w:r>
        <w:rPr>
          <w:rFonts w:hint="eastAsia" w:hAnsi="宋体" w:cs="宋体"/>
          <w:color w:val="auto"/>
          <w:szCs w:val="24"/>
          <w:highlight w:val="none"/>
          <w:lang w:eastAsia="zh-CN"/>
        </w:rPr>
        <w:t>拟派总监理工程师为房屋建筑工程专业注册监理工程师</w:t>
      </w:r>
      <w:r>
        <w:rPr>
          <w:rFonts w:hint="eastAsia" w:hAnsi="宋体" w:cs="宋体"/>
          <w:color w:val="auto"/>
          <w:szCs w:val="24"/>
          <w:highlight w:val="none"/>
        </w:rPr>
        <w:t>，应持有国家住建部印发的有效注册证书，其担任总监理工程师职务的其他在施（包括已中标未开工、已开工未竣工）建设工程项目不得超过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1B937DB3">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拟派总监理工程师现阶段有担任其他在施建设工程项目总监理工程师职务的，须得到任职项目建设单位书面同意后方可担任本招标项目总监理工程师。</w:t>
      </w:r>
    </w:p>
    <w:p w14:paraId="729B3FCF">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2.3.2</w:t>
      </w:r>
      <w:r>
        <w:rPr>
          <w:rFonts w:hint="eastAsia" w:ascii="宋体" w:hAnsi="宋体" w:cs="宋体"/>
          <w:snapToGrid w:val="0"/>
          <w:color w:val="auto"/>
          <w:kern w:val="0"/>
          <w:sz w:val="24"/>
          <w:highlight w:val="none"/>
        </w:rPr>
        <w:t xml:space="preserve"> 投标人与其拟派往本项目监理机构的所有人员之间必须具备合法、唯一的劳动聘用关系。拟派人员中具备注册执业资格的，其注册单位须与投标人保持一致。</w:t>
      </w:r>
    </w:p>
    <w:p w14:paraId="51D5C150">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w:t>
      </w:r>
      <w:r>
        <w:rPr>
          <w:rFonts w:hint="eastAsia" w:ascii="宋体" w:hAnsi="宋体" w:cs="宋体"/>
          <w:snapToGrid w:val="0"/>
          <w:color w:val="auto"/>
          <w:kern w:val="0"/>
          <w:sz w:val="24"/>
          <w:highlight w:val="none"/>
        </w:rPr>
        <w:t xml:space="preserve"> 禁止投标条款</w:t>
      </w:r>
    </w:p>
    <w:p w14:paraId="7D7AD0E4">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2.4.1</w:t>
      </w:r>
      <w:r>
        <w:rPr>
          <w:rFonts w:hint="eastAsia" w:ascii="宋体" w:hAnsi="宋体" w:cs="宋体"/>
          <w:snapToGrid w:val="0"/>
          <w:color w:val="auto"/>
          <w:kern w:val="0"/>
          <w:sz w:val="24"/>
          <w:highlight w:val="none"/>
        </w:rPr>
        <w:t xml:space="preserve"> 投标人不得存在下列情形之一：</w:t>
      </w:r>
    </w:p>
    <w:p w14:paraId="23B2DC3C">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（1）为招标人不具有独立法人资格的附属机构（单位）；</w:t>
      </w:r>
    </w:p>
    <w:p w14:paraId="7B77E298">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（2）与招标人存在利害关系且可能影响招标公正性；</w:t>
      </w:r>
    </w:p>
    <w:p w14:paraId="66A8637F">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（3）与本招标项目的其他投标人为同一个单位负责人；</w:t>
      </w:r>
    </w:p>
    <w:p w14:paraId="6445557B">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（4）与本招标项目的其他投标人存在控股、管理关系；</w:t>
      </w:r>
    </w:p>
    <w:p w14:paraId="66EBD7D7">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（5）为本招标项目的代建人；</w:t>
      </w:r>
    </w:p>
    <w:p w14:paraId="2102A470">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（6）为本招标项目的招标代理机构；</w:t>
      </w:r>
    </w:p>
    <w:p w14:paraId="22A7EB6B">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（7）与本招标项目的代建人或招标代理机构同为一个法定代表人；</w:t>
      </w:r>
    </w:p>
    <w:p w14:paraId="3FC11BF5">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（8）与本招标项目的代建人或招标代理机构存在控股或参股关系；</w:t>
      </w:r>
    </w:p>
    <w:p w14:paraId="12857A0D">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（9）与本招标项目的施工承包人以及建筑材料、建筑构配件和设备供应商有隶属关系或者其他利害关系；</w:t>
      </w:r>
    </w:p>
    <w:p w14:paraId="4A6FC44A">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（10）被依法暂停或者取消投标资格；</w:t>
      </w:r>
    </w:p>
    <w:p w14:paraId="68E70B2D">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（11）被责令停产停业、暂扣或者吊销许可证、暂扣或者吊销执照；</w:t>
      </w:r>
    </w:p>
    <w:p w14:paraId="75517A3D">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（12）进入清算程序，或被宣告破产，或其他丧失履约能力的情形；</w:t>
      </w:r>
    </w:p>
    <w:p w14:paraId="40C303D7">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（13）在最近三年内发生重大监理质量问题（以相关行业主管部门的行政处罚决定或司法机关出具的有关法律文书为准）；</w:t>
      </w:r>
    </w:p>
    <w:p w14:paraId="331A83DA">
      <w:pPr>
        <w:pStyle w:val="89"/>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rPr>
        <w:t xml:space="preserve"> （14）</w:t>
      </w:r>
      <w:r>
        <w:rPr>
          <w:rFonts w:hint="eastAsia" w:ascii="宋体" w:hAnsi="宋体" w:cs="宋体"/>
          <w:color w:val="auto"/>
          <w:kern w:val="0"/>
          <w:sz w:val="24"/>
          <w:highlight w:val="none"/>
        </w:rPr>
        <w:t>被“信用中国”网站（https://www.creditchina.gov.cn）发布的《法人和非法人组织公共信用信息报告》列为严重失信主体名单的</w:t>
      </w:r>
      <w:r>
        <w:rPr>
          <w:rFonts w:hint="eastAsia" w:ascii="宋体" w:hAnsi="宋体" w:cs="宋体"/>
          <w:snapToGrid w:val="0"/>
          <w:color w:val="auto"/>
          <w:kern w:val="0"/>
          <w:sz w:val="24"/>
          <w:highlight w:val="none"/>
        </w:rPr>
        <w:t>。</w:t>
      </w:r>
    </w:p>
    <w:p w14:paraId="6D2A9BC1">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2.4.2</w:t>
      </w:r>
      <w:r>
        <w:rPr>
          <w:rFonts w:hint="eastAsia" w:ascii="宋体" w:hAnsi="宋体" w:cs="宋体"/>
          <w:snapToGrid w:val="0"/>
          <w:color w:val="auto"/>
          <w:kern w:val="0"/>
          <w:sz w:val="24"/>
          <w:highlight w:val="none"/>
        </w:rPr>
        <w:t xml:space="preserve"> 招标人拒绝以下名单中的单位参加本次投标：</w:t>
      </w:r>
    </w:p>
    <w:tbl>
      <w:tblPr>
        <w:tblStyle w:val="31"/>
        <w:tblW w:w="8205"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3646"/>
        <w:gridCol w:w="3794"/>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1EF599D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646" w:type="dxa"/>
            <w:noWrap w:val="0"/>
            <w:vAlign w:val="center"/>
          </w:tcPr>
          <w:p w14:paraId="6393EFE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794" w:type="dxa"/>
            <w:noWrap w:val="0"/>
            <w:vAlign w:val="center"/>
          </w:tcPr>
          <w:p w14:paraId="22BCCA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247CC672">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3646" w:type="dxa"/>
            <w:noWrap w:val="0"/>
            <w:vAlign w:val="center"/>
          </w:tcPr>
          <w:p w14:paraId="48F92AA4">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中共仁化县委宣传部</w:t>
            </w:r>
          </w:p>
        </w:tc>
        <w:tc>
          <w:tcPr>
            <w:tcW w:w="3794" w:type="dxa"/>
            <w:noWrap w:val="0"/>
            <w:vAlign w:val="center"/>
          </w:tcPr>
          <w:p w14:paraId="1CA7E40F">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kern w:val="2"/>
                <w:sz w:val="24"/>
                <w:szCs w:val="24"/>
                <w:highlight w:val="none"/>
                <w:lang w:val="en-US" w:eastAsia="zh-CN" w:bidi="ar-SA"/>
              </w:rPr>
              <w:t>本项目的</w:t>
            </w:r>
            <w:r>
              <w:rPr>
                <w:rFonts w:hint="eastAsia" w:ascii="宋体" w:hAnsi="宋体" w:eastAsia="宋体" w:cs="宋体"/>
                <w:color w:val="auto"/>
                <w:sz w:val="24"/>
                <w:szCs w:val="24"/>
                <w:highlight w:val="none"/>
                <w:lang w:val="en-US" w:eastAsia="zh-CN"/>
              </w:rPr>
              <w:t>业主</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招标人</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308BACF3">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3646" w:type="dxa"/>
            <w:noWrap w:val="0"/>
            <w:vAlign w:val="center"/>
          </w:tcPr>
          <w:p w14:paraId="2C7FB050">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snapToGrid w:val="0"/>
                <w:color w:val="auto"/>
                <w:kern w:val="0"/>
                <w:sz w:val="24"/>
                <w:highlight w:val="none"/>
                <w:lang w:eastAsia="zh-CN"/>
              </w:rPr>
              <w:t>韶关鹰正项目管理有限公司</w:t>
            </w:r>
          </w:p>
        </w:tc>
        <w:tc>
          <w:tcPr>
            <w:tcW w:w="3794" w:type="dxa"/>
            <w:noWrap w:val="0"/>
            <w:vAlign w:val="center"/>
          </w:tcPr>
          <w:p w14:paraId="3659449E">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为本项目的招标代理机构</w:t>
            </w:r>
          </w:p>
        </w:tc>
      </w:tr>
      <w:tr w14:paraId="264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00828124">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3646" w:type="dxa"/>
            <w:noWrap w:val="0"/>
            <w:vAlign w:val="center"/>
          </w:tcPr>
          <w:p w14:paraId="76EC56A5">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广州金良工程咨询有限公司</w:t>
            </w:r>
          </w:p>
        </w:tc>
        <w:tc>
          <w:tcPr>
            <w:tcW w:w="3794" w:type="dxa"/>
            <w:noWrap w:val="0"/>
            <w:vAlign w:val="center"/>
          </w:tcPr>
          <w:p w14:paraId="7789CE8C">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为本项目的可研编制单位</w:t>
            </w:r>
          </w:p>
        </w:tc>
      </w:tr>
    </w:tbl>
    <w:p w14:paraId="436A391F">
      <w:pPr>
        <w:pStyle w:val="89"/>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2.5</w:t>
      </w:r>
      <w:r>
        <w:rPr>
          <w:rFonts w:hint="eastAsia" w:ascii="宋体" w:hAnsi="宋体" w:cs="宋体"/>
          <w:snapToGrid w:val="0"/>
          <w:color w:val="auto"/>
          <w:kern w:val="0"/>
          <w:sz w:val="24"/>
          <w:highlight w:val="none"/>
        </w:rPr>
        <w:t xml:space="preserve"> 其他要求</w:t>
      </w:r>
    </w:p>
    <w:p w14:paraId="574A12A8">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89"/>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highlight w:val="none"/>
        </w:rPr>
      </w:pPr>
      <w:bookmarkStart w:id="20" w:name="_Toc18577"/>
      <w:r>
        <w:rPr>
          <w:rFonts w:hint="eastAsia" w:ascii="宋体" w:hAnsi="宋体" w:cs="宋体"/>
          <w:b/>
          <w:bCs/>
          <w:snapToGrid w:val="0"/>
          <w:color w:val="auto"/>
          <w:kern w:val="0"/>
          <w:sz w:val="24"/>
          <w:highlight w:val="none"/>
        </w:rPr>
        <w:t>3．获取招标文件</w:t>
      </w:r>
      <w:bookmarkEnd w:id="20"/>
    </w:p>
    <w:p w14:paraId="1DF04FBD">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highlight w:val="none"/>
          <w:shd w:val="clear" w:color="auto" w:fill="FFFFFF"/>
        </w:rPr>
      </w:pPr>
      <w:r>
        <w:rPr>
          <w:rFonts w:hint="eastAsia" w:ascii="宋体" w:hAnsi="宋体" w:cs="宋体"/>
          <w:snapToGrid w:val="0"/>
          <w:color w:val="auto"/>
          <w:kern w:val="0"/>
          <w:sz w:val="24"/>
          <w:highlight w:val="none"/>
        </w:rPr>
        <w:t xml:space="preserve">3.1 </w:t>
      </w:r>
      <w:r>
        <w:rPr>
          <w:rFonts w:hint="eastAsia" w:ascii="宋体" w:hAnsi="宋体" w:cs="宋体"/>
          <w:color w:val="auto"/>
          <w:sz w:val="24"/>
          <w:highlight w:val="none"/>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color w:val="auto"/>
          <w:sz w:val="24"/>
          <w:highlight w:val="none"/>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7"/>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highlight w:val="none"/>
        </w:rPr>
      </w:pPr>
      <w:r>
        <w:rPr>
          <w:rFonts w:hint="eastAsia"/>
          <w:snapToGrid w:val="0"/>
          <w:color w:val="auto"/>
          <w:highlight w:val="none"/>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7"/>
        <w:keepNext w:val="0"/>
        <w:keepLines w:val="0"/>
        <w:pageBreakBefore w:val="0"/>
        <w:topLinePunct w:val="0"/>
        <w:bidi w:val="0"/>
        <w:spacing w:before="0" w:beforeAutospacing="0" w:after="0" w:afterAutospacing="0" w:line="500" w:lineRule="exact"/>
        <w:ind w:firstLine="480" w:firstLineChars="200"/>
        <w:textAlignment w:val="auto"/>
        <w:rPr>
          <w:bCs/>
          <w:color w:val="auto"/>
          <w:highlight w:val="none"/>
        </w:rPr>
      </w:pPr>
      <w:r>
        <w:rPr>
          <w:rFonts w:hint="eastAsia"/>
          <w:snapToGrid w:val="0"/>
          <w:color w:val="auto"/>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highlight w:val="none"/>
        </w:rPr>
        <w:t xml:space="preserve"> </w:t>
      </w:r>
    </w:p>
    <w:p w14:paraId="3710C648">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kern w:val="0"/>
          <w:sz w:val="24"/>
          <w:highlight w:val="none"/>
        </w:rPr>
        <w:t>已入库企业的有关信息（如单位名称、基本账号、资质、人员等）发生变化的，应及时在建设工程交易系统进行相应变更。投标人未及时变更而造成的损失和后果，由投标人自行承担。</w:t>
      </w:r>
    </w:p>
    <w:p w14:paraId="5349E3D5">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 投标保证</w:t>
      </w:r>
    </w:p>
    <w:p w14:paraId="71FD51AC">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3.3.1 投标人须缴纳金额为人民币</w:t>
      </w:r>
      <w:r>
        <w:rPr>
          <w:rFonts w:hint="eastAsia" w:ascii="宋体" w:hAnsi="宋体" w:cs="宋体"/>
          <w:color w:val="auto"/>
          <w:sz w:val="24"/>
          <w:highlight w:val="none"/>
          <w:u w:val="single"/>
          <w:shd w:val="clear" w:color="auto" w:fill="FFFFFF"/>
          <w:lang w:val="en-US" w:eastAsia="zh-CN"/>
        </w:rPr>
        <w:t>壹万</w:t>
      </w:r>
      <w:r>
        <w:rPr>
          <w:rFonts w:hint="eastAsia" w:ascii="宋体" w:hAnsi="宋体" w:cs="宋体"/>
          <w:color w:val="auto"/>
          <w:sz w:val="24"/>
          <w:highlight w:val="none"/>
          <w:u w:val="single"/>
          <w:shd w:val="clear" w:color="auto" w:fill="FFFFFF"/>
        </w:rPr>
        <w:t>元</w:t>
      </w:r>
      <w:r>
        <w:rPr>
          <w:rFonts w:hint="eastAsia" w:ascii="宋体" w:hAnsi="宋体" w:cs="宋体"/>
          <w:color w:val="auto"/>
          <w:sz w:val="24"/>
          <w:highlight w:val="none"/>
          <w:shd w:val="clear" w:color="auto" w:fill="FFFFFF"/>
        </w:rPr>
        <w:t xml:space="preserve">的投标保证。 </w:t>
      </w:r>
    </w:p>
    <w:p w14:paraId="081C9AA3">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highlight w:val="none"/>
          <w:lang w:val="en-US" w:eastAsia="zh-CN"/>
        </w:rPr>
        <w:t>见</w:t>
      </w:r>
      <w:r>
        <w:rPr>
          <w:rFonts w:hint="eastAsia" w:hAnsi="宋体" w:cs="宋体"/>
          <w:color w:val="auto"/>
          <w:highlight w:val="none"/>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highlight w:val="none"/>
        </w:rPr>
        <w:t>延长</w:t>
      </w:r>
      <w:r>
        <w:rPr>
          <w:rFonts w:hint="eastAsia" w:ascii="宋体" w:hAnsi="宋体" w:cs="宋体"/>
          <w:color w:val="auto"/>
          <w:sz w:val="24"/>
          <w:highlight w:val="none"/>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3.4</w:t>
      </w:r>
      <w:r>
        <w:rPr>
          <w:rFonts w:hint="eastAsia" w:hAnsi="宋体" w:cs="宋体"/>
          <w:snapToGrid w:val="0"/>
          <w:color w:val="auto"/>
          <w:kern w:val="0"/>
          <w:highlight w:val="none"/>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highlight w:val="none"/>
        </w:rPr>
      </w:pPr>
      <w:bookmarkStart w:id="21" w:name="_Toc932"/>
      <w:r>
        <w:rPr>
          <w:rFonts w:hint="eastAsia" w:hAnsi="宋体" w:cs="宋体"/>
          <w:b/>
          <w:bCs/>
          <w:snapToGrid w:val="0"/>
          <w:color w:val="auto"/>
          <w:kern w:val="0"/>
          <w:highlight w:val="none"/>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4.1</w:t>
      </w:r>
      <w:r>
        <w:rPr>
          <w:rFonts w:hint="eastAsia" w:hAnsi="宋体" w:cs="宋体"/>
          <w:snapToGrid w:val="0"/>
          <w:color w:val="auto"/>
          <w:kern w:val="0"/>
          <w:highlight w:val="none"/>
        </w:rPr>
        <w:t xml:space="preserve"> 监理：监理服务期从监理合同签订之日起计，至本工程缺陷责任保修期结束且本工程结算金额经政府主管部门审定且双方的责任义务履行完毕时止。</w:t>
      </w:r>
    </w:p>
    <w:p w14:paraId="4006A3C3">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2" w:name="_Toc20762"/>
      <w:bookmarkStart w:id="23" w:name="_Toc10746"/>
      <w:r>
        <w:rPr>
          <w:rFonts w:hint="eastAsia" w:hAnsi="宋体" w:cs="宋体"/>
          <w:b/>
          <w:snapToGrid w:val="0"/>
          <w:color w:val="auto"/>
          <w:highlight w:val="none"/>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5.1</w:t>
      </w:r>
      <w:r>
        <w:rPr>
          <w:rFonts w:hint="eastAsia" w:hAnsi="宋体" w:cs="宋体"/>
          <w:snapToGrid w:val="0"/>
          <w:color w:val="auto"/>
          <w:kern w:val="0"/>
          <w:highlight w:val="none"/>
        </w:rPr>
        <w:t xml:space="preserve"> 监理：</w:t>
      </w:r>
      <w:r>
        <w:rPr>
          <w:rFonts w:hint="eastAsia" w:hAnsi="宋体" w:cs="宋体"/>
          <w:color w:val="auto"/>
          <w:szCs w:val="24"/>
          <w:highlight w:val="none"/>
        </w:rPr>
        <w:t>工程质量达到合格或以上标准。</w:t>
      </w:r>
      <w:r>
        <w:rPr>
          <w:rFonts w:hint="eastAsia" w:hAnsi="宋体" w:cs="宋体"/>
          <w:snapToGrid w:val="0"/>
          <w:color w:val="auto"/>
          <w:kern w:val="0"/>
          <w:highlight w:val="none"/>
        </w:rPr>
        <w:t xml:space="preserve"> </w:t>
      </w:r>
    </w:p>
    <w:p w14:paraId="4CCCF34C">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4" w:name="_Toc730"/>
      <w:bookmarkStart w:id="25" w:name="_Toc32757"/>
      <w:r>
        <w:rPr>
          <w:rFonts w:hint="eastAsia" w:hAnsi="宋体" w:cs="宋体"/>
          <w:b/>
          <w:snapToGrid w:val="0"/>
          <w:color w:val="auto"/>
          <w:highlight w:val="none"/>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6.1</w:t>
      </w:r>
      <w:r>
        <w:rPr>
          <w:rFonts w:hint="eastAsia" w:hAnsi="宋体" w:cs="宋体"/>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6.2</w:t>
      </w:r>
      <w:r>
        <w:rPr>
          <w:rFonts w:hint="eastAsia" w:hAnsi="宋体" w:cs="宋体"/>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highlight w:val="none"/>
        </w:rPr>
      </w:pPr>
      <w:r>
        <w:rPr>
          <w:rFonts w:hint="eastAsia" w:hAnsi="宋体" w:cs="宋体"/>
          <w:b/>
          <w:bCs/>
          <w:snapToGrid w:val="0"/>
          <w:color w:val="auto"/>
          <w:kern w:val="0"/>
          <w:highlight w:val="none"/>
        </w:rPr>
        <w:t>6.3</w:t>
      </w:r>
      <w:r>
        <w:rPr>
          <w:rFonts w:hint="eastAsia" w:hAnsi="宋体" w:cs="宋体"/>
          <w:snapToGrid w:val="0"/>
          <w:color w:val="auto"/>
          <w:kern w:val="0"/>
          <w:highlight w:val="none"/>
        </w:rPr>
        <w:t xml:space="preserve"> 现场踏勘期间的交通、食宿由投标人自行安排，费用自理。</w:t>
      </w:r>
    </w:p>
    <w:p w14:paraId="7ACE9C36">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6" w:name="_Toc8198"/>
      <w:bookmarkStart w:id="27" w:name="_Toc7335"/>
      <w:r>
        <w:rPr>
          <w:rFonts w:hint="eastAsia" w:hAnsi="宋体" w:cs="宋体"/>
          <w:b/>
          <w:snapToGrid w:val="0"/>
          <w:color w:val="auto"/>
          <w:highlight w:val="none"/>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lang w:bidi="ar"/>
        </w:rPr>
      </w:pPr>
      <w:r>
        <w:rPr>
          <w:rFonts w:hint="eastAsia" w:hAnsi="宋体" w:cs="宋体"/>
          <w:b/>
          <w:bCs/>
          <w:snapToGrid w:val="0"/>
          <w:color w:val="auto"/>
          <w:kern w:val="0"/>
          <w:highlight w:val="none"/>
        </w:rPr>
        <w:t>7.1</w:t>
      </w:r>
      <w:r>
        <w:rPr>
          <w:rFonts w:hint="eastAsia" w:hAnsi="宋体" w:cs="宋体"/>
          <w:snapToGrid w:val="0"/>
          <w:color w:val="auto"/>
          <w:kern w:val="0"/>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highlight w:val="none"/>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7.2 </w:t>
      </w:r>
      <w:r>
        <w:rPr>
          <w:rFonts w:hint="eastAsia" w:hAnsi="宋体" w:cs="宋体"/>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7.3</w:t>
      </w:r>
      <w:r>
        <w:rPr>
          <w:rFonts w:hint="eastAsia" w:hAnsi="宋体" w:cs="宋体"/>
          <w:snapToGrid w:val="0"/>
          <w:color w:val="auto"/>
          <w:kern w:val="0"/>
          <w:highlight w:val="none"/>
        </w:rPr>
        <w:t xml:space="preserve"> 招标人对招标文件所作的答疑（或修改）公告，构成招标文件的组成部分。</w:t>
      </w:r>
    </w:p>
    <w:p w14:paraId="3906303B">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9" w:name="_Hlt92513711"/>
      <w:bookmarkEnd w:id="29"/>
      <w:bookmarkStart w:id="30" w:name="_Hlt92513715"/>
      <w:bookmarkEnd w:id="30"/>
      <w:bookmarkStart w:id="31" w:name="_Hlt69699188"/>
      <w:bookmarkEnd w:id="31"/>
      <w:bookmarkStart w:id="32" w:name="_Toc23036"/>
      <w:bookmarkStart w:id="33" w:name="_Toc2500"/>
      <w:r>
        <w:rPr>
          <w:rFonts w:hint="eastAsia" w:hAnsi="宋体" w:cs="宋体"/>
          <w:b/>
          <w:snapToGrid w:val="0"/>
          <w:color w:val="auto"/>
          <w:highlight w:val="none"/>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8.1</w:t>
      </w:r>
      <w:r>
        <w:rPr>
          <w:rFonts w:hint="eastAsia" w:hAnsi="宋体" w:cs="宋体"/>
          <w:snapToGrid w:val="0"/>
          <w:color w:val="auto"/>
          <w:kern w:val="0"/>
          <w:highlight w:val="none"/>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（5）项目所在地市场价格。</w:t>
      </w:r>
    </w:p>
    <w:p w14:paraId="729BA8FC">
      <w:pPr>
        <w:pStyle w:val="41"/>
        <w:keepNext w:val="0"/>
        <w:keepLines w:val="0"/>
        <w:pageBreakBefore w:val="0"/>
        <w:topLinePunct w:val="0"/>
        <w:bidi w:val="0"/>
        <w:spacing w:line="500" w:lineRule="exact"/>
        <w:jc w:val="left"/>
        <w:textAlignment w:val="auto"/>
        <w:rPr>
          <w:rFonts w:hint="eastAsia" w:ascii="宋体" w:hAnsi="宋体" w:eastAsia="宋体" w:cs="宋体"/>
          <w:b w:val="0"/>
          <w:bCs/>
          <w:color w:val="auto"/>
          <w:sz w:val="24"/>
          <w:highlight w:val="none"/>
          <w:u w:val="none"/>
        </w:rPr>
      </w:pPr>
      <w:r>
        <w:rPr>
          <w:rFonts w:hint="eastAsia" w:ascii="宋体" w:hAnsi="宋体" w:cs="宋体"/>
          <w:bCs/>
          <w:snapToGrid w:val="0"/>
          <w:color w:val="auto"/>
          <w:kern w:val="0"/>
          <w:sz w:val="24"/>
          <w:highlight w:val="none"/>
        </w:rPr>
        <w:t xml:space="preserve">   8.2</w:t>
      </w:r>
      <w:r>
        <w:rPr>
          <w:rFonts w:hint="eastAsia" w:ascii="宋体" w:hAnsi="宋体" w:cs="宋体"/>
          <w:snapToGrid w:val="0"/>
          <w:color w:val="auto"/>
          <w:kern w:val="0"/>
          <w:sz w:val="24"/>
          <w:highlight w:val="none"/>
        </w:rPr>
        <w:t xml:space="preserve"> </w:t>
      </w:r>
      <w:r>
        <w:rPr>
          <w:rFonts w:hint="eastAsia" w:ascii="宋体" w:hAnsi="宋体" w:cs="宋体"/>
          <w:b/>
          <w:bCs w:val="0"/>
          <w:snapToGrid w:val="0"/>
          <w:color w:val="auto"/>
          <w:kern w:val="0"/>
          <w:sz w:val="24"/>
          <w:highlight w:val="none"/>
        </w:rPr>
        <w:t>本次招标最高投标限价为人民币（大写）：</w:t>
      </w:r>
      <w:r>
        <w:rPr>
          <w:rFonts w:hint="eastAsia" w:ascii="宋体" w:hAnsi="宋体" w:cs="宋体"/>
          <w:b/>
          <w:bCs w:val="0"/>
          <w:snapToGrid w:val="0"/>
          <w:color w:val="auto"/>
          <w:kern w:val="0"/>
          <w:sz w:val="24"/>
          <w:highlight w:val="none"/>
          <w:lang w:val="en-US" w:eastAsia="zh-CN"/>
        </w:rPr>
        <w:t>陆拾壹万伍仟捌佰元整</w:t>
      </w:r>
      <w:r>
        <w:rPr>
          <w:rFonts w:hint="eastAsia" w:hAnsi="宋体" w:cs="宋体"/>
          <w:b/>
          <w:bCs w:val="0"/>
          <w:snapToGrid w:val="0"/>
          <w:color w:val="auto"/>
          <w:kern w:val="0"/>
          <w:sz w:val="24"/>
          <w:highlight w:val="none"/>
          <w:u w:val="none"/>
          <w:lang w:val="en-US" w:eastAsia="zh-CN"/>
        </w:rPr>
        <w:t>（小写：</w:t>
      </w:r>
      <w:r>
        <w:rPr>
          <w:rFonts w:hint="eastAsia" w:ascii="宋体" w:hAnsi="宋体" w:eastAsia="宋体" w:cs="宋体"/>
          <w:b/>
          <w:bCs w:val="0"/>
          <w:snapToGrid w:val="0"/>
          <w:color w:val="auto"/>
          <w:kern w:val="0"/>
          <w:sz w:val="24"/>
          <w:highlight w:val="none"/>
          <w:u w:val="none"/>
          <w:lang w:val="en-US" w:eastAsia="zh-CN"/>
        </w:rPr>
        <w:t>￥</w:t>
      </w:r>
      <w:r>
        <w:rPr>
          <w:rFonts w:hint="eastAsia" w:ascii="宋体" w:hAnsi="宋体" w:cs="宋体"/>
          <w:b/>
          <w:bCs w:val="0"/>
          <w:snapToGrid w:val="0"/>
          <w:color w:val="auto"/>
          <w:kern w:val="0"/>
          <w:sz w:val="24"/>
          <w:highlight w:val="none"/>
          <w:u w:val="none"/>
          <w:lang w:val="en-US" w:eastAsia="zh-CN"/>
        </w:rPr>
        <w:t>615800.00</w:t>
      </w:r>
      <w:r>
        <w:rPr>
          <w:rFonts w:hint="eastAsia" w:ascii="宋体" w:hAnsi="宋体" w:eastAsia="宋体" w:cs="宋体"/>
          <w:b/>
          <w:bCs w:val="0"/>
          <w:snapToGrid w:val="0"/>
          <w:color w:val="auto"/>
          <w:kern w:val="0"/>
          <w:sz w:val="24"/>
          <w:highlight w:val="none"/>
          <w:u w:val="none"/>
          <w:lang w:val="en-US" w:eastAsia="zh-CN"/>
        </w:rPr>
        <w:t>元）</w:t>
      </w:r>
      <w:r>
        <w:rPr>
          <w:rFonts w:hint="eastAsia" w:ascii="宋体" w:hAnsi="宋体" w:eastAsia="宋体" w:cs="宋体"/>
          <w:b/>
          <w:bCs w:val="0"/>
          <w:snapToGrid w:val="0"/>
          <w:color w:val="auto"/>
          <w:kern w:val="0"/>
          <w:sz w:val="24"/>
          <w:highlight w:val="none"/>
          <w:u w:val="none"/>
          <w:lang w:eastAsia="zh-CN"/>
        </w:rPr>
        <w:t>，监理服务费投标取费费率上限为</w:t>
      </w:r>
      <w:r>
        <w:rPr>
          <w:rFonts w:hint="eastAsia" w:ascii="宋体" w:hAnsi="宋体" w:cs="宋体"/>
          <w:b/>
          <w:bCs w:val="0"/>
          <w:snapToGrid w:val="0"/>
          <w:color w:val="auto"/>
          <w:kern w:val="0"/>
          <w:sz w:val="24"/>
          <w:highlight w:val="none"/>
          <w:u w:val="none"/>
          <w:lang w:val="en-US" w:eastAsia="zh-CN"/>
        </w:rPr>
        <w:t>2.085</w:t>
      </w:r>
      <w:r>
        <w:rPr>
          <w:rFonts w:hint="eastAsia" w:ascii="宋体" w:hAnsi="宋体" w:eastAsia="宋体" w:cs="宋体"/>
          <w:b/>
          <w:bCs w:val="0"/>
          <w:snapToGrid w:val="0"/>
          <w:color w:val="auto"/>
          <w:kern w:val="0"/>
          <w:sz w:val="24"/>
          <w:highlight w:val="none"/>
          <w:u w:val="none"/>
          <w:lang w:eastAsia="zh-CN"/>
        </w:rPr>
        <w:t>%</w:t>
      </w:r>
      <w:r>
        <w:rPr>
          <w:rFonts w:hint="eastAsia" w:ascii="宋体" w:hAnsi="宋体" w:eastAsia="宋体" w:cs="宋体"/>
          <w:b/>
          <w:bCs w:val="0"/>
          <w:snapToGrid w:val="0"/>
          <w:color w:val="auto"/>
          <w:kern w:val="0"/>
          <w:sz w:val="24"/>
          <w:highlight w:val="none"/>
          <w:u w:val="none"/>
        </w:rPr>
        <w:t>。</w:t>
      </w:r>
    </w:p>
    <w:p w14:paraId="08F85732">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34" w:name="_Toc7437"/>
      <w:bookmarkStart w:id="35" w:name="_Toc31693"/>
      <w:r>
        <w:rPr>
          <w:rFonts w:hint="eastAsia" w:hAnsi="宋体" w:cs="宋体"/>
          <w:b/>
          <w:snapToGrid w:val="0"/>
          <w:color w:val="auto"/>
          <w:highlight w:val="none"/>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9.1</w:t>
      </w:r>
      <w:r>
        <w:rPr>
          <w:rFonts w:hint="eastAsia" w:hAnsi="宋体" w:cs="宋体"/>
          <w:snapToGrid w:val="0"/>
          <w:color w:val="auto"/>
          <w:kern w:val="0"/>
          <w:highlight w:val="none"/>
        </w:rPr>
        <w:t xml:space="preserve"> 本次招标采用填报</w:t>
      </w:r>
      <w:r>
        <w:rPr>
          <w:rFonts w:hint="eastAsia" w:hAnsi="宋体" w:cs="宋体"/>
          <w:snapToGrid w:val="0"/>
          <w:color w:val="auto"/>
          <w:kern w:val="0"/>
          <w:highlight w:val="none"/>
          <w:u w:val="single"/>
        </w:rPr>
        <w:t xml:space="preserve"> 投标报价及取费费率 </w:t>
      </w:r>
      <w:r>
        <w:rPr>
          <w:rFonts w:hint="eastAsia" w:hAnsi="宋体" w:cs="宋体"/>
          <w:snapToGrid w:val="0"/>
          <w:color w:val="auto"/>
          <w:kern w:val="0"/>
          <w:highlight w:val="none"/>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9.2</w:t>
      </w:r>
      <w:r>
        <w:rPr>
          <w:rFonts w:hint="eastAsia" w:hAnsi="宋体" w:cs="宋体"/>
          <w:snapToGrid w:val="0"/>
          <w:color w:val="auto"/>
          <w:kern w:val="0"/>
          <w:highlight w:val="none"/>
        </w:rPr>
        <w:t xml:space="preserve"> 所有报价均以人民币“元”为单位，并保留两位小数。投标取费费率=投标总价÷</w:t>
      </w:r>
      <w:r>
        <w:rPr>
          <w:rFonts w:hint="eastAsia" w:hAnsi="宋体" w:cs="宋体"/>
          <w:snapToGrid w:val="0"/>
          <w:color w:val="auto"/>
          <w:kern w:val="0"/>
          <w:highlight w:val="none"/>
          <w:lang w:val="en-US" w:eastAsia="zh-CN"/>
        </w:rPr>
        <w:t>馆内建设费</w:t>
      </w:r>
      <w:r>
        <w:rPr>
          <w:rFonts w:hint="eastAsia" w:hAnsi="宋体" w:cs="宋体"/>
          <w:snapToGrid w:val="0"/>
          <w:color w:val="auto"/>
          <w:kern w:val="0"/>
          <w:highlight w:val="none"/>
        </w:rPr>
        <w:t>暂定价×100%，并保留</w:t>
      </w:r>
      <w:r>
        <w:rPr>
          <w:rFonts w:hint="eastAsia" w:hAnsi="宋体" w:cs="宋体"/>
          <w:snapToGrid w:val="0"/>
          <w:color w:val="auto"/>
          <w:kern w:val="0"/>
          <w:highlight w:val="none"/>
          <w:lang w:val="en-US" w:eastAsia="zh-CN"/>
        </w:rPr>
        <w:t>三</w:t>
      </w:r>
      <w:r>
        <w:rPr>
          <w:rFonts w:hint="eastAsia" w:hAnsi="宋体" w:cs="宋体"/>
          <w:snapToGrid w:val="0"/>
          <w:color w:val="auto"/>
          <w:kern w:val="0"/>
          <w:highlight w:val="none"/>
        </w:rPr>
        <w:t>位小数。</w:t>
      </w:r>
      <w:r>
        <w:rPr>
          <w:rFonts w:hint="eastAsia" w:hAnsi="宋体" w:cs="宋体"/>
          <w:b w:val="0"/>
          <w:bCs w:val="0"/>
          <w:snapToGrid w:val="0"/>
          <w:color w:val="auto"/>
          <w:kern w:val="0"/>
          <w:highlight w:val="none"/>
        </w:rPr>
        <w:t>本项目的</w:t>
      </w:r>
      <w:r>
        <w:rPr>
          <w:rFonts w:hint="eastAsia" w:hAnsi="宋体" w:cs="宋体"/>
          <w:color w:val="auto"/>
          <w:sz w:val="24"/>
          <w:szCs w:val="24"/>
          <w:highlight w:val="none"/>
          <w:lang w:val="en-US" w:eastAsia="zh-CN"/>
        </w:rPr>
        <w:t>馆内建设</w:t>
      </w:r>
      <w:r>
        <w:rPr>
          <w:rFonts w:hint="eastAsia" w:ascii="宋体" w:hAnsi="宋体" w:eastAsia="宋体" w:cs="宋体"/>
          <w:color w:val="auto"/>
          <w:kern w:val="0"/>
          <w:sz w:val="24"/>
          <w:szCs w:val="24"/>
          <w:highlight w:val="none"/>
          <w:lang w:val="en-US" w:eastAsia="zh-CN" w:bidi="ar-SA"/>
        </w:rPr>
        <w:t>费</w:t>
      </w:r>
      <w:r>
        <w:rPr>
          <w:rFonts w:hint="eastAsia" w:hAnsi="宋体" w:cs="宋体"/>
          <w:color w:val="auto"/>
          <w:kern w:val="0"/>
          <w:sz w:val="24"/>
          <w:szCs w:val="24"/>
          <w:highlight w:val="none"/>
          <w:lang w:val="en-US" w:eastAsia="zh-CN" w:bidi="ar-SA"/>
        </w:rPr>
        <w:t>（含设计施工一体化建设费、展陈各物料费用）</w:t>
      </w:r>
      <w:r>
        <w:rPr>
          <w:rFonts w:hint="eastAsia" w:hAnsi="宋体" w:cs="宋体"/>
          <w:b w:val="0"/>
          <w:bCs w:val="0"/>
          <w:snapToGrid w:val="0"/>
          <w:color w:val="auto"/>
          <w:kern w:val="0"/>
          <w:highlight w:val="none"/>
        </w:rPr>
        <w:t>暂定价为人民币</w:t>
      </w:r>
      <w:r>
        <w:rPr>
          <w:rFonts w:hint="eastAsia" w:hAnsi="宋体" w:cs="宋体"/>
          <w:b w:val="0"/>
          <w:bCs w:val="0"/>
          <w:snapToGrid w:val="0"/>
          <w:color w:val="auto"/>
          <w:kern w:val="0"/>
          <w:highlight w:val="none"/>
          <w:lang w:val="en-US" w:eastAsia="zh-CN"/>
        </w:rPr>
        <w:t>2952.97</w:t>
      </w:r>
      <w:r>
        <w:rPr>
          <w:rFonts w:hint="eastAsia" w:hAnsi="宋体" w:cs="宋体"/>
          <w:b w:val="0"/>
          <w:bCs w:val="0"/>
          <w:snapToGrid w:val="0"/>
          <w:color w:val="auto"/>
          <w:kern w:val="0"/>
          <w:highlight w:val="none"/>
        </w:rPr>
        <w:t>万元。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highlight w:val="none"/>
        </w:rPr>
      </w:pPr>
      <w:r>
        <w:rPr>
          <w:rFonts w:hint="eastAsia" w:hAnsi="宋体" w:cs="宋体"/>
          <w:b/>
          <w:bCs/>
          <w:snapToGrid w:val="0"/>
          <w:color w:val="auto"/>
          <w:kern w:val="0"/>
          <w:highlight w:val="none"/>
        </w:rPr>
        <w:t xml:space="preserve">9.3 </w:t>
      </w:r>
      <w:r>
        <w:rPr>
          <w:rFonts w:hint="eastAsia" w:hAnsi="宋体" w:cs="宋体"/>
          <w:b w:val="0"/>
          <w:bCs w:val="0"/>
          <w:snapToGrid w:val="0"/>
          <w:color w:val="auto"/>
          <w:kern w:val="0"/>
          <w:highlight w:val="none"/>
        </w:rPr>
        <w:t>监理服务费结算价在项目的合同价范围内按实结算，即：以</w:t>
      </w:r>
      <w:r>
        <w:rPr>
          <w:rFonts w:hint="eastAsia" w:hAnsi="宋体" w:cs="宋体"/>
          <w:b w:val="0"/>
          <w:bCs w:val="0"/>
          <w:snapToGrid w:val="0"/>
          <w:color w:val="auto"/>
          <w:kern w:val="0"/>
          <w:highlight w:val="none"/>
          <w:lang w:val="en-US" w:eastAsia="zh-CN"/>
        </w:rPr>
        <w:t>工程结算审定价（扣除设计费）</w:t>
      </w:r>
      <w:r>
        <w:rPr>
          <w:rFonts w:hint="eastAsia" w:hAnsi="宋体" w:cs="宋体"/>
          <w:b w:val="0"/>
          <w:bCs w:val="0"/>
          <w:snapToGrid w:val="0"/>
          <w:color w:val="auto"/>
          <w:kern w:val="0"/>
          <w:highlight w:val="none"/>
        </w:rPr>
        <w:t>为基数乘以监理人中标取费费率计算，若监理服务费结算总价超过签约合同价，则按签约合同价包干结算；若监理服务费结算总价未超过签约合同价，则按以</w:t>
      </w:r>
      <w:r>
        <w:rPr>
          <w:rFonts w:hint="eastAsia" w:hAnsi="宋体" w:cs="宋体"/>
          <w:b w:val="0"/>
          <w:bCs w:val="0"/>
          <w:snapToGrid w:val="0"/>
          <w:color w:val="auto"/>
          <w:kern w:val="0"/>
          <w:highlight w:val="none"/>
          <w:lang w:val="en-US" w:eastAsia="zh-CN"/>
        </w:rPr>
        <w:t>工程结算审定价（扣除设计费）</w:t>
      </w:r>
      <w:r>
        <w:rPr>
          <w:rFonts w:hint="eastAsia" w:hAnsi="宋体" w:cs="宋体"/>
          <w:b w:val="0"/>
          <w:bCs w:val="0"/>
          <w:snapToGrid w:val="0"/>
          <w:color w:val="auto"/>
          <w:kern w:val="0"/>
          <w:highlight w:val="none"/>
        </w:rPr>
        <w:t>为基数乘以监理人中标取费费率计算的结算价进行结算。</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ascii="宋体" w:hAnsi="宋体" w:eastAsia="宋体" w:cs="宋体"/>
          <w:b/>
          <w:bCs/>
          <w:snapToGrid w:val="0"/>
          <w:color w:val="auto"/>
          <w:kern w:val="0"/>
          <w:highlight w:val="none"/>
          <w:lang w:val="en-US" w:eastAsia="zh-CN"/>
        </w:rPr>
        <w:t>9.4</w:t>
      </w:r>
      <w:r>
        <w:rPr>
          <w:rFonts w:hint="eastAsia" w:hAnsi="宋体" w:cs="宋体"/>
          <w:snapToGrid w:val="0"/>
          <w:color w:val="auto"/>
          <w:kern w:val="0"/>
          <w:szCs w:val="24"/>
          <w:highlight w:val="none"/>
          <w:lang w:val="en-US" w:eastAsia="zh-CN"/>
        </w:rPr>
        <w:t xml:space="preserve"> </w:t>
      </w:r>
      <w:r>
        <w:rPr>
          <w:rFonts w:hint="eastAsia" w:hAnsi="宋体" w:cs="宋体"/>
          <w:snapToGrid w:val="0"/>
          <w:color w:val="auto"/>
          <w:kern w:val="0"/>
          <w:szCs w:val="24"/>
          <w:highlight w:val="none"/>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5 </w:t>
      </w:r>
      <w:r>
        <w:rPr>
          <w:rFonts w:hint="eastAsia" w:hAnsi="宋体" w:cs="宋体"/>
          <w:snapToGrid w:val="0"/>
          <w:color w:val="auto"/>
          <w:kern w:val="0"/>
          <w:szCs w:val="24"/>
          <w:highlight w:val="none"/>
        </w:rPr>
        <w:t>投标总价应包括国家规定的增值税税金。本次招标增值税税金按</w:t>
      </w:r>
      <w:r>
        <w:rPr>
          <w:rFonts w:hint="eastAsia" w:hAnsi="宋体" w:cs="宋体"/>
          <w:snapToGrid w:val="0"/>
          <w:color w:val="auto"/>
          <w:kern w:val="0"/>
          <w:szCs w:val="24"/>
          <w:highlight w:val="none"/>
          <w:u w:val="single"/>
        </w:rPr>
        <w:t xml:space="preserve"> 一般 </w:t>
      </w:r>
      <w:r>
        <w:rPr>
          <w:rFonts w:hint="eastAsia" w:hAnsi="宋体" w:cs="宋体"/>
          <w:snapToGrid w:val="0"/>
          <w:color w:val="auto"/>
          <w:kern w:val="0"/>
          <w:szCs w:val="24"/>
          <w:highlight w:val="none"/>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6 </w:t>
      </w:r>
      <w:r>
        <w:rPr>
          <w:rFonts w:hint="eastAsia" w:ascii="Times New Roman"/>
          <w:snapToGrid w:val="0"/>
          <w:color w:val="auto"/>
          <w:kern w:val="0"/>
          <w:highlight w:val="none"/>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7 </w:t>
      </w:r>
      <w:r>
        <w:rPr>
          <w:rFonts w:hint="eastAsia" w:hAnsi="宋体" w:cs="宋体"/>
          <w:snapToGrid w:val="0"/>
          <w:color w:val="auto"/>
          <w:kern w:val="0"/>
          <w:szCs w:val="24"/>
          <w:highlight w:val="none"/>
        </w:rPr>
        <w:t>投标人应充分了解招标项目的总体情况以及影响投标报价的其他要素。</w:t>
      </w:r>
      <w:bookmarkStart w:id="37" w:name="_（十）投标文件的编制、包装、密封"/>
      <w:bookmarkEnd w:id="37"/>
    </w:p>
    <w:p w14:paraId="182D9B17">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trike/>
          <w:snapToGrid w:val="0"/>
          <w:color w:val="auto"/>
          <w:szCs w:val="24"/>
          <w:highlight w:val="none"/>
        </w:rPr>
      </w:pPr>
      <w:bookmarkStart w:id="38" w:name="_Toc32452"/>
      <w:bookmarkStart w:id="39" w:name="_Toc684"/>
      <w:r>
        <w:rPr>
          <w:rFonts w:hint="eastAsia" w:hAnsi="宋体" w:cs="宋体"/>
          <w:b/>
          <w:snapToGrid w:val="0"/>
          <w:color w:val="auto"/>
          <w:szCs w:val="24"/>
          <w:highlight w:val="none"/>
        </w:rPr>
        <w:t>10．投标文件的编制</w:t>
      </w:r>
      <w:bookmarkStart w:id="40" w:name="_Hlt69208262"/>
      <w:bookmarkEnd w:id="40"/>
      <w:bookmarkStart w:id="41" w:name="_Hlt69332370"/>
      <w:bookmarkEnd w:id="41"/>
      <w:r>
        <w:rPr>
          <w:rFonts w:hint="eastAsia" w:hAnsi="宋体" w:cs="宋体"/>
          <w:b/>
          <w:snapToGrid w:val="0"/>
          <w:color w:val="auto"/>
          <w:szCs w:val="24"/>
          <w:highlight w:val="none"/>
        </w:rPr>
        <w:t>要求</w:t>
      </w:r>
      <w:bookmarkEnd w:id="38"/>
      <w:bookmarkEnd w:id="39"/>
      <w:bookmarkStart w:id="42" w:name="_Hlt74495594"/>
      <w:bookmarkEnd w:id="42"/>
      <w:bookmarkStart w:id="43" w:name="_Hlt74497202"/>
      <w:bookmarkEnd w:id="43"/>
      <w:bookmarkStart w:id="44" w:name="_Hlt78768224"/>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highlight w:val="none"/>
        </w:rPr>
      </w:pPr>
      <w:r>
        <w:rPr>
          <w:rFonts w:hint="eastAsia" w:hAnsi="宋体" w:cs="宋体"/>
          <w:b/>
          <w:bCs/>
          <w:snapToGrid w:val="0"/>
          <w:color w:val="auto"/>
          <w:kern w:val="0"/>
          <w:szCs w:val="24"/>
          <w:highlight w:val="none"/>
        </w:rPr>
        <w:t>10.1</w:t>
      </w:r>
      <w:r>
        <w:rPr>
          <w:rFonts w:hint="eastAsia" w:hAnsi="宋体" w:cs="宋体"/>
          <w:bCs/>
          <w:snapToGrid w:val="0"/>
          <w:color w:val="auto"/>
          <w:kern w:val="0"/>
          <w:szCs w:val="24"/>
          <w:highlight w:val="none"/>
        </w:rPr>
        <w:t xml:space="preserve"> 一般要求</w:t>
      </w:r>
    </w:p>
    <w:p w14:paraId="35DD415F">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bookmarkStart w:id="45" w:name="_Hlt74496890"/>
      <w:bookmarkEnd w:id="45"/>
      <w:r>
        <w:rPr>
          <w:rFonts w:hint="eastAsia" w:hAnsi="宋体" w:cs="宋体"/>
          <w:snapToGrid w:val="0"/>
          <w:color w:val="auto"/>
          <w:kern w:val="0"/>
          <w:szCs w:val="24"/>
          <w:highlight w:val="none"/>
        </w:rPr>
        <w:t>投标文件应按第五章 投标文件格式规定的内容，投标人提交的投标文件应当使用招标文件所提供的投标文件全部格式。</w:t>
      </w:r>
    </w:p>
    <w:p w14:paraId="467E50B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10.1.1</w:t>
      </w:r>
      <w:r>
        <w:rPr>
          <w:rFonts w:hint="eastAsia" w:hAnsi="宋体" w:cs="宋体"/>
          <w:snapToGrid w:val="0"/>
          <w:color w:val="auto"/>
          <w:kern w:val="0"/>
          <w:szCs w:val="24"/>
          <w:highlight w:val="none"/>
        </w:rPr>
        <w:t>投标人必须响应招标文件，并在充分理解招标文件的基础上编制投标文件。因投标文件不符合招标文件的要求而造成的损失和后果，由投标人自行承担。</w:t>
      </w:r>
    </w:p>
    <w:p w14:paraId="59E3425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10.1.2</w:t>
      </w:r>
      <w:r>
        <w:rPr>
          <w:rFonts w:hint="eastAsia" w:hAnsi="宋体" w:cs="宋体"/>
          <w:snapToGrid w:val="0"/>
          <w:color w:val="auto"/>
          <w:kern w:val="0"/>
          <w:szCs w:val="24"/>
          <w:highlight w:val="none"/>
        </w:rPr>
        <w:t xml:space="preserve"> 投标文件包括商务标书、监理大纲</w:t>
      </w:r>
      <w:r>
        <w:rPr>
          <w:rFonts w:hint="eastAsia" w:hAnsi="宋体" w:cs="宋体"/>
          <w:snapToGrid w:val="0"/>
          <w:color w:val="auto"/>
          <w:kern w:val="0"/>
          <w:szCs w:val="24"/>
          <w:highlight w:val="none"/>
          <w:lang w:eastAsia="zh-CN"/>
        </w:rPr>
        <w:t>、定标文件三</w:t>
      </w:r>
      <w:r>
        <w:rPr>
          <w:rFonts w:hint="eastAsia" w:hAnsi="宋体" w:cs="宋体"/>
          <w:snapToGrid w:val="0"/>
          <w:color w:val="auto"/>
          <w:kern w:val="0"/>
          <w:szCs w:val="24"/>
          <w:highlight w:val="none"/>
        </w:rPr>
        <w:t>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w:t>
      </w:r>
      <w:r>
        <w:rPr>
          <w:rFonts w:hint="eastAsia" w:hAnsi="宋体" w:cs="宋体"/>
          <w:snapToGrid w:val="0"/>
          <w:color w:val="auto"/>
          <w:kern w:val="0"/>
          <w:szCs w:val="24"/>
          <w:highlight w:val="none"/>
        </w:rPr>
        <w:t xml:space="preserve"> 投标文件需按以下要求签字、盖章：</w:t>
      </w:r>
    </w:p>
    <w:p w14:paraId="756F27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10.1.3.1</w:t>
      </w:r>
      <w:r>
        <w:rPr>
          <w:rFonts w:hint="eastAsia" w:hAnsi="宋体" w:cs="宋体"/>
          <w:snapToGrid w:val="0"/>
          <w:color w:val="auto"/>
          <w:kern w:val="0"/>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10.1.3.2</w:t>
      </w:r>
      <w:r>
        <w:rPr>
          <w:rFonts w:hint="eastAsia" w:hAnsi="宋体" w:cs="宋体"/>
          <w:snapToGrid w:val="0"/>
          <w:color w:val="auto"/>
          <w:kern w:val="0"/>
          <w:szCs w:val="24"/>
          <w:highlight w:val="none"/>
        </w:rPr>
        <w:t xml:space="preserve"> 投标文件封套、封面、组成内容中凡要求录入投标人名称且注明“盖单位章”处盖单位法人公章（电子印章）。</w:t>
      </w:r>
    </w:p>
    <w:p w14:paraId="024441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10.1.3.3</w:t>
      </w:r>
      <w:r>
        <w:rPr>
          <w:rFonts w:hint="eastAsia" w:hAnsi="宋体" w:cs="宋体"/>
          <w:snapToGrid w:val="0"/>
          <w:color w:val="auto"/>
          <w:kern w:val="0"/>
          <w:szCs w:val="24"/>
          <w:highlight w:val="none"/>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kern w:val="0"/>
          <w:szCs w:val="24"/>
          <w:highlight w:val="none"/>
        </w:rPr>
      </w:pPr>
      <w:bookmarkStart w:id="46" w:name="_Toc274313880"/>
      <w:bookmarkStart w:id="47" w:name="_Toc257031159"/>
      <w:r>
        <w:rPr>
          <w:rFonts w:hint="eastAsia" w:hAnsi="宋体" w:cs="宋体"/>
          <w:b/>
          <w:bCs/>
          <w:snapToGrid w:val="0"/>
          <w:color w:val="auto"/>
          <w:kern w:val="0"/>
          <w:szCs w:val="24"/>
          <w:highlight w:val="none"/>
        </w:rPr>
        <w:t>10.2</w:t>
      </w:r>
      <w:r>
        <w:rPr>
          <w:rFonts w:hint="eastAsia" w:hAnsi="宋体" w:cs="宋体"/>
          <w:bCs/>
          <w:snapToGrid w:val="0"/>
          <w:color w:val="auto"/>
          <w:kern w:val="0"/>
          <w:szCs w:val="24"/>
          <w:highlight w:val="none"/>
        </w:rPr>
        <w:t xml:space="preserve">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highlight w:val="none"/>
          <w:u w:val="single"/>
        </w:rPr>
      </w:pP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商务标书</w:t>
      </w:r>
      <w:r>
        <w:rPr>
          <w:rFonts w:hint="eastAsia" w:hAnsi="宋体" w:cs="宋体"/>
          <w:snapToGrid w:val="0"/>
          <w:color w:val="auto"/>
          <w:kern w:val="0"/>
          <w:szCs w:val="24"/>
          <w:highlight w:val="none"/>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（14）详细评审阶段要求提供的评审资料（详见本节第</w:t>
      </w:r>
      <w:r>
        <w:rPr>
          <w:rFonts w:hint="eastAsia" w:hAnsi="宋体" w:cs="宋体"/>
          <w:b/>
          <w:bCs/>
          <w:snapToGrid w:val="0"/>
          <w:color w:val="auto"/>
          <w:kern w:val="0"/>
          <w:szCs w:val="24"/>
          <w:highlight w:val="none"/>
        </w:rPr>
        <w:t>15.5.1</w:t>
      </w:r>
      <w:r>
        <w:rPr>
          <w:rFonts w:hint="eastAsia" w:hAnsi="宋体" w:cs="宋体"/>
          <w:snapToGrid w:val="0"/>
          <w:color w:val="auto"/>
          <w:kern w:val="0"/>
          <w:szCs w:val="24"/>
          <w:highlight w:val="none"/>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10.2.2</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目中所列出的商务标书组成内容中，第（1）至第（13）项所有投标人均应提供。</w:t>
      </w:r>
      <w:r>
        <w:rPr>
          <w:rFonts w:hint="eastAsia" w:hAnsi="宋体" w:cs="宋体"/>
          <w:b/>
          <w:bCs/>
          <w:snapToGrid w:val="0"/>
          <w:color w:val="auto"/>
          <w:kern w:val="0"/>
          <w:szCs w:val="24"/>
          <w:highlight w:val="none"/>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10.2.3</w:t>
      </w:r>
      <w:r>
        <w:rPr>
          <w:rFonts w:hint="eastAsia" w:hAnsi="宋体" w:cs="宋体"/>
          <w:snapToGrid w:val="0"/>
          <w:color w:val="auto"/>
          <w:kern w:val="0"/>
          <w:szCs w:val="24"/>
          <w:highlight w:val="none"/>
        </w:rPr>
        <w:t xml:space="preserve"> 商务标书的组成内容按本节第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bCs/>
          <w:snapToGrid w:val="0"/>
          <w:color w:val="auto"/>
          <w:kern w:val="0"/>
          <w:szCs w:val="24"/>
          <w:highlight w:val="none"/>
        </w:rPr>
        <w:t>10.3</w:t>
      </w:r>
      <w:r>
        <w:rPr>
          <w:rFonts w:hint="eastAsia" w:hAnsi="宋体" w:cs="宋体"/>
          <w:bCs/>
          <w:snapToGrid w:val="0"/>
          <w:color w:val="auto"/>
          <w:kern w:val="0"/>
          <w:szCs w:val="24"/>
          <w:highlight w:val="none"/>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snapToGrid w:val="0"/>
          <w:color w:val="auto"/>
          <w:kern w:val="0"/>
          <w:szCs w:val="24"/>
          <w:highlight w:val="none"/>
        </w:rPr>
        <w:t>10.3.1</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的编制依据包括且不限于</w:t>
      </w:r>
      <w:r>
        <w:rPr>
          <w:rFonts w:hint="eastAsia" w:hAnsi="宋体" w:cs="宋体"/>
          <w:bCs/>
          <w:snapToGrid w:val="0"/>
          <w:color w:val="auto"/>
          <w:kern w:val="0"/>
          <w:szCs w:val="24"/>
          <w:highlight w:val="none"/>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（1）招标文件及</w:t>
      </w:r>
      <w:r>
        <w:rPr>
          <w:rFonts w:hint="eastAsia" w:hAnsi="宋体" w:cs="宋体"/>
          <w:snapToGrid w:val="0"/>
          <w:color w:val="auto"/>
          <w:kern w:val="0"/>
          <w:szCs w:val="24"/>
          <w:highlight w:val="none"/>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snapToGrid w:val="0"/>
          <w:color w:val="auto"/>
          <w:kern w:val="0"/>
          <w:szCs w:val="24"/>
          <w:highlight w:val="none"/>
        </w:rPr>
        <w:t>10.3.2</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10.3.3</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目中所列出的</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cs="宋体"/>
          <w:snapToGrid w:val="0"/>
          <w:color w:val="auto"/>
          <w:kern w:val="0"/>
          <w:szCs w:val="24"/>
          <w:highlight w:val="none"/>
        </w:rPr>
      </w:pPr>
      <w:r>
        <w:rPr>
          <w:rFonts w:hint="eastAsia" w:hAnsi="宋体" w:cs="宋体"/>
          <w:b/>
          <w:bCs/>
          <w:snapToGrid w:val="0"/>
          <w:color w:val="auto"/>
          <w:kern w:val="0"/>
          <w:szCs w:val="24"/>
          <w:highlight w:val="none"/>
        </w:rPr>
        <w:t>10.3.4</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的组成内容按本节第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目规定的顺序整理、编排后，逐页（页码起始从封面开始）连续标记页码。</w:t>
      </w:r>
    </w:p>
    <w:p w14:paraId="1C6A3C4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hAnsi="宋体" w:cs="宋体"/>
          <w:b/>
          <w:bCs/>
          <w:snapToGrid w:val="0"/>
          <w:color w:val="auto"/>
          <w:kern w:val="0"/>
          <w:szCs w:val="24"/>
          <w:highlight w:val="none"/>
          <w:lang w:val="en-US" w:eastAsia="zh-CN"/>
        </w:rPr>
        <w:t>10.4</w:t>
      </w:r>
      <w:r>
        <w:rPr>
          <w:rFonts w:hint="eastAsia" w:hAnsi="宋体" w:cs="宋体"/>
          <w:snapToGrid w:val="0"/>
          <w:color w:val="auto"/>
          <w:kern w:val="0"/>
          <w:szCs w:val="24"/>
          <w:highlight w:val="none"/>
          <w:lang w:val="en-US" w:eastAsia="zh-CN"/>
        </w:rPr>
        <w:t xml:space="preserve"> </w:t>
      </w:r>
      <w:r>
        <w:rPr>
          <w:rFonts w:hint="eastAsia" w:ascii="宋体" w:hAnsi="宋体" w:eastAsia="宋体" w:cs="宋体"/>
          <w:b w:val="0"/>
          <w:bCs w:val="0"/>
          <w:color w:val="auto"/>
          <w:sz w:val="24"/>
          <w:highlight w:val="none"/>
          <w:lang w:val="en-US" w:eastAsia="zh-CN"/>
        </w:rPr>
        <w:t>定标文件的编制要求：</w:t>
      </w:r>
    </w:p>
    <w:p w14:paraId="39273C6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color w:val="auto"/>
          <w:sz w:val="24"/>
          <w:szCs w:val="24"/>
          <w:highlight w:val="none"/>
        </w:rPr>
      </w:pPr>
      <w:r>
        <w:rPr>
          <w:rFonts w:hint="eastAsia" w:hAnsi="宋体" w:cs="宋体"/>
          <w:b/>
          <w:bCs/>
          <w:snapToGrid w:val="0"/>
          <w:color w:val="auto"/>
          <w:kern w:val="0"/>
          <w:szCs w:val="24"/>
          <w:highlight w:val="none"/>
          <w:lang w:val="en-US" w:eastAsia="zh-CN"/>
        </w:rPr>
        <w:t>10.4</w:t>
      </w:r>
      <w:r>
        <w:rPr>
          <w:rFonts w:hint="eastAsia" w:ascii="宋体" w:hAnsi="宋体" w:eastAsia="宋体" w:cs="宋体"/>
          <w:b/>
          <w:bCs/>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p>
    <w:p w14:paraId="05A2B6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（1）封面（格式一）；</w:t>
      </w:r>
    </w:p>
    <w:p w14:paraId="3D7F707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（2）目录；</w:t>
      </w:r>
    </w:p>
    <w:p w14:paraId="11030F6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hAnsi="宋体" w:cs="宋体"/>
          <w:b w:val="0"/>
          <w:bCs w:val="0"/>
          <w:color w:val="auto"/>
          <w:sz w:val="24"/>
          <w:highlight w:val="none"/>
          <w:lang w:val="en-US" w:eastAsia="zh-CN"/>
        </w:rPr>
        <w:t>（3）</w:t>
      </w:r>
      <w:r>
        <w:rPr>
          <w:rFonts w:hint="eastAsia" w:ascii="宋体" w:hAnsi="宋体" w:eastAsia="宋体" w:cs="宋体"/>
          <w:b w:val="0"/>
          <w:bCs w:val="0"/>
          <w:color w:val="auto"/>
          <w:sz w:val="24"/>
          <w:highlight w:val="none"/>
          <w:lang w:val="en-US" w:eastAsia="zh-CN"/>
        </w:rPr>
        <w:t>定标因素评审资料（格式十四）</w:t>
      </w:r>
      <w:r>
        <w:rPr>
          <w:rFonts w:hint="eastAsia" w:hAnsi="宋体" w:cs="宋体"/>
          <w:b w:val="0"/>
          <w:bCs w:val="0"/>
          <w:color w:val="auto"/>
          <w:sz w:val="24"/>
          <w:highlight w:val="none"/>
          <w:lang w:val="en-US" w:eastAsia="zh-CN"/>
        </w:rPr>
        <w:t>。</w:t>
      </w:r>
    </w:p>
    <w:p w14:paraId="484E1816">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eastAsia="宋体" w:cs="宋体"/>
          <w:snapToGrid w:val="0"/>
          <w:color w:val="auto"/>
          <w:kern w:val="0"/>
          <w:szCs w:val="24"/>
          <w:highlight w:val="none"/>
          <w:lang w:val="en-US" w:eastAsia="zh-CN"/>
        </w:rPr>
      </w:pPr>
      <w:r>
        <w:rPr>
          <w:rFonts w:hint="eastAsia" w:hAnsi="宋体" w:cs="宋体"/>
          <w:b/>
          <w:bCs/>
          <w:snapToGrid w:val="0"/>
          <w:color w:val="auto"/>
          <w:kern w:val="0"/>
          <w:szCs w:val="24"/>
          <w:highlight w:val="none"/>
          <w:lang w:val="en-US" w:eastAsia="zh-CN"/>
        </w:rPr>
        <w:t>10.4</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 xml:space="preserve"> </w:t>
      </w:r>
      <w:r>
        <w:rPr>
          <w:rFonts w:hint="eastAsia" w:ascii="宋体" w:hAnsi="宋体" w:eastAsia="宋体" w:cs="宋体"/>
          <w:b w:val="0"/>
          <w:bCs w:val="0"/>
          <w:color w:val="auto"/>
          <w:sz w:val="24"/>
          <w:highlight w:val="none"/>
        </w:rPr>
        <w:t>本节第</w:t>
      </w:r>
      <w:r>
        <w:rPr>
          <w:rFonts w:hint="eastAsia" w:hAnsi="宋体" w:cs="宋体"/>
          <w:b/>
          <w:bCs/>
          <w:snapToGrid w:val="0"/>
          <w:color w:val="auto"/>
          <w:kern w:val="0"/>
          <w:szCs w:val="24"/>
          <w:highlight w:val="none"/>
          <w:lang w:val="en-US" w:eastAsia="zh-CN"/>
        </w:rPr>
        <w:t>10.4</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1</w:t>
      </w:r>
      <w:r>
        <w:rPr>
          <w:rFonts w:hint="eastAsia" w:ascii="宋体" w:hAnsi="宋体" w:eastAsia="宋体" w:cs="宋体"/>
          <w:b w:val="0"/>
          <w:bCs w:val="0"/>
          <w:color w:val="auto"/>
          <w:sz w:val="24"/>
          <w:highlight w:val="none"/>
        </w:rPr>
        <w:t>目中所列出的组成内容，</w:t>
      </w:r>
      <w:r>
        <w:rPr>
          <w:rFonts w:hint="eastAsia" w:hAnsi="宋体" w:cs="宋体"/>
          <w:snapToGrid w:val="0"/>
          <w:color w:val="auto"/>
          <w:kern w:val="0"/>
          <w:szCs w:val="24"/>
          <w:highlight w:val="none"/>
        </w:rPr>
        <w:t>所有投标人均应提供</w:t>
      </w:r>
      <w:r>
        <w:rPr>
          <w:rFonts w:hint="eastAsia" w:ascii="宋体" w:hAnsi="宋体" w:eastAsia="宋体" w:cs="宋体"/>
          <w:b w:val="0"/>
          <w:bCs w:val="0"/>
          <w:color w:val="auto"/>
          <w:sz w:val="24"/>
          <w:highlight w:val="none"/>
          <w:lang w:eastAsia="zh-CN"/>
        </w:rPr>
        <w:t>。</w:t>
      </w:r>
    </w:p>
    <w:p w14:paraId="79A97868">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48" w:name="_Toc2864"/>
      <w:bookmarkStart w:id="49" w:name="_Toc6940"/>
      <w:r>
        <w:rPr>
          <w:rFonts w:hint="eastAsia" w:hAnsi="宋体" w:cs="宋体"/>
          <w:b/>
          <w:snapToGrid w:val="0"/>
          <w:color w:val="auto"/>
          <w:szCs w:val="24"/>
          <w:highlight w:val="none"/>
        </w:rPr>
        <w:t>11．</w:t>
      </w:r>
      <w:bookmarkEnd w:id="48"/>
      <w:r>
        <w:rPr>
          <w:rFonts w:hint="eastAsia" w:hAnsi="宋体" w:cs="宋体"/>
          <w:b/>
          <w:snapToGrid w:val="0"/>
          <w:color w:val="auto"/>
          <w:szCs w:val="24"/>
          <w:highlight w:val="none"/>
        </w:rPr>
        <w:t>电子投标</w:t>
      </w:r>
      <w:bookmarkEnd w:id="49"/>
    </w:p>
    <w:p w14:paraId="72F1BB7A">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highlight w:val="none"/>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11.2</w:t>
      </w:r>
      <w:r>
        <w:rPr>
          <w:rFonts w:hint="eastAsia" w:ascii="宋体" w:hAnsi="宋体" w:cs="宋体"/>
          <w:snapToGrid w:val="0"/>
          <w:color w:val="auto"/>
          <w:kern w:val="0"/>
          <w:sz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11.3 </w:t>
      </w:r>
      <w:r>
        <w:rPr>
          <w:rFonts w:hint="eastAsia" w:hAnsi="宋体" w:cs="宋体"/>
          <w:snapToGrid w:val="0"/>
          <w:color w:val="auto"/>
          <w:kern w:val="0"/>
          <w:szCs w:val="24"/>
          <w:highlight w:val="none"/>
        </w:rPr>
        <w:t>电子投标解密失败及突发情况的补救</w:t>
      </w:r>
    </w:p>
    <w:p w14:paraId="55067ABC">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11.3.1</w:t>
      </w:r>
      <w:r>
        <w:rPr>
          <w:rFonts w:hint="eastAsia" w:ascii="宋体" w:hAnsi="宋体" w:cs="宋体"/>
          <w:snapToGrid w:val="0"/>
          <w:color w:val="auto"/>
          <w:kern w:val="0"/>
          <w:sz w:val="24"/>
          <w:highlight w:val="none"/>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11.3.2</w:t>
      </w:r>
      <w:r>
        <w:rPr>
          <w:rFonts w:hint="eastAsia" w:ascii="宋体" w:hAnsi="宋体" w:cs="宋体"/>
          <w:snapToGrid w:val="0"/>
          <w:color w:val="auto"/>
          <w:kern w:val="0"/>
          <w:sz w:val="24"/>
          <w:highlight w:val="none"/>
        </w:rPr>
        <w:t>补救方案：</w:t>
      </w:r>
    </w:p>
    <w:p w14:paraId="0B52C661">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（3）除发生上述情况外，开标评标均以投标人通过交易平台网上提交的电子投标文件为准。</w:t>
      </w:r>
    </w:p>
    <w:p w14:paraId="07C6E646">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50" w:name="_Toc1294"/>
      <w:r>
        <w:rPr>
          <w:rFonts w:hint="eastAsia" w:hAnsi="宋体" w:cs="宋体"/>
          <w:b/>
          <w:snapToGrid w:val="0"/>
          <w:color w:val="auto"/>
          <w:szCs w:val="24"/>
          <w:highlight w:val="none"/>
        </w:rPr>
        <w:t>12. 投标文件的提交</w:t>
      </w:r>
      <w:bookmarkEnd w:id="50"/>
    </w:p>
    <w:p w14:paraId="63A37942">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在电子投标截止时间前，投标人通过全国公共资源交易平台（广东省·韶关市）提交已加密投标文件。逾期提交的电子投标文件，全国公共资源交易平台（广东省·韶关市）将予以拒收。</w:t>
      </w:r>
    </w:p>
    <w:p w14:paraId="7CF91D7D">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12.2</w:t>
      </w:r>
      <w:r>
        <w:rPr>
          <w:rFonts w:hint="eastAsia" w:ascii="宋体" w:hAnsi="宋体" w:cs="宋体"/>
          <w:snapToGrid w:val="0"/>
          <w:color w:val="auto"/>
          <w:kern w:val="0"/>
          <w:sz w:val="24"/>
          <w:highlight w:val="none"/>
        </w:rPr>
        <w:t>投标文件提交截止时间（同电子投标截止时间）：见本章第二节“重要事项时间地点一览表”。</w:t>
      </w:r>
    </w:p>
    <w:p w14:paraId="348B16E2">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12.3</w:t>
      </w:r>
      <w:r>
        <w:rPr>
          <w:rFonts w:hint="eastAsia" w:ascii="宋体" w:hAnsi="宋体" w:cs="宋体"/>
          <w:snapToGrid w:val="0"/>
          <w:color w:val="auto"/>
          <w:kern w:val="0"/>
          <w:sz w:val="24"/>
          <w:highlight w:val="none"/>
        </w:rPr>
        <w:t>代理机构对因不可抗力事件造成的投标文件的损坏、丢失的，不承担责任。</w:t>
      </w:r>
      <w:r>
        <w:rPr>
          <w:rFonts w:hint="eastAsia" w:ascii="宋体" w:hAnsi="宋体" w:cs="宋体"/>
          <w:b/>
          <w:bCs/>
          <w:snapToGrid w:val="0"/>
          <w:color w:val="auto"/>
          <w:kern w:val="0"/>
          <w:sz w:val="24"/>
          <w:highlight w:val="none"/>
        </w:rPr>
        <w:t xml:space="preserve">  </w:t>
      </w:r>
    </w:p>
    <w:p w14:paraId="16456DE3">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 xml:space="preserve">12.4 </w:t>
      </w:r>
      <w:r>
        <w:rPr>
          <w:rFonts w:hint="eastAsia" w:ascii="宋体" w:hAnsi="宋体" w:cs="宋体"/>
          <w:snapToGrid w:val="0"/>
          <w:color w:val="auto"/>
          <w:kern w:val="0"/>
          <w:sz w:val="24"/>
          <w:highlight w:val="none"/>
        </w:rPr>
        <w:t>投标人法定代表人或其委托代理人（以下简称“投标人代表”）应在指定的时间和地点递交以下的资料</w:t>
      </w:r>
      <w:r>
        <w:rPr>
          <w:rFonts w:hint="eastAsia" w:ascii="宋体" w:hAnsi="宋体" w:cs="宋体"/>
          <w:b/>
          <w:bCs/>
          <w:snapToGrid w:val="0"/>
          <w:color w:val="auto"/>
          <w:kern w:val="0"/>
          <w:sz w:val="24"/>
          <w:highlight w:val="none"/>
        </w:rPr>
        <w:t>（如有）</w:t>
      </w:r>
      <w:r>
        <w:rPr>
          <w:rFonts w:hint="eastAsia" w:ascii="宋体" w:hAnsi="宋体" w:cs="宋体"/>
          <w:snapToGrid w:val="0"/>
          <w:color w:val="auto"/>
          <w:kern w:val="0"/>
          <w:sz w:val="24"/>
          <w:highlight w:val="none"/>
        </w:rPr>
        <w:t>：招标文件要求提交的用于评审的证书、证件、证明原件（附一式</w:t>
      </w:r>
      <w:r>
        <w:rPr>
          <w:rFonts w:hint="eastAsia" w:ascii="宋体" w:hAnsi="宋体" w:cs="宋体"/>
          <w:snapToGrid w:val="0"/>
          <w:color w:val="auto"/>
          <w:kern w:val="0"/>
          <w:sz w:val="24"/>
          <w:highlight w:val="none"/>
          <w:u w:val="single"/>
        </w:rPr>
        <w:t xml:space="preserve"> 两 </w:t>
      </w:r>
      <w:r>
        <w:rPr>
          <w:rFonts w:hint="eastAsia" w:ascii="宋体" w:hAnsi="宋体" w:cs="宋体"/>
          <w:snapToGrid w:val="0"/>
          <w:color w:val="auto"/>
          <w:kern w:val="0"/>
          <w:sz w:val="24"/>
          <w:highlight w:val="none"/>
        </w:rPr>
        <w:t>份清单）。</w:t>
      </w:r>
    </w:p>
    <w:p w14:paraId="513CE89F">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12.5</w:t>
      </w:r>
      <w:r>
        <w:rPr>
          <w:rFonts w:hint="eastAsia" w:ascii="宋体" w:hAnsi="宋体" w:cs="宋体"/>
          <w:snapToGrid w:val="0"/>
          <w:color w:val="auto"/>
          <w:kern w:val="0"/>
          <w:sz w:val="24"/>
          <w:highlight w:val="none"/>
        </w:rPr>
        <w:t>出现下述情形之一，属于未成功提交投标文件，按无效投标处理：</w:t>
      </w:r>
    </w:p>
    <w:p w14:paraId="06E3DFD5">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rPr>
        <w:t>（1）至电子投标截止时间时，投标文件未完整上传或未提交投标</w:t>
      </w:r>
      <w:r>
        <w:rPr>
          <w:rFonts w:hint="eastAsia" w:ascii="宋体" w:hAnsi="宋体" w:cs="宋体"/>
          <w:snapToGrid w:val="0"/>
          <w:color w:val="auto"/>
          <w:kern w:val="0"/>
          <w:sz w:val="24"/>
          <w:highlight w:val="none"/>
          <w:lang w:eastAsia="zh-CN"/>
        </w:rPr>
        <w:t>；</w:t>
      </w:r>
    </w:p>
    <w:p w14:paraId="393C44A8">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（2）解密失败且在规定时间内未重新提交投标文件的；</w:t>
      </w:r>
    </w:p>
    <w:p w14:paraId="1C2ECEAF">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w:t>
      </w:r>
      <w:r>
        <w:rPr>
          <w:rFonts w:hint="eastAsia" w:ascii="宋体" w:hAnsi="宋体" w:cs="宋体"/>
          <w:snapToGrid w:val="0"/>
          <w:color w:val="auto"/>
          <w:kern w:val="0"/>
          <w:sz w:val="24"/>
          <w:highlight w:val="none"/>
          <w:lang w:val="en-US" w:eastAsia="zh-CN"/>
        </w:rPr>
        <w:t>3</w:t>
      </w:r>
      <w:r>
        <w:rPr>
          <w:rFonts w:hint="eastAsia" w:ascii="宋体" w:hAnsi="宋体" w:cs="宋体"/>
          <w:snapToGrid w:val="0"/>
          <w:color w:val="auto"/>
          <w:kern w:val="0"/>
          <w:sz w:val="24"/>
          <w:highlight w:val="none"/>
        </w:rPr>
        <w:t>）投标文件损坏或格式不正确的。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1" w:name="_Toc20994"/>
      <w:r>
        <w:rPr>
          <w:rFonts w:hint="eastAsia" w:hAnsi="宋体" w:cs="宋体"/>
          <w:b/>
          <w:snapToGrid w:val="0"/>
          <w:color w:val="auto"/>
          <w:kern w:val="0"/>
          <w:szCs w:val="24"/>
          <w:highlight w:val="none"/>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2" w:name="_Toc11340"/>
      <w:r>
        <w:rPr>
          <w:rFonts w:hint="eastAsia" w:hAnsi="宋体" w:cs="宋体"/>
          <w:b/>
          <w:snapToGrid w:val="0"/>
          <w:color w:val="auto"/>
          <w:kern w:val="0"/>
          <w:szCs w:val="24"/>
          <w:highlight w:val="none"/>
        </w:rPr>
        <w:t>14．开标</w:t>
      </w:r>
      <w:bookmarkEnd w:id="52"/>
    </w:p>
    <w:p w14:paraId="36A9A778">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w:t>
      </w:r>
      <w:r>
        <w:rPr>
          <w:rFonts w:hint="eastAsia" w:ascii="宋体" w:hAnsi="宋体" w:cs="宋体"/>
          <w:snapToGrid w:val="0"/>
          <w:color w:val="auto"/>
          <w:kern w:val="0"/>
          <w:sz w:val="24"/>
          <w:highlight w:val="none"/>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14.1.1</w:t>
      </w:r>
      <w:r>
        <w:rPr>
          <w:rFonts w:hint="eastAsia" w:ascii="宋体" w:hAnsi="宋体" w:cs="宋体"/>
          <w:snapToGrid w:val="0"/>
          <w:color w:val="auto"/>
          <w:kern w:val="0"/>
          <w:sz w:val="24"/>
          <w:highlight w:val="none"/>
        </w:rPr>
        <w:t xml:space="preserve"> 开标时间和地点：见本章第二节“重要事项时间地点一览表”。</w:t>
      </w:r>
    </w:p>
    <w:p w14:paraId="4500A2D1">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14.1.2</w:t>
      </w:r>
      <w:r>
        <w:rPr>
          <w:rFonts w:hint="eastAsia" w:ascii="宋体" w:hAnsi="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14.2</w:t>
      </w:r>
      <w:r>
        <w:rPr>
          <w:rFonts w:hint="eastAsia" w:hAnsi="宋体" w:cs="宋体"/>
          <w:snapToGrid w:val="0"/>
          <w:color w:val="auto"/>
          <w:kern w:val="0"/>
          <w:szCs w:val="24"/>
          <w:highlight w:val="none"/>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14.3</w:t>
      </w:r>
      <w:r>
        <w:rPr>
          <w:rFonts w:hint="eastAsia" w:hAnsi="宋体" w:cs="宋体"/>
          <w:snapToGrid w:val="0"/>
          <w:color w:val="auto"/>
          <w:kern w:val="0"/>
          <w:highlight w:val="none"/>
        </w:rPr>
        <w:t xml:space="preserve"> </w:t>
      </w:r>
      <w:r>
        <w:rPr>
          <w:rFonts w:hint="eastAsia" w:hAnsi="宋体" w:cs="宋体"/>
          <w:snapToGrid w:val="0"/>
          <w:color w:val="auto"/>
          <w:kern w:val="0"/>
          <w:szCs w:val="24"/>
          <w:highlight w:val="none"/>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14.4</w:t>
      </w:r>
      <w:r>
        <w:rPr>
          <w:rFonts w:hint="eastAsia" w:hAnsi="宋体" w:cs="宋体"/>
          <w:snapToGrid w:val="0"/>
          <w:color w:val="auto"/>
          <w:kern w:val="0"/>
          <w:highlight w:val="none"/>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int="eastAsia" w:hAnsi="宋体" w:eastAsia="宋体" w:cs="宋体"/>
          <w:b/>
          <w:snapToGrid w:val="0"/>
          <w:color w:val="auto"/>
          <w:kern w:val="0"/>
          <w:highlight w:val="none"/>
          <w:lang w:eastAsia="zh-CN"/>
        </w:rPr>
      </w:pPr>
      <w:bookmarkStart w:id="53" w:name="_Hlt127093805"/>
      <w:bookmarkEnd w:id="53"/>
      <w:bookmarkStart w:id="54" w:name="_Toc8702"/>
      <w:r>
        <w:rPr>
          <w:rFonts w:hint="eastAsia" w:hAnsi="宋体" w:cs="宋体"/>
          <w:b/>
          <w:snapToGrid w:val="0"/>
          <w:color w:val="auto"/>
          <w:kern w:val="0"/>
          <w:highlight w:val="none"/>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highlight w:val="none"/>
        </w:rPr>
      </w:pPr>
      <w:r>
        <w:rPr>
          <w:rFonts w:hint="eastAsia" w:hAnsi="宋体" w:cs="宋体"/>
          <w:b/>
          <w:bCs/>
          <w:snapToGrid w:val="0"/>
          <w:color w:val="auto"/>
          <w:kern w:val="0"/>
          <w:highlight w:val="none"/>
        </w:rPr>
        <w:t>15.1</w:t>
      </w:r>
      <w:r>
        <w:rPr>
          <w:rFonts w:hint="eastAsia" w:hAnsi="宋体" w:cs="宋体"/>
          <w:bCs/>
          <w:snapToGrid w:val="0"/>
          <w:color w:val="auto"/>
          <w:kern w:val="0"/>
          <w:highlight w:val="none"/>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b/>
          <w:bCs/>
          <w:snapToGrid w:val="0"/>
          <w:color w:val="auto"/>
          <w:kern w:val="0"/>
          <w:highlight w:val="none"/>
        </w:rPr>
        <w:t>15.1.1</w:t>
      </w:r>
      <w:r>
        <w:rPr>
          <w:rFonts w:hint="eastAsia" w:hAnsi="宋体" w:cs="宋体"/>
          <w:snapToGrid w:val="0"/>
          <w:color w:val="auto"/>
          <w:kern w:val="0"/>
          <w:highlight w:val="none"/>
        </w:rPr>
        <w:t xml:space="preserve"> 评标委员会由</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人组成，其中招标人代表</w:t>
      </w:r>
      <w:r>
        <w:rPr>
          <w:rFonts w:hint="eastAsia" w:hAnsi="宋体" w:cs="宋体"/>
          <w:snapToGrid w:val="0"/>
          <w:color w:val="auto"/>
          <w:kern w:val="0"/>
          <w:highlight w:val="none"/>
          <w:u w:val="single"/>
          <w:lang w:val="en-US" w:eastAsia="zh-CN"/>
        </w:rPr>
        <w:t>0</w:t>
      </w:r>
      <w:r>
        <w:rPr>
          <w:rFonts w:hint="eastAsia" w:hAnsi="宋体" w:cs="宋体"/>
          <w:snapToGrid w:val="0"/>
          <w:color w:val="auto"/>
          <w:kern w:val="0"/>
          <w:highlight w:val="none"/>
        </w:rPr>
        <w:t>人，专家</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highlight w:val="none"/>
        </w:rPr>
        <w:t>中随机抽取，其中技术类专家</w:t>
      </w:r>
      <w:r>
        <w:rPr>
          <w:rFonts w:hint="eastAsia" w:hAnsi="宋体" w:cs="宋体"/>
          <w:snapToGrid w:val="0"/>
          <w:color w:val="auto"/>
          <w:kern w:val="0"/>
          <w:highlight w:val="none"/>
          <w:u w:val="single"/>
        </w:rPr>
        <w:t xml:space="preserve">3 </w:t>
      </w:r>
      <w:r>
        <w:rPr>
          <w:rFonts w:hint="eastAsia" w:hAnsi="宋体" w:cs="宋体"/>
          <w:snapToGrid w:val="0"/>
          <w:color w:val="auto"/>
          <w:kern w:val="0"/>
          <w:highlight w:val="none"/>
        </w:rPr>
        <w:t>人，经济类专家</w:t>
      </w:r>
      <w:r>
        <w:rPr>
          <w:rFonts w:hint="eastAsia" w:hAnsi="宋体" w:cs="宋体"/>
          <w:snapToGrid w:val="0"/>
          <w:color w:val="auto"/>
          <w:kern w:val="0"/>
          <w:highlight w:val="none"/>
          <w:u w:val="single"/>
        </w:rPr>
        <w:t xml:space="preserve"> 2</w:t>
      </w:r>
      <w:r>
        <w:rPr>
          <w:rFonts w:hint="eastAsia" w:hAnsi="宋体" w:cs="宋体"/>
          <w:snapToGrid w:val="0"/>
          <w:color w:val="auto"/>
          <w:kern w:val="0"/>
          <w:highlight w:val="none"/>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15.1.2</w:t>
      </w:r>
      <w:r>
        <w:rPr>
          <w:rFonts w:hint="eastAsia" w:hAnsi="宋体" w:cs="宋体"/>
          <w:snapToGrid w:val="0"/>
          <w:color w:val="auto"/>
          <w:kern w:val="0"/>
          <w:highlight w:val="none"/>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评标委员会成员有以上情形之一的，应主动提出回避。</w:t>
      </w:r>
    </w:p>
    <w:p w14:paraId="0931A33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15.1.3</w:t>
      </w:r>
      <w:r>
        <w:rPr>
          <w:rFonts w:hint="eastAsia" w:hAnsi="宋体" w:cs="宋体"/>
          <w:snapToGrid w:val="0"/>
          <w:color w:val="auto"/>
          <w:kern w:val="0"/>
          <w:highlight w:val="none"/>
        </w:rPr>
        <w:t xml:space="preserve"> 评标全过程实行封闭式管理，在中标结果公布前，禁止评标委员会成员以任何方式私下接触投标人。</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15.1.4</w:t>
      </w:r>
      <w:r>
        <w:rPr>
          <w:rFonts w:hint="eastAsia" w:hAnsi="宋体" w:cs="宋体"/>
          <w:snapToGrid w:val="0"/>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auto"/>
          <w:kern w:val="0"/>
          <w:szCs w:val="22"/>
          <w:highlight w:val="none"/>
        </w:rPr>
      </w:pPr>
      <w:r>
        <w:rPr>
          <w:rFonts w:hint="eastAsia" w:hAnsi="宋体" w:cs="宋体"/>
          <w:b/>
          <w:bCs/>
          <w:snapToGrid w:val="0"/>
          <w:color w:val="auto"/>
          <w:kern w:val="0"/>
          <w:highlight w:val="none"/>
        </w:rPr>
        <w:t>15.1.5</w:t>
      </w:r>
      <w:r>
        <w:rPr>
          <w:rFonts w:hint="eastAsia" w:hAnsi="宋体" w:cs="宋体"/>
          <w:snapToGrid w:val="0"/>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561"/>
        <w:textAlignment w:val="auto"/>
        <w:rPr>
          <w:rFonts w:hAnsi="宋体" w:cs="宋体"/>
          <w:bCs/>
          <w:snapToGrid w:val="0"/>
          <w:color w:val="auto"/>
          <w:kern w:val="0"/>
          <w:highlight w:val="none"/>
        </w:rPr>
      </w:pPr>
      <w:r>
        <w:rPr>
          <w:rFonts w:hint="eastAsia" w:hAnsi="宋体" w:cs="宋体"/>
          <w:b/>
          <w:bCs/>
          <w:snapToGrid w:val="0"/>
          <w:color w:val="auto"/>
          <w:kern w:val="0"/>
          <w:highlight w:val="none"/>
        </w:rPr>
        <w:t>15.2</w:t>
      </w:r>
      <w:r>
        <w:rPr>
          <w:rFonts w:hint="eastAsia" w:hAnsi="宋体" w:cs="宋体"/>
          <w:bCs/>
          <w:snapToGrid w:val="0"/>
          <w:color w:val="auto"/>
          <w:kern w:val="0"/>
          <w:szCs w:val="22"/>
          <w:highlight w:val="none"/>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highlight w:val="none"/>
        </w:rPr>
      </w:pPr>
      <w:r>
        <w:rPr>
          <w:rFonts w:hint="eastAsia" w:hAnsi="宋体" w:cs="宋体"/>
          <w:snapToGrid w:val="0"/>
          <w:color w:val="auto"/>
          <w:kern w:val="0"/>
          <w:highlight w:val="none"/>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15.3</w:t>
      </w:r>
      <w:r>
        <w:rPr>
          <w:rFonts w:hint="eastAsia" w:hAnsi="宋体" w:cs="宋体"/>
          <w:bCs/>
          <w:snapToGrid w:val="0"/>
          <w:color w:val="auto"/>
          <w:kern w:val="0"/>
          <w:szCs w:val="22"/>
          <w:highlight w:val="none"/>
        </w:rPr>
        <w:t xml:space="preserve"> 评审范围：</w:t>
      </w:r>
      <w:r>
        <w:rPr>
          <w:rFonts w:hint="eastAsia" w:hAnsi="宋体" w:cs="宋体"/>
          <w:snapToGrid w:val="0"/>
          <w:color w:val="auto"/>
          <w:kern w:val="0"/>
          <w:highlight w:val="none"/>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w:t>
      </w:r>
      <w:r>
        <w:rPr>
          <w:rFonts w:hint="eastAsia" w:hAnsi="宋体" w:cs="宋体"/>
          <w:snapToGrid w:val="0"/>
          <w:color w:val="auto"/>
          <w:kern w:val="0"/>
          <w:highlight w:val="none"/>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15.4.1</w:t>
      </w:r>
      <w:r>
        <w:rPr>
          <w:rFonts w:hint="eastAsia" w:hAnsi="宋体" w:cs="宋体"/>
          <w:snapToGrid w:val="0"/>
          <w:color w:val="auto"/>
          <w:kern w:val="0"/>
          <w:highlight w:val="none"/>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w:t>
      </w:r>
      <w:r>
        <w:rPr>
          <w:rFonts w:hint="eastAsia" w:ascii="宋体" w:hAnsi="宋体" w:eastAsia="宋体" w:cs="宋体"/>
          <w:snapToGrid w:val="0"/>
          <w:color w:val="auto"/>
          <w:kern w:val="0"/>
          <w:sz w:val="24"/>
          <w:szCs w:val="24"/>
          <w:highlight w:val="none"/>
        </w:rPr>
        <w:t>投标人是否符合本章第三节第</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.4条“禁止投标条款”规定。如果“禁止投标条款”包括失信惩戒的，投标人信用信息的获取采用现场实时查询的方式实施。由评标委员会成员登录信用中国网站（https://www.creditchina.gov.cn）进行查询。</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15.4.2</w:t>
      </w:r>
      <w:r>
        <w:rPr>
          <w:rFonts w:hint="eastAsia" w:hAnsi="宋体" w:cs="宋体"/>
          <w:snapToGrid w:val="0"/>
          <w:color w:val="auto"/>
          <w:kern w:val="0"/>
          <w:highlight w:val="none"/>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（2）本节第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15.4.3</w:t>
      </w:r>
      <w:r>
        <w:rPr>
          <w:rFonts w:hint="eastAsia" w:hAnsi="宋体" w:cs="宋体"/>
          <w:snapToGrid w:val="0"/>
          <w:color w:val="auto"/>
          <w:kern w:val="0"/>
          <w:highlight w:val="none"/>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15.4.4</w:t>
      </w:r>
      <w:r>
        <w:rPr>
          <w:rFonts w:hint="eastAsia" w:hAnsi="宋体" w:cs="宋体"/>
          <w:snapToGrid w:val="0"/>
          <w:color w:val="auto"/>
          <w:kern w:val="0"/>
          <w:highlight w:val="none"/>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初步评审阶段各个环节否决投标的全部条件，在本章第四节“否决投标条件”第</w:t>
      </w:r>
      <w:r>
        <w:rPr>
          <w:rFonts w:hint="eastAsia" w:hAnsi="宋体" w:cs="宋体"/>
          <w:b/>
          <w:bCs/>
          <w:snapToGrid w:val="0"/>
          <w:color w:val="auto"/>
          <w:kern w:val="0"/>
          <w:highlight w:val="none"/>
        </w:rPr>
        <w:t>1</w:t>
      </w:r>
      <w:r>
        <w:rPr>
          <w:rFonts w:hint="eastAsia" w:hAnsi="宋体" w:cs="宋体"/>
          <w:snapToGrid w:val="0"/>
          <w:color w:val="auto"/>
          <w:kern w:val="0"/>
          <w:highlight w:val="none"/>
        </w:rPr>
        <w:t>条至第</w:t>
      </w:r>
      <w:r>
        <w:rPr>
          <w:rFonts w:hint="eastAsia" w:hAnsi="宋体" w:cs="宋体"/>
          <w:b/>
          <w:bCs/>
          <w:snapToGrid w:val="0"/>
          <w:color w:val="auto"/>
          <w:kern w:val="0"/>
          <w:highlight w:val="none"/>
        </w:rPr>
        <w:t>4</w:t>
      </w:r>
      <w:r>
        <w:rPr>
          <w:rFonts w:hint="eastAsia" w:hAnsi="宋体" w:cs="宋体"/>
          <w:snapToGrid w:val="0"/>
          <w:color w:val="auto"/>
          <w:kern w:val="0"/>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15.5</w:t>
      </w:r>
      <w:r>
        <w:rPr>
          <w:rFonts w:hint="eastAsia" w:hAnsi="宋体" w:cs="宋体"/>
          <w:snapToGrid w:val="0"/>
          <w:color w:val="auto"/>
          <w:kern w:val="0"/>
          <w:highlight w:val="none"/>
        </w:rPr>
        <w:t xml:space="preserve"> 详细评审</w:t>
      </w:r>
      <w:bookmarkStart w:id="55" w:name="_Hlt121629839"/>
      <w:r>
        <w:rPr>
          <w:rFonts w:hint="eastAsia" w:hAnsi="宋体" w:cs="宋体"/>
          <w:snapToGrid w:val="0"/>
          <w:color w:val="auto"/>
          <w:kern w:val="0"/>
          <w:highlight w:val="none"/>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15.5.1</w:t>
      </w:r>
      <w:r>
        <w:rPr>
          <w:rFonts w:hint="eastAsia" w:hAnsi="宋体" w:cs="宋体"/>
          <w:bCs/>
          <w:snapToGrid w:val="0"/>
          <w:color w:val="auto"/>
          <w:kern w:val="0"/>
          <w:highlight w:val="none"/>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评审内容分为商务、技术和投标报价三大部分，综合得分满分为100分。其中，商务满分为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60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分，技术满分为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10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分，投标报价部分满分为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3</w:t>
      </w:r>
      <w:r>
        <w:rPr>
          <w:rFonts w:hint="eastAsia" w:hAnsi="宋体" w:cs="宋体"/>
          <w:snapToGrid w:val="0"/>
          <w:color w:val="auto"/>
          <w:kern w:val="0"/>
          <w:highlight w:val="none"/>
          <w:u w:val="single"/>
        </w:rPr>
        <w:t xml:space="preserve">0 </w:t>
      </w:r>
      <w:r>
        <w:rPr>
          <w:rFonts w:hint="eastAsia" w:hAnsi="宋体" w:cs="宋体"/>
          <w:snapToGrid w:val="0"/>
          <w:color w:val="auto"/>
          <w:kern w:val="0"/>
          <w:highlight w:val="none"/>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snapToGrid w:val="0"/>
          <w:color w:val="auto"/>
          <w:kern w:val="0"/>
          <w:highlight w:val="none"/>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（1）商务得分M</w:t>
      </w:r>
      <w:r>
        <w:rPr>
          <w:rFonts w:hint="eastAsia" w:hAnsi="宋体" w:cs="宋体"/>
          <w:snapToGrid w:val="0"/>
          <w:color w:val="auto"/>
          <w:kern w:val="0"/>
          <w:highlight w:val="none"/>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（2）技术得分M</w:t>
      </w:r>
      <w:r>
        <w:rPr>
          <w:rFonts w:hint="eastAsia" w:hAnsi="宋体" w:cs="宋体"/>
          <w:snapToGrid w:val="0"/>
          <w:color w:val="auto"/>
          <w:kern w:val="0"/>
          <w:highlight w:val="none"/>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（3）投标报价得分M</w:t>
      </w:r>
      <w:r>
        <w:rPr>
          <w:rFonts w:hint="eastAsia" w:hAnsi="宋体" w:cs="宋体"/>
          <w:snapToGrid w:val="0"/>
          <w:color w:val="auto"/>
          <w:kern w:val="0"/>
          <w:highlight w:val="none"/>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highlight w:val="none"/>
        </w:rPr>
      </w:pPr>
      <w:r>
        <w:rPr>
          <w:rFonts w:hint="eastAsia" w:hAnsi="宋体" w:cs="宋体"/>
          <w:snapToGrid w:val="0"/>
          <w:color w:val="auto"/>
          <w:kern w:val="0"/>
          <w:highlight w:val="none"/>
        </w:rPr>
        <w:t>b．采用内插法计算某投标人的投标报价得分M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，即当投标人的投标总价等于评标基准价时得满分，每高于评标基准价一个百分点扣</w:t>
      </w:r>
      <w:r>
        <w:rPr>
          <w:rFonts w:hint="eastAsia" w:hAnsi="宋体" w:cs="宋体"/>
          <w:snapToGrid w:val="0"/>
          <w:color w:val="auto"/>
          <w:kern w:val="0"/>
          <w:highlight w:val="none"/>
          <w:lang w:val="en-US" w:eastAsia="zh-CN"/>
        </w:rPr>
        <w:t>1.0</w:t>
      </w:r>
      <w:r>
        <w:rPr>
          <w:rFonts w:hint="eastAsia" w:hAnsi="宋体" w:cs="宋体"/>
          <w:snapToGrid w:val="0"/>
          <w:color w:val="auto"/>
          <w:kern w:val="0"/>
          <w:highlight w:val="none"/>
        </w:rPr>
        <w:t>分, 每低于评标基准价一个百分点扣</w:t>
      </w:r>
      <w:r>
        <w:rPr>
          <w:rFonts w:hint="eastAsia" w:hAnsi="宋体" w:cs="宋体"/>
          <w:snapToGrid w:val="0"/>
          <w:color w:val="auto"/>
          <w:kern w:val="0"/>
          <w:highlight w:val="none"/>
          <w:lang w:val="en-US" w:eastAsia="zh-CN"/>
        </w:rPr>
        <w:t>0.5</w:t>
      </w:r>
      <w:r>
        <w:rPr>
          <w:rFonts w:hint="eastAsia" w:hAnsi="宋体" w:cs="宋体"/>
          <w:snapToGrid w:val="0"/>
          <w:color w:val="auto"/>
          <w:kern w:val="0"/>
          <w:highlight w:val="none"/>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highlight w:val="none"/>
        </w:rPr>
      </w:pPr>
      <w:r>
        <w:rPr>
          <w:rFonts w:hint="eastAsia" w:hAnsi="宋体" w:cs="宋体"/>
          <w:snapToGrid w:val="0"/>
          <w:color w:val="auto"/>
          <w:kern w:val="0"/>
          <w:highlight w:val="none"/>
        </w:rPr>
        <w:t>M3＝投标报价满分－（|Di－D|÷D）×100×E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highlight w:val="none"/>
        </w:rPr>
      </w:pPr>
      <w:r>
        <w:rPr>
          <w:rFonts w:hint="eastAsia" w:hAnsi="宋体" w:cs="宋体"/>
          <w:snapToGrid w:val="0"/>
          <w:color w:val="auto"/>
          <w:kern w:val="0"/>
          <w:highlight w:val="none"/>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highlight w:val="none"/>
        </w:rPr>
      </w:pPr>
      <w:r>
        <w:rPr>
          <w:rFonts w:hint="eastAsia" w:hAnsi="宋体" w:cs="宋体"/>
          <w:snapToGrid w:val="0"/>
          <w:color w:val="auto"/>
          <w:kern w:val="0"/>
          <w:highlight w:val="none"/>
        </w:rPr>
        <w:t>E为扣分因子。当Di＞D时，E＝</w:t>
      </w:r>
      <w:r>
        <w:rPr>
          <w:rFonts w:hint="eastAsia" w:hAnsi="宋体" w:cs="宋体"/>
          <w:snapToGrid w:val="0"/>
          <w:color w:val="auto"/>
          <w:kern w:val="0"/>
          <w:highlight w:val="none"/>
          <w:lang w:val="en-US" w:eastAsia="zh-CN"/>
        </w:rPr>
        <w:t>1.0</w:t>
      </w:r>
      <w:r>
        <w:rPr>
          <w:rFonts w:hint="eastAsia" w:hAnsi="宋体" w:cs="宋体"/>
          <w:snapToGrid w:val="0"/>
          <w:color w:val="auto"/>
          <w:kern w:val="0"/>
          <w:highlight w:val="none"/>
        </w:rPr>
        <w:t>；当Di＜D时，E＝</w:t>
      </w:r>
      <w:r>
        <w:rPr>
          <w:rFonts w:hint="eastAsia" w:hAnsi="宋体" w:cs="宋体"/>
          <w:snapToGrid w:val="0"/>
          <w:color w:val="auto"/>
          <w:kern w:val="0"/>
          <w:highlight w:val="none"/>
          <w:lang w:val="en-US" w:eastAsia="zh-CN"/>
        </w:rPr>
        <w:t>0.5</w:t>
      </w:r>
      <w:r>
        <w:rPr>
          <w:rFonts w:hint="eastAsia" w:hAnsi="宋体" w:cs="宋体"/>
          <w:snapToGrid w:val="0"/>
          <w:color w:val="auto"/>
          <w:kern w:val="0"/>
          <w:highlight w:val="none"/>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highlight w:val="none"/>
        </w:rPr>
      </w:pPr>
      <w:r>
        <w:rPr>
          <w:rFonts w:hint="eastAsia" w:hAnsi="宋体" w:cs="宋体"/>
          <w:snapToGrid w:val="0"/>
          <w:color w:val="auto"/>
          <w:kern w:val="0"/>
          <w:highlight w:val="none"/>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highlight w:val="none"/>
        </w:rPr>
      </w:pPr>
      <w:r>
        <w:rPr>
          <w:rFonts w:hint="eastAsia" w:hAnsi="宋体" w:cs="宋体"/>
          <w:snapToGrid w:val="0"/>
          <w:color w:val="auto"/>
          <w:kern w:val="0"/>
          <w:highlight w:val="none"/>
        </w:rPr>
        <w:t>M＝M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r>
        <w:rPr>
          <w:rFonts w:hint="eastAsia" w:hAnsi="宋体" w:cs="宋体"/>
          <w:snapToGrid w:val="0"/>
          <w:color w:val="auto"/>
          <w:kern w:val="0"/>
          <w:highlight w:val="none"/>
        </w:rPr>
        <w:t>式中：M为综合得分，M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为商务得分，M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为技术得分，M</w:t>
      </w:r>
      <w:r>
        <w:rPr>
          <w:rFonts w:hint="eastAsia" w:hAnsi="宋体" w:cs="宋体"/>
          <w:snapToGrid w:val="0"/>
          <w:color w:val="auto"/>
          <w:kern w:val="0"/>
          <w:highlight w:val="none"/>
          <w:vertAlign w:val="subscript"/>
        </w:rPr>
        <w:t>3</w:t>
      </w:r>
      <w:r>
        <w:rPr>
          <w:rFonts w:hint="eastAsia" w:ascii="Times New Roman"/>
          <w:snapToGrid w:val="0"/>
          <w:color w:val="auto"/>
          <w:kern w:val="0"/>
          <w:highlight w:val="none"/>
        </w:rPr>
        <w:t>为投标报价得分。</w:t>
      </w:r>
    </w:p>
    <w:p w14:paraId="54DFCA09">
      <w:pPr>
        <w:rPr>
          <w:rFonts w:hint="eastAsia"/>
          <w:color w:val="auto"/>
          <w:highlight w:val="none"/>
          <w:lang w:val="en-US" w:eastAsia="zh-CN"/>
        </w:rPr>
      </w:pPr>
      <w:bookmarkStart w:id="56" w:name="_Toc6276"/>
      <w:bookmarkStart w:id="57" w:name="_Toc31548"/>
      <w:r>
        <w:rPr>
          <w:rFonts w:hint="eastAsia"/>
          <w:color w:val="auto"/>
          <w:highlight w:val="none"/>
          <w:lang w:val="en-US" w:eastAsia="zh-CN"/>
        </w:rPr>
        <w:br w:type="page"/>
      </w:r>
    </w:p>
    <w:p w14:paraId="65DF1DB6">
      <w:pPr>
        <w:pStyle w:val="4"/>
        <w:rPr>
          <w:rFonts w:hint="eastAsia" w:ascii="宋体" w:hAnsi="宋体" w:eastAsia="宋体" w:cs="宋体"/>
          <w:b/>
          <w:bCs/>
          <w:color w:val="auto"/>
          <w:sz w:val="32"/>
          <w:szCs w:val="22"/>
          <w:highlight w:val="none"/>
        </w:rPr>
      </w:pPr>
      <w:bookmarkStart w:id="58" w:name="_Toc8746"/>
      <w:r>
        <w:rPr>
          <w:rFonts w:hint="eastAsia" w:ascii="宋体" w:hAnsi="宋体" w:eastAsia="宋体" w:cs="宋体"/>
          <w:b/>
          <w:bCs/>
          <w:color w:val="auto"/>
          <w:sz w:val="32"/>
          <w:szCs w:val="22"/>
          <w:highlight w:val="none"/>
        </w:rPr>
        <w:t>表1 综合评分表</w:t>
      </w:r>
      <w:bookmarkEnd w:id="56"/>
      <w:bookmarkEnd w:id="57"/>
      <w:bookmarkEnd w:id="58"/>
    </w:p>
    <w:tbl>
      <w:tblPr>
        <w:tblStyle w:val="31"/>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4135"/>
        <w:gridCol w:w="4252"/>
      </w:tblGrid>
      <w:tr w14:paraId="04E3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508" w:type="dxa"/>
            <w:gridSpan w:val="3"/>
            <w:shd w:val="clear" w:color="auto" w:fill="BEBEBE"/>
            <w:noWrap w:val="0"/>
            <w:vAlign w:val="center"/>
          </w:tcPr>
          <w:p w14:paraId="78E5E072">
            <w:pPr>
              <w:keepNext w:val="0"/>
              <w:keepLines w:val="0"/>
              <w:pageBreakBefore w:val="0"/>
              <w:widowControl w:val="0"/>
              <w:kinsoku/>
              <w:wordWrap w:val="0"/>
              <w:overflowPunct/>
              <w:topLinePunct w:val="0"/>
              <w:autoSpaceDE/>
              <w:autoSpaceDN/>
              <w:bidi w:val="0"/>
              <w:adjustRightInd w:val="0"/>
              <w:snapToGrid w:val="0"/>
              <w:spacing w:line="240" w:lineRule="auto"/>
              <w:jc w:val="both"/>
              <w:textAlignment w:val="auto"/>
              <w:rPr>
                <w:rFonts w:hint="eastAsia" w:ascii="宋体" w:hAnsi="宋体" w:eastAsia="宋体" w:cs="宋体"/>
                <w:b/>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rPr>
              <w:t>商务部分满分：</w:t>
            </w:r>
            <w:r>
              <w:rPr>
                <w:rFonts w:hint="eastAsia" w:ascii="宋体" w:hAnsi="宋体" w:eastAsia="宋体" w:cs="宋体"/>
                <w:b/>
                <w:bCs/>
                <w:strike w:val="0"/>
                <w:dstrike w:val="0"/>
                <w:snapToGrid w:val="0"/>
                <w:color w:val="auto"/>
                <w:kern w:val="0"/>
                <w:sz w:val="21"/>
                <w:szCs w:val="21"/>
                <w:highlight w:val="none"/>
                <w:u w:val="single"/>
                <w:lang w:val="en-US" w:eastAsia="zh-CN"/>
              </w:rPr>
              <w:t>50</w:t>
            </w:r>
            <w:r>
              <w:rPr>
                <w:rFonts w:hint="eastAsia" w:ascii="宋体" w:hAnsi="宋体" w:eastAsia="宋体" w:cs="宋体"/>
                <w:b/>
                <w:bCs/>
                <w:strike w:val="0"/>
                <w:dstrike w:val="0"/>
                <w:snapToGrid w:val="0"/>
                <w:color w:val="auto"/>
                <w:kern w:val="0"/>
                <w:sz w:val="21"/>
                <w:szCs w:val="21"/>
                <w:highlight w:val="none"/>
              </w:rPr>
              <w:t>分。</w:t>
            </w:r>
          </w:p>
        </w:tc>
      </w:tr>
      <w:tr w14:paraId="06F1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121" w:type="dxa"/>
            <w:noWrap w:val="0"/>
            <w:vAlign w:val="center"/>
          </w:tcPr>
          <w:p w14:paraId="23646983">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afterAutospacing="0" w:line="240" w:lineRule="auto"/>
              <w:jc w:val="center"/>
              <w:textAlignment w:val="auto"/>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评分因素</w:t>
            </w:r>
          </w:p>
        </w:tc>
        <w:tc>
          <w:tcPr>
            <w:tcW w:w="4135" w:type="dxa"/>
            <w:noWrap w:val="0"/>
            <w:vAlign w:val="center"/>
          </w:tcPr>
          <w:p w14:paraId="51495740">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afterAutospacing="0" w:line="240" w:lineRule="auto"/>
              <w:jc w:val="center"/>
              <w:textAlignment w:val="auto"/>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评分标准</w:t>
            </w:r>
          </w:p>
        </w:tc>
        <w:tc>
          <w:tcPr>
            <w:tcW w:w="4252" w:type="dxa"/>
            <w:noWrap w:val="0"/>
            <w:vAlign w:val="center"/>
          </w:tcPr>
          <w:p w14:paraId="6AB437CF">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afterAutospacing="0" w:line="240" w:lineRule="auto"/>
              <w:jc w:val="center"/>
              <w:textAlignment w:val="auto"/>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备注</w:t>
            </w:r>
          </w:p>
        </w:tc>
      </w:tr>
      <w:tr w14:paraId="5634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1" w:type="dxa"/>
            <w:noWrap w:val="0"/>
            <w:vAlign w:val="center"/>
          </w:tcPr>
          <w:p w14:paraId="22338BD6">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企业奖项</w:t>
            </w:r>
          </w:p>
          <w:p w14:paraId="6BE55D7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hAnsi="宋体" w:eastAsia="宋体" w:cs="宋体"/>
                <w:b/>
                <w:bCs/>
                <w:color w:val="auto"/>
                <w:kern w:val="0"/>
                <w:sz w:val="21"/>
                <w:szCs w:val="21"/>
                <w:highlight w:val="none"/>
                <w:lang w:val="en-US" w:eastAsia="zh-CN" w:bidi="ar-SA"/>
              </w:rPr>
              <w:t>10</w:t>
            </w:r>
            <w:r>
              <w:rPr>
                <w:rFonts w:hint="eastAsia" w:ascii="宋体" w:hAnsi="宋体" w:eastAsia="宋体" w:cs="宋体"/>
                <w:b/>
                <w:bCs/>
                <w:color w:val="auto"/>
                <w:kern w:val="0"/>
                <w:sz w:val="21"/>
                <w:szCs w:val="21"/>
                <w:highlight w:val="none"/>
                <w:lang w:val="en-US" w:eastAsia="zh-CN" w:bidi="ar-SA"/>
              </w:rPr>
              <w:t>分）</w:t>
            </w:r>
          </w:p>
        </w:tc>
        <w:tc>
          <w:tcPr>
            <w:tcW w:w="4135" w:type="dxa"/>
            <w:noWrap w:val="0"/>
            <w:vAlign w:val="center"/>
          </w:tcPr>
          <w:p w14:paraId="7F4FD7D7">
            <w:pPr>
              <w:overflowPunct w:val="0"/>
              <w:spacing w:line="360" w:lineRule="auto"/>
              <w:rPr>
                <w:rFonts w:hint="eastAsia" w:ascii="宋体" w:hAnsi="宋体" w:eastAsia="宋体" w:cs="宋体"/>
                <w:color w:val="auto"/>
                <w:spacing w:val="8"/>
                <w:sz w:val="21"/>
                <w:szCs w:val="21"/>
                <w:highlight w:val="none"/>
              </w:rPr>
            </w:pPr>
            <w:r>
              <w:rPr>
                <w:rFonts w:hint="eastAsia" w:ascii="宋体" w:hAnsi="宋体" w:eastAsia="宋体" w:cs="宋体"/>
                <w:b w:val="0"/>
                <w:bCs w:val="0"/>
                <w:color w:val="auto"/>
                <w:sz w:val="21"/>
                <w:szCs w:val="21"/>
                <w:highlight w:val="none"/>
                <w:lang w:eastAsia="zh-CN"/>
              </w:rPr>
              <w:t>投标人</w:t>
            </w:r>
            <w:r>
              <w:rPr>
                <w:rFonts w:hint="eastAsia" w:ascii="宋体" w:hAnsi="宋体" w:eastAsia="宋体" w:cs="宋体"/>
                <w:b w:val="0"/>
                <w:bCs w:val="0"/>
                <w:color w:val="auto"/>
                <w:sz w:val="21"/>
                <w:szCs w:val="21"/>
                <w:highlight w:val="none"/>
              </w:rPr>
              <w:t>近年</w:t>
            </w:r>
            <w:r>
              <w:rPr>
                <w:rFonts w:hint="eastAsia" w:hAnsi="宋体" w:eastAsia="宋体" w:cs="宋体"/>
                <w:b w:val="0"/>
                <w:bCs w:val="0"/>
                <w:color w:val="auto"/>
                <w:sz w:val="21"/>
                <w:szCs w:val="21"/>
                <w:highlight w:val="none"/>
                <w:lang w:eastAsia="zh-CN"/>
              </w:rPr>
              <w:t>来</w:t>
            </w: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02</w:t>
            </w:r>
            <w:r>
              <w:rPr>
                <w:rFonts w:hint="eastAsia"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月1日至今</w:t>
            </w:r>
            <w:r>
              <w:rPr>
                <w:rFonts w:hint="eastAsia" w:ascii="宋体" w:hAnsi="宋体" w:eastAsia="宋体" w:cs="宋体"/>
                <w:b w:val="0"/>
                <w:bCs w:val="0"/>
                <w:color w:val="auto"/>
                <w:sz w:val="21"/>
                <w:szCs w:val="21"/>
                <w:highlight w:val="none"/>
                <w:lang w:eastAsia="zh-CN"/>
              </w:rPr>
              <w:t>）</w:t>
            </w:r>
            <w:r>
              <w:rPr>
                <w:rFonts w:hint="eastAsia" w:hAnsi="宋体" w:eastAsia="宋体" w:cs="宋体"/>
                <w:b w:val="0"/>
                <w:bCs w:val="0"/>
                <w:color w:val="auto"/>
                <w:sz w:val="21"/>
                <w:szCs w:val="21"/>
                <w:highlight w:val="none"/>
                <w:lang w:eastAsia="zh-CN"/>
              </w:rPr>
              <w:t>所</w:t>
            </w:r>
            <w:r>
              <w:rPr>
                <w:rFonts w:hint="eastAsia" w:ascii="宋体" w:hAnsi="宋体" w:eastAsia="宋体" w:cs="宋体"/>
                <w:b w:val="0"/>
                <w:bCs w:val="0"/>
                <w:color w:val="auto"/>
                <w:sz w:val="21"/>
                <w:szCs w:val="21"/>
                <w:highlight w:val="none"/>
              </w:rPr>
              <w:t>监理的工程类项目获奖情况</w:t>
            </w:r>
            <w:r>
              <w:rPr>
                <w:rFonts w:hint="eastAsia" w:ascii="宋体" w:hAnsi="宋体" w:eastAsia="宋体" w:cs="宋体"/>
                <w:color w:val="auto"/>
                <w:spacing w:val="8"/>
                <w:sz w:val="21"/>
                <w:szCs w:val="21"/>
                <w:highlight w:val="none"/>
              </w:rPr>
              <w:t>：</w:t>
            </w:r>
          </w:p>
          <w:p w14:paraId="4D3626C1">
            <w:pPr>
              <w:overflowPunct w:val="0"/>
              <w:spacing w:line="360" w:lineRule="auto"/>
              <w:jc w:val="left"/>
              <w:rPr>
                <w:rFonts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1.获得省级</w:t>
            </w:r>
            <w:r>
              <w:rPr>
                <w:rFonts w:hint="eastAsia" w:ascii="宋体" w:hAnsi="宋体" w:eastAsia="宋体" w:cs="宋体"/>
                <w:color w:val="auto"/>
                <w:spacing w:val="8"/>
                <w:sz w:val="21"/>
                <w:szCs w:val="21"/>
                <w:highlight w:val="none"/>
                <w:lang w:val="en-US" w:eastAsia="zh-CN"/>
              </w:rPr>
              <w:t>或以上</w:t>
            </w:r>
            <w:r>
              <w:rPr>
                <w:rFonts w:hint="eastAsia" w:ascii="宋体" w:hAnsi="宋体" w:eastAsia="宋体" w:cs="宋体"/>
                <w:color w:val="auto"/>
                <w:spacing w:val="8"/>
                <w:sz w:val="21"/>
                <w:szCs w:val="21"/>
                <w:highlight w:val="none"/>
              </w:rPr>
              <w:t>奖项的，每个得</w:t>
            </w:r>
            <w:r>
              <w:rPr>
                <w:rFonts w:hint="eastAsia" w:ascii="宋体" w:hAnsi="宋体" w:eastAsia="宋体" w:cs="宋体"/>
                <w:color w:val="auto"/>
                <w:spacing w:val="8"/>
                <w:sz w:val="21"/>
                <w:szCs w:val="21"/>
                <w:highlight w:val="none"/>
                <w:lang w:val="en-US" w:eastAsia="zh-CN"/>
              </w:rPr>
              <w:t>10</w:t>
            </w:r>
            <w:r>
              <w:rPr>
                <w:rFonts w:hint="eastAsia" w:ascii="宋体" w:hAnsi="宋体" w:eastAsia="宋体" w:cs="宋体"/>
                <w:color w:val="auto"/>
                <w:spacing w:val="8"/>
                <w:sz w:val="21"/>
                <w:szCs w:val="21"/>
                <w:highlight w:val="none"/>
              </w:rPr>
              <w:t>分；</w:t>
            </w:r>
          </w:p>
          <w:p w14:paraId="68FD9D42">
            <w:pPr>
              <w:overflowPunct w:val="0"/>
              <w:spacing w:line="360" w:lineRule="auto"/>
              <w:rPr>
                <w:rFonts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2.获得地市级奖项的，每个得</w:t>
            </w:r>
            <w:r>
              <w:rPr>
                <w:rFonts w:hint="eastAsia" w:ascii="宋体" w:hAnsi="宋体" w:eastAsia="宋体" w:cs="宋体"/>
                <w:color w:val="auto"/>
                <w:spacing w:val="8"/>
                <w:sz w:val="21"/>
                <w:szCs w:val="21"/>
                <w:highlight w:val="none"/>
                <w:lang w:val="en-US" w:eastAsia="zh-CN"/>
              </w:rPr>
              <w:t>5</w:t>
            </w:r>
            <w:r>
              <w:rPr>
                <w:rFonts w:hint="eastAsia" w:ascii="宋体" w:hAnsi="宋体" w:eastAsia="宋体" w:cs="宋体"/>
                <w:color w:val="auto"/>
                <w:spacing w:val="8"/>
                <w:sz w:val="21"/>
                <w:szCs w:val="21"/>
                <w:highlight w:val="none"/>
              </w:rPr>
              <w:t>分；</w:t>
            </w:r>
          </w:p>
          <w:p w14:paraId="5005F0BA">
            <w:pPr>
              <w:pStyle w:val="10"/>
              <w:keepNext w:val="0"/>
              <w:keepLines w:val="0"/>
              <w:pageBreakBefore w:val="0"/>
              <w:tabs>
                <w:tab w:val="left" w:pos="1354"/>
                <w:tab w:val="left" w:pos="1459"/>
                <w:tab w:val="center" w:pos="3902"/>
                <w:tab w:val="right" w:pos="7805"/>
              </w:tabs>
              <w:kinsoku/>
              <w:overflowPunct/>
              <w:topLinePunct w:val="0"/>
              <w:autoSpaceDE/>
              <w:autoSpaceDN/>
              <w:bidi w:val="0"/>
              <w:adjustRightInd w:val="0"/>
              <w:snapToGrid w:val="0"/>
              <w:spacing w:after="0" w:afterLines="0" w:line="360" w:lineRule="exact"/>
              <w:jc w:val="left"/>
              <w:textAlignment w:val="auto"/>
              <w:rPr>
                <w:rFonts w:hAnsi="宋体" w:cs="宋体"/>
                <w:bCs/>
                <w:color w:val="auto"/>
                <w:sz w:val="21"/>
                <w:szCs w:val="21"/>
                <w:highlight w:val="none"/>
              </w:rPr>
            </w:pPr>
            <w:r>
              <w:rPr>
                <w:rFonts w:hint="eastAsia" w:hAnsi="宋体" w:cs="宋体"/>
                <w:color w:val="auto"/>
                <w:sz w:val="21"/>
                <w:szCs w:val="21"/>
                <w:highlight w:val="none"/>
              </w:rPr>
              <w:t>3.其他情形的，不予计分</w:t>
            </w:r>
            <w:r>
              <w:rPr>
                <w:rFonts w:hint="eastAsia" w:hAnsi="宋体" w:cs="宋体"/>
                <w:bCs/>
                <w:color w:val="auto"/>
                <w:sz w:val="21"/>
                <w:szCs w:val="21"/>
                <w:highlight w:val="none"/>
              </w:rPr>
              <w:t>。</w:t>
            </w:r>
          </w:p>
          <w:p w14:paraId="2F0CB548">
            <w:pPr>
              <w:keepNext w:val="0"/>
              <w:keepLines w:val="0"/>
              <w:pageBreakBefore w:val="0"/>
              <w:widowControl w:val="0"/>
              <w:kinsoku/>
              <w:wordWrap/>
              <w:overflowPunct/>
              <w:topLinePunct w:val="0"/>
              <w:autoSpaceDE/>
              <w:autoSpaceDN/>
              <w:bidi w:val="0"/>
              <w:adjustRightInd w:val="0"/>
              <w:snapToGrid/>
              <w:spacing w:line="400" w:lineRule="exact"/>
              <w:jc w:val="left"/>
              <w:outlineLvl w:val="0"/>
              <w:rPr>
                <w:rFonts w:hint="eastAsia" w:ascii="宋体" w:hAnsi="宋体" w:eastAsia="宋体" w:cs="宋体"/>
                <w:color w:val="auto"/>
                <w:kern w:val="0"/>
                <w:sz w:val="21"/>
                <w:szCs w:val="21"/>
                <w:highlight w:val="none"/>
                <w:lang w:val="en-US" w:eastAsia="zh-CN" w:bidi="ar-SA"/>
              </w:rPr>
            </w:pPr>
            <w:r>
              <w:rPr>
                <w:rFonts w:hint="eastAsia" w:hAnsi="宋体" w:cs="宋体"/>
                <w:color w:val="auto"/>
                <w:sz w:val="21"/>
                <w:szCs w:val="21"/>
                <w:highlight w:val="none"/>
              </w:rPr>
              <w:t>说明：本项最高得</w:t>
            </w:r>
            <w:r>
              <w:rPr>
                <w:rFonts w:hint="eastAsia" w:hAnsi="宋体" w:cs="宋体"/>
                <w:color w:val="auto"/>
                <w:sz w:val="21"/>
                <w:szCs w:val="21"/>
                <w:highlight w:val="none"/>
                <w:lang w:val="en-US" w:eastAsia="zh-CN"/>
              </w:rPr>
              <w:t>10</w:t>
            </w:r>
            <w:r>
              <w:rPr>
                <w:rFonts w:hint="eastAsia" w:hAnsi="宋体" w:cs="宋体"/>
                <w:color w:val="auto"/>
                <w:sz w:val="21"/>
                <w:szCs w:val="21"/>
                <w:highlight w:val="none"/>
              </w:rPr>
              <w:t>分。</w:t>
            </w:r>
          </w:p>
        </w:tc>
        <w:tc>
          <w:tcPr>
            <w:tcW w:w="4252" w:type="dxa"/>
            <w:noWrap w:val="0"/>
            <w:vAlign w:val="center"/>
          </w:tcPr>
          <w:p w14:paraId="1A5F0DD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1.同一业绩只按最高级别奖项计分一次，不同业绩按照各自最高获奖等级的得分累加。</w:t>
            </w:r>
          </w:p>
          <w:p w14:paraId="7AE721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需附有关奖项证明彩色扫描件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如发证单位为行业协会的，还需提供该行业协会在全国社会组织信用信息公示平台的登记信息查询结果截图，否则不得分。</w:t>
            </w:r>
          </w:p>
          <w:p w14:paraId="1CF693F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3.颁发机构限定以下范围：</w:t>
            </w:r>
          </w:p>
          <w:p w14:paraId="7BA69E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①国家级奖项：国务院、住建部、国家级行业协会；（</w:t>
            </w:r>
            <w:r>
              <w:rPr>
                <w:rFonts w:hint="eastAsia" w:ascii="宋体" w:hAnsi="宋体" w:eastAsia="宋体" w:cs="宋体"/>
                <w:b/>
                <w:bCs/>
                <w:color w:val="auto"/>
                <w:sz w:val="21"/>
                <w:szCs w:val="21"/>
                <w:highlight w:val="none"/>
              </w:rPr>
              <w:t>相关协会需经民政部门备案</w:t>
            </w:r>
            <w:r>
              <w:rPr>
                <w:rFonts w:hint="eastAsia" w:ascii="宋体" w:hAnsi="宋体" w:eastAsia="宋体" w:cs="宋体"/>
                <w:color w:val="auto"/>
                <w:sz w:val="21"/>
                <w:szCs w:val="21"/>
                <w:highlight w:val="none"/>
              </w:rPr>
              <w:t>）</w:t>
            </w:r>
          </w:p>
          <w:p w14:paraId="6B6855E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②省级奖项：省级人民政府、省级住建部门、省级行业协会；（</w:t>
            </w:r>
            <w:r>
              <w:rPr>
                <w:rFonts w:hint="eastAsia" w:ascii="宋体" w:hAnsi="宋体" w:eastAsia="宋体" w:cs="宋体"/>
                <w:b/>
                <w:bCs/>
                <w:color w:val="auto"/>
                <w:sz w:val="21"/>
                <w:szCs w:val="21"/>
                <w:highlight w:val="none"/>
              </w:rPr>
              <w:t>相关协会需经民政部门备案</w:t>
            </w:r>
            <w:r>
              <w:rPr>
                <w:rFonts w:hint="eastAsia" w:ascii="宋体" w:hAnsi="宋体" w:eastAsia="宋体" w:cs="宋体"/>
                <w:color w:val="auto"/>
                <w:sz w:val="21"/>
                <w:szCs w:val="21"/>
                <w:highlight w:val="none"/>
              </w:rPr>
              <w:t>）</w:t>
            </w:r>
          </w:p>
          <w:p w14:paraId="5C2A89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③地市级奖项：地市级人民政府、地市级住建部门、地市级行业协会。（</w:t>
            </w:r>
            <w:r>
              <w:rPr>
                <w:rFonts w:hint="eastAsia" w:ascii="宋体" w:hAnsi="宋体" w:eastAsia="宋体" w:cs="宋体"/>
                <w:b/>
                <w:bCs/>
                <w:color w:val="auto"/>
                <w:sz w:val="21"/>
                <w:szCs w:val="21"/>
                <w:highlight w:val="none"/>
              </w:rPr>
              <w:t>相关协会需经民政部门备</w:t>
            </w:r>
            <w:r>
              <w:rPr>
                <w:rFonts w:hint="eastAsia" w:ascii="宋体" w:hAnsi="宋体" w:eastAsia="宋体" w:cs="宋体"/>
                <w:b/>
                <w:bCs/>
                <w:color w:val="auto"/>
                <w:kern w:val="0"/>
                <w:sz w:val="21"/>
                <w:szCs w:val="21"/>
                <w:highlight w:val="none"/>
                <w:lang w:val="en-US" w:eastAsia="zh-CN" w:bidi="ar-SA"/>
              </w:rPr>
              <w:t>案</w:t>
            </w:r>
            <w:r>
              <w:rPr>
                <w:rFonts w:hint="eastAsia" w:ascii="宋体" w:hAnsi="宋体" w:eastAsia="宋体" w:cs="宋体"/>
                <w:color w:val="auto"/>
                <w:kern w:val="0"/>
                <w:sz w:val="21"/>
                <w:szCs w:val="21"/>
                <w:highlight w:val="none"/>
                <w:lang w:val="en-US" w:eastAsia="zh-CN" w:bidi="ar-SA"/>
              </w:rPr>
              <w:t>）</w:t>
            </w:r>
          </w:p>
          <w:p w14:paraId="0B20EA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4.获奖时间以奖项证明的落款日期为准。</w:t>
            </w:r>
          </w:p>
          <w:p w14:paraId="65D645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5．任一奖项有以下情形之一的，该奖项视为无效，不予计分：</w:t>
            </w:r>
          </w:p>
          <w:p w14:paraId="5C1C97E5">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①奖项不属于指定类别的； </w:t>
            </w:r>
          </w:p>
          <w:p w14:paraId="3039D96D">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②颁发机构不符合要求的；</w:t>
            </w:r>
          </w:p>
          <w:p w14:paraId="3F7732CD">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③获奖时间不符合要求的。</w:t>
            </w:r>
          </w:p>
        </w:tc>
      </w:tr>
      <w:tr w14:paraId="2D6D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5" w:hRule="atLeast"/>
          <w:jc w:val="center"/>
        </w:trPr>
        <w:tc>
          <w:tcPr>
            <w:tcW w:w="1121" w:type="dxa"/>
            <w:noWrap w:val="0"/>
            <w:vAlign w:val="center"/>
          </w:tcPr>
          <w:p w14:paraId="0F60F28F">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业绩情况</w:t>
            </w:r>
          </w:p>
          <w:p w14:paraId="199F59B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bCs/>
                <w:caps w:val="0"/>
                <w:smallCaps w:val="0"/>
                <w:snapToGrid w:val="0"/>
                <w:color w:val="auto"/>
                <w:spacing w:val="0"/>
                <w:kern w:val="0"/>
                <w:sz w:val="21"/>
                <w:szCs w:val="21"/>
                <w:highlight w:val="none"/>
                <w:u w:val="none"/>
                <w:lang w:val="en-US" w:eastAsia="zh-CN" w:bidi="ar-SA"/>
              </w:rPr>
              <w:t>（</w:t>
            </w:r>
            <w:r>
              <w:rPr>
                <w:rFonts w:hint="eastAsia" w:hAnsi="宋体" w:eastAsia="宋体" w:cs="宋体"/>
                <w:b/>
                <w:bCs/>
                <w:caps w:val="0"/>
                <w:smallCaps w:val="0"/>
                <w:snapToGrid w:val="0"/>
                <w:color w:val="auto"/>
                <w:spacing w:val="0"/>
                <w:kern w:val="0"/>
                <w:sz w:val="21"/>
                <w:szCs w:val="21"/>
                <w:highlight w:val="none"/>
                <w:u w:val="none"/>
                <w:lang w:val="en-US" w:eastAsia="zh-CN" w:bidi="ar-SA"/>
              </w:rPr>
              <w:t>10</w:t>
            </w:r>
            <w:r>
              <w:rPr>
                <w:rFonts w:hint="eastAsia" w:ascii="宋体" w:hAnsi="宋体" w:eastAsia="宋体" w:cs="宋体"/>
                <w:b/>
                <w:bCs/>
                <w:caps w:val="0"/>
                <w:smallCaps w:val="0"/>
                <w:snapToGrid w:val="0"/>
                <w:color w:val="auto"/>
                <w:spacing w:val="0"/>
                <w:kern w:val="0"/>
                <w:sz w:val="21"/>
                <w:szCs w:val="21"/>
                <w:highlight w:val="none"/>
                <w:u w:val="none"/>
                <w:lang w:val="en-US" w:eastAsia="zh-CN" w:bidi="ar-SA"/>
              </w:rPr>
              <w:t>分）</w:t>
            </w:r>
          </w:p>
        </w:tc>
        <w:tc>
          <w:tcPr>
            <w:tcW w:w="4135" w:type="dxa"/>
            <w:noWrap w:val="0"/>
            <w:vAlign w:val="center"/>
          </w:tcPr>
          <w:p w14:paraId="3CED5E28">
            <w:pPr>
              <w:keepNext w:val="0"/>
              <w:keepLines w:val="0"/>
              <w:pageBreakBefore w:val="0"/>
              <w:widowControl w:val="0"/>
              <w:kinsoku/>
              <w:wordWrap/>
              <w:overflowPunct/>
              <w:topLinePunct w:val="0"/>
              <w:autoSpaceDE/>
              <w:autoSpaceDN/>
              <w:bidi w:val="0"/>
              <w:adjustRightInd w:val="0"/>
              <w:snapToGrid/>
              <w:spacing w:line="400" w:lineRule="exact"/>
              <w:jc w:val="left"/>
              <w:textAlignment w:val="baseline"/>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投标人近年来（202</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1</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年1月1日至今）</w:t>
            </w:r>
            <w:r>
              <w:rPr>
                <w:rFonts w:hint="eastAsia" w:ascii="宋体" w:hAnsi="宋体" w:eastAsia="宋体" w:cs="宋体"/>
                <w:color w:val="auto"/>
                <w:kern w:val="0"/>
                <w:sz w:val="21"/>
                <w:szCs w:val="21"/>
                <w:highlight w:val="none"/>
                <w:lang w:val="en-US" w:eastAsia="zh-CN" w:bidi="ar-SA"/>
              </w:rPr>
              <w:t>的业绩情况：</w:t>
            </w:r>
          </w:p>
          <w:p w14:paraId="18CEEF96">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hAnsi="宋体" w:eastAsia="宋体" w:cs="宋体"/>
                <w:b w:val="0"/>
                <w:bCs w:val="0"/>
                <w:caps w:val="0"/>
                <w:smallCaps w:val="0"/>
                <w:snapToGrid w:val="0"/>
                <w:color w:val="auto"/>
                <w:spacing w:val="0"/>
                <w:kern w:val="0"/>
                <w:sz w:val="21"/>
                <w:szCs w:val="21"/>
                <w:highlight w:val="none"/>
                <w:u w:val="single"/>
                <w:lang w:val="en-US" w:eastAsia="zh-CN" w:bidi="ar-SA"/>
              </w:rPr>
              <w:t>承接</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过</w:t>
            </w:r>
            <w:r>
              <w:rPr>
                <w:rFonts w:hint="eastAsia" w:ascii="宋体" w:hAnsi="宋体" w:eastAsia="宋体" w:cs="宋体"/>
                <w:color w:val="auto"/>
                <w:kern w:val="0"/>
                <w:sz w:val="21"/>
                <w:szCs w:val="21"/>
                <w:highlight w:val="none"/>
                <w:lang w:val="en-US" w:eastAsia="zh-CN" w:bidi="ar-SA"/>
              </w:rPr>
              <w:t>类似项目的，每个得</w:t>
            </w:r>
            <w:r>
              <w:rPr>
                <w:rFonts w:hint="eastAsia" w:ascii="宋体" w:hAnsi="宋体" w:eastAsia="宋体" w:cs="宋体"/>
                <w:color w:val="auto"/>
                <w:kern w:val="0"/>
                <w:sz w:val="21"/>
                <w:szCs w:val="21"/>
                <w:highlight w:val="none"/>
                <w:u w:val="single"/>
                <w:lang w:val="en-US" w:eastAsia="zh-CN" w:bidi="ar-SA"/>
              </w:rPr>
              <w:t>5</w:t>
            </w:r>
            <w:r>
              <w:rPr>
                <w:rFonts w:hint="eastAsia" w:ascii="宋体" w:hAnsi="宋体" w:eastAsia="宋体" w:cs="宋体"/>
                <w:color w:val="auto"/>
                <w:kern w:val="0"/>
                <w:sz w:val="21"/>
                <w:szCs w:val="21"/>
                <w:highlight w:val="none"/>
                <w:lang w:val="en-US" w:eastAsia="zh-CN" w:bidi="ar-SA"/>
              </w:rPr>
              <w:t>分；</w:t>
            </w:r>
          </w:p>
          <w:p w14:paraId="04E339BF">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2.未</w:t>
            </w:r>
            <w:r>
              <w:rPr>
                <w:rFonts w:hint="eastAsia" w:hAnsi="宋体" w:eastAsia="宋体" w:cs="宋体"/>
                <w:b w:val="0"/>
                <w:bCs w:val="0"/>
                <w:caps w:val="0"/>
                <w:smallCaps w:val="0"/>
                <w:snapToGrid w:val="0"/>
                <w:color w:val="auto"/>
                <w:spacing w:val="0"/>
                <w:kern w:val="0"/>
                <w:sz w:val="21"/>
                <w:szCs w:val="21"/>
                <w:highlight w:val="none"/>
                <w:u w:val="single"/>
                <w:lang w:val="en-US" w:eastAsia="zh-CN" w:bidi="ar-SA"/>
              </w:rPr>
              <w:t>承接</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过</w:t>
            </w:r>
            <w:r>
              <w:rPr>
                <w:rFonts w:hint="eastAsia" w:ascii="宋体" w:hAnsi="宋体" w:eastAsia="宋体" w:cs="宋体"/>
                <w:color w:val="auto"/>
                <w:kern w:val="0"/>
                <w:sz w:val="21"/>
                <w:szCs w:val="21"/>
                <w:highlight w:val="none"/>
                <w:lang w:val="en-US" w:eastAsia="zh-CN" w:bidi="ar-SA"/>
              </w:rPr>
              <w:t>类似项目，不予计分；</w:t>
            </w:r>
          </w:p>
          <w:p w14:paraId="6B70865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本项最高得</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10</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分。</w:t>
            </w:r>
          </w:p>
        </w:tc>
        <w:tc>
          <w:tcPr>
            <w:tcW w:w="4252" w:type="dxa"/>
            <w:noWrap w:val="0"/>
            <w:vAlign w:val="center"/>
          </w:tcPr>
          <w:p w14:paraId="6E0FEC91">
            <w:pPr>
              <w:pStyle w:val="10"/>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1.类似项目：是指房屋建筑工程类监理项目。</w:t>
            </w:r>
          </w:p>
          <w:p w14:paraId="02B6D5C4">
            <w:pPr>
              <w:pStyle w:val="10"/>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2.需附有关业绩中标通知书或监理合同关键页彩色扫描件。</w:t>
            </w:r>
          </w:p>
          <w:p w14:paraId="5BCD2372">
            <w:pPr>
              <w:pStyle w:val="10"/>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3.业绩时间以中标通知书或监理合同签订时间为准。</w:t>
            </w:r>
          </w:p>
          <w:p w14:paraId="68EEE0EB">
            <w:pPr>
              <w:pStyle w:val="10"/>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4．任一业绩有以下情形之一的，该业绩视为无效，不予计分： </w:t>
            </w:r>
          </w:p>
          <w:p w14:paraId="212AA792">
            <w:pPr>
              <w:pStyle w:val="10"/>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①业绩不属于类似项目的； </w:t>
            </w:r>
          </w:p>
          <w:p w14:paraId="6A8F133A">
            <w:pPr>
              <w:pStyle w:val="10"/>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②业绩时间不符合要求的。</w:t>
            </w:r>
          </w:p>
        </w:tc>
      </w:tr>
      <w:tr w14:paraId="033D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5" w:hRule="atLeast"/>
          <w:jc w:val="center"/>
        </w:trPr>
        <w:tc>
          <w:tcPr>
            <w:tcW w:w="1121" w:type="dxa"/>
            <w:noWrap w:val="0"/>
            <w:vAlign w:val="center"/>
          </w:tcPr>
          <w:p w14:paraId="5B0CCB39">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企业管理</w:t>
            </w:r>
          </w:p>
          <w:p w14:paraId="307346BC">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体系认证</w:t>
            </w:r>
          </w:p>
          <w:p w14:paraId="1637907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bCs/>
                <w:caps w:val="0"/>
                <w:smallCaps w:val="0"/>
                <w:snapToGrid w:val="0"/>
                <w:color w:val="auto"/>
                <w:spacing w:val="0"/>
                <w:kern w:val="0"/>
                <w:sz w:val="21"/>
                <w:szCs w:val="21"/>
                <w:highlight w:val="none"/>
                <w:u w:val="none"/>
                <w:lang w:val="en-US" w:eastAsia="zh-CN" w:bidi="ar-SA"/>
              </w:rPr>
              <w:t>（</w:t>
            </w:r>
            <w:r>
              <w:rPr>
                <w:rFonts w:hint="eastAsia" w:hAnsi="宋体" w:eastAsia="宋体" w:cs="宋体"/>
                <w:b/>
                <w:bCs/>
                <w:caps w:val="0"/>
                <w:smallCaps w:val="0"/>
                <w:snapToGrid w:val="0"/>
                <w:color w:val="auto"/>
                <w:spacing w:val="0"/>
                <w:kern w:val="0"/>
                <w:sz w:val="21"/>
                <w:szCs w:val="21"/>
                <w:highlight w:val="none"/>
                <w:u w:val="none"/>
                <w:lang w:val="en-US" w:eastAsia="zh-CN" w:bidi="ar-SA"/>
              </w:rPr>
              <w:t>10</w:t>
            </w:r>
            <w:r>
              <w:rPr>
                <w:rFonts w:hint="eastAsia" w:ascii="宋体" w:hAnsi="宋体" w:eastAsia="宋体" w:cs="宋体"/>
                <w:b/>
                <w:bCs/>
                <w:caps w:val="0"/>
                <w:smallCaps w:val="0"/>
                <w:snapToGrid w:val="0"/>
                <w:color w:val="auto"/>
                <w:spacing w:val="0"/>
                <w:kern w:val="0"/>
                <w:sz w:val="21"/>
                <w:szCs w:val="21"/>
                <w:highlight w:val="none"/>
                <w:u w:val="none"/>
                <w:lang w:val="en-US" w:eastAsia="zh-CN" w:bidi="ar-SA"/>
              </w:rPr>
              <w:t>分）</w:t>
            </w:r>
          </w:p>
        </w:tc>
        <w:tc>
          <w:tcPr>
            <w:tcW w:w="4135" w:type="dxa"/>
            <w:noWrap w:val="0"/>
            <w:vAlign w:val="center"/>
          </w:tcPr>
          <w:p w14:paraId="30754D2F">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hAnsi="宋体" w:cs="宋体"/>
                <w:color w:val="auto"/>
                <w:sz w:val="21"/>
                <w:szCs w:val="21"/>
                <w:highlight w:val="none"/>
              </w:rPr>
              <w:t>投标人具有在有效期内的环境管理体系认证、职业健康安全管理体系认证、质量管理体系认证、信息技术服务管理体系认证、信息安全管理体系认证、诚信管理体系认证</w:t>
            </w:r>
            <w:r>
              <w:rPr>
                <w:rFonts w:hint="eastAsia" w:hAnsi="宋体" w:cs="宋体"/>
                <w:color w:val="auto"/>
                <w:sz w:val="21"/>
                <w:szCs w:val="21"/>
                <w:highlight w:val="none"/>
                <w:lang w:val="en-US" w:eastAsia="zh-CN"/>
              </w:rPr>
              <w:t>证书</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 xml:space="preserve">中：  </w:t>
            </w:r>
          </w:p>
          <w:p w14:paraId="05C743DE">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1.</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投标人</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获得</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上述6项认证</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证书的</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得</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10</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分；</w:t>
            </w:r>
          </w:p>
          <w:p w14:paraId="68133F53">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2</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.投标人</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获得</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上述4-5项认证</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证书的</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得5分</w:t>
            </w:r>
          </w:p>
          <w:p w14:paraId="2C8A7141">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3.投标人</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获得</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上述1-3</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项</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认证</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证书的</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得</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1</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分；</w:t>
            </w:r>
          </w:p>
          <w:p w14:paraId="1F4C097D">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4</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．未获得以上认证</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证书</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的，不予计分。</w:t>
            </w:r>
          </w:p>
          <w:p w14:paraId="7A95C486">
            <w:pPr>
              <w:pStyle w:val="5"/>
              <w:pageBreakBefore w:val="0"/>
              <w:widowControl w:val="0"/>
              <w:numPr>
                <w:ilvl w:val="0"/>
                <w:numId w:val="0"/>
              </w:numPr>
              <w:kinsoku/>
              <w:wordWrap/>
              <w:overflowPunct/>
              <w:topLinePunct w:val="0"/>
              <w:autoSpaceDE/>
              <w:autoSpaceDN/>
              <w:bidi w:val="0"/>
              <w:snapToGrid/>
              <w:spacing w:before="0" w:beforeLines="0" w:after="0" w:afterLines="0" w:line="336" w:lineRule="auto"/>
              <w:ind w:leftChars="0"/>
              <w:textAlignment w:val="auto"/>
              <w:rPr>
                <w:rFonts w:hint="default"/>
                <w:color w:val="auto"/>
                <w:highlight w:val="none"/>
                <w:lang w:val="en-US" w:eastAsia="zh-CN"/>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说明：本项最高得10分。</w:t>
            </w:r>
          </w:p>
        </w:tc>
        <w:tc>
          <w:tcPr>
            <w:tcW w:w="4252" w:type="dxa"/>
            <w:noWrap w:val="0"/>
            <w:vAlign w:val="center"/>
          </w:tcPr>
          <w:p w14:paraId="41CDB24E">
            <w:pPr>
              <w:pStyle w:val="10"/>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1．需附在有效期内的认证证书彩色扫描件及全国认证认可信息公共服务平台http://cx.cnca.cn/CertECloud/index/index/page网上查询网页截图。</w:t>
            </w:r>
          </w:p>
          <w:p w14:paraId="4DF11F93">
            <w:pPr>
              <w:pStyle w:val="10"/>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2．任一认证证书不在有效期内的，该认证证书视为无效，不予计分。</w:t>
            </w:r>
          </w:p>
          <w:p w14:paraId="64E769AB">
            <w:pPr>
              <w:pStyle w:val="10"/>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3.以投标人所能获得的最高分计一次分，不累计得分。</w:t>
            </w:r>
          </w:p>
        </w:tc>
      </w:tr>
      <w:tr w14:paraId="4B94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4" w:hRule="atLeast"/>
          <w:jc w:val="center"/>
        </w:trPr>
        <w:tc>
          <w:tcPr>
            <w:tcW w:w="1121" w:type="dxa"/>
            <w:noWrap w:val="0"/>
            <w:vAlign w:val="center"/>
          </w:tcPr>
          <w:p w14:paraId="08917C57">
            <w:pPr>
              <w:keepNext w:val="0"/>
              <w:keepLines w:val="0"/>
              <w:pageBreakBefore w:val="0"/>
              <w:widowControl w:val="0"/>
              <w:kinsoku/>
              <w:wordWrap/>
              <w:overflowPunct/>
              <w:topLinePunct w:val="0"/>
              <w:autoSpaceDE/>
              <w:autoSpaceDN/>
              <w:bidi w:val="0"/>
              <w:adjustRightInd w:val="0"/>
              <w:snapToGrid/>
              <w:spacing w:after="0" w:afterLines="0" w:afterAutospacing="0" w:line="40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企业纳税等级</w:t>
            </w:r>
          </w:p>
          <w:p w14:paraId="54A28F63">
            <w:pPr>
              <w:keepNext w:val="0"/>
              <w:keepLines w:val="0"/>
              <w:pageBreakBefore w:val="0"/>
              <w:widowControl w:val="0"/>
              <w:kinsoku/>
              <w:wordWrap/>
              <w:overflowPunct/>
              <w:topLinePunct w:val="0"/>
              <w:autoSpaceDE/>
              <w:autoSpaceDN/>
              <w:bidi w:val="0"/>
              <w:adjustRightInd w:val="0"/>
              <w:snapToGrid/>
              <w:spacing w:after="0" w:afterLines="0" w:afterAutospacing="0" w:line="40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w:t>
            </w:r>
            <w:r>
              <w:rPr>
                <w:rFonts w:hint="eastAsia" w:hAnsi="宋体" w:eastAsia="宋体" w:cs="宋体"/>
                <w:b/>
                <w:bCs/>
                <w:strike w:val="0"/>
                <w:dstrike w:val="0"/>
                <w:snapToGrid w:val="0"/>
                <w:color w:val="auto"/>
                <w:kern w:val="0"/>
                <w:sz w:val="21"/>
                <w:szCs w:val="21"/>
                <w:highlight w:val="none"/>
                <w:u w:val="none"/>
                <w:lang w:val="en-US" w:eastAsia="zh-CN" w:bidi="ar-SA"/>
              </w:rPr>
              <w:t>10</w:t>
            </w:r>
            <w:r>
              <w:rPr>
                <w:rFonts w:hint="eastAsia" w:ascii="宋体" w:hAnsi="宋体" w:eastAsia="宋体" w:cs="宋体"/>
                <w:b/>
                <w:bCs/>
                <w:strike w:val="0"/>
                <w:dstrike w:val="0"/>
                <w:snapToGrid w:val="0"/>
                <w:color w:val="auto"/>
                <w:kern w:val="0"/>
                <w:sz w:val="21"/>
                <w:szCs w:val="21"/>
                <w:highlight w:val="none"/>
                <w:u w:val="none"/>
                <w:lang w:val="en-US" w:eastAsia="zh-CN" w:bidi="ar-SA"/>
              </w:rPr>
              <w:t>分）</w:t>
            </w:r>
          </w:p>
        </w:tc>
        <w:tc>
          <w:tcPr>
            <w:tcW w:w="4135" w:type="dxa"/>
            <w:noWrap w:val="0"/>
            <w:vAlign w:val="center"/>
          </w:tcPr>
          <w:p w14:paraId="31A4280F">
            <w:pPr>
              <w:keepNext w:val="0"/>
              <w:keepLines w:val="0"/>
              <w:pageBreakBefore w:val="0"/>
              <w:widowControl/>
              <w:kinsoku/>
              <w:wordWrap/>
              <w:overflowPunct/>
              <w:topLinePunct w:val="0"/>
              <w:autoSpaceDE/>
              <w:autoSpaceDN/>
              <w:bidi w:val="0"/>
              <w:adjustRightInd w:val="0"/>
              <w:snapToGrid w:val="0"/>
              <w:spacing w:line="360" w:lineRule="auto"/>
              <w:ind w:right="0" w:rightChars="0"/>
              <w:jc w:val="left"/>
              <w:textAlignment w:val="auto"/>
              <w:rPr>
                <w:rFonts w:hint="eastAsia" w:ascii="宋体" w:hAnsi="宋体" w:eastAsia="宋体" w:cs="宋体"/>
                <w:color w:val="auto"/>
                <w:sz w:val="21"/>
                <w:szCs w:val="21"/>
                <w:highlight w:val="none"/>
                <w:lang w:val="en-US" w:eastAsia="zh-CN"/>
              </w:rPr>
            </w:pPr>
            <w:r>
              <w:rPr>
                <w:rFonts w:hint="eastAsia" w:hAnsi="Calibri"/>
                <w:color w:val="auto"/>
                <w:sz w:val="21"/>
                <w:szCs w:val="21"/>
                <w:highlight w:val="none"/>
                <w:lang w:eastAsia="zh-CN"/>
              </w:rPr>
              <w:t>投标人</w:t>
            </w:r>
            <w:r>
              <w:rPr>
                <w:rFonts w:hint="eastAsia" w:hAnsi="Calibri"/>
                <w:color w:val="auto"/>
                <w:sz w:val="21"/>
                <w:szCs w:val="21"/>
                <w:highlight w:val="none"/>
              </w:rPr>
              <w:t>获得税务部门颁发</w:t>
            </w:r>
            <w:r>
              <w:rPr>
                <w:rFonts w:hint="eastAsia" w:hAnsi="Calibri"/>
                <w:color w:val="auto"/>
                <w:sz w:val="21"/>
                <w:szCs w:val="21"/>
                <w:highlight w:val="none"/>
                <w:lang w:eastAsia="zh-CN"/>
              </w:rPr>
              <w:t>的</w:t>
            </w:r>
            <w:r>
              <w:rPr>
                <w:rFonts w:hint="eastAsia" w:hAnsi="Calibri"/>
                <w:color w:val="auto"/>
                <w:sz w:val="21"/>
                <w:szCs w:val="21"/>
                <w:highlight w:val="none"/>
              </w:rPr>
              <w:t>纳税信用A级证书</w:t>
            </w:r>
            <w:r>
              <w:rPr>
                <w:rFonts w:hint="eastAsia" w:hAnsi="Calibri"/>
                <w:color w:val="auto"/>
                <w:sz w:val="21"/>
                <w:szCs w:val="21"/>
                <w:highlight w:val="none"/>
                <w:lang w:val="en-US" w:eastAsia="zh-CN"/>
              </w:rPr>
              <w:t>情况</w:t>
            </w:r>
            <w:r>
              <w:rPr>
                <w:rFonts w:hint="eastAsia" w:hAnsi="Calibri"/>
                <w:color w:val="auto"/>
                <w:sz w:val="21"/>
                <w:szCs w:val="21"/>
                <w:highlight w:val="none"/>
              </w:rPr>
              <w:t>：</w:t>
            </w:r>
          </w:p>
          <w:p w14:paraId="00EA33E8">
            <w:pPr>
              <w:keepNext w:val="0"/>
              <w:keepLines w:val="0"/>
              <w:pageBreakBefore w:val="0"/>
              <w:kinsoku/>
              <w:wordWrap/>
              <w:overflowPunct/>
              <w:topLinePunct w:val="0"/>
              <w:autoSpaceDE/>
              <w:autoSpaceDN/>
              <w:bidi w:val="0"/>
              <w:snapToGrid/>
              <w:spacing w:line="360" w:lineRule="auto"/>
              <w:ind w:right="0" w:rightChars="0"/>
              <w:textAlignment w:val="auto"/>
              <w:rPr>
                <w:rFonts w:hint="eastAsia"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2021年至今企业获得过</w:t>
            </w:r>
            <w:r>
              <w:rPr>
                <w:rFonts w:hint="eastAsia" w:hAnsi="Calibri"/>
                <w:color w:val="auto"/>
                <w:sz w:val="21"/>
                <w:szCs w:val="21"/>
                <w:highlight w:val="none"/>
              </w:rPr>
              <w:t>纳税信用A级</w:t>
            </w:r>
            <w:r>
              <w:rPr>
                <w:rFonts w:hint="eastAsia" w:hAnsi="Calibri"/>
                <w:color w:val="auto"/>
                <w:sz w:val="21"/>
                <w:szCs w:val="21"/>
                <w:highlight w:val="none"/>
                <w:lang w:val="en-US" w:eastAsia="zh-CN"/>
              </w:rPr>
              <w:t>的，得10分</w:t>
            </w:r>
            <w:r>
              <w:rPr>
                <w:rFonts w:hint="eastAsia" w:ascii="宋体" w:hAnsi="宋体" w:eastAsia="宋体" w:cs="宋体"/>
                <w:b w:val="0"/>
                <w:bCs w:val="0"/>
                <w:color w:val="auto"/>
                <w:kern w:val="0"/>
                <w:sz w:val="21"/>
                <w:szCs w:val="21"/>
                <w:highlight w:val="none"/>
                <w:lang w:val="en-US" w:eastAsia="zh-CN"/>
              </w:rPr>
              <w:t>；</w:t>
            </w:r>
          </w:p>
          <w:p w14:paraId="2A48571F">
            <w:pPr>
              <w:pStyle w:val="5"/>
              <w:pageBreakBefore w:val="0"/>
              <w:numPr>
                <w:ilvl w:val="0"/>
                <w:numId w:val="0"/>
              </w:numPr>
              <w:kinsoku/>
              <w:wordWrap/>
              <w:overflowPunct/>
              <w:topLinePunct w:val="0"/>
              <w:autoSpaceDE/>
              <w:autoSpaceDN/>
              <w:bidi w:val="0"/>
              <w:spacing w:before="0" w:beforeLines="0" w:after="0" w:afterLines="0" w:line="360" w:lineRule="auto"/>
              <w:ind w:leftChars="0" w:right="0" w:rightChars="0"/>
              <w:textAlignment w:val="auto"/>
              <w:rPr>
                <w:rFonts w:hint="eastAsia"/>
                <w:color w:val="auto"/>
                <w:highlight w:val="none"/>
                <w:lang w:val="en-US" w:eastAsia="zh-CN"/>
              </w:rPr>
            </w:pPr>
            <w:r>
              <w:rPr>
                <w:rFonts w:hint="eastAsia" w:hAnsi="Calibri"/>
                <w:color w:val="auto"/>
                <w:sz w:val="21"/>
                <w:szCs w:val="21"/>
                <w:highlight w:val="none"/>
              </w:rPr>
              <w:t>说明：本项最</w:t>
            </w:r>
            <w:r>
              <w:rPr>
                <w:rFonts w:hint="eastAsia" w:ascii="宋体" w:hAnsi="宋体" w:eastAsia="宋体" w:cs="宋体"/>
                <w:color w:val="auto"/>
                <w:sz w:val="21"/>
                <w:szCs w:val="21"/>
                <w:highlight w:val="none"/>
              </w:rPr>
              <w:t>高得</w:t>
            </w:r>
            <w:r>
              <w:rPr>
                <w:rFonts w:hint="eastAsia" w:ascii="宋体" w:hAnsi="宋体" w:cs="宋体"/>
                <w:color w:val="auto"/>
                <w:sz w:val="21"/>
                <w:szCs w:val="21"/>
                <w:highlight w:val="none"/>
                <w:lang w:val="en-US" w:eastAsia="zh-CN"/>
              </w:rPr>
              <w:t>10</w:t>
            </w:r>
            <w:r>
              <w:rPr>
                <w:rFonts w:hint="eastAsia" w:hAnsi="Calibri"/>
                <w:color w:val="auto"/>
                <w:sz w:val="21"/>
                <w:szCs w:val="21"/>
                <w:highlight w:val="none"/>
              </w:rPr>
              <w:t>分。</w:t>
            </w:r>
          </w:p>
        </w:tc>
        <w:tc>
          <w:tcPr>
            <w:tcW w:w="4252" w:type="dxa"/>
            <w:noWrap w:val="0"/>
            <w:vAlign w:val="center"/>
          </w:tcPr>
          <w:p w14:paraId="67D68769">
            <w:pPr>
              <w:pStyle w:val="10"/>
              <w:wordWrap w:val="0"/>
              <w:adjustRightInd w:val="0"/>
              <w:snapToGrid w:val="0"/>
              <w:spacing w:after="0"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1．须提供税务部门颁发的纳税信用证书（或证明材料）彩色扫描件及</w:t>
            </w:r>
            <w:r>
              <w:rPr>
                <w:rFonts w:hint="eastAsia" w:ascii="宋体" w:hAnsi="宋体" w:eastAsia="宋体" w:cs="宋体"/>
                <w:color w:val="auto"/>
                <w:sz w:val="21"/>
                <w:szCs w:val="21"/>
                <w:highlight w:val="none"/>
              </w:rPr>
              <w:t>地市级或以上税务局查询网页截图，否则不得分。</w:t>
            </w:r>
          </w:p>
          <w:p w14:paraId="12B9F250">
            <w:pPr>
              <w:pStyle w:val="10"/>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2．只计算投标人自身（不计算投标人的分公司、子公司及分支机构）。</w:t>
            </w:r>
          </w:p>
        </w:tc>
      </w:tr>
      <w:tr w14:paraId="3022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1121" w:type="dxa"/>
            <w:vMerge w:val="restart"/>
            <w:noWrap w:val="0"/>
            <w:vAlign w:val="center"/>
          </w:tcPr>
          <w:p w14:paraId="71CE1FF8">
            <w:pPr>
              <w:keepNext w:val="0"/>
              <w:keepLines w:val="0"/>
              <w:pageBreakBefore w:val="0"/>
              <w:widowControl w:val="0"/>
              <w:kinsoku/>
              <w:wordWrap/>
              <w:overflowPunct/>
              <w:topLinePunct w:val="0"/>
              <w:autoSpaceDE/>
              <w:autoSpaceDN/>
              <w:bidi w:val="0"/>
              <w:adjustRightInd w:val="0"/>
              <w:snapToGrid/>
              <w:spacing w:after="0" w:afterLines="0" w:afterAutospacing="0" w:line="40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项目监理机构其他人员</w:t>
            </w:r>
          </w:p>
          <w:p w14:paraId="472BEDE2">
            <w:pPr>
              <w:keepNext w:val="0"/>
              <w:keepLines w:val="0"/>
              <w:pageBreakBefore w:val="0"/>
              <w:widowControl w:val="0"/>
              <w:kinsoku/>
              <w:wordWrap/>
              <w:overflowPunct/>
              <w:topLinePunct w:val="0"/>
              <w:autoSpaceDE/>
              <w:autoSpaceDN/>
              <w:bidi w:val="0"/>
              <w:snapToGrid/>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w:t>
            </w:r>
            <w:r>
              <w:rPr>
                <w:rFonts w:hint="eastAsia" w:hAnsi="宋体" w:eastAsia="宋体" w:cs="宋体"/>
                <w:b/>
                <w:bCs/>
                <w:strike w:val="0"/>
                <w:dstrike w:val="0"/>
                <w:snapToGrid w:val="0"/>
                <w:color w:val="auto"/>
                <w:kern w:val="0"/>
                <w:sz w:val="21"/>
                <w:szCs w:val="21"/>
                <w:highlight w:val="none"/>
                <w:u w:val="none"/>
                <w:lang w:val="en-US" w:eastAsia="zh-CN" w:bidi="ar-SA"/>
              </w:rPr>
              <w:t>20</w:t>
            </w:r>
            <w:r>
              <w:rPr>
                <w:rFonts w:hint="eastAsia" w:ascii="宋体" w:hAnsi="宋体" w:eastAsia="宋体" w:cs="宋体"/>
                <w:b/>
                <w:bCs/>
                <w:strike w:val="0"/>
                <w:dstrike w:val="0"/>
                <w:snapToGrid w:val="0"/>
                <w:color w:val="auto"/>
                <w:kern w:val="0"/>
                <w:sz w:val="21"/>
                <w:szCs w:val="21"/>
                <w:highlight w:val="none"/>
                <w:u w:val="none"/>
                <w:lang w:val="en-US" w:eastAsia="zh-CN" w:bidi="ar-SA"/>
              </w:rPr>
              <w:t>分）</w:t>
            </w:r>
          </w:p>
        </w:tc>
        <w:tc>
          <w:tcPr>
            <w:tcW w:w="4135" w:type="dxa"/>
            <w:noWrap w:val="0"/>
            <w:vAlign w:val="center"/>
          </w:tcPr>
          <w:p w14:paraId="12F45A52">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snapToGrid w:val="0"/>
                <w:color w:val="auto"/>
                <w:kern w:val="0"/>
                <w:sz w:val="21"/>
                <w:szCs w:val="21"/>
                <w:highlight w:val="none"/>
              </w:rPr>
              <w:t>其他拟派人员</w:t>
            </w:r>
            <w:r>
              <w:rPr>
                <w:rFonts w:hint="eastAsia" w:ascii="宋体" w:hAnsi="宋体" w:eastAsia="宋体" w:cs="宋体"/>
                <w:snapToGrid w:val="0"/>
                <w:color w:val="auto"/>
                <w:kern w:val="0"/>
                <w:sz w:val="21"/>
                <w:szCs w:val="21"/>
                <w:highlight w:val="none"/>
                <w:lang w:eastAsia="zh-CN"/>
              </w:rPr>
              <w:t>的</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数量和专业完全满足表2《项目监理机构其他人员需求表》（以下简称《需求表》）要求的得5分。</w:t>
            </w:r>
          </w:p>
          <w:p w14:paraId="4FD69C4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说明：本项最高得5分。</w:t>
            </w:r>
          </w:p>
        </w:tc>
        <w:tc>
          <w:tcPr>
            <w:tcW w:w="4252" w:type="dxa"/>
            <w:noWrap w:val="0"/>
            <w:vAlign w:val="center"/>
          </w:tcPr>
          <w:p w14:paraId="696A8539">
            <w:pPr>
              <w:pStyle w:val="10"/>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1.须提供相关证书、证明材料彩色扫描件（</w:t>
            </w:r>
            <w:r>
              <w:rPr>
                <w:rFonts w:hint="eastAsia" w:ascii="宋体" w:hAnsi="宋体" w:eastAsia="宋体" w:cs="宋体"/>
                <w:color w:val="auto"/>
                <w:sz w:val="21"/>
                <w:szCs w:val="21"/>
                <w:highlight w:val="none"/>
                <w:lang w:eastAsia="zh-CN"/>
              </w:rPr>
              <w:t>或电子证书）</w:t>
            </w:r>
            <w:r>
              <w:rPr>
                <w:rFonts w:hint="eastAsia" w:ascii="宋体" w:hAnsi="宋体" w:eastAsia="宋体" w:cs="宋体"/>
                <w:color w:val="auto"/>
                <w:sz w:val="21"/>
                <w:szCs w:val="21"/>
                <w:highlight w:val="none"/>
                <w:lang w:val="en-US" w:eastAsia="zh-CN"/>
              </w:rPr>
              <w:t>。</w:t>
            </w:r>
          </w:p>
          <w:p w14:paraId="7AB6973D">
            <w:pPr>
              <w:pStyle w:val="10"/>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2.其他拟派人员的数量或专业不满足《需求表》要求的，均视为“不符合要求”。</w:t>
            </w:r>
          </w:p>
        </w:tc>
      </w:tr>
      <w:tr w14:paraId="32F1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1" w:type="dxa"/>
            <w:vMerge w:val="continue"/>
            <w:noWrap w:val="0"/>
            <w:vAlign w:val="center"/>
          </w:tcPr>
          <w:p w14:paraId="3E16F552">
            <w:pPr>
              <w:keepNext w:val="0"/>
              <w:keepLines w:val="0"/>
              <w:pageBreakBefore w:val="0"/>
              <w:kinsoku/>
              <w:wordWrap/>
              <w:overflowPunct/>
              <w:topLinePunct w:val="0"/>
              <w:autoSpaceDE/>
              <w:autoSpaceDN/>
              <w:bidi w:val="0"/>
              <w:snapToGrid/>
              <w:spacing w:line="400" w:lineRule="exact"/>
              <w:ind w:leftChars="0"/>
              <w:rPr>
                <w:rFonts w:hint="eastAsia" w:ascii="宋体" w:hAnsi="宋体" w:eastAsia="宋体" w:cs="宋体"/>
                <w:color w:val="auto"/>
                <w:sz w:val="21"/>
                <w:szCs w:val="21"/>
                <w:highlight w:val="none"/>
              </w:rPr>
            </w:pPr>
          </w:p>
        </w:tc>
        <w:tc>
          <w:tcPr>
            <w:tcW w:w="4135" w:type="dxa"/>
            <w:noWrap w:val="0"/>
            <w:vAlign w:val="center"/>
          </w:tcPr>
          <w:p w14:paraId="2AE07D27">
            <w:pPr>
              <w:pStyle w:val="10"/>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2.在完全满足《需求表》的基础上，拟委派本项目的人员（项目总监除外）：</w:t>
            </w:r>
          </w:p>
          <w:p w14:paraId="3511620D">
            <w:pPr>
              <w:pStyle w:val="10"/>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b w:val="0"/>
                <w:bCs w:val="0"/>
                <w:color w:val="auto"/>
                <w:sz w:val="21"/>
                <w:szCs w:val="21"/>
                <w:highlight w:val="none"/>
                <w:lang w:val="en-US" w:eastAsia="zh-CN"/>
              </w:rPr>
              <w:t>房屋建筑工程</w:t>
            </w:r>
            <w:r>
              <w:rPr>
                <w:rFonts w:hint="eastAsia" w:ascii="宋体" w:hAnsi="宋体" w:eastAsia="宋体" w:cs="宋体"/>
                <w:snapToGrid w:val="0"/>
                <w:color w:val="auto"/>
                <w:kern w:val="0"/>
                <w:sz w:val="21"/>
                <w:szCs w:val="21"/>
                <w:highlight w:val="none"/>
              </w:rPr>
              <w:t>监理工程师：工程类高级工程师</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以上职称证书的得</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分。</w:t>
            </w:r>
          </w:p>
          <w:p w14:paraId="3208E29C">
            <w:pPr>
              <w:pStyle w:val="10"/>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2、安全</w:t>
            </w:r>
            <w:r>
              <w:rPr>
                <w:rFonts w:hint="eastAsia" w:ascii="宋体" w:hAnsi="宋体" w:eastAsia="宋体" w:cs="宋体"/>
                <w:snapToGrid w:val="0"/>
                <w:color w:val="auto"/>
                <w:kern w:val="0"/>
                <w:sz w:val="21"/>
                <w:szCs w:val="21"/>
                <w:highlight w:val="none"/>
                <w:lang w:eastAsia="zh-CN"/>
              </w:rPr>
              <w:t>监理工程师</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eastAsia="zh-CN"/>
              </w:rPr>
              <w:t>同时</w:t>
            </w:r>
            <w:r>
              <w:rPr>
                <w:rFonts w:hint="eastAsia" w:ascii="宋体" w:hAnsi="宋体" w:eastAsia="宋体" w:cs="宋体"/>
                <w:snapToGrid w:val="0"/>
                <w:color w:val="auto"/>
                <w:kern w:val="0"/>
                <w:sz w:val="21"/>
                <w:szCs w:val="21"/>
                <w:highlight w:val="none"/>
              </w:rPr>
              <w:t>具备安全评价师</w:t>
            </w:r>
            <w:r>
              <w:rPr>
                <w:rFonts w:hint="eastAsia" w:ascii="宋体" w:hAnsi="宋体" w:eastAsia="宋体" w:cs="宋体"/>
                <w:snapToGrid w:val="0"/>
                <w:color w:val="auto"/>
                <w:kern w:val="0"/>
                <w:sz w:val="21"/>
                <w:szCs w:val="21"/>
                <w:highlight w:val="none"/>
                <w:lang w:val="en-US" w:eastAsia="zh-CN"/>
              </w:rPr>
              <w:t>职业资格证书和</w:t>
            </w:r>
            <w:r>
              <w:rPr>
                <w:rFonts w:hint="eastAsia" w:ascii="宋体" w:hAnsi="宋体" w:eastAsia="宋体" w:cs="宋体"/>
                <w:snapToGrid w:val="0"/>
                <w:color w:val="auto"/>
                <w:kern w:val="0"/>
                <w:sz w:val="21"/>
                <w:szCs w:val="21"/>
                <w:highlight w:val="none"/>
              </w:rPr>
              <w:t>工程类高级工程师</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以上职称证书的得</w:t>
            </w:r>
            <w:r>
              <w:rPr>
                <w:rFonts w:hint="eastAsia" w:ascii="宋体" w:hAnsi="宋体" w:eastAsia="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分。</w:t>
            </w:r>
          </w:p>
          <w:p w14:paraId="0CD04E3F">
            <w:pPr>
              <w:pStyle w:val="9"/>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snapToGrid w:val="0"/>
                <w:color w:val="auto"/>
                <w:kern w:val="0"/>
                <w:sz w:val="21"/>
                <w:szCs w:val="21"/>
                <w:highlight w:val="none"/>
              </w:rPr>
              <w:t>3、造价</w:t>
            </w:r>
            <w:r>
              <w:rPr>
                <w:rFonts w:hint="eastAsia" w:ascii="宋体" w:hAnsi="宋体" w:eastAsia="宋体" w:cs="宋体"/>
                <w:snapToGrid w:val="0"/>
                <w:color w:val="auto"/>
                <w:kern w:val="0"/>
                <w:sz w:val="21"/>
                <w:szCs w:val="21"/>
                <w:highlight w:val="none"/>
                <w:lang w:eastAsia="zh-CN"/>
              </w:rPr>
              <w:t>工程师</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eastAsia="zh-CN"/>
              </w:rPr>
              <w:t>同时</w:t>
            </w:r>
            <w:r>
              <w:rPr>
                <w:rFonts w:hint="eastAsia" w:ascii="宋体" w:hAnsi="宋体" w:eastAsia="宋体" w:cs="宋体"/>
                <w:snapToGrid w:val="0"/>
                <w:color w:val="auto"/>
                <w:kern w:val="0"/>
                <w:sz w:val="21"/>
                <w:szCs w:val="21"/>
                <w:highlight w:val="none"/>
              </w:rPr>
              <w:t>具备</w:t>
            </w:r>
            <w:r>
              <w:rPr>
                <w:rFonts w:hint="eastAsia" w:ascii="宋体" w:hAnsi="宋体" w:eastAsia="宋体" w:cs="宋体"/>
                <w:snapToGrid w:val="0"/>
                <w:color w:val="auto"/>
                <w:kern w:val="0"/>
                <w:sz w:val="21"/>
                <w:szCs w:val="21"/>
                <w:highlight w:val="none"/>
                <w:lang w:val="en-US" w:eastAsia="zh-CN"/>
              </w:rPr>
              <w:t>一级造价工程师注册证书和</w:t>
            </w:r>
            <w:r>
              <w:rPr>
                <w:rFonts w:hint="eastAsia" w:ascii="宋体" w:hAnsi="宋体" w:eastAsia="宋体" w:cs="宋体"/>
                <w:snapToGrid w:val="0"/>
                <w:color w:val="auto"/>
                <w:kern w:val="0"/>
                <w:sz w:val="21"/>
                <w:szCs w:val="21"/>
                <w:highlight w:val="none"/>
              </w:rPr>
              <w:t>工程造价相关专业高级工程师</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以上职称证书的得</w:t>
            </w:r>
            <w:r>
              <w:rPr>
                <w:rFonts w:hint="eastAsia" w:ascii="宋体" w:hAnsi="宋体" w:eastAsia="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分。</w:t>
            </w:r>
          </w:p>
        </w:tc>
        <w:tc>
          <w:tcPr>
            <w:tcW w:w="4252" w:type="dxa"/>
            <w:noWrap w:val="0"/>
            <w:vAlign w:val="center"/>
          </w:tcPr>
          <w:p w14:paraId="2FC2E925">
            <w:pPr>
              <w:pStyle w:val="10"/>
              <w:wordWrap w:val="0"/>
              <w:adjustRightInd w:val="0"/>
              <w:snapToGrid w:val="0"/>
              <w:spacing w:after="0"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1．需提供</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auto"/>
                <w:sz w:val="21"/>
                <w:szCs w:val="21"/>
                <w:highlight w:val="none"/>
              </w:rPr>
              <w:t>证书</w:t>
            </w:r>
            <w:r>
              <w:rPr>
                <w:rFonts w:hint="eastAsia" w:ascii="宋体" w:hAnsi="宋体" w:eastAsia="宋体" w:cs="宋体"/>
                <w:color w:val="auto"/>
                <w:sz w:val="21"/>
                <w:szCs w:val="21"/>
                <w:highlight w:val="none"/>
                <w:lang w:val="en-US" w:eastAsia="zh-CN"/>
              </w:rPr>
              <w:t>彩色</w:t>
            </w:r>
            <w:r>
              <w:rPr>
                <w:rFonts w:hint="eastAsia" w:ascii="宋体" w:hAnsi="宋体" w:eastAsia="宋体" w:cs="宋体"/>
                <w:color w:val="auto"/>
                <w:sz w:val="21"/>
                <w:szCs w:val="21"/>
                <w:highlight w:val="none"/>
              </w:rPr>
              <w:t>扫描件。</w:t>
            </w:r>
          </w:p>
          <w:p w14:paraId="5E2D279A">
            <w:pPr>
              <w:pStyle w:val="10"/>
              <w:wordWrap w:val="0"/>
              <w:adjustRightInd w:val="0"/>
              <w:snapToGrid w:val="0"/>
              <w:spacing w:after="0" w:line="400" w:lineRule="exact"/>
              <w:jc w:val="both"/>
              <w:rPr>
                <w:rFonts w:hint="eastAsia" w:ascii="宋体" w:hAnsi="宋体" w:eastAsia="宋体" w:cs="宋体"/>
                <w:color w:val="auto"/>
                <w:sz w:val="21"/>
                <w:szCs w:val="21"/>
                <w:highlight w:val="none"/>
              </w:rPr>
            </w:pPr>
          </w:p>
        </w:tc>
      </w:tr>
      <w:tr w14:paraId="7F9A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508" w:type="dxa"/>
            <w:gridSpan w:val="3"/>
            <w:shd w:val="clear" w:color="auto" w:fill="BEBEBE"/>
            <w:noWrap w:val="0"/>
            <w:vAlign w:val="top"/>
          </w:tcPr>
          <w:p w14:paraId="0B4F3422">
            <w:pPr>
              <w:widowControl w:val="0"/>
              <w:shd w:val="clear" w:color="auto" w:fill="BEBEBE"/>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技术部分（监理大纲）满分：10分。</w:t>
            </w:r>
          </w:p>
        </w:tc>
      </w:tr>
      <w:tr w14:paraId="47C1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121" w:type="dxa"/>
            <w:noWrap w:val="0"/>
            <w:vAlign w:val="center"/>
          </w:tcPr>
          <w:p w14:paraId="4B043627">
            <w:pPr>
              <w:widowControl w:val="0"/>
              <w:wordWrap w:val="0"/>
              <w:adjustRightInd w:val="0"/>
              <w:snapToGrid w:val="0"/>
              <w:spacing w:after="0" w:afterLines="0" w:afterAutospacing="0" w:line="240" w:lineRule="auto"/>
              <w:jc w:val="center"/>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评分因素</w:t>
            </w:r>
          </w:p>
        </w:tc>
        <w:tc>
          <w:tcPr>
            <w:tcW w:w="4135" w:type="dxa"/>
            <w:noWrap w:val="0"/>
            <w:vAlign w:val="center"/>
          </w:tcPr>
          <w:p w14:paraId="5BB7AED8">
            <w:pPr>
              <w:widowControl w:val="0"/>
              <w:wordWrap w:val="0"/>
              <w:adjustRightInd w:val="0"/>
              <w:snapToGrid w:val="0"/>
              <w:spacing w:after="0" w:afterLines="0" w:afterAutospacing="0" w:line="440" w:lineRule="exact"/>
              <w:jc w:val="center"/>
              <w:rPr>
                <w:rFonts w:hint="eastAsia" w:ascii="宋体" w:hAnsi="宋体" w:eastAsia="宋体" w:cs="宋体"/>
                <w:b/>
                <w:bCs/>
                <w:strike w:val="0"/>
                <w:dstrike w:val="0"/>
                <w:color w:val="auto"/>
                <w:kern w:val="2"/>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评分标准</w:t>
            </w:r>
          </w:p>
        </w:tc>
        <w:tc>
          <w:tcPr>
            <w:tcW w:w="4252" w:type="dxa"/>
            <w:noWrap w:val="0"/>
            <w:vAlign w:val="center"/>
          </w:tcPr>
          <w:p w14:paraId="4A3D7D31">
            <w:pPr>
              <w:widowControl w:val="0"/>
              <w:wordWrap w:val="0"/>
              <w:adjustRightInd w:val="0"/>
              <w:snapToGrid w:val="0"/>
              <w:spacing w:after="0" w:afterLines="0" w:afterAutospacing="0" w:line="440" w:lineRule="exact"/>
              <w:jc w:val="center"/>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备注</w:t>
            </w:r>
          </w:p>
        </w:tc>
      </w:tr>
      <w:tr w14:paraId="4EF6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121" w:type="dxa"/>
            <w:noWrap w:val="0"/>
            <w:vAlign w:val="center"/>
          </w:tcPr>
          <w:p w14:paraId="4230F8C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监理依据</w:t>
            </w:r>
          </w:p>
          <w:p w14:paraId="75E52B5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及工作目标</w:t>
            </w:r>
          </w:p>
          <w:p w14:paraId="4D814C5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135" w:type="dxa"/>
            <w:noWrap w:val="0"/>
            <w:vAlign w:val="center"/>
          </w:tcPr>
          <w:p w14:paraId="545E9AB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【优】得该项因素分的85%～100%（含85%）；</w:t>
            </w:r>
          </w:p>
          <w:p w14:paraId="269BACF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【良】得该项因素分的70%～85%（含70%）；</w:t>
            </w:r>
          </w:p>
          <w:p w14:paraId="59014C1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【中】得该项因素分的60%～70%（含60%）；</w:t>
            </w:r>
          </w:p>
          <w:p w14:paraId="45D01CC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【差】得该项因素分的0～60%（含0分）。</w:t>
            </w:r>
          </w:p>
        </w:tc>
        <w:tc>
          <w:tcPr>
            <w:tcW w:w="4252" w:type="dxa"/>
            <w:noWrap w:val="0"/>
            <w:vAlign w:val="center"/>
          </w:tcPr>
          <w:p w14:paraId="355B0C0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要求依据全面、适用；目标清晰、正确；针对性强。</w:t>
            </w:r>
          </w:p>
        </w:tc>
      </w:tr>
      <w:tr w14:paraId="5C4C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21" w:type="dxa"/>
            <w:noWrap w:val="0"/>
            <w:vAlign w:val="center"/>
          </w:tcPr>
          <w:p w14:paraId="2C1F5F0F">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工程质量</w:t>
            </w:r>
          </w:p>
          <w:p w14:paraId="0A6CD19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监理措施</w:t>
            </w:r>
          </w:p>
          <w:p w14:paraId="4F0521A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135" w:type="dxa"/>
            <w:noWrap w:val="0"/>
            <w:vAlign w:val="center"/>
          </w:tcPr>
          <w:p w14:paraId="4B1DDE1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【优】得该项因素分的85%～100%（含85%）；</w:t>
            </w:r>
          </w:p>
          <w:p w14:paraId="14D8CC8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【良】得该项因素分的70%～85%（含70%）；</w:t>
            </w:r>
          </w:p>
          <w:p w14:paraId="7CEC967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【中】得该项因素分的60%～70%（含60%）；</w:t>
            </w:r>
          </w:p>
          <w:p w14:paraId="76233232">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【差】得该项因素分的0～60%（含0分）。</w:t>
            </w:r>
          </w:p>
        </w:tc>
        <w:tc>
          <w:tcPr>
            <w:tcW w:w="4252" w:type="dxa"/>
            <w:vMerge w:val="restart"/>
            <w:noWrap w:val="0"/>
            <w:vAlign w:val="center"/>
          </w:tcPr>
          <w:p w14:paraId="55CA817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both"/>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要求目标正确、方法可行、预控和动态管理措施具体、针对性强。脱离本工程实际、机械照搬照抄规范和技术标准的，不能得满分。</w:t>
            </w:r>
          </w:p>
        </w:tc>
      </w:tr>
      <w:tr w14:paraId="15C0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21" w:type="dxa"/>
            <w:noWrap w:val="0"/>
            <w:vAlign w:val="center"/>
          </w:tcPr>
          <w:p w14:paraId="7DC55C2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工程进度</w:t>
            </w:r>
          </w:p>
          <w:p w14:paraId="778B1C6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监理措施</w:t>
            </w:r>
          </w:p>
          <w:p w14:paraId="3CE2206F">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135" w:type="dxa"/>
            <w:noWrap w:val="0"/>
            <w:vAlign w:val="center"/>
          </w:tcPr>
          <w:p w14:paraId="3FB3A58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【优】得该项因素分的85%～100%（含85%）；</w:t>
            </w:r>
          </w:p>
          <w:p w14:paraId="5449861D">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【良】得该项因素分的70%～85%（含70%）；</w:t>
            </w:r>
          </w:p>
          <w:p w14:paraId="0AB3741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【中】得该项因素分的60%～70%（含60%）；</w:t>
            </w:r>
          </w:p>
          <w:p w14:paraId="07EFB44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【差】得该项因素分的0～60%（含0分）。</w:t>
            </w:r>
          </w:p>
        </w:tc>
        <w:tc>
          <w:tcPr>
            <w:tcW w:w="4252" w:type="dxa"/>
            <w:vMerge w:val="continue"/>
            <w:noWrap w:val="0"/>
            <w:vAlign w:val="center"/>
          </w:tcPr>
          <w:p w14:paraId="313073B6">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1"/>
                <w:szCs w:val="21"/>
                <w:highlight w:val="none"/>
                <w:lang w:val="en-US" w:eastAsia="zh-CN" w:bidi="ar-SA"/>
              </w:rPr>
            </w:pPr>
          </w:p>
        </w:tc>
      </w:tr>
      <w:tr w14:paraId="41A0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21" w:type="dxa"/>
            <w:noWrap w:val="0"/>
            <w:vAlign w:val="center"/>
          </w:tcPr>
          <w:p w14:paraId="14997CF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工程造价</w:t>
            </w:r>
          </w:p>
          <w:p w14:paraId="44BDB83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监理措施</w:t>
            </w:r>
          </w:p>
          <w:p w14:paraId="6815EAC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135" w:type="dxa"/>
            <w:noWrap w:val="0"/>
            <w:vAlign w:val="center"/>
          </w:tcPr>
          <w:p w14:paraId="4920A2B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【优】得该项因素分的85%～100%（含85%）；</w:t>
            </w:r>
          </w:p>
          <w:p w14:paraId="45BD76F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【良】得该项因素分的70%～85%（含70%）；</w:t>
            </w:r>
          </w:p>
          <w:p w14:paraId="2B5CA85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【中】得该项因素分的60%～70%（含60%）；</w:t>
            </w:r>
          </w:p>
          <w:p w14:paraId="05FEC66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【差】得该项因素分的0～60%（含0分）。</w:t>
            </w:r>
          </w:p>
        </w:tc>
        <w:tc>
          <w:tcPr>
            <w:tcW w:w="4252" w:type="dxa"/>
            <w:vMerge w:val="continue"/>
            <w:noWrap w:val="0"/>
            <w:vAlign w:val="center"/>
          </w:tcPr>
          <w:p w14:paraId="00A95AC6">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1"/>
                <w:szCs w:val="21"/>
                <w:highlight w:val="none"/>
                <w:lang w:val="en-US" w:eastAsia="zh-CN" w:bidi="ar-SA"/>
              </w:rPr>
            </w:pPr>
          </w:p>
        </w:tc>
      </w:tr>
      <w:tr w14:paraId="306F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21" w:type="dxa"/>
            <w:noWrap w:val="0"/>
            <w:vAlign w:val="center"/>
          </w:tcPr>
          <w:p w14:paraId="4850A56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安全防护</w:t>
            </w:r>
          </w:p>
          <w:p w14:paraId="7AFDDB5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监理措施</w:t>
            </w:r>
          </w:p>
          <w:p w14:paraId="2F9950CB">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135" w:type="dxa"/>
            <w:noWrap w:val="0"/>
            <w:vAlign w:val="center"/>
          </w:tcPr>
          <w:p w14:paraId="2C7F321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【优】得该项因素分的85%～100%（含85%）；</w:t>
            </w:r>
          </w:p>
          <w:p w14:paraId="6B1DAA0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【良】得该项因素分的70%～85%（含70%）；</w:t>
            </w:r>
          </w:p>
          <w:p w14:paraId="34E73EDF">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【中】得该项因素分的60%～70%（含60%）；</w:t>
            </w:r>
          </w:p>
          <w:p w14:paraId="5FFDABD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【差】得该项因素分的0～60%（含0分）。</w:t>
            </w:r>
          </w:p>
        </w:tc>
        <w:tc>
          <w:tcPr>
            <w:tcW w:w="4252" w:type="dxa"/>
            <w:vMerge w:val="continue"/>
            <w:noWrap w:val="0"/>
            <w:vAlign w:val="center"/>
          </w:tcPr>
          <w:p w14:paraId="3DC55801">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1"/>
                <w:szCs w:val="21"/>
                <w:highlight w:val="none"/>
                <w:lang w:val="en-US" w:eastAsia="zh-CN" w:bidi="ar-SA"/>
              </w:rPr>
            </w:pPr>
          </w:p>
        </w:tc>
      </w:tr>
      <w:tr w14:paraId="7A8B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21" w:type="dxa"/>
            <w:noWrap w:val="0"/>
            <w:vAlign w:val="center"/>
          </w:tcPr>
          <w:p w14:paraId="1531BB6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绿色施工</w:t>
            </w:r>
          </w:p>
          <w:p w14:paraId="4177E9C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、文明施工</w:t>
            </w:r>
          </w:p>
          <w:p w14:paraId="143324F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监理措施</w:t>
            </w:r>
          </w:p>
          <w:p w14:paraId="77E6557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135" w:type="dxa"/>
            <w:noWrap w:val="0"/>
            <w:vAlign w:val="center"/>
          </w:tcPr>
          <w:p w14:paraId="2164901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【优】得该项因素分的85%～100%（含85%）；</w:t>
            </w:r>
          </w:p>
          <w:p w14:paraId="154FB47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【良】得该项因素分的70%～85%（含70%）；</w:t>
            </w:r>
          </w:p>
          <w:p w14:paraId="7C66503D">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【中】得该项因素分的60%～70%（含60%）；</w:t>
            </w:r>
          </w:p>
          <w:p w14:paraId="5D2FA1D2">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【差】得该项因素分的0～60%（含0分）。</w:t>
            </w:r>
          </w:p>
        </w:tc>
        <w:tc>
          <w:tcPr>
            <w:tcW w:w="4252" w:type="dxa"/>
            <w:vMerge w:val="continue"/>
            <w:noWrap w:val="0"/>
            <w:vAlign w:val="center"/>
          </w:tcPr>
          <w:p w14:paraId="0049FBA1">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1"/>
                <w:szCs w:val="21"/>
                <w:highlight w:val="none"/>
                <w:lang w:val="en-US" w:eastAsia="zh-CN" w:bidi="ar-SA"/>
              </w:rPr>
            </w:pPr>
          </w:p>
        </w:tc>
      </w:tr>
      <w:tr w14:paraId="78B7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1121" w:type="dxa"/>
            <w:noWrap w:val="0"/>
            <w:vAlign w:val="center"/>
          </w:tcPr>
          <w:p w14:paraId="2B671A8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合同、信息</w:t>
            </w:r>
          </w:p>
          <w:p w14:paraId="08A6821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管理方案</w:t>
            </w:r>
          </w:p>
          <w:p w14:paraId="6C04EE8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135" w:type="dxa"/>
            <w:noWrap w:val="0"/>
            <w:vAlign w:val="center"/>
          </w:tcPr>
          <w:p w14:paraId="75679F5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【优】得该项因素分的85%～100%（含85%）；</w:t>
            </w:r>
          </w:p>
          <w:p w14:paraId="191BCFAD">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【良】得该项因素分的70%～85%（含70%）；</w:t>
            </w:r>
          </w:p>
          <w:p w14:paraId="63D55AC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【中】得该项因素分的60%～70%（含60%）；</w:t>
            </w:r>
          </w:p>
          <w:p w14:paraId="73FDB01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【差】得该项因素分的0～60%（含0分）。</w:t>
            </w:r>
          </w:p>
        </w:tc>
        <w:tc>
          <w:tcPr>
            <w:tcW w:w="4252" w:type="dxa"/>
            <w:noWrap w:val="0"/>
            <w:vAlign w:val="center"/>
          </w:tcPr>
          <w:p w14:paraId="3A1D621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要求各项制度规范清晰，方法科学合理，措施及时有效，针对性强。能够切实防范和处理合同纠纷，提升监理工作效能。</w:t>
            </w:r>
          </w:p>
        </w:tc>
      </w:tr>
      <w:tr w14:paraId="57BF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21" w:type="dxa"/>
            <w:noWrap w:val="0"/>
            <w:vAlign w:val="center"/>
          </w:tcPr>
          <w:p w14:paraId="73A8D3D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组织协调</w:t>
            </w:r>
          </w:p>
          <w:p w14:paraId="384546C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内容及措施</w:t>
            </w:r>
          </w:p>
          <w:p w14:paraId="0694AF5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135" w:type="dxa"/>
            <w:noWrap w:val="0"/>
            <w:vAlign w:val="center"/>
          </w:tcPr>
          <w:p w14:paraId="52420B8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【优】得该项因素分的85%～100%（含85%）；</w:t>
            </w:r>
          </w:p>
          <w:p w14:paraId="17F9BD6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【良】得该项因素分的70%～85%（含70%）；</w:t>
            </w:r>
          </w:p>
          <w:p w14:paraId="1B35D2E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【中】得该项因素分的60%～70%（含60%）；</w:t>
            </w:r>
          </w:p>
          <w:p w14:paraId="564631E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【差】得该项因素分的0～60%（含0分）。</w:t>
            </w:r>
          </w:p>
        </w:tc>
        <w:tc>
          <w:tcPr>
            <w:tcW w:w="4252" w:type="dxa"/>
            <w:noWrap w:val="0"/>
            <w:vAlign w:val="center"/>
          </w:tcPr>
          <w:p w14:paraId="5BAF969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要求各项制度规范清晰，方法科学合理，措施及时有效，针对性强。能够高效收集、协调、处理、反馈各方各类问题。</w:t>
            </w:r>
          </w:p>
        </w:tc>
      </w:tr>
      <w:tr w14:paraId="5014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21" w:type="dxa"/>
            <w:noWrap w:val="0"/>
            <w:vAlign w:val="center"/>
          </w:tcPr>
          <w:p w14:paraId="0BE74F7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监理工作重点、难点分析</w:t>
            </w:r>
          </w:p>
          <w:p w14:paraId="2C37E3A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135" w:type="dxa"/>
            <w:noWrap w:val="0"/>
            <w:vAlign w:val="center"/>
          </w:tcPr>
          <w:p w14:paraId="2BD54D3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【优】得该项因素分的85%～100%（含85%）；</w:t>
            </w:r>
          </w:p>
          <w:p w14:paraId="770AE27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【良】得该项因素分的70%～85%（含70%）；</w:t>
            </w:r>
          </w:p>
          <w:p w14:paraId="1F6FAB6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【中】得该项因素分的60%～70%（含60%）；</w:t>
            </w:r>
          </w:p>
          <w:p w14:paraId="63895B6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【差】得该项因素分的0～60%（含0分）。</w:t>
            </w:r>
          </w:p>
        </w:tc>
        <w:tc>
          <w:tcPr>
            <w:tcW w:w="4252" w:type="dxa"/>
            <w:noWrap w:val="0"/>
            <w:vAlign w:val="center"/>
          </w:tcPr>
          <w:p w14:paraId="10DFCE7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要求方法可行、措施具体、针对性强。</w:t>
            </w:r>
          </w:p>
        </w:tc>
      </w:tr>
      <w:tr w14:paraId="36B1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1121" w:type="dxa"/>
            <w:noWrap w:val="0"/>
            <w:vAlign w:val="center"/>
          </w:tcPr>
          <w:p w14:paraId="4D4B52B7">
            <w:pPr>
              <w:widowControl w:val="0"/>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合理化建议</w:t>
            </w:r>
          </w:p>
          <w:p w14:paraId="06FBD30F">
            <w:pPr>
              <w:widowControl w:val="0"/>
              <w:wordWrap w:val="0"/>
              <w:adjustRightInd w:val="0"/>
              <w:snapToGrid w:val="0"/>
              <w:spacing w:line="400" w:lineRule="exact"/>
              <w:jc w:val="center"/>
              <w:rPr>
                <w:rFonts w:hint="eastAsia" w:ascii="宋体" w:hAnsi="宋体" w:eastAsia="宋体" w:cs="宋体"/>
                <w:strike w:val="0"/>
                <w:dstrike w:val="0"/>
                <w:snapToGrid w:val="0"/>
                <w:color w:val="auto"/>
                <w:kern w:val="0"/>
                <w:sz w:val="21"/>
                <w:szCs w:val="21"/>
                <w:highlight w:val="none"/>
                <w:u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（1分）</w:t>
            </w:r>
          </w:p>
        </w:tc>
        <w:tc>
          <w:tcPr>
            <w:tcW w:w="4135" w:type="dxa"/>
            <w:noWrap w:val="0"/>
            <w:vAlign w:val="center"/>
          </w:tcPr>
          <w:p w14:paraId="0FB5C20D">
            <w:pPr>
              <w:widowControl w:val="0"/>
              <w:wordWrap w:val="0"/>
              <w:adjustRightInd w:val="0"/>
              <w:snapToGrid w:val="0"/>
              <w:spacing w:line="400" w:lineRule="exact"/>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【优】得该项因素分的85%～100%（含85%）；</w:t>
            </w:r>
          </w:p>
          <w:p w14:paraId="6536761B">
            <w:pPr>
              <w:widowControl w:val="0"/>
              <w:wordWrap w:val="0"/>
              <w:adjustRightInd w:val="0"/>
              <w:snapToGrid w:val="0"/>
              <w:spacing w:line="400" w:lineRule="exact"/>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【良】得该项因素分的70%～85%（含70%）；</w:t>
            </w:r>
          </w:p>
          <w:p w14:paraId="1AF465CF">
            <w:pPr>
              <w:widowControl w:val="0"/>
              <w:wordWrap w:val="0"/>
              <w:adjustRightInd w:val="0"/>
              <w:snapToGrid w:val="0"/>
              <w:spacing w:line="400" w:lineRule="exact"/>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【中】得该项因素分的60%～70%（含60%）；</w:t>
            </w:r>
          </w:p>
          <w:p w14:paraId="7EBD4CE5">
            <w:pPr>
              <w:widowControl w:val="0"/>
              <w:wordWrap w:val="0"/>
              <w:adjustRightInd w:val="0"/>
              <w:snapToGrid w:val="0"/>
              <w:spacing w:line="400" w:lineRule="exact"/>
              <w:jc w:val="both"/>
              <w:rPr>
                <w:rFonts w:hint="eastAsia" w:ascii="宋体" w:hAnsi="宋体" w:eastAsia="宋体" w:cs="宋体"/>
                <w:strike w:val="0"/>
                <w:dstrike w:val="0"/>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【差】得该项因素分的0～60%（含0分）。</w:t>
            </w:r>
          </w:p>
        </w:tc>
        <w:tc>
          <w:tcPr>
            <w:tcW w:w="4252" w:type="dxa"/>
            <w:noWrap w:val="0"/>
            <w:vAlign w:val="center"/>
          </w:tcPr>
          <w:p w14:paraId="0360E339">
            <w:pPr>
              <w:widowControl w:val="0"/>
              <w:wordWrap w:val="0"/>
              <w:adjustRightInd w:val="0"/>
              <w:snapToGrid w:val="0"/>
              <w:spacing w:line="400" w:lineRule="exact"/>
              <w:jc w:val="both"/>
              <w:rPr>
                <w:rFonts w:hint="eastAsia" w:ascii="宋体" w:hAnsi="宋体" w:eastAsia="宋体" w:cs="宋体"/>
                <w:bCs/>
                <w:strike w:val="0"/>
                <w:dstrike w:val="0"/>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要求方法可行、措施具体、针对性强。</w:t>
            </w:r>
          </w:p>
        </w:tc>
      </w:tr>
      <w:tr w14:paraId="10FC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508" w:type="dxa"/>
            <w:gridSpan w:val="3"/>
            <w:shd w:val="clear" w:color="auto" w:fill="BEBEBE"/>
            <w:noWrap w:val="0"/>
            <w:vAlign w:val="center"/>
          </w:tcPr>
          <w:p w14:paraId="1E2F77C1">
            <w:pPr>
              <w:keepNext w:val="0"/>
              <w:keepLines w:val="0"/>
              <w:pageBreakBefore w:val="0"/>
              <w:widowControl w:val="0"/>
              <w:shd w:val="clear" w:color="auto" w:fill="BEBEBE"/>
              <w:kinsoku/>
              <w:wordWrap w:val="0"/>
              <w:overflowPunct/>
              <w:topLinePunct w:val="0"/>
              <w:autoSpaceDE/>
              <w:autoSpaceDN/>
              <w:bidi w:val="0"/>
              <w:adjustRightInd w:val="0"/>
              <w:snapToGrid w:val="0"/>
              <w:spacing w:after="0" w:afterLines="0" w:afterAutospacing="0" w:line="240" w:lineRule="auto"/>
              <w:jc w:val="both"/>
              <w:textAlignment w:val="auto"/>
              <w:rPr>
                <w:rFonts w:hint="eastAsia" w:ascii="宋体" w:hAnsi="宋体" w:eastAsia="宋体" w:cs="宋体"/>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投标报价部分满分：</w:t>
            </w:r>
            <w:r>
              <w:rPr>
                <w:rFonts w:hint="eastAsia" w:ascii="宋体" w:hAnsi="宋体" w:eastAsia="宋体" w:cs="宋体"/>
                <w:b/>
                <w:bCs/>
                <w:strike w:val="0"/>
                <w:dstrike w:val="0"/>
                <w:snapToGrid w:val="0"/>
                <w:color w:val="auto"/>
                <w:kern w:val="0"/>
                <w:sz w:val="21"/>
                <w:szCs w:val="21"/>
                <w:highlight w:val="none"/>
                <w:u w:val="single"/>
                <w:lang w:val="en-US" w:eastAsia="zh-CN" w:bidi="ar-SA"/>
              </w:rPr>
              <w:t>30</w:t>
            </w:r>
            <w:r>
              <w:rPr>
                <w:rFonts w:hint="eastAsia" w:ascii="宋体" w:hAnsi="宋体" w:eastAsia="宋体" w:cs="宋体"/>
                <w:b/>
                <w:bCs/>
                <w:strike w:val="0"/>
                <w:dstrike w:val="0"/>
                <w:snapToGrid w:val="0"/>
                <w:color w:val="auto"/>
                <w:kern w:val="0"/>
                <w:sz w:val="21"/>
                <w:szCs w:val="21"/>
                <w:highlight w:val="none"/>
                <w:lang w:val="en-US" w:eastAsia="zh-CN" w:bidi="ar-SA"/>
              </w:rPr>
              <w:t>分。</w:t>
            </w:r>
          </w:p>
        </w:tc>
      </w:tr>
      <w:tr w14:paraId="3C54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121" w:type="dxa"/>
            <w:noWrap w:val="0"/>
            <w:vAlign w:val="center"/>
          </w:tcPr>
          <w:p w14:paraId="78E11C41">
            <w:pPr>
              <w:wordWrap w:val="0"/>
              <w:adjustRightInd w:val="0"/>
              <w:snapToGrid w:val="0"/>
              <w:spacing w:line="240" w:lineRule="auto"/>
              <w:jc w:val="center"/>
              <w:rPr>
                <w:rFonts w:hint="eastAsia" w:ascii="宋体" w:hAnsi="宋体" w:eastAsia="宋体" w:cs="宋体"/>
                <w:b/>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rPr>
              <w:t>评分事项</w:t>
            </w:r>
          </w:p>
        </w:tc>
        <w:tc>
          <w:tcPr>
            <w:tcW w:w="8387" w:type="dxa"/>
            <w:gridSpan w:val="2"/>
            <w:noWrap w:val="0"/>
            <w:vAlign w:val="center"/>
          </w:tcPr>
          <w:p w14:paraId="7D8B0EEB">
            <w:pPr>
              <w:widowControl w:val="0"/>
              <w:wordWrap w:val="0"/>
              <w:adjustRightInd w:val="0"/>
              <w:snapToGrid w:val="0"/>
              <w:spacing w:after="0" w:afterLines="0" w:afterAutospacing="0" w:line="400" w:lineRule="exact"/>
              <w:jc w:val="center"/>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评分方法</w:t>
            </w:r>
          </w:p>
        </w:tc>
      </w:tr>
      <w:tr w14:paraId="775E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121" w:type="dxa"/>
            <w:noWrap w:val="0"/>
            <w:vAlign w:val="center"/>
          </w:tcPr>
          <w:p w14:paraId="598F015A">
            <w:pPr>
              <w:widowControl w:val="0"/>
              <w:adjustRightInd w:val="0"/>
              <w:snapToGrid w:val="0"/>
              <w:spacing w:line="400" w:lineRule="exact"/>
              <w:jc w:val="center"/>
              <w:rPr>
                <w:rFonts w:hint="eastAsia" w:ascii="宋体" w:hAnsi="宋体" w:eastAsia="宋体" w:cs="宋体"/>
                <w:b w:val="0"/>
                <w:bCs w:val="0"/>
                <w:strike w:val="0"/>
                <w:dstrike w:val="0"/>
                <w:color w:val="auto"/>
                <w:kern w:val="2"/>
                <w:sz w:val="21"/>
                <w:szCs w:val="21"/>
                <w:highlight w:val="none"/>
                <w:lang w:val="en-US" w:eastAsia="zh-CN" w:bidi="ar-SA"/>
              </w:rPr>
            </w:pPr>
            <w:r>
              <w:rPr>
                <w:rFonts w:hint="eastAsia" w:ascii="宋体" w:hAnsi="宋体" w:eastAsia="宋体" w:cs="宋体"/>
                <w:b w:val="0"/>
                <w:bCs w:val="0"/>
                <w:strike w:val="0"/>
                <w:dstrike w:val="0"/>
                <w:color w:val="auto"/>
                <w:kern w:val="2"/>
                <w:sz w:val="21"/>
                <w:szCs w:val="21"/>
                <w:highlight w:val="none"/>
                <w:lang w:val="en-US" w:eastAsia="zh-CN" w:bidi="ar-SA"/>
              </w:rPr>
              <w:t>投标</w:t>
            </w:r>
          </w:p>
          <w:p w14:paraId="4B196C4F">
            <w:pPr>
              <w:widowControl w:val="0"/>
              <w:adjustRightInd w:val="0"/>
              <w:snapToGrid w:val="0"/>
              <w:spacing w:line="400" w:lineRule="exact"/>
              <w:jc w:val="center"/>
              <w:rPr>
                <w:rFonts w:hint="eastAsia" w:ascii="宋体" w:hAnsi="宋体" w:eastAsia="宋体" w:cs="宋体"/>
                <w:b w:val="0"/>
                <w:bCs w:val="0"/>
                <w:strike w:val="0"/>
                <w:dstrike w:val="0"/>
                <w:color w:val="auto"/>
                <w:kern w:val="2"/>
                <w:sz w:val="21"/>
                <w:szCs w:val="21"/>
                <w:highlight w:val="none"/>
                <w:lang w:val="en-US" w:eastAsia="zh-CN" w:bidi="ar-SA"/>
              </w:rPr>
            </w:pPr>
            <w:r>
              <w:rPr>
                <w:rFonts w:hint="eastAsia" w:ascii="宋体" w:hAnsi="宋体" w:eastAsia="宋体" w:cs="宋体"/>
                <w:b w:val="0"/>
                <w:bCs w:val="0"/>
                <w:strike w:val="0"/>
                <w:dstrike w:val="0"/>
                <w:color w:val="auto"/>
                <w:kern w:val="2"/>
                <w:sz w:val="21"/>
                <w:szCs w:val="21"/>
                <w:highlight w:val="none"/>
                <w:lang w:val="en-US" w:eastAsia="zh-CN" w:bidi="ar-SA"/>
              </w:rPr>
              <w:t>报价</w:t>
            </w:r>
          </w:p>
          <w:p w14:paraId="10A9EEA1">
            <w:pPr>
              <w:widowControl w:val="0"/>
              <w:adjustRightInd w:val="0"/>
              <w:snapToGrid w:val="0"/>
              <w:spacing w:line="400" w:lineRule="exact"/>
              <w:jc w:val="center"/>
              <w:rPr>
                <w:rFonts w:hint="eastAsia" w:ascii="宋体" w:hAnsi="宋体" w:eastAsia="宋体" w:cs="宋体"/>
                <w:strike w:val="0"/>
                <w:dstrike w:val="0"/>
                <w:snapToGrid w:val="0"/>
                <w:color w:val="auto"/>
                <w:kern w:val="0"/>
                <w:sz w:val="21"/>
                <w:szCs w:val="21"/>
                <w:highlight w:val="none"/>
                <w:lang w:val="en-US" w:eastAsia="zh-CN" w:bidi="ar-SA"/>
              </w:rPr>
            </w:pPr>
          </w:p>
        </w:tc>
        <w:tc>
          <w:tcPr>
            <w:tcW w:w="8387" w:type="dxa"/>
            <w:gridSpan w:val="2"/>
            <w:noWrap w:val="0"/>
            <w:vAlign w:val="center"/>
          </w:tcPr>
          <w:p w14:paraId="2DF33528">
            <w:pPr>
              <w:wordWrap w:val="0"/>
              <w:adjustRightInd w:val="0"/>
              <w:snapToGrid w:val="0"/>
              <w:spacing w:line="240" w:lineRule="auto"/>
              <w:ind w:firstLine="210" w:firstLineChars="100"/>
              <w:jc w:val="left"/>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（1）确定最高投标限价下浮系数n：用1～21号球分别代表一个下浮系数，由评委代表从这21个号码中随机抽取</w:t>
            </w:r>
            <w:r>
              <w:rPr>
                <w:rFonts w:hint="eastAsia" w:ascii="宋体" w:hAnsi="宋体" w:eastAsia="宋体" w:cs="宋体"/>
                <w:strike w:val="0"/>
                <w:dstrike w:val="0"/>
                <w:snapToGrid w:val="0"/>
                <w:color w:val="auto"/>
                <w:kern w:val="0"/>
                <w:sz w:val="21"/>
                <w:szCs w:val="21"/>
                <w:highlight w:val="none"/>
                <w:u w:val="single"/>
              </w:rPr>
              <w:t>3</w:t>
            </w:r>
            <w:r>
              <w:rPr>
                <w:rFonts w:hint="eastAsia" w:ascii="宋体" w:hAnsi="宋体" w:eastAsia="宋体" w:cs="宋体"/>
                <w:strike w:val="0"/>
                <w:dstrike w:val="0"/>
                <w:snapToGrid w:val="0"/>
                <w:color w:val="auto"/>
                <w:kern w:val="0"/>
                <w:sz w:val="21"/>
                <w:szCs w:val="21"/>
                <w:highlight w:val="none"/>
              </w:rPr>
              <w:t>次，每次抽取1个号码，抽出的号球不参与下次抽取。所抽取的3个号码对应下浮系数的算术平均值作为最高投标限价下浮系数n。具体号码对应的下浮系数可参考下表。</w:t>
            </w:r>
          </w:p>
          <w:tbl>
            <w:tblPr>
              <w:tblStyle w:val="31"/>
              <w:tblW w:w="0" w:type="auto"/>
              <w:tblInd w:w="118" w:type="dxa"/>
              <w:tblLayout w:type="fixed"/>
              <w:tblCellMar>
                <w:top w:w="0" w:type="dxa"/>
                <w:left w:w="108" w:type="dxa"/>
                <w:bottom w:w="0" w:type="dxa"/>
                <w:right w:w="108" w:type="dxa"/>
              </w:tblCellMar>
            </w:tblPr>
            <w:tblGrid>
              <w:gridCol w:w="1662"/>
              <w:gridCol w:w="901"/>
              <w:gridCol w:w="941"/>
              <w:gridCol w:w="980"/>
              <w:gridCol w:w="962"/>
              <w:gridCol w:w="1000"/>
              <w:gridCol w:w="940"/>
              <w:gridCol w:w="929"/>
            </w:tblGrid>
            <w:tr w14:paraId="013DE952">
              <w:tblPrEx>
                <w:tblCellMar>
                  <w:top w:w="0" w:type="dxa"/>
                  <w:left w:w="108" w:type="dxa"/>
                  <w:bottom w:w="0" w:type="dxa"/>
                  <w:right w:w="108" w:type="dxa"/>
                </w:tblCellMar>
              </w:tblPrEx>
              <w:trPr>
                <w:trHeight w:val="350"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6A22C8A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号球</w:t>
                  </w:r>
                </w:p>
              </w:tc>
              <w:tc>
                <w:tcPr>
                  <w:tcW w:w="901" w:type="dxa"/>
                  <w:tcBorders>
                    <w:top w:val="single" w:color="000000" w:sz="4" w:space="0"/>
                    <w:left w:val="nil"/>
                    <w:bottom w:val="single" w:color="000000" w:sz="4" w:space="0"/>
                    <w:right w:val="single" w:color="000000" w:sz="4" w:space="0"/>
                  </w:tcBorders>
                  <w:noWrap w:val="0"/>
                  <w:vAlign w:val="center"/>
                </w:tcPr>
                <w:p w14:paraId="202B1A3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1</w:t>
                  </w:r>
                </w:p>
              </w:tc>
              <w:tc>
                <w:tcPr>
                  <w:tcW w:w="941" w:type="dxa"/>
                  <w:tcBorders>
                    <w:top w:val="single" w:color="000000" w:sz="4" w:space="0"/>
                    <w:left w:val="nil"/>
                    <w:bottom w:val="single" w:color="000000" w:sz="4" w:space="0"/>
                    <w:right w:val="single" w:color="000000" w:sz="4" w:space="0"/>
                  </w:tcBorders>
                  <w:noWrap w:val="0"/>
                  <w:vAlign w:val="center"/>
                </w:tcPr>
                <w:p w14:paraId="0535259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2</w:t>
                  </w:r>
                </w:p>
              </w:tc>
              <w:tc>
                <w:tcPr>
                  <w:tcW w:w="980" w:type="dxa"/>
                  <w:tcBorders>
                    <w:top w:val="single" w:color="000000" w:sz="4" w:space="0"/>
                    <w:left w:val="nil"/>
                    <w:bottom w:val="single" w:color="000000" w:sz="4" w:space="0"/>
                    <w:right w:val="single" w:color="000000" w:sz="4" w:space="0"/>
                  </w:tcBorders>
                  <w:noWrap w:val="0"/>
                  <w:vAlign w:val="center"/>
                </w:tcPr>
                <w:p w14:paraId="43A3F00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3</w:t>
                  </w:r>
                </w:p>
              </w:tc>
              <w:tc>
                <w:tcPr>
                  <w:tcW w:w="962" w:type="dxa"/>
                  <w:tcBorders>
                    <w:top w:val="single" w:color="000000" w:sz="4" w:space="0"/>
                    <w:left w:val="nil"/>
                    <w:bottom w:val="single" w:color="000000" w:sz="4" w:space="0"/>
                    <w:right w:val="single" w:color="000000" w:sz="4" w:space="0"/>
                  </w:tcBorders>
                  <w:noWrap w:val="0"/>
                  <w:vAlign w:val="center"/>
                </w:tcPr>
                <w:p w14:paraId="45D9DE3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4</w:t>
                  </w:r>
                </w:p>
              </w:tc>
              <w:tc>
                <w:tcPr>
                  <w:tcW w:w="1000" w:type="dxa"/>
                  <w:tcBorders>
                    <w:top w:val="single" w:color="000000" w:sz="4" w:space="0"/>
                    <w:left w:val="nil"/>
                    <w:bottom w:val="single" w:color="000000" w:sz="4" w:space="0"/>
                    <w:right w:val="single" w:color="000000" w:sz="4" w:space="0"/>
                  </w:tcBorders>
                  <w:noWrap w:val="0"/>
                  <w:vAlign w:val="center"/>
                </w:tcPr>
                <w:p w14:paraId="2110DB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5</w:t>
                  </w:r>
                </w:p>
              </w:tc>
              <w:tc>
                <w:tcPr>
                  <w:tcW w:w="940" w:type="dxa"/>
                  <w:tcBorders>
                    <w:top w:val="single" w:color="000000" w:sz="4" w:space="0"/>
                    <w:left w:val="nil"/>
                    <w:bottom w:val="single" w:color="000000" w:sz="4" w:space="0"/>
                    <w:right w:val="single" w:color="000000" w:sz="4" w:space="0"/>
                  </w:tcBorders>
                  <w:noWrap w:val="0"/>
                  <w:vAlign w:val="center"/>
                </w:tcPr>
                <w:p w14:paraId="26E20A8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6</w:t>
                  </w:r>
                </w:p>
              </w:tc>
              <w:tc>
                <w:tcPr>
                  <w:tcW w:w="929" w:type="dxa"/>
                  <w:tcBorders>
                    <w:top w:val="single" w:color="000000" w:sz="4" w:space="0"/>
                    <w:left w:val="nil"/>
                    <w:bottom w:val="single" w:color="000000" w:sz="4" w:space="0"/>
                    <w:right w:val="single" w:color="000000" w:sz="4" w:space="0"/>
                  </w:tcBorders>
                  <w:noWrap w:val="0"/>
                  <w:vAlign w:val="center"/>
                </w:tcPr>
                <w:p w14:paraId="3A01DE4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7</w:t>
                  </w:r>
                </w:p>
              </w:tc>
            </w:tr>
            <w:tr w14:paraId="6E399123">
              <w:tblPrEx>
                <w:tblCellMar>
                  <w:top w:w="0" w:type="dxa"/>
                  <w:left w:w="108" w:type="dxa"/>
                  <w:bottom w:w="0" w:type="dxa"/>
                  <w:right w:w="108" w:type="dxa"/>
                </w:tblCellMar>
              </w:tblPrEx>
              <w:trPr>
                <w:trHeight w:val="429"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63F3858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下浮系数（%）</w:t>
                  </w:r>
                </w:p>
              </w:tc>
              <w:tc>
                <w:tcPr>
                  <w:tcW w:w="901" w:type="dxa"/>
                  <w:tcBorders>
                    <w:top w:val="single" w:color="000000" w:sz="4" w:space="0"/>
                    <w:left w:val="nil"/>
                    <w:bottom w:val="single" w:color="000000" w:sz="4" w:space="0"/>
                    <w:right w:val="single" w:color="000000" w:sz="4" w:space="0"/>
                  </w:tcBorders>
                  <w:noWrap w:val="0"/>
                  <w:vAlign w:val="center"/>
                </w:tcPr>
                <w:p w14:paraId="7F3685C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lang w:val="en-US" w:eastAsia="zh-CN"/>
                    </w:rPr>
                  </w:pPr>
                  <w:r>
                    <w:rPr>
                      <w:rFonts w:hint="eastAsia" w:ascii="宋体" w:hAnsi="宋体" w:eastAsia="宋体" w:cs="宋体"/>
                      <w:strike w:val="0"/>
                      <w:dstrike w:val="0"/>
                      <w:color w:val="auto"/>
                      <w:kern w:val="0"/>
                      <w:sz w:val="21"/>
                      <w:szCs w:val="21"/>
                      <w:highlight w:val="none"/>
                      <w:lang w:val="en-US" w:eastAsia="zh-CN"/>
                    </w:rPr>
                    <w:t>1.0</w:t>
                  </w:r>
                </w:p>
              </w:tc>
              <w:tc>
                <w:tcPr>
                  <w:tcW w:w="941" w:type="dxa"/>
                  <w:tcBorders>
                    <w:top w:val="single" w:color="000000" w:sz="4" w:space="0"/>
                    <w:left w:val="nil"/>
                    <w:bottom w:val="single" w:color="000000" w:sz="4" w:space="0"/>
                    <w:right w:val="single" w:color="000000" w:sz="4" w:space="0"/>
                  </w:tcBorders>
                  <w:noWrap w:val="0"/>
                  <w:vAlign w:val="center"/>
                </w:tcPr>
                <w:p w14:paraId="4D7DF9E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.1</w:t>
                  </w:r>
                </w:p>
              </w:tc>
              <w:tc>
                <w:tcPr>
                  <w:tcW w:w="980" w:type="dxa"/>
                  <w:tcBorders>
                    <w:top w:val="single" w:color="000000" w:sz="4" w:space="0"/>
                    <w:left w:val="nil"/>
                    <w:bottom w:val="single" w:color="000000" w:sz="4" w:space="0"/>
                    <w:right w:val="single" w:color="000000" w:sz="4" w:space="0"/>
                  </w:tcBorders>
                  <w:noWrap w:val="0"/>
                  <w:vAlign w:val="center"/>
                </w:tcPr>
                <w:p w14:paraId="6D46CDE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.2</w:t>
                  </w:r>
                </w:p>
              </w:tc>
              <w:tc>
                <w:tcPr>
                  <w:tcW w:w="962" w:type="dxa"/>
                  <w:tcBorders>
                    <w:top w:val="single" w:color="000000" w:sz="4" w:space="0"/>
                    <w:left w:val="nil"/>
                    <w:bottom w:val="single" w:color="000000" w:sz="4" w:space="0"/>
                    <w:right w:val="single" w:color="000000" w:sz="4" w:space="0"/>
                  </w:tcBorders>
                  <w:noWrap w:val="0"/>
                  <w:vAlign w:val="center"/>
                </w:tcPr>
                <w:p w14:paraId="70CD0EB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.3</w:t>
                  </w:r>
                </w:p>
              </w:tc>
              <w:tc>
                <w:tcPr>
                  <w:tcW w:w="1000" w:type="dxa"/>
                  <w:tcBorders>
                    <w:top w:val="single" w:color="000000" w:sz="4" w:space="0"/>
                    <w:left w:val="nil"/>
                    <w:bottom w:val="single" w:color="000000" w:sz="4" w:space="0"/>
                    <w:right w:val="single" w:color="000000" w:sz="4" w:space="0"/>
                  </w:tcBorders>
                  <w:noWrap w:val="0"/>
                  <w:vAlign w:val="center"/>
                </w:tcPr>
                <w:p w14:paraId="32E4F79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.4</w:t>
                  </w:r>
                </w:p>
              </w:tc>
              <w:tc>
                <w:tcPr>
                  <w:tcW w:w="940" w:type="dxa"/>
                  <w:tcBorders>
                    <w:top w:val="single" w:color="000000" w:sz="4" w:space="0"/>
                    <w:left w:val="nil"/>
                    <w:bottom w:val="single" w:color="000000" w:sz="4" w:space="0"/>
                    <w:right w:val="single" w:color="000000" w:sz="4" w:space="0"/>
                  </w:tcBorders>
                  <w:noWrap w:val="0"/>
                  <w:vAlign w:val="center"/>
                </w:tcPr>
                <w:p w14:paraId="610EA92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.5</w:t>
                  </w:r>
                </w:p>
              </w:tc>
              <w:tc>
                <w:tcPr>
                  <w:tcW w:w="929" w:type="dxa"/>
                  <w:tcBorders>
                    <w:top w:val="single" w:color="000000" w:sz="4" w:space="0"/>
                    <w:left w:val="nil"/>
                    <w:bottom w:val="single" w:color="000000" w:sz="4" w:space="0"/>
                    <w:right w:val="single" w:color="000000" w:sz="4" w:space="0"/>
                  </w:tcBorders>
                  <w:noWrap w:val="0"/>
                  <w:vAlign w:val="center"/>
                </w:tcPr>
                <w:p w14:paraId="4BDB95F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.6</w:t>
                  </w:r>
                </w:p>
              </w:tc>
            </w:tr>
            <w:tr w14:paraId="047AAB40">
              <w:tblPrEx>
                <w:tblCellMar>
                  <w:top w:w="0" w:type="dxa"/>
                  <w:left w:w="108" w:type="dxa"/>
                  <w:bottom w:w="0" w:type="dxa"/>
                  <w:right w:w="108" w:type="dxa"/>
                </w:tblCellMar>
              </w:tblPrEx>
              <w:trPr>
                <w:trHeight w:val="419"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317C2E8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号球</w:t>
                  </w:r>
                </w:p>
              </w:tc>
              <w:tc>
                <w:tcPr>
                  <w:tcW w:w="901" w:type="dxa"/>
                  <w:tcBorders>
                    <w:top w:val="single" w:color="000000" w:sz="4" w:space="0"/>
                    <w:left w:val="nil"/>
                    <w:bottom w:val="single" w:color="000000" w:sz="4" w:space="0"/>
                    <w:right w:val="single" w:color="000000" w:sz="4" w:space="0"/>
                  </w:tcBorders>
                  <w:noWrap w:val="0"/>
                  <w:vAlign w:val="center"/>
                </w:tcPr>
                <w:p w14:paraId="4404472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8</w:t>
                  </w:r>
                </w:p>
              </w:tc>
              <w:tc>
                <w:tcPr>
                  <w:tcW w:w="941" w:type="dxa"/>
                  <w:tcBorders>
                    <w:top w:val="single" w:color="000000" w:sz="4" w:space="0"/>
                    <w:left w:val="nil"/>
                    <w:bottom w:val="single" w:color="000000" w:sz="4" w:space="0"/>
                    <w:right w:val="single" w:color="000000" w:sz="4" w:space="0"/>
                  </w:tcBorders>
                  <w:noWrap w:val="0"/>
                  <w:vAlign w:val="center"/>
                </w:tcPr>
                <w:p w14:paraId="61B184F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9</w:t>
                  </w:r>
                </w:p>
              </w:tc>
              <w:tc>
                <w:tcPr>
                  <w:tcW w:w="980" w:type="dxa"/>
                  <w:tcBorders>
                    <w:top w:val="single" w:color="000000" w:sz="4" w:space="0"/>
                    <w:left w:val="nil"/>
                    <w:bottom w:val="single" w:color="000000" w:sz="4" w:space="0"/>
                    <w:right w:val="single" w:color="000000" w:sz="4" w:space="0"/>
                  </w:tcBorders>
                  <w:noWrap w:val="0"/>
                  <w:vAlign w:val="center"/>
                </w:tcPr>
                <w:p w14:paraId="76914D9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10</w:t>
                  </w:r>
                </w:p>
              </w:tc>
              <w:tc>
                <w:tcPr>
                  <w:tcW w:w="962" w:type="dxa"/>
                  <w:tcBorders>
                    <w:top w:val="single" w:color="000000" w:sz="4" w:space="0"/>
                    <w:left w:val="nil"/>
                    <w:bottom w:val="single" w:color="000000" w:sz="4" w:space="0"/>
                    <w:right w:val="single" w:color="000000" w:sz="4" w:space="0"/>
                  </w:tcBorders>
                  <w:noWrap w:val="0"/>
                  <w:vAlign w:val="center"/>
                </w:tcPr>
                <w:p w14:paraId="72272B6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11</w:t>
                  </w:r>
                </w:p>
              </w:tc>
              <w:tc>
                <w:tcPr>
                  <w:tcW w:w="1000" w:type="dxa"/>
                  <w:tcBorders>
                    <w:top w:val="single" w:color="000000" w:sz="4" w:space="0"/>
                    <w:left w:val="nil"/>
                    <w:bottom w:val="single" w:color="000000" w:sz="4" w:space="0"/>
                    <w:right w:val="single" w:color="000000" w:sz="4" w:space="0"/>
                  </w:tcBorders>
                  <w:noWrap w:val="0"/>
                  <w:vAlign w:val="center"/>
                </w:tcPr>
                <w:p w14:paraId="247C03B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12</w:t>
                  </w:r>
                </w:p>
              </w:tc>
              <w:tc>
                <w:tcPr>
                  <w:tcW w:w="940" w:type="dxa"/>
                  <w:tcBorders>
                    <w:top w:val="single" w:color="000000" w:sz="4" w:space="0"/>
                    <w:left w:val="nil"/>
                    <w:bottom w:val="single" w:color="000000" w:sz="4" w:space="0"/>
                    <w:right w:val="single" w:color="000000" w:sz="4" w:space="0"/>
                  </w:tcBorders>
                  <w:noWrap w:val="0"/>
                  <w:vAlign w:val="center"/>
                </w:tcPr>
                <w:p w14:paraId="5A3F5E9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13</w:t>
                  </w:r>
                </w:p>
              </w:tc>
              <w:tc>
                <w:tcPr>
                  <w:tcW w:w="929" w:type="dxa"/>
                  <w:tcBorders>
                    <w:top w:val="single" w:color="000000" w:sz="4" w:space="0"/>
                    <w:left w:val="nil"/>
                    <w:bottom w:val="single" w:color="000000" w:sz="4" w:space="0"/>
                    <w:right w:val="single" w:color="000000" w:sz="4" w:space="0"/>
                  </w:tcBorders>
                  <w:noWrap w:val="0"/>
                  <w:vAlign w:val="center"/>
                </w:tcPr>
                <w:p w14:paraId="78B13D9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14</w:t>
                  </w:r>
                </w:p>
              </w:tc>
            </w:tr>
            <w:tr w14:paraId="03279D53">
              <w:tblPrEx>
                <w:tblCellMar>
                  <w:top w:w="0" w:type="dxa"/>
                  <w:left w:w="108" w:type="dxa"/>
                  <w:bottom w:w="0" w:type="dxa"/>
                  <w:right w:w="108" w:type="dxa"/>
                </w:tblCellMar>
              </w:tblPrEx>
              <w:trPr>
                <w:trHeight w:val="413"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577A2CA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下浮系数（%）</w:t>
                  </w:r>
                </w:p>
              </w:tc>
              <w:tc>
                <w:tcPr>
                  <w:tcW w:w="901" w:type="dxa"/>
                  <w:tcBorders>
                    <w:top w:val="single" w:color="000000" w:sz="4" w:space="0"/>
                    <w:left w:val="nil"/>
                    <w:bottom w:val="single" w:color="000000" w:sz="4" w:space="0"/>
                    <w:right w:val="single" w:color="000000" w:sz="4" w:space="0"/>
                  </w:tcBorders>
                  <w:noWrap w:val="0"/>
                  <w:vAlign w:val="center"/>
                </w:tcPr>
                <w:p w14:paraId="44F1C59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.7</w:t>
                  </w:r>
                </w:p>
              </w:tc>
              <w:tc>
                <w:tcPr>
                  <w:tcW w:w="941" w:type="dxa"/>
                  <w:tcBorders>
                    <w:top w:val="single" w:color="000000" w:sz="4" w:space="0"/>
                    <w:left w:val="nil"/>
                    <w:bottom w:val="single" w:color="000000" w:sz="4" w:space="0"/>
                    <w:right w:val="single" w:color="000000" w:sz="4" w:space="0"/>
                  </w:tcBorders>
                  <w:noWrap w:val="0"/>
                  <w:vAlign w:val="center"/>
                </w:tcPr>
                <w:p w14:paraId="3EDFAD4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.8</w:t>
                  </w:r>
                </w:p>
              </w:tc>
              <w:tc>
                <w:tcPr>
                  <w:tcW w:w="980" w:type="dxa"/>
                  <w:tcBorders>
                    <w:top w:val="single" w:color="000000" w:sz="4" w:space="0"/>
                    <w:left w:val="nil"/>
                    <w:bottom w:val="single" w:color="000000" w:sz="4" w:space="0"/>
                    <w:right w:val="single" w:color="000000" w:sz="4" w:space="0"/>
                  </w:tcBorders>
                  <w:noWrap w:val="0"/>
                  <w:vAlign w:val="center"/>
                </w:tcPr>
                <w:p w14:paraId="3C87EF7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.9</w:t>
                  </w:r>
                </w:p>
              </w:tc>
              <w:tc>
                <w:tcPr>
                  <w:tcW w:w="962" w:type="dxa"/>
                  <w:tcBorders>
                    <w:top w:val="single" w:color="000000" w:sz="4" w:space="0"/>
                    <w:left w:val="nil"/>
                    <w:bottom w:val="single" w:color="000000" w:sz="4" w:space="0"/>
                    <w:right w:val="single" w:color="000000" w:sz="4" w:space="0"/>
                  </w:tcBorders>
                  <w:noWrap w:val="0"/>
                  <w:vAlign w:val="center"/>
                </w:tcPr>
                <w:p w14:paraId="2872235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.0</w:t>
                  </w:r>
                </w:p>
              </w:tc>
              <w:tc>
                <w:tcPr>
                  <w:tcW w:w="1000" w:type="dxa"/>
                  <w:tcBorders>
                    <w:top w:val="single" w:color="000000" w:sz="4" w:space="0"/>
                    <w:left w:val="nil"/>
                    <w:bottom w:val="single" w:color="000000" w:sz="4" w:space="0"/>
                    <w:right w:val="single" w:color="000000" w:sz="4" w:space="0"/>
                  </w:tcBorders>
                  <w:noWrap w:val="0"/>
                  <w:vAlign w:val="center"/>
                </w:tcPr>
                <w:p w14:paraId="622F61B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.1</w:t>
                  </w:r>
                </w:p>
              </w:tc>
              <w:tc>
                <w:tcPr>
                  <w:tcW w:w="940" w:type="dxa"/>
                  <w:tcBorders>
                    <w:top w:val="single" w:color="000000" w:sz="4" w:space="0"/>
                    <w:left w:val="nil"/>
                    <w:bottom w:val="single" w:color="000000" w:sz="4" w:space="0"/>
                    <w:right w:val="single" w:color="000000" w:sz="4" w:space="0"/>
                  </w:tcBorders>
                  <w:noWrap w:val="0"/>
                  <w:vAlign w:val="center"/>
                </w:tcPr>
                <w:p w14:paraId="585C4D9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.2</w:t>
                  </w:r>
                </w:p>
              </w:tc>
              <w:tc>
                <w:tcPr>
                  <w:tcW w:w="929" w:type="dxa"/>
                  <w:tcBorders>
                    <w:top w:val="single" w:color="000000" w:sz="4" w:space="0"/>
                    <w:left w:val="nil"/>
                    <w:bottom w:val="single" w:color="000000" w:sz="4" w:space="0"/>
                    <w:right w:val="single" w:color="000000" w:sz="4" w:space="0"/>
                  </w:tcBorders>
                  <w:noWrap w:val="0"/>
                  <w:vAlign w:val="center"/>
                </w:tcPr>
                <w:p w14:paraId="5C7D6FD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.3</w:t>
                  </w:r>
                </w:p>
              </w:tc>
            </w:tr>
            <w:tr w14:paraId="7CDEDAEA">
              <w:tblPrEx>
                <w:tblCellMar>
                  <w:top w:w="0" w:type="dxa"/>
                  <w:left w:w="108" w:type="dxa"/>
                  <w:bottom w:w="0" w:type="dxa"/>
                  <w:right w:w="108" w:type="dxa"/>
                </w:tblCellMar>
              </w:tblPrEx>
              <w:trPr>
                <w:trHeight w:val="384"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4EA7F1D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号球</w:t>
                  </w:r>
                </w:p>
              </w:tc>
              <w:tc>
                <w:tcPr>
                  <w:tcW w:w="901" w:type="dxa"/>
                  <w:tcBorders>
                    <w:top w:val="single" w:color="000000" w:sz="4" w:space="0"/>
                    <w:left w:val="nil"/>
                    <w:bottom w:val="single" w:color="000000" w:sz="4" w:space="0"/>
                    <w:right w:val="single" w:color="000000" w:sz="4" w:space="0"/>
                  </w:tcBorders>
                  <w:noWrap w:val="0"/>
                  <w:vAlign w:val="center"/>
                </w:tcPr>
                <w:p w14:paraId="4C56409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15</w:t>
                  </w:r>
                </w:p>
              </w:tc>
              <w:tc>
                <w:tcPr>
                  <w:tcW w:w="941" w:type="dxa"/>
                  <w:tcBorders>
                    <w:top w:val="single" w:color="000000" w:sz="4" w:space="0"/>
                    <w:left w:val="nil"/>
                    <w:bottom w:val="single" w:color="000000" w:sz="4" w:space="0"/>
                    <w:right w:val="single" w:color="000000" w:sz="4" w:space="0"/>
                  </w:tcBorders>
                  <w:noWrap w:val="0"/>
                  <w:vAlign w:val="center"/>
                </w:tcPr>
                <w:p w14:paraId="7F58C12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16</w:t>
                  </w:r>
                </w:p>
              </w:tc>
              <w:tc>
                <w:tcPr>
                  <w:tcW w:w="980" w:type="dxa"/>
                  <w:tcBorders>
                    <w:top w:val="single" w:color="000000" w:sz="4" w:space="0"/>
                    <w:left w:val="nil"/>
                    <w:bottom w:val="single" w:color="000000" w:sz="4" w:space="0"/>
                    <w:right w:val="single" w:color="000000" w:sz="4" w:space="0"/>
                  </w:tcBorders>
                  <w:noWrap w:val="0"/>
                  <w:vAlign w:val="center"/>
                </w:tcPr>
                <w:p w14:paraId="245B992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17</w:t>
                  </w:r>
                </w:p>
              </w:tc>
              <w:tc>
                <w:tcPr>
                  <w:tcW w:w="962" w:type="dxa"/>
                  <w:tcBorders>
                    <w:top w:val="single" w:color="000000" w:sz="4" w:space="0"/>
                    <w:left w:val="nil"/>
                    <w:bottom w:val="single" w:color="000000" w:sz="4" w:space="0"/>
                    <w:right w:val="single" w:color="000000" w:sz="4" w:space="0"/>
                  </w:tcBorders>
                  <w:noWrap w:val="0"/>
                  <w:vAlign w:val="center"/>
                </w:tcPr>
                <w:p w14:paraId="42C7460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18</w:t>
                  </w:r>
                </w:p>
              </w:tc>
              <w:tc>
                <w:tcPr>
                  <w:tcW w:w="1000" w:type="dxa"/>
                  <w:tcBorders>
                    <w:top w:val="single" w:color="000000" w:sz="4" w:space="0"/>
                    <w:left w:val="nil"/>
                    <w:bottom w:val="single" w:color="000000" w:sz="4" w:space="0"/>
                    <w:right w:val="single" w:color="000000" w:sz="4" w:space="0"/>
                  </w:tcBorders>
                  <w:noWrap w:val="0"/>
                  <w:vAlign w:val="center"/>
                </w:tcPr>
                <w:p w14:paraId="406F4FB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19</w:t>
                  </w:r>
                </w:p>
              </w:tc>
              <w:tc>
                <w:tcPr>
                  <w:tcW w:w="940" w:type="dxa"/>
                  <w:tcBorders>
                    <w:top w:val="single" w:color="000000" w:sz="4" w:space="0"/>
                    <w:left w:val="nil"/>
                    <w:bottom w:val="single" w:color="000000" w:sz="4" w:space="0"/>
                    <w:right w:val="single" w:color="000000" w:sz="4" w:space="0"/>
                  </w:tcBorders>
                  <w:noWrap w:val="0"/>
                  <w:vAlign w:val="center"/>
                </w:tcPr>
                <w:p w14:paraId="5E9C6AB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20</w:t>
                  </w:r>
                </w:p>
              </w:tc>
              <w:tc>
                <w:tcPr>
                  <w:tcW w:w="929" w:type="dxa"/>
                  <w:tcBorders>
                    <w:top w:val="single" w:color="000000" w:sz="4" w:space="0"/>
                    <w:left w:val="nil"/>
                    <w:bottom w:val="single" w:color="000000" w:sz="4" w:space="0"/>
                    <w:right w:val="single" w:color="000000" w:sz="4" w:space="0"/>
                  </w:tcBorders>
                  <w:noWrap w:val="0"/>
                  <w:vAlign w:val="center"/>
                </w:tcPr>
                <w:p w14:paraId="61F15B0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21</w:t>
                  </w:r>
                </w:p>
              </w:tc>
            </w:tr>
            <w:tr w14:paraId="5872070C">
              <w:tblPrEx>
                <w:tblCellMar>
                  <w:top w:w="0" w:type="dxa"/>
                  <w:left w:w="108" w:type="dxa"/>
                  <w:bottom w:w="0" w:type="dxa"/>
                  <w:right w:w="108" w:type="dxa"/>
                </w:tblCellMar>
              </w:tblPrEx>
              <w:trPr>
                <w:trHeight w:val="499"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0EE358E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下浮系数（%）</w:t>
                  </w:r>
                </w:p>
              </w:tc>
              <w:tc>
                <w:tcPr>
                  <w:tcW w:w="901" w:type="dxa"/>
                  <w:tcBorders>
                    <w:top w:val="single" w:color="000000" w:sz="4" w:space="0"/>
                    <w:left w:val="nil"/>
                    <w:bottom w:val="single" w:color="000000" w:sz="4" w:space="0"/>
                    <w:right w:val="single" w:color="000000" w:sz="4" w:space="0"/>
                  </w:tcBorders>
                  <w:noWrap w:val="0"/>
                  <w:vAlign w:val="center"/>
                </w:tcPr>
                <w:p w14:paraId="2B5E760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.4</w:t>
                  </w:r>
                </w:p>
              </w:tc>
              <w:tc>
                <w:tcPr>
                  <w:tcW w:w="941" w:type="dxa"/>
                  <w:tcBorders>
                    <w:top w:val="single" w:color="000000" w:sz="4" w:space="0"/>
                    <w:left w:val="nil"/>
                    <w:bottom w:val="single" w:color="000000" w:sz="4" w:space="0"/>
                    <w:right w:val="single" w:color="000000" w:sz="4" w:space="0"/>
                  </w:tcBorders>
                  <w:noWrap w:val="0"/>
                  <w:vAlign w:val="center"/>
                </w:tcPr>
                <w:p w14:paraId="5251CDC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.5</w:t>
                  </w:r>
                </w:p>
              </w:tc>
              <w:tc>
                <w:tcPr>
                  <w:tcW w:w="980" w:type="dxa"/>
                  <w:tcBorders>
                    <w:top w:val="single" w:color="000000" w:sz="4" w:space="0"/>
                    <w:left w:val="nil"/>
                    <w:bottom w:val="single" w:color="000000" w:sz="4" w:space="0"/>
                    <w:right w:val="single" w:color="000000" w:sz="4" w:space="0"/>
                  </w:tcBorders>
                  <w:noWrap w:val="0"/>
                  <w:vAlign w:val="center"/>
                </w:tcPr>
                <w:p w14:paraId="33CBF0E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.6</w:t>
                  </w:r>
                </w:p>
              </w:tc>
              <w:tc>
                <w:tcPr>
                  <w:tcW w:w="962" w:type="dxa"/>
                  <w:tcBorders>
                    <w:top w:val="single" w:color="000000" w:sz="4" w:space="0"/>
                    <w:left w:val="nil"/>
                    <w:bottom w:val="single" w:color="000000" w:sz="4" w:space="0"/>
                    <w:right w:val="single" w:color="000000" w:sz="4" w:space="0"/>
                  </w:tcBorders>
                  <w:noWrap w:val="0"/>
                  <w:vAlign w:val="center"/>
                </w:tcPr>
                <w:p w14:paraId="0A57A8A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.7</w:t>
                  </w:r>
                </w:p>
              </w:tc>
              <w:tc>
                <w:tcPr>
                  <w:tcW w:w="1000" w:type="dxa"/>
                  <w:tcBorders>
                    <w:top w:val="single" w:color="000000" w:sz="4" w:space="0"/>
                    <w:left w:val="nil"/>
                    <w:bottom w:val="single" w:color="000000" w:sz="4" w:space="0"/>
                    <w:right w:val="single" w:color="000000" w:sz="4" w:space="0"/>
                  </w:tcBorders>
                  <w:noWrap w:val="0"/>
                  <w:vAlign w:val="center"/>
                </w:tcPr>
                <w:p w14:paraId="3BE5420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.8</w:t>
                  </w:r>
                </w:p>
              </w:tc>
              <w:tc>
                <w:tcPr>
                  <w:tcW w:w="940" w:type="dxa"/>
                  <w:tcBorders>
                    <w:top w:val="single" w:color="000000" w:sz="4" w:space="0"/>
                    <w:left w:val="nil"/>
                    <w:bottom w:val="single" w:color="000000" w:sz="4" w:space="0"/>
                    <w:right w:val="single" w:color="000000" w:sz="4" w:space="0"/>
                  </w:tcBorders>
                  <w:noWrap w:val="0"/>
                  <w:vAlign w:val="center"/>
                </w:tcPr>
                <w:p w14:paraId="3F307B4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.9</w:t>
                  </w:r>
                </w:p>
              </w:tc>
              <w:tc>
                <w:tcPr>
                  <w:tcW w:w="929" w:type="dxa"/>
                  <w:tcBorders>
                    <w:top w:val="single" w:color="000000" w:sz="4" w:space="0"/>
                    <w:left w:val="nil"/>
                    <w:bottom w:val="single" w:color="000000" w:sz="4" w:space="0"/>
                    <w:right w:val="single" w:color="000000" w:sz="4" w:space="0"/>
                  </w:tcBorders>
                  <w:noWrap w:val="0"/>
                  <w:vAlign w:val="center"/>
                </w:tcPr>
                <w:p w14:paraId="0BCD395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3</w:t>
                  </w:r>
                  <w:r>
                    <w:rPr>
                      <w:rFonts w:hint="eastAsia" w:ascii="宋体" w:hAnsi="宋体" w:eastAsia="宋体" w:cs="宋体"/>
                      <w:strike w:val="0"/>
                      <w:dstrike w:val="0"/>
                      <w:color w:val="auto"/>
                      <w:kern w:val="0"/>
                      <w:sz w:val="21"/>
                      <w:szCs w:val="21"/>
                      <w:highlight w:val="none"/>
                    </w:rPr>
                    <w:t>.0</w:t>
                  </w:r>
                </w:p>
              </w:tc>
            </w:tr>
          </w:tbl>
          <w:p w14:paraId="2D81F855">
            <w:pPr>
              <w:wordWrap w:val="0"/>
              <w:adjustRightInd w:val="0"/>
              <w:snapToGrid w:val="0"/>
              <w:spacing w:line="360" w:lineRule="exact"/>
              <w:ind w:firstLine="210" w:firstLineChars="100"/>
              <w:jc w:val="left"/>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（2）评标基准价D＝最高投标限价×（1－n）</w:t>
            </w:r>
          </w:p>
        </w:tc>
      </w:tr>
      <w:tr w14:paraId="4FBF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jc w:val="center"/>
        </w:trPr>
        <w:tc>
          <w:tcPr>
            <w:tcW w:w="1121" w:type="dxa"/>
            <w:noWrap w:val="0"/>
            <w:vAlign w:val="center"/>
          </w:tcPr>
          <w:p w14:paraId="19E0768C">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caps w:val="0"/>
                <w:smallCaps w:val="0"/>
                <w:strike w:val="0"/>
                <w:dstrike w:val="0"/>
                <w:snapToGrid w:val="0"/>
                <w:color w:val="auto"/>
                <w:spacing w:val="0"/>
                <w:kern w:val="0"/>
                <w:sz w:val="21"/>
                <w:szCs w:val="21"/>
                <w:highlight w:val="none"/>
                <w:lang w:val="en-US" w:eastAsia="zh-CN" w:bidi="ar-SA"/>
              </w:rPr>
            </w:pPr>
            <w:r>
              <w:rPr>
                <w:rFonts w:hint="eastAsia" w:ascii="宋体" w:hAnsi="宋体" w:eastAsia="宋体" w:cs="宋体"/>
                <w:caps w:val="0"/>
                <w:smallCaps w:val="0"/>
                <w:strike w:val="0"/>
                <w:dstrike w:val="0"/>
                <w:snapToGrid w:val="0"/>
                <w:color w:val="auto"/>
                <w:spacing w:val="0"/>
                <w:kern w:val="0"/>
                <w:sz w:val="21"/>
                <w:szCs w:val="21"/>
                <w:highlight w:val="none"/>
                <w:lang w:val="en-US" w:eastAsia="zh-CN" w:bidi="ar-SA"/>
              </w:rPr>
              <w:t>投标报价得分</w:t>
            </w:r>
          </w:p>
          <w:p w14:paraId="52FEC9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strike w:val="0"/>
                <w:dstrike w:val="0"/>
                <w:snapToGrid w:val="0"/>
                <w:color w:val="auto"/>
                <w:kern w:val="0"/>
                <w:sz w:val="21"/>
                <w:szCs w:val="21"/>
                <w:highlight w:val="none"/>
                <w:lang w:val="en-US" w:eastAsia="zh-CN" w:bidi="ar-SA"/>
              </w:rPr>
            </w:pPr>
            <w:r>
              <w:rPr>
                <w:rFonts w:hint="eastAsia" w:ascii="宋体" w:hAnsi="宋体" w:eastAsia="宋体" w:cs="宋体"/>
                <w:caps w:val="0"/>
                <w:smallCaps w:val="0"/>
                <w:strike w:val="0"/>
                <w:dstrike w:val="0"/>
                <w:snapToGrid w:val="0"/>
                <w:color w:val="auto"/>
                <w:spacing w:val="0"/>
                <w:kern w:val="0"/>
                <w:sz w:val="21"/>
                <w:szCs w:val="21"/>
                <w:highlight w:val="none"/>
                <w:lang w:val="en-US" w:eastAsia="zh-CN" w:bidi="ar-SA"/>
              </w:rPr>
              <w:t>M</w:t>
            </w:r>
            <w:r>
              <w:rPr>
                <w:rFonts w:hint="eastAsia" w:ascii="宋体" w:hAnsi="宋体" w:eastAsia="宋体" w:cs="宋体"/>
                <w:caps w:val="0"/>
                <w:smallCaps w:val="0"/>
                <w:strike w:val="0"/>
                <w:dstrike w:val="0"/>
                <w:snapToGrid w:val="0"/>
                <w:color w:val="auto"/>
                <w:spacing w:val="0"/>
                <w:kern w:val="0"/>
                <w:sz w:val="21"/>
                <w:szCs w:val="21"/>
                <w:highlight w:val="none"/>
                <w:vertAlign w:val="subscript"/>
                <w:lang w:val="en-US" w:eastAsia="zh-CN" w:bidi="ar-SA"/>
              </w:rPr>
              <w:t>3</w:t>
            </w:r>
          </w:p>
        </w:tc>
        <w:tc>
          <w:tcPr>
            <w:tcW w:w="8387" w:type="dxa"/>
            <w:gridSpan w:val="2"/>
            <w:noWrap w:val="0"/>
            <w:vAlign w:val="center"/>
          </w:tcPr>
          <w:p w14:paraId="5A9BA5E1">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20" w:firstLineChars="200"/>
              <w:jc w:val="left"/>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eastAsia="zh-CN"/>
              </w:rPr>
              <w:t>采用内插法计算某投标人的投标报价得分</w:t>
            </w:r>
            <w:r>
              <w:rPr>
                <w:rFonts w:hint="eastAsia" w:ascii="宋体" w:hAnsi="宋体" w:eastAsia="宋体" w:cs="宋体"/>
                <w:caps w:val="0"/>
                <w:smallCaps w:val="0"/>
                <w:snapToGrid w:val="0"/>
                <w:color w:val="auto"/>
                <w:spacing w:val="0"/>
                <w:kern w:val="0"/>
                <w:sz w:val="21"/>
                <w:szCs w:val="21"/>
                <w:highlight w:val="none"/>
                <w:lang w:val="en-US" w:eastAsia="zh-CN"/>
              </w:rPr>
              <w:t>M</w:t>
            </w:r>
            <w:r>
              <w:rPr>
                <w:rFonts w:hint="eastAsia" w:ascii="宋体" w:hAnsi="宋体" w:eastAsia="宋体" w:cs="宋体"/>
                <w:caps w:val="0"/>
                <w:smallCaps w:val="0"/>
                <w:snapToGrid w:val="0"/>
                <w:color w:val="auto"/>
                <w:spacing w:val="0"/>
                <w:kern w:val="0"/>
                <w:sz w:val="21"/>
                <w:szCs w:val="21"/>
                <w:highlight w:val="none"/>
                <w:vertAlign w:val="subscript"/>
                <w:lang w:val="en-US" w:eastAsia="zh-CN"/>
              </w:rPr>
              <w:t>3</w:t>
            </w:r>
            <w:r>
              <w:rPr>
                <w:rFonts w:hint="eastAsia" w:ascii="宋体" w:hAnsi="宋体" w:eastAsia="宋体" w:cs="宋体"/>
                <w:caps w:val="0"/>
                <w:smallCaps w:val="0"/>
                <w:snapToGrid w:val="0"/>
                <w:color w:val="auto"/>
                <w:spacing w:val="0"/>
                <w:kern w:val="0"/>
                <w:sz w:val="21"/>
                <w:szCs w:val="21"/>
                <w:highlight w:val="none"/>
                <w:lang w:eastAsia="zh-CN"/>
              </w:rPr>
              <w:t>，即当投标人的投标总价等于评标基准价时得满分，每高于评标基准价一个百分点扣</w:t>
            </w:r>
            <w:r>
              <w:rPr>
                <w:rFonts w:hint="eastAsia" w:ascii="宋体" w:hAnsi="宋体" w:eastAsia="宋体" w:cs="宋体"/>
                <w:caps w:val="0"/>
                <w:smallCaps w:val="0"/>
                <w:snapToGrid w:val="0"/>
                <w:color w:val="auto"/>
                <w:spacing w:val="0"/>
                <w:kern w:val="0"/>
                <w:sz w:val="21"/>
                <w:szCs w:val="21"/>
                <w:highlight w:val="none"/>
                <w:lang w:val="en-US" w:eastAsia="zh-CN"/>
              </w:rPr>
              <w:t>1</w:t>
            </w:r>
            <w:r>
              <w:rPr>
                <w:rFonts w:hint="eastAsia" w:ascii="宋体" w:hAnsi="宋体" w:eastAsia="宋体" w:cs="宋体"/>
                <w:caps w:val="0"/>
                <w:smallCaps w:val="0"/>
                <w:snapToGrid w:val="0"/>
                <w:color w:val="auto"/>
                <w:spacing w:val="0"/>
                <w:kern w:val="0"/>
                <w:sz w:val="21"/>
                <w:szCs w:val="21"/>
                <w:highlight w:val="none"/>
                <w:lang w:eastAsia="zh-CN"/>
              </w:rPr>
              <w:t>分,每低于评标基准价一个百分点扣</w:t>
            </w:r>
            <w:r>
              <w:rPr>
                <w:rFonts w:hint="eastAsia" w:ascii="宋体" w:hAnsi="宋体" w:eastAsia="宋体" w:cs="宋体"/>
                <w:caps w:val="0"/>
                <w:smallCaps w:val="0"/>
                <w:snapToGrid w:val="0"/>
                <w:color w:val="auto"/>
                <w:spacing w:val="0"/>
                <w:kern w:val="0"/>
                <w:sz w:val="21"/>
                <w:szCs w:val="21"/>
                <w:highlight w:val="none"/>
                <w:lang w:val="en-US" w:eastAsia="zh-CN"/>
              </w:rPr>
              <w:t>0.5</w:t>
            </w:r>
            <w:r>
              <w:rPr>
                <w:rFonts w:hint="eastAsia" w:ascii="宋体" w:hAnsi="宋体" w:eastAsia="宋体" w:cs="宋体"/>
                <w:caps w:val="0"/>
                <w:smallCaps w:val="0"/>
                <w:snapToGrid w:val="0"/>
                <w:color w:val="auto"/>
                <w:spacing w:val="0"/>
                <w:kern w:val="0"/>
                <w:sz w:val="21"/>
                <w:szCs w:val="21"/>
                <w:highlight w:val="none"/>
                <w:lang w:eastAsia="zh-CN"/>
              </w:rPr>
              <w:t>分，扣完为止。公式如下：</w:t>
            </w:r>
          </w:p>
          <w:p w14:paraId="4181A736">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20" w:firstLineChars="200"/>
              <w:jc w:val="left"/>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val="en-US" w:eastAsia="zh-CN"/>
              </w:rPr>
              <w:t>M</w:t>
            </w:r>
            <w:r>
              <w:rPr>
                <w:rFonts w:hint="eastAsia" w:ascii="宋体" w:hAnsi="宋体" w:eastAsia="宋体" w:cs="宋体"/>
                <w:caps w:val="0"/>
                <w:smallCaps w:val="0"/>
                <w:snapToGrid w:val="0"/>
                <w:color w:val="auto"/>
                <w:spacing w:val="0"/>
                <w:kern w:val="0"/>
                <w:sz w:val="21"/>
                <w:szCs w:val="21"/>
                <w:highlight w:val="none"/>
                <w:vertAlign w:val="subscript"/>
                <w:lang w:val="en-US" w:eastAsia="zh-CN"/>
              </w:rPr>
              <w:t>3</w:t>
            </w:r>
            <w:r>
              <w:rPr>
                <w:rFonts w:hint="eastAsia" w:ascii="宋体" w:hAnsi="宋体" w:eastAsia="宋体" w:cs="宋体"/>
                <w:caps w:val="0"/>
                <w:smallCaps w:val="0"/>
                <w:snapToGrid w:val="0"/>
                <w:color w:val="auto"/>
                <w:spacing w:val="0"/>
                <w:kern w:val="0"/>
                <w:sz w:val="21"/>
                <w:szCs w:val="21"/>
                <w:highlight w:val="none"/>
                <w:lang w:eastAsia="zh-CN"/>
              </w:rPr>
              <w:t>＝投标报价满分－（|Di－D|÷D）×100×E</w:t>
            </w:r>
          </w:p>
          <w:p w14:paraId="0BCE0567">
            <w:pPr>
              <w:snapToGrid w:val="0"/>
              <w:spacing w:line="360" w:lineRule="auto"/>
              <w:ind w:left="240" w:leftChars="1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eastAsia="zh-CN"/>
              </w:rPr>
              <w:t>式中：D为评标基准价，Di为某投标人的投标总价；E为扣分因子。当Di＞D时，E＝</w:t>
            </w:r>
            <w:r>
              <w:rPr>
                <w:rFonts w:hint="eastAsia" w:ascii="宋体" w:hAnsi="宋体" w:eastAsia="宋体" w:cs="宋体"/>
                <w:caps w:val="0"/>
                <w:smallCaps w:val="0"/>
                <w:snapToGrid w:val="0"/>
                <w:color w:val="auto"/>
                <w:spacing w:val="0"/>
                <w:kern w:val="0"/>
                <w:sz w:val="21"/>
                <w:szCs w:val="21"/>
                <w:highlight w:val="none"/>
                <w:lang w:val="en-US" w:eastAsia="zh-CN"/>
              </w:rPr>
              <w:t>1</w:t>
            </w:r>
            <w:r>
              <w:rPr>
                <w:rFonts w:hint="eastAsia" w:ascii="宋体" w:hAnsi="宋体" w:eastAsia="宋体" w:cs="宋体"/>
                <w:caps w:val="0"/>
                <w:smallCaps w:val="0"/>
                <w:snapToGrid w:val="0"/>
                <w:color w:val="auto"/>
                <w:spacing w:val="0"/>
                <w:kern w:val="0"/>
                <w:sz w:val="21"/>
                <w:szCs w:val="21"/>
                <w:highlight w:val="none"/>
                <w:lang w:eastAsia="zh-CN"/>
              </w:rPr>
              <w:t>；当Di＜D时，E＝</w:t>
            </w:r>
            <w:r>
              <w:rPr>
                <w:rFonts w:hint="eastAsia" w:ascii="宋体" w:hAnsi="宋体" w:eastAsia="宋体" w:cs="宋体"/>
                <w:caps w:val="0"/>
                <w:smallCaps w:val="0"/>
                <w:snapToGrid w:val="0"/>
                <w:color w:val="auto"/>
                <w:spacing w:val="0"/>
                <w:kern w:val="0"/>
                <w:sz w:val="21"/>
                <w:szCs w:val="21"/>
                <w:highlight w:val="none"/>
                <w:lang w:val="en-US" w:eastAsia="zh-CN"/>
              </w:rPr>
              <w:t>0.5</w:t>
            </w:r>
            <w:r>
              <w:rPr>
                <w:rFonts w:hint="eastAsia" w:ascii="宋体" w:hAnsi="宋体" w:eastAsia="宋体" w:cs="宋体"/>
                <w:caps w:val="0"/>
                <w:smallCaps w:val="0"/>
                <w:snapToGrid w:val="0"/>
                <w:color w:val="auto"/>
                <w:spacing w:val="0"/>
                <w:kern w:val="0"/>
                <w:sz w:val="21"/>
                <w:szCs w:val="21"/>
                <w:highlight w:val="none"/>
                <w:lang w:eastAsia="zh-CN"/>
              </w:rPr>
              <w:t>。</w:t>
            </w:r>
          </w:p>
        </w:tc>
      </w:tr>
      <w:tr w14:paraId="2EA9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21" w:type="dxa"/>
            <w:noWrap w:val="0"/>
            <w:vAlign w:val="center"/>
          </w:tcPr>
          <w:p w14:paraId="461A9E78">
            <w:pPr>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b/>
                <w:bCs/>
                <w:strike w:val="0"/>
                <w:dstrike w:val="0"/>
                <w:color w:val="auto"/>
                <w:kern w:val="2"/>
                <w:sz w:val="21"/>
                <w:szCs w:val="21"/>
                <w:highlight w:val="none"/>
                <w:lang w:val="en-US" w:eastAsia="zh-CN" w:bidi="ar-SA"/>
              </w:rPr>
            </w:pPr>
            <w:r>
              <w:rPr>
                <w:rFonts w:hint="eastAsia" w:ascii="宋体" w:hAnsi="宋体" w:eastAsia="宋体" w:cs="宋体"/>
                <w:b/>
                <w:bCs/>
                <w:strike w:val="0"/>
                <w:dstrike w:val="0"/>
                <w:color w:val="auto"/>
                <w:kern w:val="2"/>
                <w:sz w:val="21"/>
                <w:szCs w:val="21"/>
                <w:highlight w:val="none"/>
                <w:lang w:val="en-US" w:eastAsia="zh-CN" w:bidi="ar-SA"/>
              </w:rPr>
              <w:t>总计</w:t>
            </w:r>
          </w:p>
          <w:p w14:paraId="1B8C8C18">
            <w:pPr>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b/>
                <w:bCs/>
                <w:strike w:val="0"/>
                <w:dstrike w:val="0"/>
                <w:color w:val="auto"/>
                <w:kern w:val="2"/>
                <w:sz w:val="21"/>
                <w:szCs w:val="21"/>
                <w:highlight w:val="none"/>
                <w:lang w:val="en-US" w:eastAsia="zh-CN" w:bidi="ar-SA"/>
              </w:rPr>
            </w:pPr>
            <w:r>
              <w:rPr>
                <w:rFonts w:hint="eastAsia" w:ascii="宋体" w:hAnsi="宋体" w:eastAsia="宋体" w:cs="宋体"/>
                <w:b/>
                <w:bCs/>
                <w:strike w:val="0"/>
                <w:dstrike w:val="0"/>
                <w:color w:val="auto"/>
                <w:kern w:val="2"/>
                <w:sz w:val="21"/>
                <w:szCs w:val="21"/>
                <w:highlight w:val="none"/>
                <w:lang w:val="en-US" w:eastAsia="zh-CN" w:bidi="ar-SA"/>
              </w:rPr>
              <w:t>100分</w:t>
            </w:r>
          </w:p>
        </w:tc>
        <w:tc>
          <w:tcPr>
            <w:tcW w:w="8387" w:type="dxa"/>
            <w:gridSpan w:val="2"/>
            <w:noWrap w:val="0"/>
            <w:vAlign w:val="center"/>
          </w:tcPr>
          <w:p w14:paraId="7784212A">
            <w:pPr>
              <w:widowControl w:val="0"/>
              <w:wordWrap w:val="0"/>
              <w:adjustRightInd w:val="0"/>
              <w:snapToGrid w:val="0"/>
              <w:spacing w:line="400" w:lineRule="exact"/>
              <w:jc w:val="both"/>
              <w:rPr>
                <w:rFonts w:hint="eastAsia" w:ascii="宋体" w:hAnsi="宋体" w:eastAsia="宋体" w:cs="宋体"/>
                <w:b/>
                <w:bCs/>
                <w:strike w:val="0"/>
                <w:dstrike w:val="0"/>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商务部分（60分）＋技术部分（10分）＋投标报价部分（30分）</w:t>
            </w:r>
          </w:p>
        </w:tc>
      </w:tr>
    </w:tbl>
    <w:p w14:paraId="378B8159">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p>
    <w:p w14:paraId="37C78A34">
      <w:pPr>
        <w:spacing w:line="400" w:lineRule="exact"/>
        <w:rPr>
          <w:rFonts w:hAnsi="宋体" w:cs="宋体"/>
          <w:color w:val="auto"/>
          <w:kern w:val="0"/>
          <w:szCs w:val="24"/>
          <w:highlight w:val="none"/>
        </w:rPr>
      </w:pPr>
      <w:r>
        <w:rPr>
          <w:rFonts w:hAnsi="宋体" w:cs="宋体"/>
          <w:color w:val="auto"/>
          <w:kern w:val="0"/>
          <w:szCs w:val="24"/>
          <w:highlight w:val="none"/>
        </w:rPr>
        <w:t>注：</w:t>
      </w:r>
    </w:p>
    <w:p w14:paraId="4D446A63">
      <w:pPr>
        <w:numPr>
          <w:ilvl w:val="0"/>
          <w:numId w:val="1"/>
        </w:numPr>
        <w:spacing w:line="400" w:lineRule="exact"/>
        <w:rPr>
          <w:rFonts w:hAnsi="宋体" w:cs="宋体"/>
          <w:color w:val="auto"/>
          <w:kern w:val="0"/>
          <w:szCs w:val="24"/>
          <w:highlight w:val="none"/>
        </w:rPr>
      </w:pPr>
      <w:r>
        <w:rPr>
          <w:rFonts w:hAnsi="宋体" w:cs="宋体"/>
          <w:color w:val="auto"/>
          <w:kern w:val="0"/>
          <w:szCs w:val="24"/>
          <w:highlight w:val="none"/>
        </w:rPr>
        <w:t>评分如出现小数点，则保留小数点后两位，第三位四舍五入。</w:t>
      </w:r>
    </w:p>
    <w:p w14:paraId="6FCA2C26">
      <w:pPr>
        <w:wordWrap w:val="0"/>
        <w:adjustRightInd w:val="0"/>
        <w:snapToGrid w:val="0"/>
        <w:spacing w:line="440" w:lineRule="exact"/>
        <w:jc w:val="left"/>
        <w:rPr>
          <w:rFonts w:hAnsi="宋体" w:cs="宋体"/>
          <w:color w:val="auto"/>
          <w:kern w:val="0"/>
          <w:szCs w:val="24"/>
          <w:highlight w:val="none"/>
        </w:rPr>
      </w:pPr>
      <w:r>
        <w:rPr>
          <w:rFonts w:hint="eastAsia" w:hAnsi="宋体" w:cs="宋体"/>
          <w:color w:val="auto"/>
          <w:kern w:val="0"/>
          <w:szCs w:val="24"/>
          <w:highlight w:val="none"/>
        </w:rPr>
        <w:t>2.</w:t>
      </w:r>
      <w:r>
        <w:rPr>
          <w:rFonts w:hAnsi="宋体" w:cs="宋体"/>
          <w:color w:val="auto"/>
          <w:kern w:val="0"/>
          <w:szCs w:val="24"/>
          <w:highlight w:val="none"/>
        </w:rPr>
        <w:t>除总监理工程师外，拟委派的监理机构其他人员不作为形式评审、资格评审、响应性评审的审查内容，只作为综合评分的评审依据。</w:t>
      </w:r>
    </w:p>
    <w:p w14:paraId="5A884232">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p>
    <w:p w14:paraId="78AFE67D">
      <w:pPr>
        <w:rPr>
          <w:rFonts w:hint="eastAsia"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br w:type="page"/>
      </w:r>
    </w:p>
    <w:p w14:paraId="42B2D1BE">
      <w:pPr>
        <w:wordWrap w:val="0"/>
        <w:adjustRightInd w:val="0"/>
        <w:snapToGrid w:val="0"/>
        <w:spacing w:after="240" w:afterLines="100" w:line="440" w:lineRule="exact"/>
        <w:jc w:val="center"/>
        <w:rPr>
          <w:rFonts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t>表2 项目监理机构其他人员需求表</w:t>
      </w:r>
    </w:p>
    <w:tbl>
      <w:tblPr>
        <w:tblStyle w:val="31"/>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2099"/>
        <w:gridCol w:w="666"/>
        <w:gridCol w:w="5217"/>
      </w:tblGrid>
      <w:tr w14:paraId="5C94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6" w:type="dxa"/>
            <w:gridSpan w:val="4"/>
            <w:tcBorders>
              <w:top w:val="single" w:color="auto" w:sz="4" w:space="0"/>
              <w:left w:val="single" w:color="auto" w:sz="4" w:space="0"/>
              <w:bottom w:val="single" w:color="auto" w:sz="4" w:space="0"/>
              <w:right w:val="single" w:color="auto" w:sz="4" w:space="0"/>
            </w:tcBorders>
            <w:noWrap w:val="0"/>
            <w:vAlign w:val="center"/>
          </w:tcPr>
          <w:p w14:paraId="5F79FEEE">
            <w:pPr>
              <w:pStyle w:val="89"/>
              <w:wordWrap w:val="0"/>
              <w:adjustRightInd w:val="0"/>
              <w:snapToGrid w:val="0"/>
              <w:spacing w:line="360" w:lineRule="exact"/>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b/>
                <w:bCs/>
                <w:snapToGrid w:val="0"/>
                <w:color w:val="auto"/>
                <w:kern w:val="0"/>
                <w:sz w:val="28"/>
                <w:szCs w:val="28"/>
                <w:highlight w:val="none"/>
              </w:rPr>
              <w:t>其他监理人员（除总监理工程师外）：共</w:t>
            </w:r>
            <w:r>
              <w:rPr>
                <w:rFonts w:hint="eastAsia" w:ascii="宋体" w:hAnsi="宋体" w:eastAsia="宋体" w:cs="宋体"/>
                <w:b/>
                <w:bCs/>
                <w:snapToGrid w:val="0"/>
                <w:color w:val="auto"/>
                <w:kern w:val="0"/>
                <w:sz w:val="28"/>
                <w:szCs w:val="28"/>
                <w:highlight w:val="none"/>
                <w:u w:val="single"/>
                <w:lang w:val="en-US" w:eastAsia="zh-CN"/>
              </w:rPr>
              <w:t>5</w:t>
            </w:r>
            <w:r>
              <w:rPr>
                <w:rFonts w:hint="eastAsia" w:ascii="宋体" w:hAnsi="宋体" w:eastAsia="宋体" w:cs="宋体"/>
                <w:b/>
                <w:bCs/>
                <w:snapToGrid w:val="0"/>
                <w:color w:val="auto"/>
                <w:kern w:val="0"/>
                <w:sz w:val="28"/>
                <w:szCs w:val="28"/>
                <w:highlight w:val="none"/>
              </w:rPr>
              <w:t>人</w:t>
            </w:r>
          </w:p>
        </w:tc>
      </w:tr>
      <w:tr w14:paraId="1D9F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exact"/>
          <w:jc w:val="center"/>
        </w:trPr>
        <w:tc>
          <w:tcPr>
            <w:tcW w:w="1174" w:type="dxa"/>
            <w:tcBorders>
              <w:top w:val="single" w:color="auto" w:sz="4" w:space="0"/>
              <w:left w:val="single" w:color="auto" w:sz="4" w:space="0"/>
              <w:bottom w:val="single" w:color="auto" w:sz="4" w:space="0"/>
              <w:right w:val="single" w:color="auto" w:sz="4" w:space="0"/>
            </w:tcBorders>
            <w:noWrap w:val="0"/>
            <w:vAlign w:val="center"/>
          </w:tcPr>
          <w:p w14:paraId="284F2497">
            <w:pPr>
              <w:pStyle w:val="89"/>
              <w:wordWrap w:val="0"/>
              <w:adjustRightInd w:val="0"/>
              <w:snapToGrid w:val="0"/>
              <w:spacing w:line="3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职务</w:t>
            </w:r>
          </w:p>
        </w:tc>
        <w:tc>
          <w:tcPr>
            <w:tcW w:w="2099" w:type="dxa"/>
            <w:tcBorders>
              <w:top w:val="single" w:color="auto" w:sz="4" w:space="0"/>
              <w:left w:val="single" w:color="auto" w:sz="4" w:space="0"/>
              <w:bottom w:val="single" w:color="auto" w:sz="4" w:space="0"/>
              <w:right w:val="single" w:color="auto" w:sz="4" w:space="0"/>
            </w:tcBorders>
            <w:noWrap w:val="0"/>
            <w:vAlign w:val="center"/>
          </w:tcPr>
          <w:p w14:paraId="6E094EC4">
            <w:pPr>
              <w:pStyle w:val="89"/>
              <w:wordWrap w:val="0"/>
              <w:adjustRightInd w:val="0"/>
              <w:snapToGrid w:val="0"/>
              <w:spacing w:line="3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专业要求</w:t>
            </w:r>
          </w:p>
        </w:tc>
        <w:tc>
          <w:tcPr>
            <w:tcW w:w="666" w:type="dxa"/>
            <w:tcBorders>
              <w:top w:val="single" w:color="auto" w:sz="4" w:space="0"/>
              <w:left w:val="single" w:color="auto" w:sz="4" w:space="0"/>
              <w:bottom w:val="single" w:color="auto" w:sz="4" w:space="0"/>
              <w:right w:val="single" w:color="auto" w:sz="4" w:space="0"/>
            </w:tcBorders>
            <w:noWrap w:val="0"/>
            <w:vAlign w:val="center"/>
          </w:tcPr>
          <w:p w14:paraId="3603637E">
            <w:pPr>
              <w:pStyle w:val="89"/>
              <w:wordWrap w:val="0"/>
              <w:adjustRightInd w:val="0"/>
              <w:snapToGrid w:val="0"/>
              <w:spacing w:line="3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数量</w:t>
            </w:r>
          </w:p>
          <w:p w14:paraId="7BEAC8E0">
            <w:pPr>
              <w:pStyle w:val="89"/>
              <w:wordWrap w:val="0"/>
              <w:adjustRightInd w:val="0"/>
              <w:snapToGrid w:val="0"/>
              <w:spacing w:line="3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要求</w:t>
            </w:r>
          </w:p>
        </w:tc>
        <w:tc>
          <w:tcPr>
            <w:tcW w:w="5217" w:type="dxa"/>
            <w:tcBorders>
              <w:top w:val="single" w:color="auto" w:sz="4" w:space="0"/>
              <w:left w:val="single" w:color="auto" w:sz="4" w:space="0"/>
              <w:bottom w:val="single" w:color="auto" w:sz="4" w:space="0"/>
              <w:right w:val="single" w:color="auto" w:sz="4" w:space="0"/>
            </w:tcBorders>
            <w:noWrap w:val="0"/>
            <w:vAlign w:val="center"/>
          </w:tcPr>
          <w:p w14:paraId="0C226471">
            <w:pPr>
              <w:pStyle w:val="89"/>
              <w:wordWrap w:val="0"/>
              <w:adjustRightInd w:val="0"/>
              <w:snapToGrid w:val="0"/>
              <w:spacing w:line="3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持证要求</w:t>
            </w:r>
          </w:p>
        </w:tc>
      </w:tr>
      <w:tr w14:paraId="4EF8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5" w:hRule="exact"/>
          <w:jc w:val="center"/>
        </w:trPr>
        <w:tc>
          <w:tcPr>
            <w:tcW w:w="1174" w:type="dxa"/>
            <w:tcBorders>
              <w:top w:val="single" w:color="auto" w:sz="4" w:space="0"/>
              <w:left w:val="single" w:color="auto" w:sz="4" w:space="0"/>
              <w:right w:val="single" w:color="auto" w:sz="4" w:space="0"/>
            </w:tcBorders>
            <w:noWrap w:val="0"/>
            <w:vAlign w:val="center"/>
          </w:tcPr>
          <w:p w14:paraId="3744B995">
            <w:pPr>
              <w:pStyle w:val="89"/>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专业监理</w:t>
            </w:r>
          </w:p>
          <w:p w14:paraId="20E3193B">
            <w:pPr>
              <w:pStyle w:val="89"/>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工程师</w:t>
            </w:r>
          </w:p>
        </w:tc>
        <w:tc>
          <w:tcPr>
            <w:tcW w:w="2099" w:type="dxa"/>
            <w:tcBorders>
              <w:top w:val="single" w:color="auto" w:sz="4" w:space="0"/>
              <w:left w:val="single" w:color="auto" w:sz="4" w:space="0"/>
              <w:right w:val="single" w:color="auto" w:sz="4" w:space="0"/>
            </w:tcBorders>
            <w:noWrap w:val="0"/>
            <w:vAlign w:val="center"/>
          </w:tcPr>
          <w:p w14:paraId="2A643140">
            <w:pPr>
              <w:pStyle w:val="89"/>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eastAsia="zh-CN"/>
              </w:rPr>
              <w:t>房屋建筑</w:t>
            </w:r>
            <w:r>
              <w:rPr>
                <w:rFonts w:hint="eastAsia" w:ascii="宋体" w:hAnsi="宋体" w:eastAsia="宋体" w:cs="宋体"/>
                <w:snapToGrid w:val="0"/>
                <w:color w:val="auto"/>
                <w:kern w:val="0"/>
                <w:sz w:val="22"/>
                <w:szCs w:val="22"/>
                <w:highlight w:val="none"/>
              </w:rPr>
              <w:t>工程</w:t>
            </w:r>
          </w:p>
        </w:tc>
        <w:tc>
          <w:tcPr>
            <w:tcW w:w="666" w:type="dxa"/>
            <w:tcBorders>
              <w:top w:val="single" w:color="auto" w:sz="4" w:space="0"/>
              <w:left w:val="single" w:color="auto" w:sz="4" w:space="0"/>
              <w:bottom w:val="single" w:color="auto" w:sz="4" w:space="0"/>
              <w:right w:val="single" w:color="auto" w:sz="4" w:space="0"/>
            </w:tcBorders>
            <w:noWrap w:val="0"/>
            <w:vAlign w:val="center"/>
          </w:tcPr>
          <w:p w14:paraId="4FD0B321">
            <w:pPr>
              <w:pStyle w:val="89"/>
              <w:wordWrap w:val="0"/>
              <w:adjustRightInd w:val="0"/>
              <w:snapToGrid w:val="0"/>
              <w:spacing w:line="360" w:lineRule="exact"/>
              <w:jc w:val="center"/>
              <w:rPr>
                <w:rFonts w:hint="eastAsia" w:ascii="宋体" w:hAnsi="宋体" w:eastAsia="宋体" w:cs="宋体"/>
                <w:bCs/>
                <w:snapToGrid w:val="0"/>
                <w:color w:val="auto"/>
                <w:kern w:val="0"/>
                <w:sz w:val="22"/>
                <w:szCs w:val="22"/>
                <w:highlight w:val="none"/>
                <w:lang w:val="en-US" w:eastAsia="zh-CN"/>
              </w:rPr>
            </w:pPr>
            <w:r>
              <w:rPr>
                <w:rFonts w:hint="eastAsia" w:ascii="宋体" w:hAnsi="宋体" w:eastAsia="宋体" w:cs="宋体"/>
                <w:bCs/>
                <w:snapToGrid w:val="0"/>
                <w:color w:val="auto"/>
                <w:kern w:val="0"/>
                <w:sz w:val="22"/>
                <w:szCs w:val="22"/>
                <w:highlight w:val="none"/>
                <w:lang w:val="en-US" w:eastAsia="zh-CN"/>
              </w:rPr>
              <w:t>1</w:t>
            </w:r>
          </w:p>
        </w:tc>
        <w:tc>
          <w:tcPr>
            <w:tcW w:w="5217" w:type="dxa"/>
            <w:tcBorders>
              <w:top w:val="single" w:color="auto" w:sz="4" w:space="0"/>
              <w:left w:val="single" w:color="auto" w:sz="4" w:space="0"/>
              <w:right w:val="single" w:color="auto" w:sz="4" w:space="0"/>
            </w:tcBorders>
            <w:noWrap w:val="0"/>
            <w:vAlign w:val="center"/>
          </w:tcPr>
          <w:p w14:paraId="1ADCC7BC">
            <w:pPr>
              <w:pStyle w:val="89"/>
              <w:wordWrap w:val="0"/>
              <w:adjustRightInd w:val="0"/>
              <w:snapToGrid w:val="0"/>
              <w:spacing w:line="36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符合以下3种情形之一均可：</w:t>
            </w:r>
          </w:p>
          <w:p w14:paraId="5CAEB482">
            <w:pPr>
              <w:pStyle w:val="89"/>
              <w:wordWrap w:val="0"/>
              <w:adjustRightInd w:val="0"/>
              <w:snapToGrid w:val="0"/>
              <w:spacing w:line="36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1．具备所需专业注册监理工程师执业资格，持有效的注册证书；</w:t>
            </w:r>
          </w:p>
          <w:p w14:paraId="5FC31680">
            <w:pPr>
              <w:pStyle w:val="89"/>
              <w:wordWrap w:val="0"/>
              <w:adjustRightInd w:val="0"/>
              <w:snapToGrid w:val="0"/>
              <w:spacing w:line="36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2．具备工程类注册执业资格，并经监理业务培训。持有效的注册证书、省级建设行政主管部门或其授权的组织（机构）颁发的岗位证书；</w:t>
            </w:r>
          </w:p>
          <w:p w14:paraId="63B2B6EC">
            <w:pPr>
              <w:pStyle w:val="89"/>
              <w:wordWrap w:val="0"/>
              <w:adjustRightInd w:val="0"/>
              <w:snapToGrid w:val="0"/>
              <w:spacing w:line="36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3．具备中级及以上专业技术职称，并经监理业务培训。持有效的职称证书、省级建设行政主管部门或其授权的组织（机构）颁发的岗位证书。</w:t>
            </w:r>
          </w:p>
          <w:p w14:paraId="54A2D5EC">
            <w:pPr>
              <w:pStyle w:val="89"/>
              <w:wordWrap w:val="0"/>
              <w:adjustRightInd w:val="0"/>
              <w:snapToGrid w:val="0"/>
              <w:spacing w:line="36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注：专业类别以注册证书或专业监理工程师证书或职称证书或毕业证所列明的专业为准。</w:t>
            </w:r>
          </w:p>
        </w:tc>
      </w:tr>
      <w:tr w14:paraId="0C1F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1174" w:type="dxa"/>
            <w:tcBorders>
              <w:top w:val="single" w:color="auto" w:sz="4" w:space="0"/>
              <w:left w:val="single" w:color="auto" w:sz="4" w:space="0"/>
              <w:bottom w:val="single" w:color="auto" w:sz="4" w:space="0"/>
              <w:right w:val="single" w:color="auto" w:sz="4" w:space="0"/>
            </w:tcBorders>
            <w:noWrap w:val="0"/>
            <w:vAlign w:val="center"/>
          </w:tcPr>
          <w:p w14:paraId="01C5FF10">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1"/>
                <w:szCs w:val="21"/>
                <w:highlight w:val="none"/>
              </w:rPr>
              <w:t>安全</w:t>
            </w:r>
            <w:r>
              <w:rPr>
                <w:rFonts w:hint="eastAsia" w:ascii="宋体" w:hAnsi="宋体" w:eastAsia="宋体" w:cs="宋体"/>
                <w:snapToGrid w:val="0"/>
                <w:color w:val="auto"/>
                <w:kern w:val="0"/>
                <w:sz w:val="21"/>
                <w:szCs w:val="21"/>
                <w:highlight w:val="none"/>
                <w:lang w:eastAsia="zh-CN"/>
              </w:rPr>
              <w:t>监理工程师</w:t>
            </w:r>
          </w:p>
        </w:tc>
        <w:tc>
          <w:tcPr>
            <w:tcW w:w="2099" w:type="dxa"/>
            <w:tcBorders>
              <w:top w:val="single" w:color="auto" w:sz="4" w:space="0"/>
              <w:left w:val="single" w:color="auto" w:sz="4" w:space="0"/>
              <w:bottom w:val="single" w:color="auto" w:sz="4" w:space="0"/>
              <w:right w:val="single" w:color="auto" w:sz="4" w:space="0"/>
            </w:tcBorders>
            <w:noWrap w:val="0"/>
            <w:vAlign w:val="center"/>
          </w:tcPr>
          <w:p w14:paraId="3DCF24F2">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1"/>
                <w:szCs w:val="24"/>
                <w:highlight w:val="none"/>
                <w:lang w:val="en-US" w:eastAsia="zh-CN" w:bidi="ar-SA"/>
              </w:rPr>
              <w:t>注册安全工程师</w:t>
            </w:r>
          </w:p>
        </w:tc>
        <w:tc>
          <w:tcPr>
            <w:tcW w:w="666" w:type="dxa"/>
            <w:tcBorders>
              <w:top w:val="single" w:color="auto" w:sz="4" w:space="0"/>
              <w:left w:val="single" w:color="auto" w:sz="4" w:space="0"/>
              <w:bottom w:val="single" w:color="auto" w:sz="4" w:space="0"/>
              <w:right w:val="single" w:color="auto" w:sz="4" w:space="0"/>
            </w:tcBorders>
            <w:noWrap w:val="0"/>
            <w:vAlign w:val="center"/>
          </w:tcPr>
          <w:p w14:paraId="057074E6">
            <w:pPr>
              <w:widowControl w:val="0"/>
              <w:wordWrap w:val="0"/>
              <w:adjustRightInd w:val="0"/>
              <w:snapToGrid w:val="0"/>
              <w:spacing w:line="360" w:lineRule="exact"/>
              <w:jc w:val="center"/>
              <w:rPr>
                <w:rFonts w:hint="eastAsia" w:ascii="宋体" w:hAnsi="宋体" w:eastAsia="宋体" w:cs="宋体"/>
                <w:bCs/>
                <w:snapToGrid w:val="0"/>
                <w:color w:val="auto"/>
                <w:kern w:val="0"/>
                <w:sz w:val="22"/>
                <w:szCs w:val="22"/>
                <w:highlight w:val="none"/>
                <w:lang w:val="en-US" w:eastAsia="zh-CN"/>
              </w:rPr>
            </w:pPr>
            <w:r>
              <w:rPr>
                <w:rFonts w:hint="eastAsia" w:ascii="宋体" w:hAnsi="宋体" w:eastAsia="宋体" w:cs="宋体"/>
                <w:snapToGrid w:val="0"/>
                <w:color w:val="auto"/>
                <w:kern w:val="0"/>
                <w:sz w:val="21"/>
                <w:szCs w:val="24"/>
                <w:highlight w:val="none"/>
                <w:lang w:val="en-US" w:eastAsia="zh-CN" w:bidi="ar-SA"/>
              </w:rPr>
              <w:t>1</w:t>
            </w:r>
          </w:p>
        </w:tc>
        <w:tc>
          <w:tcPr>
            <w:tcW w:w="5217" w:type="dxa"/>
            <w:tcBorders>
              <w:top w:val="single" w:color="auto" w:sz="4" w:space="0"/>
              <w:left w:val="single" w:color="auto" w:sz="4" w:space="0"/>
              <w:bottom w:val="single" w:color="auto" w:sz="4" w:space="0"/>
              <w:right w:val="single" w:color="auto" w:sz="4" w:space="0"/>
            </w:tcBorders>
            <w:noWrap w:val="0"/>
            <w:vAlign w:val="center"/>
          </w:tcPr>
          <w:p w14:paraId="691EB2A1">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具备注册安全工程师执业证</w:t>
            </w:r>
            <w:r>
              <w:rPr>
                <w:rFonts w:hint="eastAsia" w:ascii="宋体" w:hAnsi="宋体" w:eastAsia="宋体" w:cs="宋体"/>
                <w:snapToGrid w:val="0"/>
                <w:color w:val="auto"/>
                <w:kern w:val="0"/>
                <w:sz w:val="22"/>
                <w:szCs w:val="22"/>
                <w:highlight w:val="none"/>
                <w:lang w:val="en-US" w:eastAsia="zh-CN"/>
              </w:rPr>
              <w:t>书</w:t>
            </w:r>
            <w:r>
              <w:rPr>
                <w:rFonts w:hint="eastAsia" w:ascii="宋体" w:hAnsi="宋体" w:eastAsia="宋体" w:cs="宋体"/>
                <w:color w:val="auto"/>
                <w:sz w:val="22"/>
                <w:szCs w:val="22"/>
                <w:highlight w:val="none"/>
              </w:rPr>
              <w:t>（有效期内）</w:t>
            </w:r>
          </w:p>
        </w:tc>
      </w:tr>
      <w:tr w14:paraId="4924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1174" w:type="dxa"/>
            <w:tcBorders>
              <w:top w:val="single" w:color="auto" w:sz="4" w:space="0"/>
              <w:left w:val="single" w:color="auto" w:sz="4" w:space="0"/>
              <w:bottom w:val="single" w:color="auto" w:sz="4" w:space="0"/>
              <w:right w:val="single" w:color="auto" w:sz="4" w:space="0"/>
            </w:tcBorders>
            <w:noWrap w:val="0"/>
            <w:vAlign w:val="center"/>
          </w:tcPr>
          <w:p w14:paraId="6882459D">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Times New Roman" w:hAnsi="Times New Roman" w:eastAsia="宋体" w:cs="Times New Roman"/>
                <w:snapToGrid w:val="0"/>
                <w:color w:val="auto"/>
                <w:kern w:val="0"/>
                <w:sz w:val="21"/>
                <w:szCs w:val="24"/>
                <w:highlight w:val="none"/>
                <w:lang w:val="en-US" w:eastAsia="zh-CN" w:bidi="ar-SA"/>
              </w:rPr>
              <w:t>造价工程师</w:t>
            </w:r>
          </w:p>
        </w:tc>
        <w:tc>
          <w:tcPr>
            <w:tcW w:w="2099" w:type="dxa"/>
            <w:tcBorders>
              <w:top w:val="single" w:color="auto" w:sz="4" w:space="0"/>
              <w:left w:val="single" w:color="auto" w:sz="4" w:space="0"/>
              <w:bottom w:val="single" w:color="auto" w:sz="4" w:space="0"/>
              <w:right w:val="single" w:color="auto" w:sz="4" w:space="0"/>
            </w:tcBorders>
            <w:noWrap w:val="0"/>
            <w:vAlign w:val="center"/>
          </w:tcPr>
          <w:p w14:paraId="1BF0F805">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2"/>
                <w:sz w:val="21"/>
                <w:szCs w:val="24"/>
                <w:highlight w:val="none"/>
                <w:lang w:val="en-US" w:eastAsia="zh-CN" w:bidi="ar-SA"/>
              </w:rPr>
              <w:t>注册造价工程师</w:t>
            </w:r>
          </w:p>
        </w:tc>
        <w:tc>
          <w:tcPr>
            <w:tcW w:w="666" w:type="dxa"/>
            <w:tcBorders>
              <w:top w:val="single" w:color="auto" w:sz="4" w:space="0"/>
              <w:left w:val="single" w:color="auto" w:sz="4" w:space="0"/>
              <w:bottom w:val="single" w:color="auto" w:sz="4" w:space="0"/>
              <w:right w:val="single" w:color="auto" w:sz="4" w:space="0"/>
            </w:tcBorders>
            <w:noWrap w:val="0"/>
            <w:vAlign w:val="center"/>
          </w:tcPr>
          <w:p w14:paraId="36AC5A5E">
            <w:pPr>
              <w:widowControl w:val="0"/>
              <w:wordWrap w:val="0"/>
              <w:adjustRightInd w:val="0"/>
              <w:snapToGrid w:val="0"/>
              <w:spacing w:line="360" w:lineRule="exact"/>
              <w:jc w:val="center"/>
              <w:rPr>
                <w:rFonts w:hint="eastAsia" w:ascii="宋体" w:hAnsi="宋体" w:eastAsia="宋体" w:cs="宋体"/>
                <w:bCs/>
                <w:snapToGrid w:val="0"/>
                <w:color w:val="auto"/>
                <w:kern w:val="0"/>
                <w:sz w:val="22"/>
                <w:szCs w:val="22"/>
                <w:highlight w:val="none"/>
                <w:lang w:val="en-US" w:eastAsia="zh-CN"/>
              </w:rPr>
            </w:pPr>
            <w:r>
              <w:rPr>
                <w:rFonts w:hint="eastAsia" w:ascii="Times New Roman" w:hAnsi="Times New Roman" w:eastAsia="宋体" w:cs="Times New Roman"/>
                <w:snapToGrid w:val="0"/>
                <w:color w:val="auto"/>
                <w:kern w:val="0"/>
                <w:sz w:val="21"/>
                <w:szCs w:val="24"/>
                <w:highlight w:val="none"/>
                <w:lang w:val="en-US" w:eastAsia="zh-CN" w:bidi="ar-SA"/>
              </w:rPr>
              <w:t>1</w:t>
            </w:r>
          </w:p>
        </w:tc>
        <w:tc>
          <w:tcPr>
            <w:tcW w:w="5217" w:type="dxa"/>
            <w:tcBorders>
              <w:top w:val="single" w:color="auto" w:sz="4" w:space="0"/>
              <w:left w:val="single" w:color="auto" w:sz="4" w:space="0"/>
              <w:bottom w:val="single" w:color="auto" w:sz="4" w:space="0"/>
              <w:right w:val="single" w:color="auto" w:sz="4" w:space="0"/>
            </w:tcBorders>
            <w:noWrap w:val="0"/>
            <w:vAlign w:val="center"/>
          </w:tcPr>
          <w:p w14:paraId="3BDA6EC1">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2"/>
                <w:sz w:val="21"/>
                <w:szCs w:val="24"/>
                <w:highlight w:val="none"/>
                <w:lang w:val="en-US" w:eastAsia="zh-CN" w:bidi="ar-SA"/>
              </w:rPr>
              <w:t>具备造价工程师注册证书</w:t>
            </w:r>
            <w:r>
              <w:rPr>
                <w:rFonts w:hint="eastAsia" w:ascii="宋体" w:hAnsi="宋体" w:eastAsia="宋体" w:cs="宋体"/>
                <w:color w:val="auto"/>
                <w:sz w:val="22"/>
                <w:szCs w:val="22"/>
                <w:highlight w:val="none"/>
              </w:rPr>
              <w:t>（有效期内）</w:t>
            </w:r>
          </w:p>
        </w:tc>
      </w:tr>
      <w:tr w14:paraId="6B30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1174" w:type="dxa"/>
            <w:tcBorders>
              <w:top w:val="single" w:color="auto" w:sz="4" w:space="0"/>
              <w:left w:val="single" w:color="auto" w:sz="4" w:space="0"/>
              <w:bottom w:val="single" w:color="auto" w:sz="4" w:space="0"/>
              <w:right w:val="single" w:color="auto" w:sz="4" w:space="0"/>
            </w:tcBorders>
            <w:noWrap w:val="0"/>
            <w:vAlign w:val="center"/>
          </w:tcPr>
          <w:p w14:paraId="583E7363">
            <w:pPr>
              <w:pStyle w:val="89"/>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监理员</w:t>
            </w:r>
          </w:p>
        </w:tc>
        <w:tc>
          <w:tcPr>
            <w:tcW w:w="2099" w:type="dxa"/>
            <w:tcBorders>
              <w:top w:val="single" w:color="auto" w:sz="4" w:space="0"/>
              <w:left w:val="single" w:color="auto" w:sz="4" w:space="0"/>
              <w:bottom w:val="single" w:color="auto" w:sz="4" w:space="0"/>
              <w:right w:val="single" w:color="auto" w:sz="4" w:space="0"/>
            </w:tcBorders>
            <w:noWrap w:val="0"/>
            <w:vAlign w:val="center"/>
          </w:tcPr>
          <w:p w14:paraId="1A4DF542">
            <w:pPr>
              <w:pStyle w:val="89"/>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具备监理员岗位证书（有效期内）</w:t>
            </w:r>
          </w:p>
        </w:tc>
        <w:tc>
          <w:tcPr>
            <w:tcW w:w="666" w:type="dxa"/>
            <w:tcBorders>
              <w:top w:val="single" w:color="auto" w:sz="4" w:space="0"/>
              <w:left w:val="single" w:color="auto" w:sz="4" w:space="0"/>
              <w:bottom w:val="single" w:color="auto" w:sz="4" w:space="0"/>
              <w:right w:val="single" w:color="auto" w:sz="4" w:space="0"/>
            </w:tcBorders>
            <w:noWrap w:val="0"/>
            <w:vAlign w:val="center"/>
          </w:tcPr>
          <w:p w14:paraId="0092E5CF">
            <w:pPr>
              <w:pStyle w:val="89"/>
              <w:wordWrap w:val="0"/>
              <w:adjustRightInd w:val="0"/>
              <w:snapToGrid w:val="0"/>
              <w:spacing w:line="360" w:lineRule="exact"/>
              <w:jc w:val="center"/>
              <w:rPr>
                <w:rFonts w:hint="eastAsia" w:ascii="宋体" w:hAnsi="宋体" w:eastAsia="宋体" w:cs="宋体"/>
                <w:bCs/>
                <w:snapToGrid w:val="0"/>
                <w:color w:val="auto"/>
                <w:kern w:val="0"/>
                <w:sz w:val="22"/>
                <w:szCs w:val="22"/>
                <w:highlight w:val="none"/>
                <w:lang w:val="en-US" w:eastAsia="zh-CN"/>
              </w:rPr>
            </w:pPr>
            <w:r>
              <w:rPr>
                <w:rFonts w:hint="eastAsia" w:ascii="宋体" w:hAnsi="宋体" w:eastAsia="宋体" w:cs="宋体"/>
                <w:bCs/>
                <w:snapToGrid w:val="0"/>
                <w:color w:val="auto"/>
                <w:kern w:val="0"/>
                <w:sz w:val="22"/>
                <w:szCs w:val="22"/>
                <w:highlight w:val="none"/>
                <w:lang w:val="en-US" w:eastAsia="zh-CN"/>
              </w:rPr>
              <w:t>2</w:t>
            </w:r>
          </w:p>
        </w:tc>
        <w:tc>
          <w:tcPr>
            <w:tcW w:w="5217" w:type="dxa"/>
            <w:tcBorders>
              <w:top w:val="single" w:color="auto" w:sz="4" w:space="0"/>
              <w:left w:val="single" w:color="auto" w:sz="4" w:space="0"/>
              <w:bottom w:val="single" w:color="auto" w:sz="4" w:space="0"/>
              <w:right w:val="single" w:color="auto" w:sz="4" w:space="0"/>
            </w:tcBorders>
            <w:noWrap w:val="0"/>
            <w:vAlign w:val="center"/>
          </w:tcPr>
          <w:p w14:paraId="61E25AB7">
            <w:pPr>
              <w:pStyle w:val="89"/>
              <w:wordWrap w:val="0"/>
              <w:adjustRightInd w:val="0"/>
              <w:snapToGrid w:val="0"/>
              <w:spacing w:line="36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经监理业务培训，持有效的省级建设行政主管部门或其授权的组织（机构）颁发的岗位证书。</w:t>
            </w:r>
          </w:p>
        </w:tc>
      </w:tr>
    </w:tbl>
    <w:p w14:paraId="5B397241">
      <w:pPr>
        <w:wordWrap w:val="0"/>
        <w:adjustRightInd w:val="0"/>
        <w:snapToGrid w:val="0"/>
        <w:spacing w:line="440" w:lineRule="exact"/>
        <w:ind w:firstLine="480" w:firstLineChars="200"/>
        <w:rPr>
          <w:rFonts w:hint="eastAsia" w:hAnsi="宋体" w:cs="宋体"/>
          <w:color w:val="auto"/>
          <w:kern w:val="0"/>
          <w:szCs w:val="24"/>
          <w:highlight w:val="none"/>
        </w:rPr>
      </w:pPr>
    </w:p>
    <w:p w14:paraId="3E67B8DA">
      <w:pPr>
        <w:wordWrap w:val="0"/>
        <w:adjustRightInd w:val="0"/>
        <w:snapToGrid w:val="0"/>
        <w:spacing w:line="440" w:lineRule="exact"/>
        <w:ind w:firstLine="480" w:firstLineChars="200"/>
        <w:rPr>
          <w:rFonts w:ascii="Times New Roman"/>
          <w:snapToGrid w:val="0"/>
          <w:color w:val="auto"/>
          <w:kern w:val="0"/>
          <w:highlight w:val="none"/>
        </w:rPr>
      </w:pPr>
      <w:r>
        <w:rPr>
          <w:rFonts w:hint="eastAsia" w:hAnsi="宋体" w:cs="宋体"/>
          <w:color w:val="auto"/>
          <w:kern w:val="0"/>
          <w:szCs w:val="24"/>
          <w:highlight w:val="none"/>
        </w:rPr>
        <w:t>注：</w:t>
      </w:r>
      <w:r>
        <w:rPr>
          <w:rFonts w:hint="eastAsia" w:ascii="宋体" w:hAnsi="宋体" w:eastAsia="宋体" w:cs="宋体"/>
          <w:color w:val="auto"/>
          <w:kern w:val="0"/>
          <w:sz w:val="24"/>
          <w:szCs w:val="24"/>
          <w:highlight w:val="none"/>
          <w:lang w:val="en-US" w:eastAsia="zh-CN" w:bidi="ar"/>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auto"/>
          <w:highlight w:val="none"/>
        </w:rPr>
      </w:pPr>
    </w:p>
    <w:p w14:paraId="07D9C16A">
      <w:pPr>
        <w:adjustRightInd w:val="0"/>
        <w:snapToGrid w:val="0"/>
        <w:spacing w:line="440" w:lineRule="exact"/>
        <w:ind w:firstLine="480" w:firstLineChars="200"/>
        <w:rPr>
          <w:rFonts w:hAnsi="宋体" w:cs="宋体"/>
          <w:snapToGrid w:val="0"/>
          <w:color w:val="auto"/>
          <w:kern w:val="0"/>
          <w:highlight w:val="none"/>
        </w:rPr>
      </w:pPr>
      <w:r>
        <w:rPr>
          <w:rFonts w:hint="eastAsia" w:hAnsi="宋体" w:cs="宋体"/>
          <w:snapToGrid w:val="0"/>
          <w:color w:val="auto"/>
          <w:kern w:val="0"/>
          <w:highlight w:val="none"/>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highlight w:val="none"/>
        </w:rPr>
        <w:sectPr>
          <w:endnotePr>
            <w:numFmt w:val="decimal"/>
          </w:endnotePr>
          <w:pgSz w:w="11906" w:h="16838"/>
          <w:pgMar w:top="1417" w:right="1129" w:bottom="1417" w:left="1417" w:header="850" w:footer="992" w:gutter="0"/>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15.5.2 </w:t>
      </w:r>
      <w:r>
        <w:rPr>
          <w:rFonts w:hint="eastAsia" w:hAnsi="宋体" w:cs="宋体"/>
          <w:snapToGrid w:val="0"/>
          <w:color w:val="auto"/>
          <w:kern w:val="0"/>
          <w:szCs w:val="24"/>
          <w:highlight w:val="none"/>
        </w:rPr>
        <w:t>否决投标说明</w:t>
      </w:r>
    </w:p>
    <w:p w14:paraId="4CADBCAA">
      <w:pPr>
        <w:wordWrap w:val="0"/>
        <w:adjustRightInd w:val="0"/>
        <w:snapToGrid w:val="0"/>
        <w:spacing w:line="360" w:lineRule="auto"/>
        <w:ind w:firstLine="562"/>
        <w:rPr>
          <w:rFonts w:hAnsi="宋体" w:cs="宋体"/>
          <w:snapToGrid w:val="0"/>
          <w:color w:val="auto"/>
          <w:kern w:val="0"/>
          <w:szCs w:val="24"/>
          <w:highlight w:val="none"/>
        </w:rPr>
      </w:pPr>
      <w:r>
        <w:rPr>
          <w:rFonts w:hint="eastAsia" w:hAnsi="宋体" w:cs="宋体"/>
          <w:snapToGrid w:val="0"/>
          <w:color w:val="auto"/>
          <w:kern w:val="0"/>
          <w:szCs w:val="24"/>
          <w:highlight w:val="none"/>
        </w:rPr>
        <w:t>详细评审阶段否决投标的全部条件，在本章第四节“否决投标条件”第</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highlight w:val="none"/>
        </w:rPr>
      </w:pPr>
      <w:r>
        <w:rPr>
          <w:rFonts w:hint="eastAsia" w:hAnsi="宋体" w:cs="宋体"/>
          <w:b/>
          <w:bCs/>
          <w:snapToGrid w:val="0"/>
          <w:color w:val="auto"/>
          <w:kern w:val="0"/>
          <w:szCs w:val="24"/>
          <w:highlight w:val="none"/>
        </w:rPr>
        <w:t>注：投标人在详细评审阶段根据评分方法提供的佐证材料，其合法性、有效性和准确性不符合要求的，有关评分因素的评分按相应评分标准处理，但不否决投标。</w:t>
      </w:r>
    </w:p>
    <w:p w14:paraId="189E4120">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59" w:name="_Toc28942"/>
      <w:r>
        <w:rPr>
          <w:rFonts w:hint="eastAsia" w:hAnsi="宋体" w:cs="宋体"/>
          <w:b/>
          <w:snapToGrid w:val="0"/>
          <w:color w:val="auto"/>
          <w:kern w:val="0"/>
          <w:szCs w:val="24"/>
          <w:highlight w:val="none"/>
        </w:rPr>
        <w:t>16．推荐</w:t>
      </w:r>
      <w:r>
        <w:rPr>
          <w:rFonts w:hint="eastAsia" w:hAnsi="宋体" w:cs="宋体"/>
          <w:b/>
          <w:snapToGrid w:val="0"/>
          <w:color w:val="auto"/>
          <w:kern w:val="0"/>
          <w:szCs w:val="24"/>
          <w:highlight w:val="none"/>
          <w:lang w:eastAsia="zh-CN"/>
        </w:rPr>
        <w:t>定</w:t>
      </w:r>
      <w:r>
        <w:rPr>
          <w:rFonts w:hint="eastAsia" w:hAnsi="宋体" w:cs="宋体"/>
          <w:b/>
          <w:snapToGrid w:val="0"/>
          <w:color w:val="auto"/>
          <w:kern w:val="0"/>
          <w:szCs w:val="24"/>
          <w:highlight w:val="none"/>
        </w:rPr>
        <w:t>标候选人</w:t>
      </w:r>
      <w:bookmarkEnd w:id="59"/>
    </w:p>
    <w:p w14:paraId="52826E54">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根据招标文件规定的评分细则，对招标文件中的各评审因素进行评审、比较、打分，将得分前5名不排序（按企业统一社会信用代码后4位大小排位）的的投标人作为定标候选人推荐给招标人，并对每个定标候选人的优势、风险等评审情况进行说明。当投标人综合总得分相同时，以报价低为前；当投标人综合总得分相同且报价相同时，由评标委员会投票确定排</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w:t>
      </w:r>
    </w:p>
    <w:p w14:paraId="714FCB8F">
      <w:pPr>
        <w:wordWrap w:val="0"/>
        <w:adjustRightInd w:val="0"/>
        <w:snapToGrid w:val="0"/>
        <w:spacing w:line="360" w:lineRule="auto"/>
        <w:ind w:firstLine="480" w:firstLineChars="200"/>
        <w:rPr>
          <w:rFonts w:hAnsi="宋体" w:cs="宋体"/>
          <w:snapToGrid w:val="0"/>
          <w:color w:val="auto"/>
          <w:kern w:val="0"/>
          <w:szCs w:val="24"/>
          <w:highlight w:val="none"/>
        </w:rPr>
      </w:pPr>
      <w:r>
        <w:rPr>
          <w:rFonts w:hint="eastAsia" w:ascii="宋体" w:hAnsi="宋体" w:eastAsia="宋体" w:cs="宋体"/>
          <w:color w:val="auto"/>
          <w:sz w:val="24"/>
          <w:szCs w:val="24"/>
          <w:highlight w:val="none"/>
        </w:rPr>
        <w:t>定标候选人得分只作为评标委员会的推荐依据，不作为定标委员会对中标候选人排序的依据。</w:t>
      </w:r>
      <w:r>
        <w:rPr>
          <w:rFonts w:hint="eastAsia" w:ascii="宋体" w:hAnsi="宋体" w:eastAsia="宋体" w:cs="宋体"/>
          <w:color w:val="auto"/>
          <w:sz w:val="24"/>
          <w:szCs w:val="24"/>
          <w:highlight w:val="none"/>
          <w:lang w:val="en-US" w:eastAsia="zh-CN"/>
        </w:rPr>
        <w:t>当有效投标人数量不足5名但满足法定要求时，所有通过评审的有效投标人均应作为定标候选人</w:t>
      </w:r>
      <w:r>
        <w:rPr>
          <w:rFonts w:hint="eastAsia" w:hAnsi="宋体" w:cs="宋体"/>
          <w:snapToGrid w:val="0"/>
          <w:color w:val="auto"/>
          <w:kern w:val="0"/>
          <w:szCs w:val="24"/>
          <w:highlight w:val="none"/>
        </w:rPr>
        <w:t>。</w:t>
      </w:r>
    </w:p>
    <w:p w14:paraId="741B7D3F">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60" w:name="_Toc31901"/>
      <w:r>
        <w:rPr>
          <w:rFonts w:hint="eastAsia" w:hAnsi="宋体" w:cs="宋体"/>
          <w:b/>
          <w:snapToGrid w:val="0"/>
          <w:color w:val="auto"/>
          <w:kern w:val="0"/>
          <w:szCs w:val="24"/>
          <w:highlight w:val="none"/>
        </w:rPr>
        <w:t>17．</w:t>
      </w:r>
      <w:r>
        <w:rPr>
          <w:rFonts w:hint="eastAsia" w:hAnsi="宋体" w:cs="宋体"/>
          <w:b/>
          <w:snapToGrid w:val="0"/>
          <w:color w:val="auto"/>
          <w:kern w:val="0"/>
          <w:szCs w:val="24"/>
          <w:highlight w:val="none"/>
          <w:lang w:eastAsia="zh-CN"/>
        </w:rPr>
        <w:t>评标结果</w:t>
      </w:r>
      <w:r>
        <w:rPr>
          <w:rFonts w:hint="eastAsia" w:hAnsi="宋体" w:cs="宋体"/>
          <w:b/>
          <w:snapToGrid w:val="0"/>
          <w:color w:val="auto"/>
          <w:kern w:val="0"/>
          <w:szCs w:val="24"/>
          <w:highlight w:val="none"/>
        </w:rPr>
        <w:t>公示</w:t>
      </w:r>
      <w:bookmarkEnd w:id="60"/>
    </w:p>
    <w:p w14:paraId="0789FBF9">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17.1</w:t>
      </w:r>
      <w:r>
        <w:rPr>
          <w:rFonts w:hint="eastAsia" w:hAnsi="宋体" w:cs="宋体"/>
          <w:bCs/>
          <w:snapToGrid w:val="0"/>
          <w:color w:val="auto"/>
          <w:kern w:val="0"/>
          <w:szCs w:val="24"/>
          <w:highlight w:val="none"/>
        </w:rPr>
        <w:t xml:space="preserve"> </w:t>
      </w: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评审综合总得分</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highlight w:val="none"/>
        </w:rPr>
        <w:t>高</w:t>
      </w:r>
      <w:r>
        <w:rPr>
          <w:rFonts w:hint="eastAsia" w:ascii="宋体" w:hAnsi="宋体" w:eastAsia="宋体" w:cs="宋体"/>
          <w:color w:val="auto"/>
          <w:sz w:val="24"/>
          <w:highlight w:val="none"/>
          <w:lang w:eastAsia="zh-CN"/>
        </w:rPr>
        <w:t>到</w:t>
      </w:r>
      <w:r>
        <w:rPr>
          <w:rFonts w:hint="eastAsia" w:ascii="宋体" w:hAnsi="宋体" w:eastAsia="宋体" w:cs="宋体"/>
          <w:color w:val="auto"/>
          <w:sz w:val="24"/>
          <w:highlight w:val="none"/>
        </w:rPr>
        <w:t>低的</w:t>
      </w:r>
      <w:r>
        <w:rPr>
          <w:rFonts w:hint="eastAsia" w:ascii="宋体" w:hAnsi="宋体" w:eastAsia="宋体" w:cs="宋体"/>
          <w:color w:val="auto"/>
          <w:sz w:val="24"/>
          <w:highlight w:val="none"/>
          <w:lang w:eastAsia="zh-CN"/>
        </w:rPr>
        <w:t>原则</w:t>
      </w:r>
      <w:r>
        <w:rPr>
          <w:rFonts w:hint="eastAsia" w:ascii="宋体" w:hAnsi="宋体" w:eastAsia="宋体" w:cs="宋体"/>
          <w:color w:val="auto"/>
          <w:sz w:val="24"/>
          <w:highlight w:val="none"/>
        </w:rPr>
        <w:t>,向招标人推荐</w:t>
      </w:r>
      <w:r>
        <w:rPr>
          <w:rFonts w:hint="eastAsia" w:ascii="宋体" w:hAnsi="宋体" w:eastAsia="宋体" w:cs="宋体"/>
          <w:color w:val="auto"/>
          <w:sz w:val="24"/>
          <w:highlight w:val="none"/>
          <w:lang w:val="en-US" w:eastAsia="zh-CN"/>
        </w:rPr>
        <w:t>已明确的</w:t>
      </w:r>
      <w:r>
        <w:rPr>
          <w:rFonts w:hint="eastAsia" w:ascii="宋体" w:hAnsi="宋体" w:eastAsia="宋体" w:cs="宋体"/>
          <w:color w:val="auto"/>
          <w:sz w:val="24"/>
          <w:highlight w:val="none"/>
        </w:rPr>
        <w:t>定标候选人</w:t>
      </w:r>
      <w:r>
        <w:rPr>
          <w:rFonts w:hint="eastAsia" w:ascii="宋体" w:hAnsi="宋体" w:eastAsia="宋体" w:cs="宋体"/>
          <w:color w:val="auto"/>
          <w:sz w:val="24"/>
          <w:highlight w:val="none"/>
          <w:lang w:eastAsia="zh-CN"/>
        </w:rPr>
        <w:t>数量</w:t>
      </w:r>
      <w:r>
        <w:rPr>
          <w:rFonts w:hint="eastAsia" w:ascii="宋体" w:hAnsi="宋体" w:eastAsia="宋体" w:cs="宋体"/>
          <w:color w:val="auto"/>
          <w:sz w:val="24"/>
          <w:highlight w:val="none"/>
        </w:rPr>
        <w:t>（不</w:t>
      </w:r>
      <w:r>
        <w:rPr>
          <w:rFonts w:hint="eastAsia" w:ascii="宋体" w:hAnsi="宋体" w:eastAsia="宋体" w:cs="宋体"/>
          <w:color w:val="auto"/>
          <w:sz w:val="24"/>
          <w:highlight w:val="none"/>
          <w:lang w:val="en-US" w:eastAsia="zh-CN"/>
        </w:rPr>
        <w:t>标明</w:t>
      </w:r>
      <w:r>
        <w:rPr>
          <w:rFonts w:hint="eastAsia" w:ascii="宋体" w:hAnsi="宋体" w:eastAsia="宋体" w:cs="宋体"/>
          <w:color w:val="auto"/>
          <w:sz w:val="24"/>
          <w:highlight w:val="none"/>
        </w:rPr>
        <w:t>排序）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eastAsia="zh-CN"/>
        </w:rPr>
        <w:t>于评标会结束后</w:t>
      </w:r>
      <w:r>
        <w:rPr>
          <w:rFonts w:hint="eastAsia" w:ascii="宋体" w:hAnsi="宋体" w:eastAsia="宋体" w:cs="宋体"/>
          <w:color w:val="auto"/>
          <w:sz w:val="24"/>
          <w:highlight w:val="none"/>
          <w:lang w:val="en-US" w:eastAsia="zh-CN"/>
        </w:rPr>
        <w:t>3个工作日内将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r>
        <w:rPr>
          <w:rFonts w:hint="eastAsia" w:hAnsi="宋体" w:cs="宋体"/>
          <w:snapToGrid w:val="0"/>
          <w:color w:val="auto"/>
          <w:kern w:val="0"/>
          <w:szCs w:val="24"/>
          <w:highlight w:val="none"/>
        </w:rPr>
        <w:t>。</w:t>
      </w:r>
    </w:p>
    <w:p w14:paraId="3E4D3842">
      <w:pPr>
        <w:wordWrap w:val="0"/>
        <w:adjustRightInd w:val="0"/>
        <w:snapToGrid w:val="0"/>
        <w:spacing w:line="360" w:lineRule="auto"/>
        <w:outlineLvl w:val="1"/>
        <w:rPr>
          <w:rFonts w:hAnsi="宋体" w:cs="宋体"/>
          <w:snapToGrid w:val="0"/>
          <w:color w:val="auto"/>
          <w:kern w:val="0"/>
          <w:highlight w:val="none"/>
        </w:rPr>
      </w:pPr>
      <w:bookmarkStart w:id="61" w:name="_Toc32237"/>
      <w:r>
        <w:rPr>
          <w:rFonts w:hint="eastAsia" w:hAnsi="宋体" w:cs="宋体"/>
          <w:b/>
          <w:bCs/>
          <w:snapToGrid w:val="0"/>
          <w:color w:val="auto"/>
          <w:kern w:val="0"/>
          <w:highlight w:val="none"/>
        </w:rPr>
        <w:t>第四节 否决投标条件</w:t>
      </w:r>
      <w:bookmarkEnd w:id="61"/>
    </w:p>
    <w:p w14:paraId="1217DA6A">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highlight w:val="none"/>
        </w:rPr>
        <w:t>投标人未有列入本节情形的，评标时一律不得否决其投标。</w:t>
      </w:r>
      <w:r>
        <w:rPr>
          <w:rFonts w:hint="eastAsia" w:hAnsi="宋体" w:cs="宋体"/>
          <w:snapToGrid w:val="0"/>
          <w:color w:val="auto"/>
          <w:kern w:val="0"/>
          <w:highlight w:val="none"/>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highlight w:val="none"/>
        </w:rPr>
      </w:pPr>
      <w:bookmarkStart w:id="62" w:name="_Toc10226"/>
      <w:r>
        <w:rPr>
          <w:rFonts w:hint="eastAsia" w:hAnsi="宋体" w:cs="宋体"/>
          <w:b/>
          <w:bCs/>
          <w:snapToGrid w:val="0"/>
          <w:color w:val="auto"/>
          <w:kern w:val="0"/>
          <w:highlight w:val="none"/>
        </w:rPr>
        <w:t>1．资格评审环节</w:t>
      </w:r>
      <w:bookmarkEnd w:id="62"/>
    </w:p>
    <w:p w14:paraId="3AA2319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（1）有本章第三节第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（2）投标人资质不符合</w:t>
      </w:r>
      <w:r>
        <w:rPr>
          <w:rFonts w:hint="eastAsia" w:hAnsi="宋体" w:cs="宋体"/>
          <w:snapToGrid w:val="0"/>
          <w:color w:val="auto"/>
          <w:kern w:val="0"/>
          <w:szCs w:val="18"/>
          <w:highlight w:val="none"/>
        </w:rPr>
        <w:t>规定的；</w:t>
      </w:r>
    </w:p>
    <w:p w14:paraId="199BFDE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highlight w:val="none"/>
        </w:rPr>
      </w:pPr>
      <w:r>
        <w:rPr>
          <w:rFonts w:hint="eastAsia" w:hAnsi="宋体" w:cs="宋体"/>
          <w:b/>
          <w:bCs/>
          <w:snapToGrid w:val="0"/>
          <w:color w:val="auto"/>
          <w:kern w:val="0"/>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r>
        <w:rPr>
          <w:rFonts w:hint="eastAsia" w:hAnsi="宋体" w:cs="宋体"/>
          <w:b/>
          <w:bCs/>
          <w:snapToGrid w:val="0"/>
          <w:color w:val="auto"/>
          <w:kern w:val="0"/>
          <w:szCs w:val="22"/>
          <w:highlight w:val="none"/>
        </w:rPr>
        <w:t xml:space="preserve">  </w:t>
      </w:r>
    </w:p>
    <w:p w14:paraId="0A6B74E3">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highlight w:val="none"/>
        </w:rPr>
      </w:pPr>
      <w:bookmarkStart w:id="63" w:name="_Toc4655"/>
      <w:r>
        <w:rPr>
          <w:rFonts w:hint="eastAsia" w:hAnsi="宋体" w:cs="宋体"/>
          <w:b/>
          <w:bCs/>
          <w:snapToGrid w:val="0"/>
          <w:color w:val="auto"/>
          <w:kern w:val="0"/>
          <w:highlight w:val="none"/>
        </w:rPr>
        <w:t>2．形式评审环节</w:t>
      </w:r>
      <w:bookmarkEnd w:id="63"/>
    </w:p>
    <w:p w14:paraId="0BEB281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（9）本章第三节第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（10）关键字迹模糊、无法辨认，</w:t>
      </w:r>
      <w:r>
        <w:rPr>
          <w:rFonts w:hint="eastAsia" w:hAnsi="宋体" w:cs="宋体"/>
          <w:b/>
          <w:bCs/>
          <w:snapToGrid w:val="0"/>
          <w:color w:val="auto"/>
          <w:kern w:val="0"/>
          <w:highlight w:val="none"/>
        </w:rPr>
        <w:t>且该种过错将导致评标委员会无法作出投标文件是否响应招标文件实质性要求的</w:t>
      </w:r>
      <w:r>
        <w:rPr>
          <w:rFonts w:hint="eastAsia" w:hAnsi="宋体" w:cs="宋体"/>
          <w:snapToGrid w:val="0"/>
          <w:color w:val="auto"/>
          <w:kern w:val="0"/>
          <w:highlight w:val="none"/>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highlight w:val="none"/>
        </w:rPr>
      </w:pPr>
      <w:bookmarkStart w:id="64" w:name="_Toc1031"/>
      <w:r>
        <w:rPr>
          <w:rFonts w:hint="eastAsia" w:hAnsi="宋体" w:cs="宋体"/>
          <w:b/>
          <w:bCs/>
          <w:snapToGrid w:val="0"/>
          <w:color w:val="auto"/>
          <w:kern w:val="0"/>
          <w:highlight w:val="none"/>
        </w:rPr>
        <w:t>3．响应性评审环节</w:t>
      </w:r>
      <w:bookmarkEnd w:id="64"/>
    </w:p>
    <w:p w14:paraId="1D351E7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highlight w:val="none"/>
        </w:rPr>
        <w:t>且该种过错将导致“三控制”目标无法实现的</w:t>
      </w:r>
      <w:r>
        <w:rPr>
          <w:rFonts w:hint="eastAsia" w:hAnsi="宋体" w:cs="宋体"/>
          <w:snapToGrid w:val="0"/>
          <w:color w:val="auto"/>
          <w:kern w:val="0"/>
          <w:highlight w:val="none"/>
        </w:rPr>
        <w:t>。</w:t>
      </w:r>
    </w:p>
    <w:p w14:paraId="5BE2B7EB">
      <w:pPr>
        <w:wordWrap w:val="0"/>
        <w:adjustRightInd w:val="0"/>
        <w:snapToGrid w:val="0"/>
        <w:spacing w:line="360" w:lineRule="auto"/>
        <w:ind w:firstLine="480"/>
        <w:outlineLvl w:val="2"/>
        <w:rPr>
          <w:rFonts w:hAnsi="宋体" w:cs="宋体"/>
          <w:b/>
          <w:bCs/>
          <w:snapToGrid w:val="0"/>
          <w:color w:val="auto"/>
          <w:kern w:val="0"/>
          <w:highlight w:val="none"/>
        </w:rPr>
      </w:pPr>
      <w:bookmarkStart w:id="65" w:name="_Toc8328"/>
      <w:r>
        <w:rPr>
          <w:rFonts w:hint="eastAsia" w:hAnsi="宋体" w:cs="宋体"/>
          <w:b/>
          <w:bCs/>
          <w:snapToGrid w:val="0"/>
          <w:color w:val="auto"/>
          <w:kern w:val="0"/>
          <w:highlight w:val="none"/>
        </w:rPr>
        <w:t>4．其他</w:t>
      </w:r>
      <w:bookmarkEnd w:id="65"/>
    </w:p>
    <w:p w14:paraId="33D6B34F">
      <w:pPr>
        <w:wordWrap w:val="0"/>
        <w:adjustRightInd w:val="0"/>
        <w:snapToGrid w:val="0"/>
        <w:spacing w:line="360" w:lineRule="auto"/>
        <w:ind w:firstLine="480"/>
        <w:rPr>
          <w:rFonts w:hAnsi="宋体" w:cs="宋体"/>
          <w:snapToGrid w:val="0"/>
          <w:color w:val="auto"/>
          <w:kern w:val="0"/>
          <w:szCs w:val="22"/>
          <w:highlight w:val="none"/>
        </w:rPr>
      </w:pPr>
      <w:r>
        <w:rPr>
          <w:rFonts w:hint="eastAsia" w:hAnsi="宋体" w:cs="宋体"/>
          <w:snapToGrid w:val="0"/>
          <w:color w:val="auto"/>
          <w:kern w:val="0"/>
          <w:highlight w:val="none"/>
        </w:rPr>
        <w:t>在任何评标环节（或阶段），投标人有下列情形之一的，评标委员会应否决其投标。</w:t>
      </w:r>
      <w:r>
        <w:rPr>
          <w:rFonts w:hint="eastAsia" w:hAnsi="宋体" w:cs="宋体"/>
          <w:snapToGrid w:val="0"/>
          <w:color w:val="auto"/>
          <w:kern w:val="0"/>
          <w:szCs w:val="22"/>
          <w:highlight w:val="none"/>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⑥不同投标人的投标保证由同一企业或同一账户资金缴纳；</w:t>
      </w:r>
    </w:p>
    <w:p w14:paraId="77479E17">
      <w:pPr>
        <w:wordWrap w:val="0"/>
        <w:adjustRightInd w:val="0"/>
        <w:snapToGrid w:val="0"/>
        <w:spacing w:line="360" w:lineRule="auto"/>
        <w:ind w:firstLine="480"/>
        <w:rPr>
          <w:rFonts w:hint="eastAsia" w:hAnsi="宋体" w:cs="宋体"/>
          <w:snapToGrid w:val="0"/>
          <w:color w:val="auto"/>
          <w:kern w:val="0"/>
          <w:highlight w:val="none"/>
        </w:rPr>
      </w:pPr>
      <w:r>
        <w:rPr>
          <w:rFonts w:hint="eastAsia" w:hAnsi="宋体" w:cs="宋体"/>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p>
    <w:p w14:paraId="336AC82E">
      <w:pPr>
        <w:rPr>
          <w:rFonts w:hint="eastAsia" w:hAnsi="宋体" w:cs="宋体"/>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0A9BCC3E">
      <w:pPr>
        <w:wordWrap w:val="0"/>
        <w:adjustRightInd w:val="0"/>
        <w:snapToGrid w:val="0"/>
        <w:spacing w:line="360" w:lineRule="auto"/>
        <w:outlineLvl w:val="1"/>
        <w:rPr>
          <w:rFonts w:hint="eastAsia" w:hAnsi="宋体" w:cs="宋体"/>
          <w:b/>
          <w:bCs/>
          <w:snapToGrid w:val="0"/>
          <w:color w:val="auto"/>
          <w:kern w:val="0"/>
          <w:sz w:val="28"/>
          <w:szCs w:val="21"/>
          <w:highlight w:val="none"/>
          <w:lang w:val="en-US" w:eastAsia="zh-CN"/>
        </w:rPr>
      </w:pPr>
      <w:bookmarkStart w:id="66" w:name="_Toc10714"/>
      <w:r>
        <w:rPr>
          <w:rFonts w:hint="eastAsia" w:hAnsi="宋体" w:cs="宋体"/>
          <w:b/>
          <w:bCs/>
          <w:snapToGrid w:val="0"/>
          <w:color w:val="auto"/>
          <w:kern w:val="0"/>
          <w:sz w:val="28"/>
          <w:szCs w:val="21"/>
          <w:highlight w:val="none"/>
          <w:lang w:val="en-US" w:eastAsia="zh-CN"/>
        </w:rPr>
        <w:t>第五节.定标</w:t>
      </w:r>
      <w:bookmarkEnd w:id="66"/>
    </w:p>
    <w:p w14:paraId="3FE88347">
      <w:pPr>
        <w:wordWrap w:val="0"/>
        <w:adjustRightInd w:val="0"/>
        <w:snapToGrid w:val="0"/>
        <w:spacing w:line="360" w:lineRule="auto"/>
        <w:ind w:firstLine="480"/>
        <w:outlineLvl w:val="2"/>
        <w:rPr>
          <w:rFonts w:hint="eastAsia" w:ascii="宋体" w:hAnsi="宋体" w:eastAsia="宋体" w:cs="宋体"/>
          <w:b/>
          <w:bCs/>
          <w:color w:val="auto"/>
          <w:sz w:val="24"/>
          <w:szCs w:val="24"/>
          <w:highlight w:val="none"/>
          <w:u w:val="none"/>
        </w:rPr>
      </w:pPr>
      <w:bookmarkStart w:id="67" w:name="_Toc4754"/>
      <w:r>
        <w:rPr>
          <w:rFonts w:hint="eastAsia" w:hAnsi="宋体" w:cs="宋体"/>
          <w:b/>
          <w:bCs/>
          <w:color w:val="auto"/>
          <w:sz w:val="24"/>
          <w:highlight w:val="none"/>
          <w:lang w:val="en-US" w:eastAsia="zh-CN"/>
        </w:rPr>
        <w:t>1.</w:t>
      </w:r>
      <w:r>
        <w:rPr>
          <w:rFonts w:hint="eastAsia" w:ascii="宋体" w:hAnsi="宋体" w:eastAsia="宋体" w:cs="宋体"/>
          <w:b/>
          <w:bCs/>
          <w:color w:val="auto"/>
          <w:sz w:val="24"/>
          <w:szCs w:val="24"/>
          <w:highlight w:val="none"/>
          <w:u w:val="none"/>
          <w:lang w:eastAsia="zh-CN"/>
        </w:rPr>
        <w:t>确定</w:t>
      </w:r>
      <w:r>
        <w:rPr>
          <w:rFonts w:hint="eastAsia" w:ascii="宋体" w:hAnsi="宋体" w:eastAsia="宋体" w:cs="宋体"/>
          <w:b/>
          <w:bCs/>
          <w:color w:val="auto"/>
          <w:sz w:val="24"/>
          <w:szCs w:val="24"/>
          <w:highlight w:val="none"/>
          <w:u w:val="none"/>
        </w:rPr>
        <w:t>定标时间</w:t>
      </w:r>
      <w:bookmarkEnd w:id="67"/>
    </w:p>
    <w:p w14:paraId="3689A551">
      <w:pPr>
        <w:wordWrap w:val="0"/>
        <w:adjustRightInd w:val="0"/>
        <w:snapToGrid w:val="0"/>
        <w:spacing w:line="360" w:lineRule="auto"/>
        <w:ind w:firstLine="480"/>
        <w:rPr>
          <w:rFonts w:hint="eastAsia" w:hAnsi="宋体" w:cs="宋体"/>
          <w:snapToGrid w:val="0"/>
          <w:color w:val="auto"/>
          <w:kern w:val="0"/>
          <w:highlight w:val="none"/>
        </w:rPr>
      </w:pPr>
      <w:r>
        <w:rPr>
          <w:rFonts w:hint="eastAsia" w:hAnsi="宋体" w:cs="宋体"/>
          <w:snapToGrid w:val="0"/>
          <w:color w:val="auto"/>
          <w:kern w:val="0"/>
          <w:highlight w:val="none"/>
        </w:rPr>
        <w:t>招标人</w:t>
      </w:r>
      <w:r>
        <w:rPr>
          <w:rFonts w:hint="eastAsia" w:hAnsi="宋体" w:cs="宋体"/>
          <w:snapToGrid w:val="0"/>
          <w:color w:val="auto"/>
          <w:kern w:val="0"/>
          <w:highlight w:val="none"/>
          <w:lang w:eastAsia="zh-CN"/>
        </w:rPr>
        <w:t>应</w:t>
      </w:r>
      <w:r>
        <w:rPr>
          <w:rFonts w:hint="eastAsia" w:hAnsi="宋体" w:cs="宋体"/>
          <w:snapToGrid w:val="0"/>
          <w:color w:val="auto"/>
          <w:kern w:val="0"/>
          <w:highlight w:val="none"/>
        </w:rPr>
        <w:t>自</w:t>
      </w:r>
      <w:r>
        <w:rPr>
          <w:rFonts w:hint="eastAsia" w:hAnsi="宋体" w:cs="宋体"/>
          <w:snapToGrid w:val="0"/>
          <w:color w:val="auto"/>
          <w:kern w:val="0"/>
          <w:highlight w:val="none"/>
          <w:lang w:val="en-US" w:eastAsia="zh-CN"/>
        </w:rPr>
        <w:t>定标候选人</w:t>
      </w:r>
      <w:r>
        <w:rPr>
          <w:rFonts w:hint="eastAsia" w:hAnsi="宋体" w:cs="宋体"/>
          <w:snapToGrid w:val="0"/>
          <w:color w:val="auto"/>
          <w:kern w:val="0"/>
          <w:highlight w:val="none"/>
        </w:rPr>
        <w:t>公示期满后</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个工作日内进入公共资源交易平台（与评标阶段公共资源交易平台相同）进行定标。定标会议全过程录音录像。招标人需要延期定标的，</w:t>
      </w:r>
      <w:r>
        <w:rPr>
          <w:rFonts w:hint="eastAsia" w:hAnsi="宋体" w:cs="宋体"/>
          <w:snapToGrid w:val="0"/>
          <w:color w:val="auto"/>
          <w:kern w:val="0"/>
          <w:highlight w:val="none"/>
          <w:lang w:eastAsia="zh-CN"/>
        </w:rPr>
        <w:t>应</w:t>
      </w:r>
      <w:r>
        <w:rPr>
          <w:rFonts w:hint="eastAsia" w:hAnsi="宋体" w:cs="宋体"/>
          <w:snapToGrid w:val="0"/>
          <w:color w:val="auto"/>
          <w:kern w:val="0"/>
          <w:highlight w:val="none"/>
        </w:rPr>
        <w:t>通过公共资源交易平台公布延期原因和定标时间。</w:t>
      </w:r>
    </w:p>
    <w:p w14:paraId="1B44B5EB">
      <w:pPr>
        <w:wordWrap w:val="0"/>
        <w:adjustRightInd w:val="0"/>
        <w:snapToGrid w:val="0"/>
        <w:spacing w:line="360" w:lineRule="auto"/>
        <w:ind w:firstLine="480"/>
        <w:outlineLvl w:val="2"/>
        <w:rPr>
          <w:rFonts w:hint="eastAsia" w:ascii="宋体" w:hAnsi="宋体" w:eastAsia="宋体" w:cs="宋体"/>
          <w:b/>
          <w:color w:val="auto"/>
          <w:sz w:val="24"/>
          <w:highlight w:val="none"/>
          <w:lang w:eastAsia="zh-CN"/>
        </w:rPr>
      </w:pPr>
      <w:bookmarkStart w:id="68" w:name="_Toc9939"/>
      <w:r>
        <w:rPr>
          <w:rFonts w:hint="eastAsia" w:hAnsi="宋体" w:cs="宋体"/>
          <w:b/>
          <w:bCs/>
          <w:color w:val="auto"/>
          <w:sz w:val="24"/>
          <w:highlight w:val="none"/>
          <w:lang w:val="en-US" w:eastAsia="zh-CN"/>
        </w:rPr>
        <w:t>2</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lang w:eastAsia="zh-CN"/>
        </w:rPr>
        <w:t>定标委员会</w:t>
      </w:r>
      <w:bookmarkEnd w:id="68"/>
    </w:p>
    <w:p w14:paraId="09CC434E">
      <w:pPr>
        <w:wordWrap w:val="0"/>
        <w:adjustRightInd w:val="0"/>
        <w:snapToGrid w:val="0"/>
        <w:spacing w:line="360" w:lineRule="auto"/>
        <w:ind w:firstLine="48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val="en-US" w:eastAsia="zh-CN"/>
        </w:rPr>
        <w:t>招标人负责组建定标委员会，由项目业主的法定代表人或者主要负责人或者副职领导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370D565">
      <w:pPr>
        <w:wordWrap w:val="0"/>
        <w:adjustRightInd w:val="0"/>
        <w:snapToGrid w:val="0"/>
        <w:spacing w:line="360" w:lineRule="auto"/>
        <w:ind w:firstLine="480"/>
        <w:rPr>
          <w:rFonts w:hint="eastAsia" w:hAnsi="宋体" w:cs="宋体"/>
          <w:snapToGrid w:val="0"/>
          <w:color w:val="auto"/>
          <w:kern w:val="0"/>
          <w:highlight w:val="none"/>
        </w:rPr>
      </w:pPr>
      <w:r>
        <w:rPr>
          <w:rFonts w:hint="eastAsia" w:hAnsi="宋体" w:cs="宋体"/>
          <w:snapToGrid w:val="0"/>
          <w:color w:val="auto"/>
          <w:kern w:val="0"/>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26F13657">
      <w:pPr>
        <w:wordWrap w:val="0"/>
        <w:adjustRightInd w:val="0"/>
        <w:snapToGrid w:val="0"/>
        <w:spacing w:line="360" w:lineRule="auto"/>
        <w:ind w:firstLine="480"/>
        <w:outlineLvl w:val="2"/>
        <w:rPr>
          <w:rFonts w:hint="eastAsia" w:ascii="宋体" w:hAnsi="宋体" w:eastAsia="宋体" w:cs="宋体"/>
          <w:strike w:val="0"/>
          <w:dstrike w:val="0"/>
          <w:color w:val="auto"/>
          <w:kern w:val="2"/>
          <w:sz w:val="24"/>
          <w:szCs w:val="24"/>
          <w:highlight w:val="none"/>
          <w:u w:val="none"/>
          <w:lang w:val="en-US" w:eastAsia="zh-CN"/>
        </w:rPr>
      </w:pPr>
      <w:bookmarkStart w:id="69" w:name="_Toc10625"/>
      <w:r>
        <w:rPr>
          <w:rFonts w:hint="eastAsia" w:hAnsi="宋体" w:cs="宋体"/>
          <w:b/>
          <w:bCs/>
          <w:color w:val="auto"/>
          <w:sz w:val="24"/>
          <w:highlight w:val="none"/>
          <w:lang w:val="en-US" w:eastAsia="zh-CN"/>
        </w:rPr>
        <w:t>3</w:t>
      </w:r>
      <w:r>
        <w:rPr>
          <w:rFonts w:hint="eastAsia" w:ascii="宋体" w:hAnsi="宋体" w:eastAsia="宋体" w:cs="宋体"/>
          <w:b/>
          <w:bCs/>
          <w:color w:val="auto"/>
          <w:sz w:val="24"/>
          <w:highlight w:val="none"/>
        </w:rPr>
        <w:t>.</w:t>
      </w:r>
      <w:r>
        <w:rPr>
          <w:rFonts w:hint="eastAsia" w:ascii="宋体" w:hAnsi="宋体" w:eastAsia="宋体" w:cs="宋体"/>
          <w:b/>
          <w:bCs/>
          <w:strike w:val="0"/>
          <w:dstrike w:val="0"/>
          <w:color w:val="auto"/>
          <w:kern w:val="2"/>
          <w:sz w:val="24"/>
          <w:szCs w:val="24"/>
          <w:highlight w:val="none"/>
          <w:u w:val="none"/>
          <w:lang w:val="en-US" w:eastAsia="zh-CN"/>
        </w:rPr>
        <w:t>组建招标监督小组</w:t>
      </w:r>
      <w:bookmarkEnd w:id="69"/>
    </w:p>
    <w:p w14:paraId="363BE9E0">
      <w:pPr>
        <w:ind w:firstLine="480" w:firstLineChars="200"/>
        <w:rPr>
          <w:rFonts w:hint="eastAsia"/>
          <w:color w:val="auto"/>
          <w:highlight w:val="none"/>
          <w:lang w:val="en-US" w:eastAsia="zh-CN"/>
        </w:rPr>
      </w:pPr>
      <w:r>
        <w:rPr>
          <w:rFonts w:hint="eastAsia"/>
          <w:color w:val="auto"/>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30F86799">
      <w:pPr>
        <w:wordWrap w:val="0"/>
        <w:adjustRightInd w:val="0"/>
        <w:snapToGrid w:val="0"/>
        <w:spacing w:line="360" w:lineRule="auto"/>
        <w:ind w:firstLine="480"/>
        <w:outlineLvl w:val="2"/>
        <w:rPr>
          <w:rFonts w:hint="eastAsia" w:ascii="宋体" w:hAnsi="宋体" w:eastAsia="宋体" w:cs="宋体"/>
          <w:b/>
          <w:color w:val="auto"/>
          <w:sz w:val="24"/>
          <w:highlight w:val="none"/>
          <w:lang w:eastAsia="zh-CN"/>
        </w:rPr>
      </w:pPr>
      <w:bookmarkStart w:id="70" w:name="_Toc8984"/>
      <w:r>
        <w:rPr>
          <w:rFonts w:hint="eastAsia" w:hAnsi="宋体" w:cs="宋体"/>
          <w:b/>
          <w:color w:val="auto"/>
          <w:sz w:val="24"/>
          <w:highlight w:val="none"/>
          <w:lang w:val="en-US" w:eastAsia="zh-CN"/>
        </w:rPr>
        <w:t>4</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eastAsia="zh-CN"/>
        </w:rPr>
        <w:t>定标办法</w:t>
      </w:r>
      <w:bookmarkEnd w:id="70"/>
    </w:p>
    <w:p w14:paraId="1DEFE36A">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本项目采用</w:t>
      </w:r>
      <w:r>
        <w:rPr>
          <w:rFonts w:hint="eastAsia" w:hAnsi="宋体" w:cs="宋体"/>
          <w:b/>
          <w:bCs/>
          <w:color w:val="auto"/>
          <w:sz w:val="24"/>
          <w:highlight w:val="none"/>
          <w:lang w:val="en-US" w:eastAsia="zh-CN"/>
        </w:rPr>
        <w:t>票决数量法</w:t>
      </w:r>
      <w:r>
        <w:rPr>
          <w:rFonts w:hint="eastAsia" w:hAnsi="宋体" w:cs="宋体"/>
          <w:b w:val="0"/>
          <w:bCs w:val="0"/>
          <w:color w:val="auto"/>
          <w:sz w:val="24"/>
          <w:highlight w:val="none"/>
          <w:lang w:val="en-US" w:eastAsia="zh-CN"/>
        </w:rPr>
        <w:t>定标。</w:t>
      </w:r>
    </w:p>
    <w:p w14:paraId="62BD423A">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4.1票决数量法程序</w:t>
      </w:r>
    </w:p>
    <w:p w14:paraId="12FD2E39">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候选人。若定标候选人中没有符合评审要求的三名中标候选人，则宣告本次招标失败。票决采用记名方式并注明投票理由。</w:t>
      </w:r>
    </w:p>
    <w:p w14:paraId="1E0AFD72">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（1）项目情况介绍</w:t>
      </w:r>
    </w:p>
    <w:p w14:paraId="67B410BE">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招标人代表介绍项目的概况及招标要求，以及定标方法与定标工作规则，不得发表具有倾向性的言论。</w:t>
      </w:r>
    </w:p>
    <w:p w14:paraId="6F523A01">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（2）审阅定标资料</w:t>
      </w:r>
    </w:p>
    <w:p w14:paraId="78A315A5">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定标委员会成员对各定标候选人的投标文件进行审阅，审阅内容主要是定标工作规则所规定的定标因素，聚焦于项目需求与候选人能力的匹配度。</w:t>
      </w:r>
    </w:p>
    <w:p w14:paraId="1CD6ED67">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（3）疑问澄清</w:t>
      </w:r>
    </w:p>
    <w:p w14:paraId="5C7F4DFF">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5132043F">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（4）投票，收票，点票和汇总</w:t>
      </w:r>
    </w:p>
    <w:p w14:paraId="453B6B51">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6EA8686F">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（5）公布结果和出具定标报告</w:t>
      </w:r>
    </w:p>
    <w:p w14:paraId="19BC0BA0">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点票工作完成后，定标委员会组长汇总定标结果，编制定标报告，确定中标候选人，全体成员签名。</w:t>
      </w:r>
    </w:p>
    <w:p w14:paraId="5F6BEEC2">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（7）全程监督</w:t>
      </w:r>
    </w:p>
    <w:p w14:paraId="5BA57A71">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招标监督小组对集体议定的全过程进行监督，确保程序合规、讨论充分、记录完整，结论形成过程公正、透明。</w:t>
      </w:r>
    </w:p>
    <w:p w14:paraId="24D892B0">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4.2定标因素</w:t>
      </w:r>
    </w:p>
    <w:p w14:paraId="2DB71DC1">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在同等条件下，择优的定标因素和相对标准有以下几个方面：</w:t>
      </w:r>
    </w:p>
    <w:p w14:paraId="1662C761">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（1）拟派团队管理能力与水平（履约能力）</w:t>
      </w:r>
    </w:p>
    <w:p w14:paraId="0E7EFAE9">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相对标准：拟派团队管理能力与水平（履约能力）强的定标候选人优于拟派团队管理能力与水平（履约能力）一般的定标候选人。</w:t>
      </w:r>
    </w:p>
    <w:p w14:paraId="6001040E">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（2）企业资质</w:t>
      </w:r>
    </w:p>
    <w:p w14:paraId="5662DB24">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相对标准：企业资质强的定标候选人优于企业资质一般的定标候选人。</w:t>
      </w:r>
    </w:p>
    <w:p w14:paraId="29AD6E7C">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（3）评标报告</w:t>
      </w:r>
    </w:p>
    <w:p w14:paraId="169897A5">
      <w:pPr>
        <w:pStyle w:val="9"/>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080C4F5C">
      <w:pPr>
        <w:wordWrap w:val="0"/>
        <w:adjustRightInd w:val="0"/>
        <w:snapToGrid w:val="0"/>
        <w:spacing w:line="360" w:lineRule="auto"/>
        <w:ind w:firstLine="480"/>
        <w:outlineLvl w:val="2"/>
        <w:rPr>
          <w:rFonts w:hint="eastAsia" w:ascii="宋体" w:hAnsi="宋体" w:eastAsia="宋体" w:cs="宋体"/>
          <w:b/>
          <w:color w:val="auto"/>
          <w:sz w:val="24"/>
          <w:highlight w:val="none"/>
        </w:rPr>
      </w:pPr>
      <w:bookmarkStart w:id="71" w:name="_Toc12701"/>
      <w:r>
        <w:rPr>
          <w:rFonts w:hint="eastAsia" w:hAnsi="宋体" w:cs="宋体"/>
          <w:b/>
          <w:color w:val="auto"/>
          <w:sz w:val="24"/>
          <w:highlight w:val="none"/>
          <w:lang w:val="en-US" w:eastAsia="zh-CN"/>
        </w:rPr>
        <w:t>5</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定标结果</w:t>
      </w:r>
      <w:r>
        <w:rPr>
          <w:rFonts w:hint="eastAsia" w:ascii="宋体" w:hAnsi="宋体" w:eastAsia="宋体" w:cs="宋体"/>
          <w:b/>
          <w:color w:val="auto"/>
          <w:sz w:val="24"/>
          <w:highlight w:val="none"/>
        </w:rPr>
        <w:t>公示</w:t>
      </w:r>
      <w:bookmarkEnd w:id="71"/>
      <w:r>
        <w:rPr>
          <w:rFonts w:hint="eastAsia" w:ascii="宋体" w:hAnsi="宋体" w:eastAsia="宋体" w:cs="宋体"/>
          <w:b/>
          <w:color w:val="auto"/>
          <w:sz w:val="24"/>
          <w:highlight w:val="none"/>
        </w:rPr>
        <w:t xml:space="preserve">  </w:t>
      </w:r>
    </w:p>
    <w:p w14:paraId="4DF3A4FB">
      <w:pPr>
        <w:ind w:firstLine="480" w:firstLineChars="20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val="en-US" w:eastAsia="zh-CN"/>
        </w:rPr>
        <w:t>定标委员会完成定标后，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总监理工程师及各专业负责人（如有）等内容。</w:t>
      </w:r>
    </w:p>
    <w:p w14:paraId="37A2A00C">
      <w:pPr>
        <w:ind w:firstLine="480" w:firstLineChars="200"/>
        <w:rPr>
          <w:rFonts w:hint="eastAsia" w:hAnsi="宋体" w:cs="宋体"/>
          <w:snapToGrid w:val="0"/>
          <w:color w:val="auto"/>
          <w:kern w:val="0"/>
          <w:highlight w:val="none"/>
          <w:lang w:val="en-US" w:eastAsia="zh-CN"/>
        </w:rPr>
      </w:pPr>
    </w:p>
    <w:p w14:paraId="77DC3FC1">
      <w:pPr>
        <w:wordWrap w:val="0"/>
        <w:adjustRightInd w:val="0"/>
        <w:snapToGrid w:val="0"/>
        <w:spacing w:line="360" w:lineRule="auto"/>
        <w:ind w:firstLine="480"/>
        <w:outlineLvl w:val="2"/>
        <w:rPr>
          <w:rFonts w:hint="eastAsia" w:ascii="宋体" w:hAnsi="宋体" w:eastAsia="宋体" w:cs="宋体"/>
          <w:b/>
          <w:color w:val="auto"/>
          <w:sz w:val="24"/>
          <w:highlight w:val="none"/>
          <w:lang w:val="en-US" w:eastAsia="zh-CN"/>
        </w:rPr>
      </w:pPr>
      <w:bookmarkStart w:id="72" w:name="_Toc21410"/>
      <w:r>
        <w:rPr>
          <w:rFonts w:hint="eastAsia" w:ascii="宋体" w:hAnsi="宋体" w:eastAsia="宋体" w:cs="宋体"/>
          <w:b/>
          <w:color w:val="auto"/>
          <w:sz w:val="24"/>
          <w:highlight w:val="none"/>
          <w:lang w:val="en-US" w:eastAsia="zh-CN"/>
        </w:rPr>
        <w:t>6.中标人确定</w:t>
      </w:r>
      <w:bookmarkEnd w:id="72"/>
    </w:p>
    <w:p w14:paraId="5730AE66">
      <w:pPr>
        <w:ind w:firstLine="480" w:firstLineChars="20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val="en-US" w:eastAsia="zh-CN"/>
        </w:rPr>
        <w:t>6.1 中标候选人公示期满无异议的，招标人确认排名第一的中标候选人为中标人，中标人的投标报价即为中标价。</w:t>
      </w:r>
    </w:p>
    <w:p w14:paraId="798B1D81">
      <w:pPr>
        <w:rPr>
          <w:rFonts w:hint="eastAsia"/>
          <w:color w:val="auto"/>
          <w:highlight w:val="none"/>
          <w:lang w:val="en-US" w:eastAsia="zh-CN"/>
        </w:rPr>
      </w:pPr>
    </w:p>
    <w:p w14:paraId="57D45F29">
      <w:pPr>
        <w:wordWrap w:val="0"/>
        <w:adjustRightInd w:val="0"/>
        <w:snapToGrid w:val="0"/>
        <w:spacing w:line="360" w:lineRule="auto"/>
        <w:ind w:firstLine="480"/>
        <w:outlineLvl w:val="2"/>
        <w:rPr>
          <w:rFonts w:hint="eastAsia" w:ascii="宋体" w:hAnsi="宋体" w:eastAsia="宋体" w:cs="宋体"/>
          <w:b/>
          <w:color w:val="auto"/>
          <w:sz w:val="24"/>
          <w:highlight w:val="none"/>
          <w:lang w:val="en-US" w:eastAsia="zh-CN"/>
        </w:rPr>
      </w:pPr>
      <w:bookmarkStart w:id="73" w:name="_Toc1669"/>
      <w:r>
        <w:rPr>
          <w:rFonts w:hint="eastAsia" w:ascii="宋体" w:hAnsi="宋体" w:eastAsia="宋体" w:cs="宋体"/>
          <w:b/>
          <w:color w:val="auto"/>
          <w:sz w:val="24"/>
          <w:highlight w:val="none"/>
          <w:lang w:val="en-US" w:eastAsia="zh-CN"/>
        </w:rPr>
        <w:t>7.异议和投诉</w:t>
      </w:r>
      <w:bookmarkEnd w:id="73"/>
    </w:p>
    <w:p w14:paraId="12A1EC05">
      <w:pPr>
        <w:ind w:firstLine="480" w:firstLineChars="20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val="en-US" w:eastAsia="zh-CN"/>
        </w:rPr>
        <w:t>7.1 投标人或者其他利害关系人对招标项目的评标和中标结果有异议的，应当在定标候选人和中标候选人公示期间按规定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7A39B54">
      <w:pPr>
        <w:ind w:firstLine="480" w:firstLineChars="20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val="en-US" w:eastAsia="zh-CN"/>
        </w:rPr>
        <w:t>7.2在定标候选人和中标候选人公示期间有关评标结果的异议成立的，招标人原则上应当组织原评标委员会和原定标委员会对有关的问题予以纠正，问题纠正后再公示定标候选人和中标候选人。</w:t>
      </w:r>
    </w:p>
    <w:p w14:paraId="6483DA09">
      <w:pPr>
        <w:ind w:firstLine="480" w:firstLineChars="200"/>
        <w:rPr>
          <w:rFonts w:hint="eastAsia" w:hAnsi="宋体" w:cs="宋体"/>
          <w:snapToGrid w:val="0"/>
          <w:color w:val="auto"/>
          <w:kern w:val="0"/>
          <w:highlight w:val="none"/>
          <w:lang w:val="en-US" w:eastAsia="zh-CN"/>
        </w:rPr>
        <w:sectPr>
          <w:endnotePr>
            <w:numFmt w:val="decimal"/>
          </w:endnotePr>
          <w:pgSz w:w="11906" w:h="16838"/>
          <w:pgMar w:top="1417" w:right="1417" w:bottom="1417" w:left="1417" w:header="850" w:footer="992" w:gutter="0"/>
          <w:cols w:space="0" w:num="1"/>
          <w:docGrid w:linePitch="327" w:charSpace="0"/>
        </w:sectPr>
      </w:pPr>
    </w:p>
    <w:bookmarkEnd w:id="55"/>
    <w:p w14:paraId="753E11E4">
      <w:pPr>
        <w:pStyle w:val="2"/>
        <w:wordWrap w:val="0"/>
        <w:autoSpaceDE/>
        <w:autoSpaceDN/>
        <w:snapToGrid w:val="0"/>
        <w:spacing w:line="440" w:lineRule="exact"/>
        <w:jc w:val="center"/>
        <w:rPr>
          <w:rFonts w:hAnsi="宋体" w:cs="宋体"/>
          <w:b/>
          <w:snapToGrid w:val="0"/>
          <w:color w:val="auto"/>
          <w:sz w:val="32"/>
          <w:szCs w:val="22"/>
          <w:highlight w:val="none"/>
        </w:rPr>
      </w:pPr>
      <w:bookmarkStart w:id="74" w:name="_Hlt70150994"/>
      <w:bookmarkEnd w:id="74"/>
      <w:bookmarkStart w:id="75" w:name="_Hlt112206772"/>
      <w:bookmarkEnd w:id="75"/>
      <w:bookmarkStart w:id="76" w:name="_Hlt69669771"/>
      <w:bookmarkEnd w:id="76"/>
      <w:bookmarkStart w:id="77" w:name="_Hlt87952408"/>
      <w:bookmarkEnd w:id="77"/>
      <w:bookmarkStart w:id="78" w:name="_Toc24056"/>
      <w:bookmarkStart w:id="79" w:name="_Hlt69698769"/>
      <w:bookmarkStart w:id="80" w:name="_Hlt69698722"/>
      <w:bookmarkStart w:id="81" w:name="_Hlt69698741"/>
      <w:r>
        <w:rPr>
          <w:rFonts w:hint="eastAsia" w:hAnsi="宋体" w:cs="宋体"/>
          <w:b/>
          <w:snapToGrid w:val="0"/>
          <w:color w:val="auto"/>
          <w:sz w:val="32"/>
          <w:szCs w:val="22"/>
          <w:highlight w:val="none"/>
        </w:rPr>
        <w:t>第</w:t>
      </w:r>
      <w:bookmarkStart w:id="82" w:name="_Hlt69669171"/>
      <w:bookmarkEnd w:id="82"/>
      <w:r>
        <w:rPr>
          <w:rFonts w:hint="eastAsia" w:hAnsi="宋体" w:cs="宋体"/>
          <w:b/>
          <w:snapToGrid w:val="0"/>
          <w:color w:val="auto"/>
          <w:sz w:val="32"/>
          <w:szCs w:val="22"/>
          <w:highlight w:val="none"/>
        </w:rPr>
        <w:t>二章</w:t>
      </w:r>
      <w:bookmarkStart w:id="83" w:name="_Hlt87793839"/>
      <w:bookmarkEnd w:id="83"/>
      <w:r>
        <w:rPr>
          <w:rFonts w:hint="eastAsia" w:hAnsi="宋体" w:cs="宋体"/>
          <w:b/>
          <w:snapToGrid w:val="0"/>
          <w:color w:val="auto"/>
          <w:sz w:val="32"/>
          <w:szCs w:val="22"/>
          <w:highlight w:val="none"/>
        </w:rPr>
        <w:t xml:space="preserve"> 中标人须知</w:t>
      </w:r>
      <w:bookmarkEnd w:id="78"/>
    </w:p>
    <w:bookmarkEnd w:id="79"/>
    <w:bookmarkEnd w:id="80"/>
    <w:bookmarkEnd w:id="81"/>
    <w:p w14:paraId="38AEC5D6">
      <w:pPr>
        <w:bidi w:val="0"/>
        <w:rPr>
          <w:color w:val="auto"/>
          <w:highlight w:val="none"/>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84" w:name="_Toc8149"/>
      <w:bookmarkStart w:id="85" w:name="_Toc15170"/>
      <w:bookmarkStart w:id="86" w:name="_Toc18336"/>
      <w:bookmarkStart w:id="87" w:name="_Toc5760"/>
      <w:bookmarkStart w:id="88" w:name="_Toc31521"/>
      <w:bookmarkStart w:id="89" w:name="_Toc30174"/>
      <w:bookmarkStart w:id="90" w:name="_Toc21594"/>
      <w:r>
        <w:rPr>
          <w:rFonts w:hint="eastAsia" w:hAnsi="宋体" w:cs="宋体"/>
          <w:b/>
          <w:snapToGrid w:val="0"/>
          <w:color w:val="auto"/>
          <w:kern w:val="0"/>
          <w:szCs w:val="24"/>
          <w:highlight w:val="none"/>
        </w:rPr>
        <w:t>1．中标通知书</w:t>
      </w:r>
      <w:bookmarkEnd w:id="84"/>
      <w:bookmarkEnd w:id="85"/>
      <w:bookmarkEnd w:id="86"/>
      <w:bookmarkEnd w:id="87"/>
      <w:bookmarkEnd w:id="88"/>
      <w:bookmarkEnd w:id="89"/>
      <w:bookmarkEnd w:id="90"/>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91" w:name="_Toc23133"/>
      <w:bookmarkStart w:id="92" w:name="_Toc28601"/>
      <w:bookmarkStart w:id="93" w:name="_Toc17251"/>
      <w:bookmarkStart w:id="94" w:name="_Toc1519"/>
      <w:bookmarkStart w:id="95" w:name="_Toc10931"/>
      <w:bookmarkStart w:id="96" w:name="_Toc30560"/>
      <w:bookmarkStart w:id="97" w:name="_Toc17074"/>
      <w:r>
        <w:rPr>
          <w:rFonts w:hint="eastAsia" w:hAnsi="宋体" w:cs="宋体"/>
          <w:b/>
          <w:bCs/>
          <w:snapToGrid w:val="0"/>
          <w:color w:val="auto"/>
          <w:kern w:val="0"/>
          <w:szCs w:val="24"/>
          <w:highlight w:val="none"/>
        </w:rPr>
        <w:t>2．中标结果公示</w:t>
      </w:r>
      <w:bookmarkEnd w:id="91"/>
      <w:bookmarkEnd w:id="92"/>
      <w:bookmarkEnd w:id="93"/>
      <w:bookmarkEnd w:id="94"/>
      <w:bookmarkEnd w:id="95"/>
      <w:bookmarkEnd w:id="96"/>
      <w:bookmarkEnd w:id="97"/>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98" w:name="_Toc23475"/>
      <w:bookmarkStart w:id="99" w:name="_Toc25367"/>
      <w:bookmarkStart w:id="100" w:name="_Toc22628"/>
      <w:bookmarkStart w:id="101" w:name="_Toc16211"/>
      <w:bookmarkStart w:id="102" w:name="_Toc20923"/>
    </w:p>
    <w:p w14:paraId="7573F4F2">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rPr>
      </w:pPr>
      <w:bookmarkStart w:id="103" w:name="_Toc32445"/>
      <w:bookmarkStart w:id="104" w:name="_Toc17773"/>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．履约保证</w:t>
      </w:r>
      <w:bookmarkEnd w:id="103"/>
      <w:bookmarkEnd w:id="104"/>
    </w:p>
    <w:p w14:paraId="3C0B5C83">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firstLine="482" w:firstLineChars="200"/>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%的履约保证。</w:t>
      </w:r>
    </w:p>
    <w:p w14:paraId="29BD7206">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051745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1AA2C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71E06F02">
      <w:pPr>
        <w:bidi w:val="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lang w:val="en-US" w:eastAsia="zh-CN"/>
        </w:rPr>
      </w:pPr>
      <w:bookmarkStart w:id="105" w:name="_Toc5474"/>
      <w:bookmarkStart w:id="106" w:name="_Toc19769"/>
      <w:r>
        <w:rPr>
          <w:rFonts w:hint="eastAsia" w:hAnsi="宋体" w:cs="宋体"/>
          <w:b/>
          <w:bCs/>
          <w:snapToGrid w:val="0"/>
          <w:color w:val="auto"/>
          <w:kern w:val="0"/>
          <w:szCs w:val="24"/>
          <w:highlight w:val="none"/>
          <w:lang w:val="en-US" w:eastAsia="zh-CN"/>
        </w:rPr>
        <w:t>4.合同订立</w:t>
      </w:r>
      <w:bookmarkEnd w:id="98"/>
      <w:bookmarkEnd w:id="99"/>
      <w:bookmarkEnd w:id="100"/>
      <w:bookmarkEnd w:id="101"/>
      <w:bookmarkEnd w:id="102"/>
      <w:bookmarkEnd w:id="105"/>
      <w:bookmarkEnd w:id="106"/>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招标人应当自中标通知书发出之日起</w:t>
      </w:r>
      <w:r>
        <w:rPr>
          <w:rFonts w:hint="eastAsia" w:hAnsi="宋体" w:cs="宋体"/>
          <w:snapToGrid w:val="0"/>
          <w:color w:val="auto"/>
          <w:kern w:val="0"/>
          <w:szCs w:val="24"/>
          <w:highlight w:val="none"/>
          <w:u w:val="single"/>
        </w:rPr>
        <w:t xml:space="preserve"> 30 </w:t>
      </w:r>
      <w:r>
        <w:rPr>
          <w:rFonts w:hint="eastAsia" w:hAnsi="宋体" w:cs="宋体"/>
          <w:snapToGrid w:val="0"/>
          <w:color w:val="auto"/>
          <w:kern w:val="0"/>
          <w:szCs w:val="24"/>
          <w:highlight w:val="none"/>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.3</w:t>
      </w:r>
      <w:r>
        <w:rPr>
          <w:rFonts w:hint="eastAsia" w:hAnsi="宋体" w:cs="宋体"/>
          <w:snapToGrid w:val="0"/>
          <w:color w:val="auto"/>
          <w:kern w:val="0"/>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07" w:name="_Toc21517"/>
      <w:bookmarkStart w:id="108" w:name="_Toc11598"/>
      <w:bookmarkStart w:id="109" w:name="_Toc1819"/>
      <w:bookmarkStart w:id="110" w:name="_Toc3858"/>
      <w:bookmarkStart w:id="111" w:name="_Toc13450"/>
      <w:bookmarkStart w:id="112" w:name="_Toc25887"/>
      <w:bookmarkStart w:id="113" w:name="_Toc6741"/>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．放弃中标的处理</w:t>
      </w:r>
      <w:bookmarkEnd w:id="107"/>
      <w:bookmarkEnd w:id="108"/>
      <w:bookmarkEnd w:id="109"/>
      <w:bookmarkEnd w:id="110"/>
      <w:bookmarkEnd w:id="111"/>
      <w:bookmarkEnd w:id="112"/>
      <w:bookmarkEnd w:id="113"/>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4" w:name="_Toc1831"/>
      <w:bookmarkStart w:id="115" w:name="_Toc14941"/>
      <w:bookmarkStart w:id="116" w:name="_Toc500"/>
      <w:bookmarkStart w:id="117" w:name="_Toc17549"/>
      <w:bookmarkStart w:id="118" w:name="_Toc8282"/>
      <w:bookmarkStart w:id="119" w:name="_Toc26352"/>
      <w:bookmarkStart w:id="120" w:name="_Toc15893"/>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．分包</w:t>
      </w:r>
      <w:bookmarkEnd w:id="114"/>
      <w:bookmarkEnd w:id="115"/>
      <w:bookmarkEnd w:id="116"/>
      <w:bookmarkEnd w:id="117"/>
      <w:bookmarkEnd w:id="118"/>
      <w:bookmarkEnd w:id="119"/>
      <w:bookmarkEnd w:id="120"/>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21" w:name="_Toc22200"/>
      <w:bookmarkStart w:id="122" w:name="_Toc19761"/>
      <w:bookmarkStart w:id="123" w:name="_Toc18249"/>
      <w:bookmarkStart w:id="124" w:name="_Toc25358"/>
      <w:bookmarkStart w:id="125" w:name="_Toc17560"/>
      <w:bookmarkStart w:id="126" w:name="_Toc25800"/>
      <w:bookmarkStart w:id="127" w:name="_Toc2527"/>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．监理服务期限</w:t>
      </w:r>
      <w:bookmarkEnd w:id="121"/>
      <w:bookmarkEnd w:id="122"/>
      <w:bookmarkEnd w:id="123"/>
      <w:bookmarkEnd w:id="124"/>
      <w:bookmarkEnd w:id="125"/>
      <w:bookmarkEnd w:id="126"/>
      <w:bookmarkEnd w:id="127"/>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28" w:name="_Toc25479"/>
      <w:bookmarkStart w:id="129" w:name="_Toc5299"/>
      <w:bookmarkStart w:id="130" w:name="_Toc13950"/>
      <w:bookmarkStart w:id="131" w:name="_Toc23108"/>
      <w:bookmarkStart w:id="132" w:name="_Toc6532"/>
      <w:bookmarkStart w:id="133" w:name="_Toc17664"/>
      <w:bookmarkStart w:id="134" w:name="_Toc13195"/>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．项目监理机构</w:t>
      </w:r>
      <w:bookmarkEnd w:id="128"/>
      <w:bookmarkEnd w:id="129"/>
      <w:bookmarkEnd w:id="130"/>
      <w:bookmarkEnd w:id="131"/>
      <w:bookmarkEnd w:id="132"/>
      <w:bookmarkEnd w:id="133"/>
      <w:bookmarkEnd w:id="134"/>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35" w:name="_Toc23097"/>
      <w:bookmarkStart w:id="136" w:name="_Toc27412"/>
      <w:bookmarkStart w:id="137" w:name="_Toc19789"/>
      <w:bookmarkStart w:id="138" w:name="_Toc6056"/>
      <w:bookmarkStart w:id="139" w:name="_Toc20861"/>
      <w:bookmarkStart w:id="140" w:name="_Toc20449"/>
      <w:bookmarkStart w:id="141" w:name="_Toc24265"/>
      <w:r>
        <w:rPr>
          <w:rFonts w:hint="eastAsia" w:hAnsi="宋体" w:cs="宋体"/>
          <w:b/>
          <w:snapToGrid w:val="0"/>
          <w:color w:val="auto"/>
          <w:kern w:val="0"/>
          <w:szCs w:val="24"/>
          <w:highlight w:val="none"/>
          <w:lang w:val="en-US" w:eastAsia="zh-CN"/>
        </w:rPr>
        <w:t>9</w:t>
      </w:r>
      <w:r>
        <w:rPr>
          <w:rFonts w:hint="eastAsia" w:hAnsi="宋体" w:cs="宋体"/>
          <w:b/>
          <w:snapToGrid w:val="0"/>
          <w:color w:val="auto"/>
          <w:kern w:val="0"/>
          <w:szCs w:val="24"/>
          <w:highlight w:val="none"/>
        </w:rPr>
        <w:t>．安全防护</w:t>
      </w:r>
      <w:bookmarkEnd w:id="135"/>
      <w:bookmarkEnd w:id="136"/>
      <w:bookmarkEnd w:id="137"/>
      <w:bookmarkEnd w:id="138"/>
      <w:bookmarkEnd w:id="139"/>
      <w:bookmarkEnd w:id="140"/>
      <w:bookmarkEnd w:id="141"/>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42" w:name="_Toc17881"/>
      <w:bookmarkStart w:id="143" w:name="_Toc31970"/>
      <w:bookmarkStart w:id="144" w:name="_Toc9618"/>
      <w:bookmarkStart w:id="145" w:name="_Toc16174"/>
      <w:bookmarkStart w:id="146" w:name="_Toc13413"/>
      <w:bookmarkStart w:id="147" w:name="_Toc1181"/>
      <w:bookmarkStart w:id="148" w:name="_Toc27428"/>
      <w:r>
        <w:rPr>
          <w:rFonts w:hint="eastAsia" w:hAnsi="宋体" w:cs="宋体"/>
          <w:b/>
          <w:snapToGrid w:val="0"/>
          <w:color w:val="auto"/>
          <w:kern w:val="0"/>
          <w:szCs w:val="24"/>
          <w:highlight w:val="none"/>
          <w:lang w:val="en-US" w:eastAsia="zh-CN"/>
        </w:rPr>
        <w:t>10</w:t>
      </w:r>
      <w:r>
        <w:rPr>
          <w:rFonts w:hint="eastAsia" w:hAnsi="宋体" w:cs="宋体"/>
          <w:b/>
          <w:snapToGrid w:val="0"/>
          <w:color w:val="auto"/>
          <w:kern w:val="0"/>
          <w:szCs w:val="24"/>
          <w:highlight w:val="none"/>
        </w:rPr>
        <w:t>．接受监督</w:t>
      </w:r>
      <w:bookmarkEnd w:id="142"/>
      <w:bookmarkEnd w:id="143"/>
      <w:bookmarkEnd w:id="144"/>
      <w:bookmarkEnd w:id="145"/>
      <w:bookmarkEnd w:id="146"/>
      <w:bookmarkEnd w:id="147"/>
      <w:bookmarkEnd w:id="148"/>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highlight w:val="none"/>
        </w:rPr>
      </w:pPr>
      <w:r>
        <w:rPr>
          <w:rFonts w:hint="eastAsia" w:hAnsi="宋体" w:cs="宋体"/>
          <w:snapToGrid w:val="0"/>
          <w:color w:val="auto"/>
          <w:kern w:val="0"/>
          <w:szCs w:val="24"/>
          <w:highlight w:val="none"/>
        </w:rPr>
        <w:t>监理人应严格按照法律、法规以及</w:t>
      </w:r>
      <w:r>
        <w:rPr>
          <w:rFonts w:hint="eastAsia" w:hAnsi="宋体" w:cs="宋体"/>
          <w:bCs/>
          <w:snapToGrid w:val="0"/>
          <w:color w:val="auto"/>
          <w:kern w:val="0"/>
          <w:szCs w:val="24"/>
          <w:highlight w:val="none"/>
        </w:rPr>
        <w:t>《建设工程监理规范》（GB/T 50319—2013）有关规定实施监理，同时须</w:t>
      </w:r>
      <w:r>
        <w:rPr>
          <w:rFonts w:hint="eastAsia" w:hAnsi="宋体" w:cs="宋体"/>
          <w:snapToGrid w:val="0"/>
          <w:color w:val="auto"/>
          <w:kern w:val="0"/>
          <w:szCs w:val="24"/>
          <w:highlight w:val="none"/>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highlight w:val="none"/>
        </w:rPr>
      </w:pPr>
      <w:bookmarkStart w:id="149" w:name="_Toc21561"/>
      <w:bookmarkStart w:id="150" w:name="_Toc24102"/>
      <w:bookmarkStart w:id="151" w:name="_Toc26662"/>
      <w:bookmarkStart w:id="152" w:name="_Toc18397"/>
      <w:bookmarkStart w:id="153" w:name="_Toc4730"/>
      <w:bookmarkStart w:id="154" w:name="_Toc14327"/>
      <w:bookmarkStart w:id="155" w:name="_Toc25424"/>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1</w:t>
      </w:r>
      <w:r>
        <w:rPr>
          <w:rFonts w:hint="eastAsia" w:hAnsi="宋体" w:cs="宋体"/>
          <w:b/>
          <w:snapToGrid w:val="0"/>
          <w:color w:val="auto"/>
          <w:kern w:val="0"/>
          <w:szCs w:val="24"/>
          <w:highlight w:val="none"/>
        </w:rPr>
        <w:t>．监理档案移交</w:t>
      </w:r>
      <w:bookmarkEnd w:id="149"/>
      <w:bookmarkEnd w:id="150"/>
      <w:bookmarkEnd w:id="151"/>
      <w:bookmarkEnd w:id="152"/>
      <w:bookmarkEnd w:id="153"/>
      <w:bookmarkEnd w:id="154"/>
      <w:bookmarkEnd w:id="155"/>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项目竣工验收后，监理人应向委托人提交一式</w:t>
      </w:r>
      <w:r>
        <w:rPr>
          <w:rFonts w:hint="eastAsia" w:hAnsi="宋体" w:cs="宋体"/>
          <w:bCs/>
          <w:snapToGrid w:val="0"/>
          <w:color w:val="auto"/>
          <w:kern w:val="0"/>
          <w:szCs w:val="24"/>
          <w:highlight w:val="none"/>
          <w:u w:val="single"/>
        </w:rPr>
        <w:t xml:space="preserve"> 五 </w:t>
      </w:r>
      <w:r>
        <w:rPr>
          <w:rFonts w:hint="eastAsia" w:hAnsi="宋体" w:cs="宋体"/>
          <w:bCs/>
          <w:snapToGrid w:val="0"/>
          <w:color w:val="auto"/>
          <w:kern w:val="0"/>
          <w:szCs w:val="24"/>
          <w:highlight w:val="none"/>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highlight w:val="none"/>
        </w:rPr>
      </w:pPr>
      <w:bookmarkStart w:id="156" w:name="_Toc16612"/>
      <w:bookmarkStart w:id="157" w:name="_Toc19314"/>
      <w:bookmarkStart w:id="158" w:name="_Toc24329"/>
      <w:bookmarkStart w:id="159" w:name="_Toc2540"/>
      <w:bookmarkStart w:id="160" w:name="_Toc6629"/>
      <w:bookmarkStart w:id="161" w:name="_Toc1342"/>
      <w:bookmarkStart w:id="162" w:name="_Toc13197"/>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2</w:t>
      </w:r>
      <w:r>
        <w:rPr>
          <w:rFonts w:hint="eastAsia" w:hAnsi="宋体" w:cs="宋体"/>
          <w:b/>
          <w:snapToGrid w:val="0"/>
          <w:color w:val="auto"/>
          <w:kern w:val="0"/>
          <w:szCs w:val="24"/>
          <w:highlight w:val="none"/>
        </w:rPr>
        <w:t>．不良行为处理</w:t>
      </w:r>
      <w:bookmarkEnd w:id="156"/>
      <w:bookmarkEnd w:id="157"/>
      <w:bookmarkEnd w:id="158"/>
      <w:bookmarkEnd w:id="159"/>
      <w:bookmarkEnd w:id="160"/>
      <w:bookmarkEnd w:id="161"/>
      <w:bookmarkEnd w:id="162"/>
    </w:p>
    <w:p w14:paraId="04C55AB1">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监理人及其有关人员有下列行为之一的，委托人应及时报请建设行政主管部门查处。</w:t>
      </w:r>
    </w:p>
    <w:p w14:paraId="004FF115">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（1）转让监理业务的；</w:t>
      </w:r>
    </w:p>
    <w:p w14:paraId="3812AF65">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（2）非原参加投标中标的总监理工程师负责组织监理或在实施过程中擅自更换总监理工程师的、项目监理机构的其他监理人员与中标文件确定的人员不相符的；</w:t>
      </w:r>
    </w:p>
    <w:p w14:paraId="4A3AB02B">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（3）与建设单位、施工单位串通，签认虚假工程量或工程造价的；</w:t>
      </w:r>
    </w:p>
    <w:p w14:paraId="232AE11F">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（4）现场监理不到位的；</w:t>
      </w:r>
    </w:p>
    <w:p w14:paraId="4D39599F">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（5）非本人资格证书注册单位从事监理工作的；</w:t>
      </w:r>
    </w:p>
    <w:p w14:paraId="6B6840EA">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（6）总监理工程师承担超过三项工程监理任务的；</w:t>
      </w:r>
    </w:p>
    <w:p w14:paraId="0F7A5E75">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（7）违反有关法律、法规、规章规定的其它行为。</w:t>
      </w:r>
    </w:p>
    <w:p w14:paraId="3D1008B4">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highlight w:val="none"/>
        </w:rPr>
      </w:pPr>
      <w:bookmarkStart w:id="163" w:name="_Toc17537"/>
      <w:bookmarkStart w:id="164" w:name="_Toc15923"/>
      <w:bookmarkStart w:id="165" w:name="_Toc29467"/>
      <w:bookmarkStart w:id="166" w:name="_Toc2784"/>
      <w:bookmarkStart w:id="167" w:name="_Toc10563"/>
      <w:bookmarkStart w:id="168" w:name="_Toc15431"/>
      <w:bookmarkStart w:id="169" w:name="_Toc28837"/>
      <w:r>
        <w:rPr>
          <w:rFonts w:hint="eastAsia" w:ascii="宋体" w:hAnsi="宋体" w:cs="宋体"/>
          <w:b/>
          <w:bCs/>
          <w:snapToGrid w:val="0"/>
          <w:color w:val="auto"/>
          <w:kern w:val="0"/>
          <w:szCs w:val="24"/>
          <w:highlight w:val="none"/>
        </w:rPr>
        <w:t>1</w:t>
      </w:r>
      <w:r>
        <w:rPr>
          <w:rFonts w:hint="eastAsia" w:ascii="宋体" w:hAnsi="宋体" w:cs="宋体"/>
          <w:b/>
          <w:bCs/>
          <w:snapToGrid w:val="0"/>
          <w:color w:val="auto"/>
          <w:kern w:val="0"/>
          <w:szCs w:val="24"/>
          <w:highlight w:val="none"/>
          <w:lang w:val="en-US" w:eastAsia="zh-CN"/>
        </w:rPr>
        <w:t>3</w:t>
      </w:r>
      <w:r>
        <w:rPr>
          <w:rFonts w:hint="eastAsia" w:ascii="宋体" w:hAnsi="宋体" w:cs="宋体"/>
          <w:b/>
          <w:snapToGrid w:val="0"/>
          <w:color w:val="auto"/>
          <w:kern w:val="0"/>
          <w:szCs w:val="24"/>
          <w:highlight w:val="none"/>
        </w:rPr>
        <w:t>．</w:t>
      </w:r>
      <w:r>
        <w:rPr>
          <w:rFonts w:hint="eastAsia" w:ascii="宋体" w:hAnsi="宋体" w:cs="宋体"/>
          <w:b/>
          <w:bCs/>
          <w:snapToGrid w:val="0"/>
          <w:color w:val="auto"/>
          <w:kern w:val="0"/>
          <w:szCs w:val="24"/>
          <w:highlight w:val="none"/>
        </w:rPr>
        <w:t>信用评价条款内容</w:t>
      </w:r>
      <w:bookmarkEnd w:id="163"/>
      <w:bookmarkEnd w:id="164"/>
      <w:bookmarkEnd w:id="165"/>
      <w:bookmarkEnd w:id="166"/>
      <w:bookmarkEnd w:id="167"/>
      <w:bookmarkEnd w:id="168"/>
      <w:bookmarkEnd w:id="169"/>
    </w:p>
    <w:p w14:paraId="418B847A">
      <w:pPr>
        <w:pStyle w:val="83"/>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83"/>
        <w:wordWrap w:val="0"/>
        <w:adjustRightInd w:val="0"/>
        <w:snapToGrid w:val="0"/>
        <w:spacing w:line="440" w:lineRule="exact"/>
        <w:ind w:firstLine="560"/>
        <w:rPr>
          <w:rFonts w:hAnsi="宋体" w:cs="宋体"/>
          <w:b/>
          <w:bCs/>
          <w:snapToGrid w:val="0"/>
          <w:color w:val="auto"/>
          <w:kern w:val="0"/>
          <w:highlight w:val="none"/>
        </w:rPr>
      </w:pPr>
    </w:p>
    <w:p w14:paraId="6E146C71">
      <w:pPr>
        <w:pStyle w:val="83"/>
        <w:wordWrap w:val="0"/>
        <w:adjustRightInd w:val="0"/>
        <w:snapToGrid w:val="0"/>
        <w:spacing w:line="440" w:lineRule="exact"/>
        <w:ind w:firstLine="560"/>
        <w:rPr>
          <w:rFonts w:hAnsi="宋体" w:cs="宋体"/>
          <w:b/>
          <w:bCs/>
          <w:snapToGrid w:val="0"/>
          <w:color w:val="auto"/>
          <w:kern w:val="0"/>
          <w:highlight w:val="none"/>
        </w:rPr>
      </w:pPr>
    </w:p>
    <w:p w14:paraId="40581986">
      <w:pPr>
        <w:pStyle w:val="83"/>
        <w:wordWrap w:val="0"/>
        <w:adjustRightInd w:val="0"/>
        <w:snapToGrid w:val="0"/>
        <w:spacing w:line="440" w:lineRule="exact"/>
        <w:ind w:firstLine="560"/>
        <w:rPr>
          <w:rFonts w:hAnsi="宋体" w:cs="宋体"/>
          <w:b/>
          <w:bCs/>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4B26AC6B">
      <w:pPr>
        <w:pStyle w:val="2"/>
        <w:wordWrap w:val="0"/>
        <w:autoSpaceDE/>
        <w:autoSpaceDN/>
        <w:snapToGrid w:val="0"/>
        <w:spacing w:line="500" w:lineRule="exact"/>
        <w:jc w:val="center"/>
        <w:outlineLvl w:val="0"/>
        <w:rPr>
          <w:rFonts w:hAnsi="宋体" w:cs="宋体"/>
          <w:b/>
          <w:snapToGrid w:val="0"/>
          <w:color w:val="auto"/>
          <w:sz w:val="32"/>
          <w:szCs w:val="32"/>
          <w:highlight w:val="none"/>
        </w:rPr>
      </w:pPr>
      <w:bookmarkStart w:id="170" w:name="_Toc17256"/>
      <w:bookmarkStart w:id="171" w:name="_Toc29099"/>
      <w:bookmarkStart w:id="172" w:name="_Hlt69698713"/>
      <w:bookmarkStart w:id="173" w:name="_Hlt69698765"/>
      <w:bookmarkStart w:id="174" w:name="_Hlt69698776"/>
      <w:r>
        <w:rPr>
          <w:rFonts w:hint="eastAsia" w:hAnsi="宋体" w:cs="宋体"/>
          <w:b/>
          <w:snapToGrid w:val="0"/>
          <w:color w:val="auto"/>
          <w:sz w:val="32"/>
          <w:szCs w:val="32"/>
          <w:highlight w:val="none"/>
        </w:rPr>
        <w:t>第三章</w:t>
      </w:r>
      <w:bookmarkStart w:id="175" w:name="_Hlt87793831"/>
      <w:bookmarkEnd w:id="175"/>
      <w:r>
        <w:rPr>
          <w:rFonts w:hint="eastAsia" w:hAnsi="宋体" w:cs="宋体"/>
          <w:b/>
          <w:snapToGrid w:val="0"/>
          <w:color w:val="auto"/>
          <w:sz w:val="32"/>
          <w:szCs w:val="32"/>
          <w:highlight w:val="none"/>
        </w:rPr>
        <w:t xml:space="preserve"> 拟签订合同的主要条款</w:t>
      </w:r>
      <w:bookmarkEnd w:id="170"/>
      <w:bookmarkEnd w:id="171"/>
    </w:p>
    <w:bookmarkEnd w:id="172"/>
    <w:bookmarkEnd w:id="173"/>
    <w:p w14:paraId="6A4F7FF4">
      <w:pPr>
        <w:bidi w:val="0"/>
        <w:rPr>
          <w:color w:val="auto"/>
          <w:highlight w:val="none"/>
        </w:rPr>
      </w:pPr>
      <w:bookmarkStart w:id="176" w:name="_Toc322793288"/>
      <w:bookmarkStart w:id="177" w:name="_Toc326916629"/>
    </w:p>
    <w:bookmarkEnd w:id="176"/>
    <w:bookmarkEnd w:id="177"/>
    <w:p w14:paraId="33043E2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78" w:name="_Toc11616"/>
      <w:bookmarkStart w:id="179" w:name="_Toc12203"/>
      <w:bookmarkStart w:id="180" w:name="_Toc8205"/>
      <w:bookmarkStart w:id="181" w:name="_Toc3741"/>
      <w:bookmarkStart w:id="182" w:name="_Toc1947"/>
      <w:bookmarkStart w:id="183" w:name="_Toc4588"/>
      <w:bookmarkStart w:id="184" w:name="_Toc6392"/>
      <w:r>
        <w:rPr>
          <w:rFonts w:hint="eastAsia" w:hAnsi="宋体" w:cs="宋体"/>
          <w:b/>
          <w:bCs/>
          <w:snapToGrid w:val="0"/>
          <w:color w:val="auto"/>
          <w:kern w:val="0"/>
          <w:szCs w:val="24"/>
          <w:highlight w:val="none"/>
        </w:rPr>
        <w:t>1．现场办公条件</w:t>
      </w:r>
      <w:bookmarkEnd w:id="178"/>
      <w:bookmarkEnd w:id="179"/>
      <w:bookmarkEnd w:id="180"/>
      <w:bookmarkEnd w:id="181"/>
      <w:bookmarkEnd w:id="182"/>
      <w:bookmarkEnd w:id="183"/>
      <w:bookmarkEnd w:id="184"/>
    </w:p>
    <w:p w14:paraId="11DCD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1.1</w:t>
      </w:r>
      <w:r>
        <w:rPr>
          <w:rFonts w:hint="eastAsia" w:hAnsi="宋体" w:cs="宋体"/>
          <w:snapToGrid w:val="0"/>
          <w:color w:val="auto"/>
          <w:kern w:val="0"/>
          <w:szCs w:val="24"/>
          <w:highlight w:val="none"/>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1.2</w:t>
      </w:r>
      <w:r>
        <w:rPr>
          <w:rFonts w:hint="eastAsia" w:hAnsi="宋体" w:cs="宋体"/>
          <w:snapToGrid w:val="0"/>
          <w:color w:val="auto"/>
          <w:kern w:val="0"/>
          <w:szCs w:val="24"/>
          <w:highlight w:val="none"/>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w:t>
      </w:r>
      <w:r>
        <w:rPr>
          <w:rFonts w:hint="eastAsia" w:hAnsi="宋体" w:cs="宋体"/>
          <w:snapToGrid w:val="0"/>
          <w:color w:val="auto"/>
          <w:kern w:val="0"/>
          <w:szCs w:val="24"/>
          <w:highlight w:val="none"/>
          <w:u w:val="single"/>
        </w:rPr>
        <w:t xml:space="preserve"> 打卡 / 指纹识别 / 人脸识别 / 虹膜识别 </w:t>
      </w:r>
      <w:r>
        <w:rPr>
          <w:rFonts w:hint="eastAsia" w:hAnsi="宋体" w:cs="宋体"/>
          <w:snapToGrid w:val="0"/>
          <w:color w:val="auto"/>
          <w:kern w:val="0"/>
          <w:szCs w:val="24"/>
          <w:highlight w:val="none"/>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85" w:name="_Toc6311"/>
      <w:bookmarkStart w:id="186" w:name="_Toc8261"/>
      <w:bookmarkStart w:id="187" w:name="_Toc15844"/>
      <w:bookmarkStart w:id="188" w:name="_Toc29914"/>
      <w:bookmarkStart w:id="189" w:name="_Toc14419"/>
      <w:bookmarkStart w:id="190" w:name="_Toc6193"/>
      <w:bookmarkStart w:id="191" w:name="_Toc4048"/>
      <w:r>
        <w:rPr>
          <w:rFonts w:hint="eastAsia" w:hAnsi="宋体" w:cs="宋体"/>
          <w:b/>
          <w:bCs/>
          <w:snapToGrid w:val="0"/>
          <w:color w:val="auto"/>
          <w:kern w:val="0"/>
          <w:szCs w:val="24"/>
          <w:highlight w:val="none"/>
        </w:rPr>
        <w:t>2．</w:t>
      </w:r>
      <w:bookmarkEnd w:id="185"/>
      <w:bookmarkEnd w:id="186"/>
      <w:bookmarkEnd w:id="187"/>
      <w:bookmarkEnd w:id="188"/>
      <w:bookmarkEnd w:id="189"/>
      <w:r>
        <w:rPr>
          <w:rFonts w:hint="eastAsia" w:hAnsi="宋体" w:cs="宋体"/>
          <w:b/>
          <w:bCs/>
          <w:snapToGrid w:val="0"/>
          <w:color w:val="auto"/>
          <w:kern w:val="0"/>
          <w:szCs w:val="24"/>
          <w:highlight w:val="none"/>
        </w:rPr>
        <w:t>监理服务费</w:t>
      </w:r>
      <w:bookmarkEnd w:id="190"/>
      <w:bookmarkEnd w:id="191"/>
    </w:p>
    <w:p w14:paraId="1C13323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2.1</w:t>
      </w:r>
      <w:r>
        <w:rPr>
          <w:rFonts w:hint="eastAsia" w:hAnsi="宋体" w:cs="宋体"/>
          <w:snapToGrid w:val="0"/>
          <w:color w:val="auto"/>
          <w:kern w:val="0"/>
          <w:szCs w:val="24"/>
          <w:highlight w:val="none"/>
        </w:rPr>
        <w:t xml:space="preserve"> “监理服务费”指监理人履行本合同义务，委托人按照本合同约定（包括按照合同约定进行的变更和调整）给付监理人的金额，“监理服务费”指监理人完成正常工作，委托人应给付监理人并在协议书中载明的签约酬金额。</w:t>
      </w:r>
    </w:p>
    <w:p w14:paraId="48F0A665">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2.2 监理服务费结算原则：</w:t>
      </w:r>
    </w:p>
    <w:p w14:paraId="7622FDA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bookmarkStart w:id="192" w:name="_Toc31653"/>
      <w:bookmarkStart w:id="193" w:name="_Toc31657"/>
      <w:bookmarkStart w:id="194" w:name="_Toc6502"/>
      <w:bookmarkStart w:id="195" w:name="_Toc18979"/>
      <w:bookmarkStart w:id="196" w:name="_Toc17740"/>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lang w:eastAsia="zh-CN"/>
        </w:rPr>
        <w:t>）</w:t>
      </w:r>
      <w:r>
        <w:rPr>
          <w:rFonts w:hint="eastAsia" w:ascii="宋体" w:hAnsi="宋体" w:eastAsia="宋体" w:cs="宋体"/>
          <w:snapToGrid w:val="0"/>
          <w:color w:val="auto"/>
          <w:kern w:val="0"/>
          <w:szCs w:val="24"/>
          <w:highlight w:val="none"/>
        </w:rPr>
        <w:t>监理服务费结算价在项目的合同价范围内按实结算，即：以施工财审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p>
    <w:p w14:paraId="4B7C731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（2）项目建设期间，即使出现缓建或停建事件导致监理工期延长，不另增加监理服务费。</w:t>
      </w:r>
    </w:p>
    <w:p w14:paraId="17FC59C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（3）因工程规模、监理范围的变化导致监理人的正常工作量减少时，按减少工作量的比例从协议书约定的正常工作酬金中扣减相同比例的酬金。</w:t>
      </w:r>
    </w:p>
    <w:p w14:paraId="3CA2619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2.3 监理服务费的支付：</w:t>
      </w:r>
    </w:p>
    <w:p w14:paraId="4FF87AA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本项目根据施工阶段按施工进度分期支付监理服务费，具体分期支付方式如下：</w:t>
      </w:r>
    </w:p>
    <w:tbl>
      <w:tblPr>
        <w:tblStyle w:val="31"/>
        <w:tblW w:w="9045"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7620"/>
      </w:tblGrid>
      <w:tr w14:paraId="59DD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02EF632E">
            <w:pPr>
              <w:wordWrap w:val="0"/>
              <w:adjustRightInd w:val="0"/>
              <w:snapToGrid w:val="0"/>
              <w:spacing w:line="400" w:lineRule="exact"/>
              <w:jc w:val="center"/>
              <w:rPr>
                <w:rFonts w:hint="eastAsia" w:ascii="黑体" w:hAnsi="黑体" w:eastAsia="黑体"/>
                <w:snapToGrid w:val="0"/>
                <w:color w:val="auto"/>
                <w:kern w:val="0"/>
                <w:highlight w:val="none"/>
              </w:rPr>
            </w:pPr>
            <w:r>
              <w:rPr>
                <w:rFonts w:hint="eastAsia" w:ascii="黑体" w:hAnsi="黑体" w:eastAsia="黑体"/>
                <w:snapToGrid w:val="0"/>
                <w:color w:val="auto"/>
                <w:kern w:val="0"/>
                <w:highlight w:val="none"/>
              </w:rPr>
              <w:t>支付次数</w:t>
            </w:r>
          </w:p>
        </w:tc>
        <w:tc>
          <w:tcPr>
            <w:tcW w:w="7620" w:type="dxa"/>
            <w:noWrap w:val="0"/>
            <w:vAlign w:val="center"/>
          </w:tcPr>
          <w:p w14:paraId="1A8903F7">
            <w:pPr>
              <w:wordWrap w:val="0"/>
              <w:adjustRightInd w:val="0"/>
              <w:snapToGrid w:val="0"/>
              <w:spacing w:line="400" w:lineRule="exact"/>
              <w:jc w:val="center"/>
              <w:rPr>
                <w:rFonts w:hint="eastAsia" w:ascii="黑体" w:hAnsi="黑体" w:eastAsia="黑体"/>
                <w:snapToGrid w:val="0"/>
                <w:color w:val="auto"/>
                <w:kern w:val="0"/>
                <w:highlight w:val="none"/>
                <w:lang w:val="en-US" w:eastAsia="zh-CN"/>
              </w:rPr>
            </w:pPr>
            <w:r>
              <w:rPr>
                <w:rFonts w:hint="eastAsia" w:ascii="黑体" w:hAnsi="黑体" w:eastAsia="黑体"/>
                <w:snapToGrid w:val="0"/>
                <w:color w:val="auto"/>
                <w:kern w:val="0"/>
                <w:highlight w:val="none"/>
              </w:rPr>
              <w:t>支付时间</w:t>
            </w:r>
            <w:r>
              <w:rPr>
                <w:rFonts w:hint="eastAsia" w:ascii="黑体" w:hAnsi="黑体" w:eastAsia="黑体"/>
                <w:snapToGrid w:val="0"/>
                <w:color w:val="auto"/>
                <w:kern w:val="0"/>
                <w:highlight w:val="none"/>
                <w:lang w:val="en-US" w:eastAsia="zh-CN"/>
              </w:rPr>
              <w:t>及</w:t>
            </w:r>
            <w:r>
              <w:rPr>
                <w:rFonts w:hint="eastAsia" w:ascii="黑体" w:hAnsi="黑体" w:eastAsia="黑体"/>
                <w:snapToGrid w:val="0"/>
                <w:color w:val="auto"/>
                <w:kern w:val="0"/>
                <w:highlight w:val="none"/>
              </w:rPr>
              <w:t>支付比例</w:t>
            </w:r>
          </w:p>
        </w:tc>
      </w:tr>
      <w:tr w14:paraId="2CFD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5BBD3D29">
            <w:pPr>
              <w:wordWrap w:val="0"/>
              <w:adjustRightInd w:val="0"/>
              <w:snapToGrid w:val="0"/>
              <w:spacing w:line="400" w:lineRule="exact"/>
              <w:jc w:val="left"/>
              <w:rPr>
                <w:rFonts w:hint="eastAsia" w:ascii="黑体" w:hAnsi="黑体" w:eastAsia="黑体"/>
                <w:snapToGrid w:val="0"/>
                <w:color w:val="auto"/>
                <w:kern w:val="0"/>
                <w:highlight w:val="none"/>
                <w:lang w:eastAsia="zh-CN"/>
              </w:rPr>
            </w:pPr>
            <w:r>
              <w:rPr>
                <w:rFonts w:hint="eastAsia" w:ascii="Times New Roman" w:eastAsia="宋体"/>
                <w:snapToGrid w:val="0"/>
                <w:color w:val="auto"/>
                <w:kern w:val="0"/>
                <w:highlight w:val="none"/>
                <w:lang w:val="en-US" w:eastAsia="zh-CN"/>
              </w:rPr>
              <w:t>第一次付款</w:t>
            </w:r>
          </w:p>
        </w:tc>
        <w:tc>
          <w:tcPr>
            <w:tcW w:w="7620" w:type="dxa"/>
            <w:noWrap w:val="0"/>
            <w:vAlign w:val="center"/>
          </w:tcPr>
          <w:p w14:paraId="61304AE5">
            <w:pPr>
              <w:wordWrap w:val="0"/>
              <w:adjustRightInd w:val="0"/>
              <w:snapToGrid w:val="0"/>
              <w:spacing w:line="400" w:lineRule="exact"/>
              <w:jc w:val="both"/>
              <w:rPr>
                <w:rFonts w:hint="eastAsia" w:ascii="黑体" w:hAnsi="黑体" w:eastAsia="宋体"/>
                <w:snapToGrid w:val="0"/>
                <w:color w:val="auto"/>
                <w:kern w:val="0"/>
                <w:highlight w:val="none"/>
                <w:lang w:eastAsia="zh-CN"/>
              </w:rPr>
            </w:pPr>
            <w:r>
              <w:rPr>
                <w:rFonts w:hint="eastAsia" w:ascii="宋体" w:hAnsi="宋体" w:eastAsia="宋体" w:cs="宋体"/>
                <w:snapToGrid w:val="0"/>
                <w:color w:val="auto"/>
                <w:kern w:val="0"/>
                <w:szCs w:val="24"/>
                <w:highlight w:val="none"/>
              </w:rPr>
              <w:t>监理合同签订后</w:t>
            </w:r>
            <w:r>
              <w:rPr>
                <w:rFonts w:hint="eastAsia" w:hAnsi="宋体" w:cs="宋体"/>
                <w:snapToGrid w:val="0"/>
                <w:color w:val="auto"/>
                <w:kern w:val="0"/>
                <w:szCs w:val="24"/>
                <w:highlight w:val="none"/>
                <w:lang w:val="en-US" w:eastAsia="zh-CN"/>
              </w:rPr>
              <w:t>10日内</w:t>
            </w:r>
            <w:r>
              <w:rPr>
                <w:rFonts w:hint="eastAsia" w:ascii="Times New Roman" w:eastAsia="宋体"/>
                <w:snapToGrid w:val="0"/>
                <w:color w:val="auto"/>
                <w:kern w:val="0"/>
                <w:highlight w:val="none"/>
                <w:lang w:val="en-US" w:eastAsia="zh-CN"/>
              </w:rPr>
              <w:t>支付</w:t>
            </w:r>
            <w:r>
              <w:rPr>
                <w:rFonts w:hint="eastAsia" w:ascii="宋体" w:hAnsi="宋体" w:eastAsia="宋体" w:cs="宋体"/>
                <w:snapToGrid w:val="0"/>
                <w:color w:val="auto"/>
                <w:kern w:val="0"/>
                <w:szCs w:val="24"/>
                <w:highlight w:val="none"/>
              </w:rPr>
              <w:t>合同价的30%</w:t>
            </w:r>
            <w:r>
              <w:rPr>
                <w:rFonts w:hint="eastAsia" w:hAnsi="宋体" w:cs="宋体"/>
                <w:snapToGrid w:val="0"/>
                <w:color w:val="auto"/>
                <w:kern w:val="0"/>
                <w:szCs w:val="24"/>
                <w:highlight w:val="none"/>
                <w:lang w:eastAsia="zh-CN"/>
              </w:rPr>
              <w:t>作为预付款。</w:t>
            </w:r>
          </w:p>
        </w:tc>
      </w:tr>
      <w:tr w14:paraId="1B9E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1425" w:type="dxa"/>
            <w:noWrap w:val="0"/>
            <w:vAlign w:val="center"/>
          </w:tcPr>
          <w:p w14:paraId="71BAC85A">
            <w:pPr>
              <w:wordWrap w:val="0"/>
              <w:adjustRightInd w:val="0"/>
              <w:snapToGrid w:val="0"/>
              <w:spacing w:line="40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第二次付款</w:t>
            </w:r>
          </w:p>
        </w:tc>
        <w:tc>
          <w:tcPr>
            <w:tcW w:w="7620" w:type="dxa"/>
            <w:noWrap w:val="0"/>
            <w:vAlign w:val="center"/>
          </w:tcPr>
          <w:p w14:paraId="45CDE68B">
            <w:pPr>
              <w:wordWrap w:val="0"/>
              <w:adjustRightInd w:val="0"/>
              <w:snapToGrid w:val="0"/>
              <w:spacing w:line="400" w:lineRule="exact"/>
              <w:jc w:val="left"/>
              <w:rPr>
                <w:rFonts w:hint="default" w:ascii="Times New Roman" w:eastAsia="宋体"/>
                <w:snapToGrid w:val="0"/>
                <w:color w:val="auto"/>
                <w:kern w:val="0"/>
                <w:highlight w:val="none"/>
                <w:lang w:val="en-US" w:eastAsia="zh-CN"/>
              </w:rPr>
            </w:pPr>
            <w:r>
              <w:rPr>
                <w:rFonts w:hint="eastAsia" w:ascii="Times New Roman" w:eastAsia="宋体"/>
                <w:snapToGrid w:val="0"/>
                <w:color w:val="auto"/>
                <w:kern w:val="0"/>
                <w:highlight w:val="none"/>
                <w:lang w:val="en-US" w:eastAsia="zh-CN"/>
              </w:rPr>
              <w:t>工程</w:t>
            </w:r>
            <w:r>
              <w:rPr>
                <w:rFonts w:hint="eastAsia" w:ascii="Times New Roman"/>
                <w:snapToGrid w:val="0"/>
                <w:color w:val="auto"/>
                <w:kern w:val="0"/>
                <w:highlight w:val="none"/>
                <w:lang w:val="en-US" w:eastAsia="zh-CN"/>
              </w:rPr>
              <w:t>完工</w:t>
            </w:r>
            <w:r>
              <w:rPr>
                <w:rFonts w:hint="eastAsia" w:ascii="Times New Roman" w:eastAsia="宋体"/>
                <w:snapToGrid w:val="0"/>
                <w:color w:val="auto"/>
                <w:kern w:val="0"/>
                <w:highlight w:val="none"/>
                <w:lang w:val="en-US" w:eastAsia="zh-CN"/>
              </w:rPr>
              <w:t>后30日内支付至合同价</w:t>
            </w:r>
            <w:r>
              <w:rPr>
                <w:rFonts w:hint="eastAsia" w:ascii="Times New Roman"/>
                <w:snapToGrid w:val="0"/>
                <w:color w:val="auto"/>
                <w:kern w:val="0"/>
                <w:highlight w:val="none"/>
                <w:lang w:val="en-US" w:eastAsia="zh-CN"/>
              </w:rPr>
              <w:t>8</w:t>
            </w:r>
            <w:r>
              <w:rPr>
                <w:rFonts w:hint="eastAsia" w:ascii="Times New Roman" w:eastAsia="宋体"/>
                <w:snapToGrid w:val="0"/>
                <w:color w:val="auto"/>
                <w:kern w:val="0"/>
                <w:highlight w:val="none"/>
                <w:lang w:val="en-US" w:eastAsia="zh-CN"/>
              </w:rPr>
              <w:t>0%（含预付款30%）</w:t>
            </w:r>
            <w:r>
              <w:rPr>
                <w:rFonts w:hint="eastAsia" w:ascii="Times New Roman"/>
                <w:snapToGrid w:val="0"/>
                <w:color w:val="auto"/>
                <w:kern w:val="0"/>
                <w:highlight w:val="none"/>
                <w:lang w:val="en-US" w:eastAsia="zh-CN"/>
              </w:rPr>
              <w:t>。</w:t>
            </w:r>
          </w:p>
        </w:tc>
      </w:tr>
      <w:tr w14:paraId="5889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40BAE9EE">
            <w:pPr>
              <w:wordWrap w:val="0"/>
              <w:adjustRightInd w:val="0"/>
              <w:snapToGrid w:val="0"/>
              <w:spacing w:line="40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第</w:t>
            </w:r>
            <w:r>
              <w:rPr>
                <w:rFonts w:hint="eastAsia" w:ascii="Times New Roman"/>
                <w:snapToGrid w:val="0"/>
                <w:color w:val="auto"/>
                <w:kern w:val="0"/>
                <w:highlight w:val="none"/>
                <w:lang w:val="en-US" w:eastAsia="zh-CN"/>
              </w:rPr>
              <w:t>三</w:t>
            </w:r>
            <w:r>
              <w:rPr>
                <w:rFonts w:hint="eastAsia" w:ascii="Times New Roman"/>
                <w:snapToGrid w:val="0"/>
                <w:color w:val="auto"/>
                <w:kern w:val="0"/>
                <w:highlight w:val="none"/>
              </w:rPr>
              <w:t>次付款</w:t>
            </w:r>
          </w:p>
        </w:tc>
        <w:tc>
          <w:tcPr>
            <w:tcW w:w="7620" w:type="dxa"/>
            <w:noWrap w:val="0"/>
            <w:vAlign w:val="center"/>
          </w:tcPr>
          <w:p w14:paraId="6E8C3F2F">
            <w:pPr>
              <w:wordWrap w:val="0"/>
              <w:adjustRightInd w:val="0"/>
              <w:snapToGrid w:val="0"/>
              <w:spacing w:line="400" w:lineRule="exact"/>
              <w:jc w:val="left"/>
              <w:rPr>
                <w:rFonts w:hint="eastAsia" w:ascii="Times New Roman" w:eastAsia="宋体"/>
                <w:snapToGrid w:val="0"/>
                <w:color w:val="auto"/>
                <w:kern w:val="0"/>
                <w:highlight w:val="none"/>
                <w:lang w:val="en-US" w:eastAsia="zh-CN"/>
              </w:rPr>
            </w:pPr>
            <w:r>
              <w:rPr>
                <w:rFonts w:hint="eastAsia" w:ascii="Times New Roman" w:eastAsia="宋体"/>
                <w:snapToGrid w:val="0"/>
                <w:color w:val="auto"/>
                <w:kern w:val="0"/>
                <w:highlight w:val="none"/>
                <w:lang w:val="en-US" w:eastAsia="zh-CN"/>
              </w:rPr>
              <w:t>工程竣工验收合格并完成结算审核后30日内支付至监理结算价100%。</w:t>
            </w:r>
          </w:p>
        </w:tc>
      </w:tr>
    </w:tbl>
    <w:p w14:paraId="02EDE7C7">
      <w:pPr>
        <w:spacing w:line="240" w:lineRule="auto"/>
        <w:rPr>
          <w:rFonts w:hint="eastAsia"/>
          <w:color w:val="auto"/>
          <w:highlight w:val="none"/>
          <w:lang w:eastAsia="zh-CN"/>
        </w:rPr>
      </w:pPr>
      <w:bookmarkStart w:id="197" w:name="_Toc12074"/>
      <w:bookmarkStart w:id="198" w:name="_Toc23204"/>
    </w:p>
    <w:p w14:paraId="18CB521E">
      <w:pPr>
        <w:spacing w:line="480" w:lineRule="auto"/>
        <w:ind w:firstLine="480" w:firstLineChars="200"/>
        <w:rPr>
          <w:rFonts w:hint="eastAsia"/>
          <w:color w:val="auto"/>
          <w:highlight w:val="none"/>
          <w:lang w:eastAsia="zh-CN"/>
        </w:rPr>
      </w:pPr>
      <w:r>
        <w:rPr>
          <w:rFonts w:hint="eastAsia"/>
          <w:color w:val="auto"/>
          <w:highlight w:val="none"/>
          <w:lang w:eastAsia="zh-CN"/>
        </w:rPr>
        <w:t>注：因使用的是财政资金，具体支付时间以财政局支付时间为准。</w:t>
      </w:r>
    </w:p>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3．监理服务费发票</w:t>
      </w:r>
      <w:bookmarkEnd w:id="192"/>
      <w:bookmarkEnd w:id="193"/>
      <w:bookmarkEnd w:id="194"/>
      <w:bookmarkEnd w:id="195"/>
      <w:bookmarkEnd w:id="196"/>
      <w:bookmarkEnd w:id="197"/>
      <w:bookmarkEnd w:id="198"/>
    </w:p>
    <w:p w14:paraId="429ED2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rPr>
        <w:t>委托人每次支付监理服务费前，监理人均应提供有效的增值税</w:t>
      </w:r>
      <w:r>
        <w:rPr>
          <w:rFonts w:hint="eastAsia" w:hAnsi="宋体" w:cs="宋体"/>
          <w:snapToGrid w:val="0"/>
          <w:color w:val="auto"/>
          <w:kern w:val="0"/>
          <w:szCs w:val="24"/>
          <w:highlight w:val="none"/>
          <w:u w:val="single"/>
        </w:rPr>
        <w:t xml:space="preserve"> 普通 </w:t>
      </w:r>
      <w:r>
        <w:rPr>
          <w:rFonts w:hint="eastAsia" w:hAnsi="宋体" w:cs="宋体"/>
          <w:snapToGrid w:val="0"/>
          <w:color w:val="auto"/>
          <w:kern w:val="0"/>
          <w:szCs w:val="24"/>
          <w:highlight w:val="none"/>
        </w:rPr>
        <w:t>发票</w:t>
      </w:r>
      <w:r>
        <w:rPr>
          <w:rFonts w:hint="eastAsia" w:hAnsi="宋体" w:cs="宋体"/>
          <w:snapToGrid w:val="0"/>
          <w:color w:val="auto"/>
          <w:kern w:val="0"/>
          <w:szCs w:val="24"/>
          <w:highlight w:val="none"/>
          <w:lang w:eastAsia="zh-CN"/>
        </w:rPr>
        <w:t>及进度审批表（竣工验收报告）</w:t>
      </w:r>
      <w:r>
        <w:rPr>
          <w:rFonts w:hint="eastAsia" w:hAnsi="宋体" w:cs="宋体"/>
          <w:snapToGrid w:val="0"/>
          <w:color w:val="auto"/>
          <w:kern w:val="0"/>
          <w:szCs w:val="24"/>
          <w:highlight w:val="none"/>
        </w:rPr>
        <w:t>。如果监理人无法提供符合要求的监理服务费发票，由此造成的相应损失由监理人承担。</w:t>
      </w:r>
    </w:p>
    <w:p w14:paraId="05F1438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199" w:name="_Toc32105"/>
      <w:bookmarkStart w:id="200" w:name="_Toc22603"/>
      <w:bookmarkStart w:id="201" w:name="_Toc27200"/>
      <w:bookmarkStart w:id="202" w:name="_Toc30294"/>
      <w:bookmarkStart w:id="203" w:name="_Toc2147"/>
      <w:bookmarkStart w:id="204" w:name="_Toc7557"/>
      <w:bookmarkStart w:id="205" w:name="_Toc25406"/>
      <w:r>
        <w:rPr>
          <w:rFonts w:hint="eastAsia" w:hAnsi="宋体" w:cs="宋体"/>
          <w:b/>
          <w:bCs/>
          <w:snapToGrid w:val="0"/>
          <w:color w:val="auto"/>
          <w:kern w:val="0"/>
          <w:szCs w:val="24"/>
          <w:highlight w:val="none"/>
        </w:rPr>
        <w:t>4．违约责任</w:t>
      </w:r>
      <w:bookmarkEnd w:id="199"/>
      <w:bookmarkEnd w:id="200"/>
      <w:bookmarkEnd w:id="201"/>
      <w:bookmarkEnd w:id="202"/>
      <w:bookmarkEnd w:id="203"/>
      <w:bookmarkEnd w:id="204"/>
      <w:bookmarkEnd w:id="205"/>
    </w:p>
    <w:p w14:paraId="6CD4EE7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 若由于监理单位的过错或失职，对委托人造成损失的，监理人必须依法承担赔偿责任。</w:t>
      </w:r>
    </w:p>
    <w:p w14:paraId="2035E84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4.2 本工程质量必须达到合格标准。若因监理人原因，工程在竣工验收或分部工程验收时没有达到此标准，监理人按监理合同价款（指监理结算价款）的</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10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％向委托人返纳质量违约金，并对委托人的损失依法承担赔偿责任。</w:t>
      </w:r>
    </w:p>
    <w:p w14:paraId="7CA39C9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4.3 监理人必须按投标文件中的服务承诺条款履行合同。</w:t>
      </w:r>
    </w:p>
    <w:p w14:paraId="626FA5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4.4 监理人若是韶关市以外的企业，则其提供的监理费发票必须是在本工程所在地的税务部门开具的，委托人收到符合要求的发票后方可支付监理费。</w:t>
      </w:r>
    </w:p>
    <w:p w14:paraId="7059E59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4.5 监理人在监理期间应严格遵守国家、省、市有关防火、爆破和监理安全以及文明监理、深夜监理、环卫城管等规定，建立规章制度和防护措施。否则，由此造成的经济和法律责任，均由监理人负责。</w:t>
      </w:r>
    </w:p>
    <w:p w14:paraId="7698C4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4.6 监理人应按安全监理的要求，采取严格科学的安全措施，确保监理安全和第三者的安全，承担由于自身安全措施不力所造成的事故责任和发生的费用。</w:t>
      </w:r>
    </w:p>
    <w:p w14:paraId="204D2C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4.7 工程竣工验收后，监理人应向委托人提供符合现行《建设工程监理规范》（GB/t50319-2013）、《韶关市城市建设档案管理办法》及韶关市城市建设档案馆的要求（质量、数量），编制成册的监理档案资料（制作标准和相关要求按韶关市城市建设档案馆的有关规定执行），并承担档案涉及的所有费用。</w:t>
      </w:r>
    </w:p>
    <w:p w14:paraId="6663526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4.8 监理人须服从委托人及政府工程质量监督部门对监理工程全方位的监督，监理资料应及时报送委托人审查备案。</w:t>
      </w:r>
    </w:p>
    <w:p w14:paraId="569318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4.9 监理人在施工过程中若发生</w:t>
      </w:r>
      <w:r>
        <w:rPr>
          <w:rFonts w:hint="eastAsia" w:ascii="Times New Roman"/>
          <w:snapToGrid w:val="0"/>
          <w:color w:val="auto"/>
          <w:kern w:val="0"/>
          <w:highlight w:val="none"/>
          <w:lang w:val="en-US" w:eastAsia="zh-CN"/>
        </w:rPr>
        <w:t>工程量变更时</w:t>
      </w:r>
      <w:r>
        <w:rPr>
          <w:rFonts w:hint="eastAsia" w:ascii="Times New Roman"/>
          <w:snapToGrid w:val="0"/>
          <w:color w:val="auto"/>
          <w:kern w:val="0"/>
          <w:highlight w:val="none"/>
        </w:rPr>
        <w:t>，按委托人</w:t>
      </w:r>
      <w:r>
        <w:rPr>
          <w:rFonts w:hint="eastAsia" w:ascii="Times New Roman"/>
          <w:snapToGrid w:val="0"/>
          <w:color w:val="auto"/>
          <w:kern w:val="0"/>
          <w:highlight w:val="none"/>
          <w:lang w:val="en-US" w:eastAsia="zh-CN"/>
        </w:rPr>
        <w:t>变更</w:t>
      </w:r>
      <w:r>
        <w:rPr>
          <w:rFonts w:hint="eastAsia" w:ascii="Times New Roman"/>
          <w:snapToGrid w:val="0"/>
          <w:color w:val="auto"/>
          <w:kern w:val="0"/>
          <w:highlight w:val="none"/>
        </w:rPr>
        <w:t>管理办法执行。</w:t>
      </w:r>
    </w:p>
    <w:p w14:paraId="779166C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4.10 招标文件、招标答疑书、投标文件和中标通知书是委托人与监理人双方签订的施工监理合同的主要组成部分，并与合同一样，具有相同的法律效力。如中标通知书发出后，发现监理人的投标文件中有与招标文件所述内容及要求不符的，按招标文件执行。</w:t>
      </w:r>
    </w:p>
    <w:p w14:paraId="22312BA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4.11 投标报价应充分考虑在施工中由于委托人造成停工或工期延误等因素所产生的相关费用，委托人不予另计费；停工发生后，若可复工时，监理人应在收到委托人发出的复工通知书的当日通知施工单位复工，并安排现场监理人员及时到场进行现场监理。</w:t>
      </w:r>
    </w:p>
    <w:p w14:paraId="30C1797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4.12 监理人若在韶关市无固定服务场所和固定专业负责人的，则在合同签订后尽快完成驻韶固定办公场所办理和安排固定项目负责人及其他相关监理人员驻韶办公。</w:t>
      </w:r>
    </w:p>
    <w:p w14:paraId="0394F5B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4.13 监理人拟派驻监理机构组成人员数量须符合《广东省建设厅转发建设部关于印发&lt;房屋建筑工程施工旁站监理管理办法（试行）&gt;的通知》（粤建管（2002）97号文》关于工程项目监理人数配置要求。同时，监理人派驻到工程所在地进行监理服务的监理人员，应能够胜任监理合同约定的监理服务工作。发包人有权以书面形式要求监理人更换不能按照监理合同的约定进行监理服务的派驻人员，若监理人拒不执行或无法在15个工作日内完成更换，则每发生一次扣除签约合同价的10%作为违约金。</w:t>
      </w:r>
    </w:p>
    <w:p w14:paraId="6A113065">
      <w:pPr>
        <w:wordWrap w:val="0"/>
        <w:adjustRightInd w:val="0"/>
        <w:snapToGrid w:val="0"/>
        <w:spacing w:line="440" w:lineRule="exact"/>
        <w:ind w:firstLine="560"/>
        <w:rPr>
          <w:rFonts w:hint="eastAsia" w:hAnsi="宋体"/>
          <w:color w:val="auto"/>
          <w:highlight w:val="none"/>
        </w:rPr>
      </w:pPr>
      <w:r>
        <w:rPr>
          <w:rFonts w:hint="eastAsia" w:ascii="Times New Roman"/>
          <w:snapToGrid w:val="0"/>
          <w:color w:val="auto"/>
          <w:kern w:val="0"/>
          <w:highlight w:val="none"/>
        </w:rPr>
        <w:t>4.14</w:t>
      </w:r>
      <w:r>
        <w:rPr>
          <w:rFonts w:hint="eastAsia" w:hAnsi="宋体"/>
          <w:color w:val="auto"/>
          <w:highlight w:val="none"/>
        </w:rPr>
        <w:t>监理人必须保证严格遵守有关法律法规及廉政规定。如监理人及其工作人员违反本承诺规定，给发包人造成经济损失的，依法给予赔偿。</w:t>
      </w:r>
    </w:p>
    <w:p w14:paraId="26D6847F">
      <w:pPr>
        <w:wordWrap w:val="0"/>
        <w:adjustRightInd w:val="0"/>
        <w:snapToGrid w:val="0"/>
        <w:spacing w:line="440" w:lineRule="exact"/>
        <w:ind w:firstLine="560"/>
        <w:rPr>
          <w:rFonts w:hint="eastAsia"/>
          <w:color w:val="auto"/>
          <w:highlight w:val="none"/>
          <w:lang w:val="en-US" w:eastAsia="zh-CN"/>
        </w:rPr>
      </w:pPr>
      <w:r>
        <w:rPr>
          <w:rFonts w:hint="eastAsia" w:ascii="Times New Roman" w:hAnsi="Times New Roman" w:eastAsia="宋体" w:cs="Times New Roman"/>
          <w:snapToGrid w:val="0"/>
          <w:color w:val="auto"/>
          <w:kern w:val="0"/>
          <w:sz w:val="24"/>
          <w:highlight w:val="none"/>
          <w:lang w:val="en-US" w:eastAsia="zh-CN" w:bidi="ar-SA"/>
        </w:rPr>
        <w:t>4.15</w:t>
      </w:r>
      <w:r>
        <w:rPr>
          <w:rFonts w:hint="eastAsia"/>
          <w:color w:val="auto"/>
          <w:highlight w:val="none"/>
          <w:lang w:val="en-US" w:eastAsia="zh-CN"/>
        </w:rPr>
        <w:t>因监理单位履职不到位引起的累计工程变更调整费用总额超过项目施工合同价(暂列金、预留金除外)的10%以上(含)，由项目建设单位按照合同扣减其30%的委托费用；超过项目施工合同价(暂列金、预留金除外)的20%以上(含),全额扣减相关费用，并由相关部门在市场诚信管理、市场准入资质管理等方面依法给予处理并进行通报。</w:t>
      </w:r>
    </w:p>
    <w:p w14:paraId="4CA087E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color w:val="auto"/>
          <w:highlight w:val="none"/>
          <w:lang w:val="en-US" w:eastAsia="zh-CN"/>
        </w:rPr>
        <w:t>4.16项目总监理工程师或项目总监理工程师代表每月驻现场不少于28 天，未经招标人书面同意，每少1天，视为监理人发生监理不良行为一次，承担般违约责任一次，监理人向委托人交纳违约金 2000 元。</w:t>
      </w:r>
    </w:p>
    <w:p w14:paraId="66FF935F">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06" w:name="_Toc8823"/>
      <w:bookmarkStart w:id="207" w:name="_Toc27702"/>
      <w:bookmarkStart w:id="208" w:name="_Toc17944"/>
      <w:bookmarkStart w:id="209" w:name="_Toc26193"/>
      <w:bookmarkStart w:id="210" w:name="_Toc8777"/>
      <w:bookmarkStart w:id="211" w:name="_Toc29596"/>
      <w:bookmarkStart w:id="212" w:name="_Toc28624"/>
      <w:r>
        <w:rPr>
          <w:rFonts w:hint="eastAsia" w:hAnsi="宋体" w:cs="宋体"/>
          <w:b/>
          <w:bCs/>
          <w:snapToGrid w:val="0"/>
          <w:color w:val="auto"/>
          <w:kern w:val="0"/>
          <w:szCs w:val="24"/>
          <w:highlight w:val="none"/>
        </w:rPr>
        <w:t>5．</w:t>
      </w:r>
      <w:r>
        <w:rPr>
          <w:rFonts w:hint="eastAsia" w:hAnsi="宋体" w:cs="宋体"/>
          <w:b/>
          <w:bCs/>
          <w:snapToGrid w:val="0"/>
          <w:color w:val="auto"/>
          <w:kern w:val="0"/>
          <w:szCs w:val="24"/>
          <w:highlight w:val="none"/>
          <w:lang w:val="en-US" w:eastAsia="zh-CN"/>
        </w:rPr>
        <w:t>监理服务费的</w:t>
      </w:r>
      <w:r>
        <w:rPr>
          <w:rFonts w:hint="eastAsia" w:hAnsi="宋体" w:cs="宋体"/>
          <w:b/>
          <w:bCs/>
          <w:snapToGrid w:val="0"/>
          <w:color w:val="auto"/>
          <w:kern w:val="0"/>
          <w:szCs w:val="24"/>
          <w:highlight w:val="none"/>
        </w:rPr>
        <w:t>支付</w:t>
      </w:r>
      <w:bookmarkEnd w:id="206"/>
      <w:bookmarkEnd w:id="207"/>
      <w:bookmarkEnd w:id="208"/>
      <w:bookmarkEnd w:id="209"/>
      <w:bookmarkEnd w:id="210"/>
      <w:bookmarkEnd w:id="211"/>
      <w:bookmarkEnd w:id="212"/>
    </w:p>
    <w:p w14:paraId="6B1617B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13" w:name="_Toc624"/>
      <w:bookmarkStart w:id="214" w:name="_Toc13619"/>
      <w:bookmarkStart w:id="215" w:name="_Toc9024"/>
      <w:bookmarkStart w:id="216" w:name="_Toc26599"/>
      <w:r>
        <w:rPr>
          <w:rFonts w:hint="eastAsia" w:hAnsi="宋体" w:cs="宋体"/>
          <w:b/>
          <w:bCs/>
          <w:snapToGrid w:val="0"/>
          <w:color w:val="auto"/>
          <w:kern w:val="0"/>
          <w:szCs w:val="24"/>
          <w:highlight w:val="none"/>
        </w:rPr>
        <w:t>5.1</w:t>
      </w:r>
      <w:r>
        <w:rPr>
          <w:rFonts w:hint="eastAsia" w:hAnsi="宋体" w:cs="宋体"/>
          <w:snapToGrid w:val="0"/>
          <w:color w:val="auto"/>
          <w:kern w:val="0"/>
          <w:szCs w:val="24"/>
          <w:highlight w:val="none"/>
        </w:rPr>
        <w:t xml:space="preserve"> 支付货币</w:t>
      </w:r>
      <w:bookmarkEnd w:id="213"/>
      <w:bookmarkEnd w:id="214"/>
      <w:bookmarkEnd w:id="215"/>
      <w:bookmarkEnd w:id="216"/>
    </w:p>
    <w:p w14:paraId="7BF931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17" w:name="_Toc7275"/>
      <w:bookmarkStart w:id="218" w:name="_Toc10949"/>
      <w:bookmarkStart w:id="219" w:name="_Toc3949"/>
      <w:bookmarkStart w:id="220" w:name="_Toc22466"/>
      <w:r>
        <w:rPr>
          <w:rFonts w:hint="eastAsia" w:hAnsi="宋体" w:cs="宋体"/>
          <w:b/>
          <w:bCs/>
          <w:snapToGrid w:val="0"/>
          <w:color w:val="auto"/>
          <w:kern w:val="0"/>
          <w:szCs w:val="24"/>
          <w:highlight w:val="none"/>
        </w:rPr>
        <w:t>5.2</w:t>
      </w:r>
      <w:r>
        <w:rPr>
          <w:rFonts w:hint="eastAsia" w:hAnsi="宋体" w:cs="宋体"/>
          <w:snapToGrid w:val="0"/>
          <w:color w:val="auto"/>
          <w:kern w:val="0"/>
          <w:szCs w:val="24"/>
          <w:highlight w:val="none"/>
        </w:rPr>
        <w:t xml:space="preserve"> 支付申请</w:t>
      </w:r>
      <w:bookmarkEnd w:id="217"/>
      <w:bookmarkEnd w:id="218"/>
      <w:bookmarkEnd w:id="219"/>
      <w:bookmarkEnd w:id="220"/>
    </w:p>
    <w:p w14:paraId="3940F8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监理人应在本合同约定的每次应付款时间的7天前，向委托人提交支付申请书。支付申请书应当说明当期应付款总额，并列出当期应支付的款项及其金额。</w:t>
      </w:r>
    </w:p>
    <w:p w14:paraId="1080AE34">
      <w:pPr>
        <w:wordWrap w:val="0"/>
        <w:autoSpaceDE/>
        <w:autoSpaceDN/>
        <w:snapToGrid w:val="0"/>
        <w:spacing w:line="440" w:lineRule="exact"/>
        <w:ind w:firstLine="480"/>
        <w:jc w:val="both"/>
        <w:outlineLvl w:val="9"/>
        <w:rPr>
          <w:rFonts w:hint="eastAsia" w:ascii="Times New Roman"/>
          <w:b/>
          <w:snapToGrid w:val="0"/>
          <w:color w:val="auto"/>
          <w:szCs w:val="22"/>
          <w:highlight w:val="none"/>
        </w:rPr>
      </w:pPr>
      <w:bookmarkStart w:id="221" w:name="_Toc17883"/>
      <w:bookmarkStart w:id="222" w:name="_Toc6801"/>
      <w:bookmarkStart w:id="223" w:name="_Toc25652"/>
      <w:bookmarkStart w:id="224" w:name="_Toc10664"/>
      <w:r>
        <w:rPr>
          <w:rFonts w:hint="eastAsia" w:hAnsi="宋体" w:cs="宋体"/>
          <w:b/>
          <w:bCs/>
          <w:snapToGrid w:val="0"/>
          <w:color w:val="auto"/>
          <w:kern w:val="0"/>
          <w:szCs w:val="24"/>
          <w:highlight w:val="none"/>
        </w:rPr>
        <w:t xml:space="preserve">5.3 </w:t>
      </w:r>
      <w:bookmarkEnd w:id="221"/>
      <w:bookmarkEnd w:id="222"/>
      <w:bookmarkEnd w:id="223"/>
      <w:bookmarkEnd w:id="224"/>
      <w:r>
        <w:rPr>
          <w:rFonts w:hint="eastAsia" w:ascii="Times New Roman"/>
          <w:b/>
          <w:snapToGrid w:val="0"/>
          <w:color w:val="auto"/>
          <w:szCs w:val="22"/>
          <w:highlight w:val="none"/>
        </w:rPr>
        <w:t>监理人的服务内容</w:t>
      </w:r>
    </w:p>
    <w:p w14:paraId="167DB3B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5.1工程施工阶段服务内容</w:t>
      </w:r>
    </w:p>
    <w:p w14:paraId="2311810A">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本工程施工阶段工作，具体包括施工前期准备阶段，施工阶段，竣工验收阶段和工程保修阶段的监理工作。</w:t>
      </w:r>
    </w:p>
    <w:p w14:paraId="012A8D0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5.1.1参与审阅施工图纸。</w:t>
      </w:r>
    </w:p>
    <w:p w14:paraId="7AD82EA2">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5.1.2协助招标人审核各项工程和设备质量，提出审核意见，并协助起草合同、完善合同条款。</w:t>
      </w:r>
    </w:p>
    <w:p w14:paraId="50AA25CE">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5.1.3协助招标人办理开工手续。</w:t>
      </w:r>
    </w:p>
    <w:p w14:paraId="319DDA2D">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5.1.4组织相关单位进行设计交底和施工图会审，负责做好会议记录和图纸会审记录。</w:t>
      </w:r>
    </w:p>
    <w:p w14:paraId="5E57D7FB">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5.1.5现场的移交：对现场的原始场地进行测量，作出书面记录，并在开工之前及时向施工单位移交，其次是测量放线定位的移交。</w:t>
      </w:r>
    </w:p>
    <w:p w14:paraId="7BED7C3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5.1.6审查施工单位提出的施工组织设计、施工技术方案、施工进度计划、施工质量保证体系和施工安全保证体系。</w:t>
      </w:r>
    </w:p>
    <w:p w14:paraId="207E88D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5.1.7督促、检查施工单位严格执行工程承包合同和国家工程技术规范、标准，协调招标人和施工单位之间的关系。</w:t>
      </w:r>
    </w:p>
    <w:p w14:paraId="49AFA721">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5.1.8审核施工单位提供的材料、设备、构配件和实际的数量及质量，按照规范和质监站的要求，对相关的材料进行见证取样复验。</w:t>
      </w:r>
    </w:p>
    <w:p w14:paraId="583E1735">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5.1.9根据施工单位提交的施工进度计划协助招标人督促现场施工进度；审核经质量验收合格的工程量，协助招标人进行工程竣工验收工作。</w:t>
      </w:r>
    </w:p>
    <w:p w14:paraId="11E6858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5.1.10结合工程特点，审批施工单位报送的施工总进度计划；审批施工单位编制季月度施工计划；分阶段协调施工进度计划，及时提出调整意见，督促施工单位实施进度计划，在实际控制中，对实际工期不断检查，发现偏离进度计划及时督促承包方采取措施，做到有效的动态控制。</w:t>
      </w:r>
    </w:p>
    <w:p w14:paraId="7DDE3BA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5.1.11督促施工单位严格按现行规范、规程、强制性质量控制标准和设计要求施工、控制工程质量。</w:t>
      </w:r>
    </w:p>
    <w:p w14:paraId="7F954DF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5.1.12在实施过程中，监理采取程序报验检查、平行检查、旁站检查、巡视检查、定期与不定期检查等各种手段，按照规范和施工组织设计的要求，克服施工过程中的质量通病。</w:t>
      </w:r>
    </w:p>
    <w:p w14:paraId="237A5C2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5.1.13督促、检查施工单位落实施工安全保证措施。</w:t>
      </w:r>
    </w:p>
    <w:p w14:paraId="37DED99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5.1.14协调参建各方之间的争议和冲突，协调各专业施工单位之间的关系，协调各专业施工作业的交接。</w:t>
      </w:r>
    </w:p>
    <w:p w14:paraId="625DE74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5.1.15组织分项工程和隐蔽工程的检查、验收，签发工程验收凭证。</w:t>
      </w:r>
    </w:p>
    <w:p w14:paraId="22C2FD4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5.1.16督促承建商整理合同文件和技术档案资料。</w:t>
      </w:r>
    </w:p>
    <w:p w14:paraId="15A13B6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5.1.17组织招标人、施工单位、设计单位进行竣工预验收。</w:t>
      </w:r>
    </w:p>
    <w:p w14:paraId="72FF635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5.1.18提出工程质量评估报告。</w:t>
      </w:r>
    </w:p>
    <w:p w14:paraId="7DA4C85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5.1.19检查工程状况，如发生质量事故，则参与事故的分析和处理，并鉴定质量责任。</w:t>
      </w:r>
    </w:p>
    <w:p w14:paraId="10F7523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5.1.20督促施工单位在工程竣工验收后，整理工程交工资料和竣工图纸。</w:t>
      </w:r>
    </w:p>
    <w:p w14:paraId="78AB5C6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5.1.21督促完善签署工程保修协议，督促施工单位回访。</w:t>
      </w:r>
    </w:p>
    <w:p w14:paraId="1819574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5.1.22督促施工单位及时完成未完工程尾项，协助招标人督促施工单位按照国家有关规定和保修协议开展维修工作，维修工程出现的缺陷，保证维修工作顺利进行。</w:t>
      </w:r>
    </w:p>
    <w:p w14:paraId="0EDDE0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olor w:val="auto"/>
          <w:highlight w:val="none"/>
        </w:rPr>
        <w:t>5.1.23保修期间如出现工程质量问题，接招标人通知后参与调查、分析，确定发生工程质量问题的原因责任，共同研究修补措施，并负责监督责任单位修补工作。</w:t>
      </w:r>
    </w:p>
    <w:p w14:paraId="295521EB">
      <w:pPr>
        <w:pStyle w:val="3"/>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25" w:name="_Toc11091"/>
      <w:bookmarkStart w:id="226" w:name="_Toc878"/>
      <w:bookmarkStart w:id="227" w:name="_Toc12317"/>
      <w:bookmarkStart w:id="228" w:name="_Toc5107"/>
      <w:bookmarkStart w:id="229" w:name="_Toc8398"/>
      <w:bookmarkStart w:id="230" w:name="_Toc29669"/>
      <w:bookmarkStart w:id="231" w:name="_Toc16162"/>
      <w:r>
        <w:rPr>
          <w:rFonts w:hint="eastAsia" w:hAnsi="宋体" w:cs="宋体"/>
          <w:b/>
          <w:bCs/>
          <w:snapToGrid w:val="0"/>
          <w:color w:val="auto"/>
          <w:kern w:val="0"/>
          <w:szCs w:val="24"/>
          <w:highlight w:val="none"/>
        </w:rPr>
        <w:t>6．</w:t>
      </w:r>
      <w:bookmarkEnd w:id="225"/>
      <w:bookmarkEnd w:id="226"/>
      <w:bookmarkEnd w:id="227"/>
      <w:bookmarkEnd w:id="228"/>
      <w:bookmarkEnd w:id="229"/>
      <w:r>
        <w:rPr>
          <w:rFonts w:hint="eastAsia" w:ascii="Times New Roman"/>
          <w:b/>
          <w:snapToGrid w:val="0"/>
          <w:color w:val="auto"/>
          <w:szCs w:val="22"/>
          <w:highlight w:val="none"/>
        </w:rPr>
        <w:t>监理人违约及违约责任</w:t>
      </w:r>
      <w:bookmarkEnd w:id="230"/>
      <w:bookmarkEnd w:id="231"/>
    </w:p>
    <w:p w14:paraId="2FAB8060">
      <w:pPr>
        <w:pStyle w:val="133"/>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通常情况下，监理人不能按合同履行其义务和职责，因工作过失或渎职而造成了工程的经济和工期损失，为监理人违约，监理人应当向委托人赔偿经济损失，并承担相关的行政、法律责任。在本监理合同中，双方约定将监理人违约范围适当扩大，增加两种视为监理人违约的情况，一是监理人未按约定履行其义务工作时，即使未造成损失，视为监理人违约；二是监理目标未能达标，无论主要原因是什么，视为监理人违约。所有的违约金在当期的监理服务费扣除。本附件将监理人违约分为监理不良行为、监理过失、监理渎职及监理不达标四大情形造成的违约，这四种违约情形及违约责任的承担作如下规定： </w:t>
      </w:r>
    </w:p>
    <w:p w14:paraId="40D5E07B">
      <w:pPr>
        <w:pStyle w:val="66"/>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6.1监理不良行为违约</w:t>
      </w:r>
    </w:p>
    <w:p w14:paraId="26EE7AB6">
      <w:pPr>
        <w:pStyle w:val="66"/>
        <w:spacing w:line="460" w:lineRule="exact"/>
        <w:rPr>
          <w:rFonts w:hint="eastAsia" w:hAnsi="宋体"/>
          <w:color w:val="auto"/>
          <w:sz w:val="24"/>
          <w:highlight w:val="none"/>
        </w:rPr>
      </w:pPr>
      <w:r>
        <w:rPr>
          <w:rFonts w:hint="eastAsia" w:hAnsi="宋体"/>
          <w:color w:val="auto"/>
          <w:sz w:val="24"/>
          <w:highlight w:val="none"/>
        </w:rPr>
        <w:t xml:space="preserve">    6.1.1监理不良行为违约的认定</w:t>
      </w:r>
    </w:p>
    <w:p w14:paraId="64B2C5C7">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一切不按相关法规规定和要求履行义务工作的行为均可视为监理不良行为。监理不良行为特征主要体现是：1、项目监理架构未按相关法规及投标文件承诺规定组建，监理人员未完全到位和未按规定在岗的情形；2、相关法律、法规、地方规范性文件、监理规范、本项目相关合同文件规定及委托人指明的监理人的义务工作，监理人却未能执行或执行不及时；3、委托人指出或发现监理人在实施监理行为过程中明显的签证错误、审批错误及指令错误。</w:t>
      </w:r>
    </w:p>
    <w:p w14:paraId="47D58650">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监理人的不良行为一旦被发现，由委托人管理人员在“监理行为记录档案”作记录，无论是否造成损失，即构成监理人违约。若该行为已造成实际损失，按本附件界定的监理过失违约规定处理。</w:t>
      </w:r>
    </w:p>
    <w:p w14:paraId="75D8593E">
      <w:pPr>
        <w:pStyle w:val="66"/>
        <w:spacing w:line="460" w:lineRule="exact"/>
        <w:ind w:firstLine="482" w:firstLineChars="200"/>
        <w:rPr>
          <w:rFonts w:hint="eastAsia" w:hAnsi="宋体"/>
          <w:b/>
          <w:color w:val="auto"/>
          <w:sz w:val="24"/>
          <w:highlight w:val="none"/>
        </w:rPr>
      </w:pPr>
      <w:r>
        <w:rPr>
          <w:rFonts w:hint="eastAsia" w:hAnsi="宋体"/>
          <w:b/>
          <w:color w:val="auto"/>
          <w:sz w:val="24"/>
          <w:highlight w:val="none"/>
        </w:rPr>
        <w:t>所有监理不良行为违约发生的违约金均从监理人进度款中扣除，监理服务费结算以扣除违约金总数后的金额为准。</w:t>
      </w:r>
    </w:p>
    <w:p w14:paraId="66B1E3D3">
      <w:pPr>
        <w:pStyle w:val="66"/>
        <w:spacing w:line="460" w:lineRule="exact"/>
        <w:rPr>
          <w:rFonts w:hint="eastAsia" w:hAnsi="宋体"/>
          <w:color w:val="auto"/>
          <w:sz w:val="24"/>
          <w:highlight w:val="none"/>
        </w:rPr>
      </w:pPr>
      <w:r>
        <w:rPr>
          <w:rFonts w:hint="eastAsia" w:hAnsi="宋体"/>
          <w:color w:val="auto"/>
          <w:sz w:val="24"/>
          <w:highlight w:val="none"/>
        </w:rPr>
        <w:t xml:space="preserve">    6.1.2 监理不良行为违约的责任承担</w:t>
      </w:r>
    </w:p>
    <w:p w14:paraId="570472B2">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监理人发生监理不良行为一次，承担一般违约责任一次，监理人向委托人交纳违约金1000元。</w:t>
      </w:r>
    </w:p>
    <w:p w14:paraId="7FDC0DEF">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6.1.2.1 总监每月驻现场不少于10天，未经招标人书面同意，每少1天，视为监理人发生监理不良行为一次，承担一般违约责任一次，监理人向委托人交纳违约金1000元。</w:t>
      </w:r>
    </w:p>
    <w:p w14:paraId="3509ED2A">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6.1.2.2  总监或总监代表如果无故缺席例会或招标人组织的会议，每次交纳违约金2000元。</w:t>
      </w:r>
    </w:p>
    <w:p w14:paraId="4C28DC13">
      <w:pPr>
        <w:pStyle w:val="66"/>
        <w:spacing w:line="460" w:lineRule="exact"/>
        <w:ind w:firstLine="480" w:firstLineChars="200"/>
        <w:rPr>
          <w:rFonts w:hint="eastAsia" w:hAnsi="宋体"/>
          <w:b/>
          <w:bCs/>
          <w:color w:val="auto"/>
          <w:sz w:val="24"/>
          <w:highlight w:val="none"/>
          <w:u w:val="single"/>
        </w:rPr>
      </w:pPr>
      <w:r>
        <w:rPr>
          <w:rFonts w:hint="eastAsia" w:hAnsi="宋体"/>
          <w:color w:val="auto"/>
          <w:sz w:val="24"/>
          <w:highlight w:val="none"/>
        </w:rPr>
        <w:t xml:space="preserve">6.1.2.3 </w:t>
      </w:r>
      <w:r>
        <w:rPr>
          <w:rFonts w:hint="eastAsia" w:hAnsi="宋体"/>
          <w:b/>
          <w:bCs/>
          <w:color w:val="auto"/>
          <w:sz w:val="24"/>
          <w:highlight w:val="none"/>
          <w:u w:val="single"/>
        </w:rPr>
        <w:t>其他监理人员必须按配备要求在现场驻场监理，离开项目现场必须经委托人书面同意，如委托人发现监理人员非正常离岗，监理人向委托人每人次交纳违约金1000元。</w:t>
      </w:r>
    </w:p>
    <w:p w14:paraId="40A07E9B">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6.1.2.4 不按规定委派专业人员，不按时、准时参加各项验收和抽查的，不及时签署检查、验收记录的，一次向建设（委托）单位交纳违约金¥1000元/次、项。</w:t>
      </w:r>
    </w:p>
    <w:p w14:paraId="00A919FE">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6.1.2.5 不按规定委派相关人员参加项目竣工验收的，一次向建设（委托）单位交纳违约金¥</w:t>
      </w:r>
      <w:r>
        <w:rPr>
          <w:rFonts w:hint="eastAsia" w:hAnsi="宋体"/>
          <w:color w:val="auto"/>
          <w:sz w:val="24"/>
          <w:highlight w:val="none"/>
          <w:lang w:val="en-US" w:eastAsia="zh-CN"/>
        </w:rPr>
        <w:t>5000</w:t>
      </w:r>
      <w:r>
        <w:rPr>
          <w:rFonts w:hint="eastAsia" w:hAnsi="宋体"/>
          <w:color w:val="auto"/>
          <w:sz w:val="24"/>
          <w:highlight w:val="none"/>
        </w:rPr>
        <w:t>元/项，不签署意见的交纳违约金¥</w:t>
      </w:r>
      <w:r>
        <w:rPr>
          <w:rFonts w:hint="eastAsia" w:hAnsi="宋体"/>
          <w:color w:val="auto"/>
          <w:sz w:val="24"/>
          <w:highlight w:val="none"/>
          <w:lang w:val="en-US" w:eastAsia="zh-CN"/>
        </w:rPr>
        <w:t>5000</w:t>
      </w:r>
      <w:r>
        <w:rPr>
          <w:rFonts w:hint="eastAsia" w:hAnsi="宋体"/>
          <w:color w:val="auto"/>
          <w:sz w:val="24"/>
          <w:highlight w:val="none"/>
        </w:rPr>
        <w:t>元；</w:t>
      </w:r>
    </w:p>
    <w:p w14:paraId="7F533DF8">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6.1.2.6 不按时交纳资料的，交纳违约金¥</w:t>
      </w:r>
      <w:r>
        <w:rPr>
          <w:rFonts w:hint="eastAsia" w:hAnsi="宋体"/>
          <w:color w:val="auto"/>
          <w:sz w:val="24"/>
          <w:highlight w:val="none"/>
          <w:lang w:val="en-US" w:eastAsia="zh-CN"/>
        </w:rPr>
        <w:t>5</w:t>
      </w:r>
      <w:r>
        <w:rPr>
          <w:rFonts w:hint="eastAsia" w:hAnsi="宋体"/>
          <w:color w:val="auto"/>
          <w:sz w:val="24"/>
          <w:highlight w:val="none"/>
        </w:rPr>
        <w:t>万元，造成损失的，承担相应责任；</w:t>
      </w:r>
    </w:p>
    <w:p w14:paraId="779688EC">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6.1.2.7 同一问题未能按时整改，每重复一次监理人向委托人缴纳违约金1000元。</w:t>
      </w:r>
    </w:p>
    <w:p w14:paraId="1B0FB72B">
      <w:pPr>
        <w:pStyle w:val="66"/>
        <w:spacing w:line="460" w:lineRule="exact"/>
        <w:ind w:firstLine="482" w:firstLineChars="200"/>
        <w:rPr>
          <w:rFonts w:hint="eastAsia" w:hAnsi="宋体"/>
          <w:color w:val="auto"/>
          <w:sz w:val="24"/>
          <w:highlight w:val="none"/>
        </w:rPr>
      </w:pPr>
      <w:r>
        <w:rPr>
          <w:rFonts w:hint="eastAsia" w:hAnsi="宋体"/>
          <w:b/>
          <w:bCs/>
          <w:color w:val="auto"/>
          <w:sz w:val="24"/>
          <w:highlight w:val="none"/>
        </w:rPr>
        <w:t>6.2 监理过失事件违约</w:t>
      </w:r>
    </w:p>
    <w:p w14:paraId="32F6D492">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6.2.1 监理过失事件违约的认定</w:t>
      </w:r>
    </w:p>
    <w:p w14:paraId="1A54557B">
      <w:pPr>
        <w:pStyle w:val="66"/>
        <w:spacing w:line="460" w:lineRule="exact"/>
        <w:rPr>
          <w:rFonts w:hint="eastAsia" w:hAnsi="宋体"/>
          <w:color w:val="auto"/>
          <w:sz w:val="24"/>
          <w:highlight w:val="none"/>
        </w:rPr>
      </w:pPr>
      <w:r>
        <w:rPr>
          <w:rFonts w:hint="eastAsia" w:hAnsi="宋体"/>
          <w:color w:val="auto"/>
          <w:sz w:val="24"/>
          <w:highlight w:val="none"/>
        </w:rPr>
        <w:t xml:space="preserve">    工程建设过程中，如发生以下情况：①委托人发现勘察（或设计或施工）中存在问题，而监理单位未发现的；②监理单位发现勘察（或设计或施工）中存在的问题，但未督促勘察（或设计或施工）单位整改或整改不到位的（以监理单位发出的整改通知和勘察（或设计或施工）单位回复及监理复查意见为准）；③监理单位三次及以上发出整改通知勘察（或设计或施工）单位未能给予响应的，但监理单位未能采取果断措施的；以上三种情况一旦委托人向监理单位发出整改通知，即认定为监理人监理过失事件违约，每发出一份整改通知即认定为监理过失事件违约一次。并由委托人管理人员在“监理行为记录档案”作记录。</w:t>
      </w:r>
    </w:p>
    <w:p w14:paraId="57136A0A">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6.2.2 监理过失事件违约的责任承担</w:t>
      </w:r>
    </w:p>
    <w:p w14:paraId="294B43C7">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6.2.2.1 监理人发生监理过失事件违约一次，承担严重违约责任一次，监理人向委托人交纳违约金</w:t>
      </w:r>
      <w:r>
        <w:rPr>
          <w:rFonts w:hint="eastAsia" w:hAnsi="宋体"/>
          <w:color w:val="auto"/>
          <w:sz w:val="24"/>
          <w:highlight w:val="none"/>
          <w:lang w:val="en-US" w:eastAsia="zh-CN"/>
        </w:rPr>
        <w:t>5</w:t>
      </w:r>
      <w:r>
        <w:rPr>
          <w:rFonts w:hint="eastAsia" w:hAnsi="宋体"/>
          <w:color w:val="auto"/>
          <w:sz w:val="24"/>
          <w:highlight w:val="none"/>
        </w:rPr>
        <w:t>000元。</w:t>
      </w:r>
    </w:p>
    <w:p w14:paraId="0E4E3FC4">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6.2.2.2 如因监理人的原因而造成的经济损失，按如下规定向委托人赔偿： </w:t>
      </w:r>
    </w:p>
    <w:p w14:paraId="499CCC9B">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1）根据损失额（或工程变更引起增加额）与本工程签订的施工合同金额的比例，按相应比例双倍扣减监理酬金；若增加工程投资比例超过施工合同金额的20%时，委托人有权单方解除合同，并要求监理人赔偿委托人由此遭受的实际损失中的50%，累计不超过监理服务费的70%。且不低于《关于加强县本级政府投资项目管理的通知》（始府办〔2021〕10号）规定的标准：：①因承包人责任引起变更造成投资规模增加10%以上的，由发包人扣减其20%委托费用；②因承包人责任引起变更造成投资规模增加15%以上的，由发包人扣减其30%委托费用；③因承包人责任引起变更造成投资规模增加20%以上的，由发包人扣减其40%委托费用。</w:t>
      </w:r>
    </w:p>
    <w:p w14:paraId="15E547A5">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2）因监理人责任导致工期延误，其中分项工期延误日数占该项总工期的30%时，则委托人有权扣除该分项工程监理酬金的60%；分项工期延误日数达到该项总工期的50%时，则委托人有权单方解除合同。因监理人责任导致工程竣工拖延的，依据拖延的日数，监理人应每日按监理酬金总额的1%向委托人支付违约金。由于监理人责任导致工期延误，致使委托人要承担赔偿第三方责任的，监理人必须承担赔偿委托人由此遭受的实际损失中的50%。</w:t>
      </w:r>
    </w:p>
    <w:p w14:paraId="34467435">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6.2.2.3 监理人发生监理过失违约后，当委托人认为监理人无正当理由而又未履行监理义务时，有权部分解除合同或完全解除合同。</w:t>
      </w:r>
    </w:p>
    <w:p w14:paraId="0316EAAD">
      <w:pPr>
        <w:pStyle w:val="66"/>
        <w:spacing w:line="460" w:lineRule="exact"/>
        <w:rPr>
          <w:rFonts w:hint="eastAsia" w:hAnsi="宋体"/>
          <w:b/>
          <w:bCs/>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6.3 监理渎职事件违约</w:t>
      </w:r>
    </w:p>
    <w:p w14:paraId="141FA06B">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6.3.1 监理渎职事件违约的认定</w:t>
      </w:r>
    </w:p>
    <w:p w14:paraId="717DA5B5">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不按监理合同履行职责，滥用监理职权，或与其他人故意串通，行为恶劣造成严重社会影响的，无论是否造成损失，一经发现并认定为监理渎职违约，并由委托人管理人员在“监理行为记录档案”作记录。</w:t>
      </w:r>
    </w:p>
    <w:p w14:paraId="667AA1D3">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 6.3.2监理渎职事件违约的责任承担</w:t>
      </w:r>
    </w:p>
    <w:p w14:paraId="56249DD1">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6.3.2.1 监理人发生监理渎职违约一次，承担非常严重违约责任一次，扣除监理人违约金5000元。</w:t>
      </w:r>
    </w:p>
    <w:p w14:paraId="6BA85A70">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6.3.2.2 委托人勒令监理人更换监理人员，直至解除合同（合同解除办法同上）。</w:t>
      </w:r>
    </w:p>
    <w:p w14:paraId="134A9175">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6.3.2.3 如监理人的原因造成委托人或工程损失的，监理人承担全部赔偿责任。</w:t>
      </w:r>
    </w:p>
    <w:p w14:paraId="318F3568">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6.3.2.4 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¥10000元。如监理人违背了以下7款的任何情况，视为非常严重的违约，直接解除合同，不做费用补偿，且对已完成的监理服务，不再支付监理费用，并通报建设行政主管部门：</w:t>
      </w:r>
    </w:p>
    <w:p w14:paraId="677CAEB7">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1）禁止向委托人及承包人推销材料、设备，或以倾向性、排他性变相推销；</w:t>
      </w:r>
    </w:p>
    <w:p w14:paraId="7330B46C">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2）禁止与承包人串通，对不合格材料、产品、工程进行包庇及验收；</w:t>
      </w:r>
    </w:p>
    <w:p w14:paraId="478DF63A">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3）禁止与承包人串通，对材料用量、工程量进行虚假签认；</w:t>
      </w:r>
    </w:p>
    <w:p w14:paraId="55CE4397">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4）禁止与承包人串通，不合理提高施工难度及增加材料用量，以增大施工费用，获取不正当收益。</w:t>
      </w:r>
    </w:p>
    <w:p w14:paraId="5BE7D934">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5）禁止接受承包人的请吃送礼或变相受礼；</w:t>
      </w:r>
    </w:p>
    <w:p w14:paraId="4958A281">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6）禁止向承包人介绍分包或推销材料、设备等；</w:t>
      </w:r>
    </w:p>
    <w:p w14:paraId="63E59BA2">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7）禁止故意刁难承包人以谋取私利，损害委托人的合法利益。</w:t>
      </w:r>
    </w:p>
    <w:p w14:paraId="22A09CB1">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6.3.2.5 如监理人在投标时根据招标文件《综合评分表》“人员配置”作出了增加人员的承诺，而开工后，实际上没有增加，经发包人要求后，在10天内仍未能配齐增加的造价工程师和专业工程师，则视为非常严重的违约，直接解除合同。</w:t>
      </w:r>
    </w:p>
    <w:p w14:paraId="0C33A9D2">
      <w:pPr>
        <w:pStyle w:val="66"/>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6.4 监理不达标造成的违约</w:t>
      </w:r>
    </w:p>
    <w:p w14:paraId="101F443B">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6.4.1 监理不达标违约的认定</w:t>
      </w:r>
    </w:p>
    <w:p w14:paraId="1771CB90">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工程竣工结算后，监理协议书第三项监理目标的任何一项目标的不达标，均视为监理人的监理目标违约。</w:t>
      </w:r>
    </w:p>
    <w:p w14:paraId="6DD59B5C">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6.4.2 监理目标违约的责任承担</w:t>
      </w:r>
    </w:p>
    <w:p w14:paraId="2EA8D557">
      <w:pPr>
        <w:pStyle w:val="66"/>
        <w:spacing w:line="460" w:lineRule="exact"/>
        <w:rPr>
          <w:rFonts w:hint="eastAsia" w:hAnsi="宋体"/>
          <w:color w:val="auto"/>
          <w:sz w:val="24"/>
          <w:highlight w:val="none"/>
        </w:rPr>
      </w:pPr>
      <w:r>
        <w:rPr>
          <w:rFonts w:hint="eastAsia" w:hAnsi="宋体"/>
          <w:color w:val="auto"/>
          <w:sz w:val="24"/>
          <w:highlight w:val="none"/>
        </w:rPr>
        <w:t xml:space="preserve">    6.4.2.1 质量控制不达标：工程竣工验收质量未达到施工合同等级要求的，不管任何原因，结算扣减监理合同价款的3％。</w:t>
      </w:r>
    </w:p>
    <w:p w14:paraId="1EFA036F">
      <w:pPr>
        <w:pStyle w:val="66"/>
        <w:spacing w:line="460" w:lineRule="exact"/>
        <w:ind w:firstLine="480"/>
        <w:rPr>
          <w:rFonts w:hint="eastAsia" w:hAnsi="宋体"/>
          <w:color w:val="auto"/>
          <w:sz w:val="24"/>
          <w:highlight w:val="none"/>
        </w:rPr>
      </w:pPr>
      <w:r>
        <w:rPr>
          <w:rFonts w:hint="eastAsia" w:hAnsi="宋体"/>
          <w:color w:val="auto"/>
          <w:sz w:val="24"/>
          <w:highlight w:val="none"/>
        </w:rPr>
        <w:t>6.4.2.2 投资控制不达标：由监理单位编制投资控制计划和投资控制措施，报建设单位审核，若监理单位未能落实控制措施，出现投资增加，工程建安费结算价突破投资控制值的，每突破1％，结算扣减监理合同价款的1％。</w:t>
      </w:r>
    </w:p>
    <w:p w14:paraId="1B05263D">
      <w:pPr>
        <w:pStyle w:val="66"/>
        <w:spacing w:line="460" w:lineRule="exact"/>
        <w:ind w:firstLine="480"/>
        <w:rPr>
          <w:rFonts w:hint="eastAsia" w:hAnsi="宋体"/>
          <w:color w:val="auto"/>
          <w:sz w:val="24"/>
          <w:highlight w:val="none"/>
        </w:rPr>
      </w:pPr>
      <w:r>
        <w:rPr>
          <w:rFonts w:hint="eastAsia" w:hAnsi="宋体"/>
          <w:color w:val="auto"/>
          <w:sz w:val="24"/>
          <w:highlight w:val="none"/>
        </w:rPr>
        <w:t>6.4.2.3 进度控制不达标：工程竣工验收通过日延误的，委托人视监理人的责任情况结算扣减监理合同价款的1％－3％。</w:t>
      </w:r>
    </w:p>
    <w:p w14:paraId="47EB0213">
      <w:pPr>
        <w:pStyle w:val="66"/>
        <w:spacing w:line="460" w:lineRule="exact"/>
        <w:rPr>
          <w:rFonts w:hint="eastAsia" w:hAnsi="宋体"/>
          <w:color w:val="auto"/>
          <w:sz w:val="24"/>
          <w:highlight w:val="none"/>
        </w:rPr>
      </w:pPr>
      <w:r>
        <w:rPr>
          <w:rFonts w:hint="eastAsia" w:hAnsi="宋体"/>
          <w:color w:val="auto"/>
          <w:sz w:val="24"/>
          <w:highlight w:val="none"/>
        </w:rPr>
        <w:t xml:space="preserve">    6.4.2.4 安全管理不达标：工程发生一般安全生产事故，或被上级主管部门通报批评、被新闻媒体曝光的，结算扣减监理合同价款的1％；发生较大以上安全质量事故（按国家及合同有关规定界定）的，结算扣减监理合同价款的3％。情节严重的，委托人有权部分或全部解除合同。</w:t>
      </w:r>
    </w:p>
    <w:p w14:paraId="7FAF4CC2">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6.4.2.5 监理人应保证每季度进度计量（价）数据的准确性，如发生计量（价）误差＞5%，则视为监理人违约一次，扣除监理人违约金2000/次。</w:t>
      </w:r>
    </w:p>
    <w:p w14:paraId="7BE26912">
      <w:pPr>
        <w:pStyle w:val="66"/>
        <w:spacing w:line="460" w:lineRule="exact"/>
        <w:ind w:firstLine="600" w:firstLineChars="250"/>
        <w:rPr>
          <w:rFonts w:hint="eastAsia" w:hAnsi="宋体"/>
          <w:color w:val="auto"/>
          <w:sz w:val="24"/>
          <w:highlight w:val="none"/>
        </w:rPr>
      </w:pPr>
      <w:r>
        <w:rPr>
          <w:rFonts w:hint="eastAsia" w:hAnsi="宋体"/>
          <w:color w:val="auto"/>
          <w:sz w:val="24"/>
          <w:highlight w:val="none"/>
        </w:rPr>
        <w:t>6.4.2.6 对监理人上述违约处罚，不免除追究当事人和监理人的法律责任和相关赔偿责任。</w:t>
      </w:r>
    </w:p>
    <w:p w14:paraId="5719897F">
      <w:pPr>
        <w:pStyle w:val="66"/>
        <w:spacing w:line="460" w:lineRule="exact"/>
        <w:rPr>
          <w:rFonts w:hint="eastAsia" w:hAnsi="宋体"/>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6.5 监理违约的处理程序</w:t>
      </w:r>
    </w:p>
    <w:p w14:paraId="6E748AA5">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6.5.1 由委托人管理人员在“监理行为记录档案”中将监理人的具体违约情况记录，并将记录内容书面告知监理人。</w:t>
      </w:r>
    </w:p>
    <w:p w14:paraId="12C07D29">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6.5.2 委托人不定期将有关监理人的违约情况以记录、通知、会议纪要等书面形式通知监理人，指明其未能履约的内容和委托人要求其承担违约责任的等级。</w:t>
      </w:r>
    </w:p>
    <w:p w14:paraId="2852DF01">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6.5.3 监理人收到书面处理通知后，如有足够证据证明不应由其承担违约责任的，应在收到违约处理决定后3天内以书面形式向委托人提出异议并附上有关证据，委托人在收到监理人的异议后15天内审核完毕且作出书面决定并通知监理人。否则书面通知则作为处理决定。</w:t>
      </w:r>
    </w:p>
    <w:p w14:paraId="3E03E0DD">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6.5.4 委托人将进一步将监理人执行国家强制性规范、标准和履行合同、招投标文件义务的情况（包括但不限于由委托人组织的考核、考评通报、违约责任处理决定等）再报当地建设行政主管部门并在媒体上公开披露。</w:t>
      </w:r>
    </w:p>
    <w:p w14:paraId="7BA36212">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6.5.5 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51D4C68F">
      <w:pPr>
        <w:pStyle w:val="66"/>
        <w:spacing w:line="460" w:lineRule="exact"/>
        <w:ind w:firstLine="480" w:firstLineChars="200"/>
        <w:rPr>
          <w:rFonts w:hint="eastAsia" w:hAnsi="宋体"/>
          <w:color w:val="auto"/>
          <w:sz w:val="24"/>
          <w:highlight w:val="none"/>
        </w:rPr>
      </w:pPr>
      <w:r>
        <w:rPr>
          <w:rFonts w:hint="eastAsia" w:hAnsi="宋体"/>
          <w:color w:val="auto"/>
          <w:sz w:val="24"/>
          <w:highlight w:val="none"/>
        </w:rPr>
        <w:t>6.5.6 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4BE14420">
      <w:pPr>
        <w:pStyle w:val="3"/>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2" w:name="_Toc22285"/>
      <w:bookmarkStart w:id="233" w:name="_Toc18555"/>
      <w:bookmarkStart w:id="234" w:name="_Toc21384"/>
      <w:bookmarkStart w:id="235" w:name="_Toc21519"/>
      <w:r>
        <w:rPr>
          <w:rFonts w:hint="eastAsia" w:ascii="Times New Roman"/>
          <w:b/>
          <w:snapToGrid w:val="0"/>
          <w:color w:val="auto"/>
          <w:szCs w:val="22"/>
          <w:highlight w:val="none"/>
        </w:rPr>
        <w:t>7. 工程质量、造价、进度控制及安全生产管理</w:t>
      </w:r>
      <w:bookmarkEnd w:id="232"/>
      <w:bookmarkEnd w:id="233"/>
      <w:bookmarkEnd w:id="234"/>
      <w:bookmarkEnd w:id="235"/>
    </w:p>
    <w:p w14:paraId="052B44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 工程质量控制：</w:t>
      </w:r>
    </w:p>
    <w:p w14:paraId="17E18D6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 工程开工前，项目监理机构应审查施工单位现场的质量管理组织机构、管理制度及专职管理人员和特种作业人员的资格。</w:t>
      </w:r>
    </w:p>
    <w:p w14:paraId="455E7DB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 总监理工程师应组织专业监理工程师审查施工单位报审的施工方案，符合要求后应予以签认。施工方案审查应包括下列基本内容：</w:t>
      </w:r>
    </w:p>
    <w:p w14:paraId="12AD25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572728C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（2）工程质量保证措施应符合有关标准。</w:t>
      </w:r>
    </w:p>
    <w:p w14:paraId="5FD6D4F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7.1.3 施工方案报审表应按相应规范的要求填写。</w:t>
      </w:r>
    </w:p>
    <w:p w14:paraId="76AAFF2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7.1.4 专业监理工程师应审查施工单位报送的新材料、新工艺、新技术、新设备的质量认证材料和相关验收标准的适用性，必要时，应要求施工单位组织专题论证，审查合格后报总监理工程师签认。</w:t>
      </w:r>
    </w:p>
    <w:p w14:paraId="3D8D68E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7.1.5 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62243F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（1）施工单位测量人员的资格证书及测量设备检定证书。</w:t>
      </w:r>
    </w:p>
    <w:p w14:paraId="753C0AC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（2）施工平面控制网、高程控制网和临时水准点的测量成果及控制桩的保护措施。</w:t>
      </w:r>
    </w:p>
    <w:p w14:paraId="796848B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7.1.6 施工控制测量成果报验表应按相应规范的要求填写。</w:t>
      </w:r>
    </w:p>
    <w:p w14:paraId="2BC25C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7.1.7 专业监理工程师应检查施工单位为工程提供服务的试验室。</w:t>
      </w:r>
    </w:p>
    <w:p w14:paraId="4A8D2A7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试验室的检查应包括下列内容：</w:t>
      </w:r>
    </w:p>
    <w:p w14:paraId="3F1D69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（1）试验室的资质等级及试验范围。</w:t>
      </w:r>
    </w:p>
    <w:p w14:paraId="083C22E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（2）法定计量部门对试验设备出具的计量检定证明。</w:t>
      </w:r>
    </w:p>
    <w:p w14:paraId="6188EF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（3）试验室管理制度。</w:t>
      </w:r>
    </w:p>
    <w:p w14:paraId="7CDC8E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（4）试验人员资格证书。</w:t>
      </w:r>
    </w:p>
    <w:p w14:paraId="175389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7.1.8 施工单位的试验室报审表应按相应规范的要求填写。</w:t>
      </w:r>
    </w:p>
    <w:p w14:paraId="08372CD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7.1.9 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7181CE0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7.1.10 专业监理工程师应审查施工单位定期提交影响工程质量的计量设备的检查和检定报告。</w:t>
      </w:r>
    </w:p>
    <w:p w14:paraId="0A2DFDB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7.1.11 项目监理机构应根据工程特点和施工单位报送的施工组织设计，确定旁站的关键部位、关键工序，安排监理人员进行旁站，并应及时记录旁站情况。旁站记录应按相应规范的要求填写。</w:t>
      </w:r>
    </w:p>
    <w:p w14:paraId="2B9D76A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7.1.12 项目监理机构应安排监理人员对工程施工质量进行巡视。巡视应包括下列主要内容：</w:t>
      </w:r>
    </w:p>
    <w:p w14:paraId="61D012E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（1）施工单位是否按工程设计文件、工程建设标准和批准的施工组织设计、(专项)施工方案施工。</w:t>
      </w:r>
    </w:p>
    <w:p w14:paraId="52B664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（2）使用的工程材料、构配件和设备是否合格。</w:t>
      </w:r>
    </w:p>
    <w:p w14:paraId="42E824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（3）施工现场管理人员，特别是施工质量管理人员是否到位。</w:t>
      </w:r>
    </w:p>
    <w:p w14:paraId="13E44C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（4）特种作业人员是否持证上岗。</w:t>
      </w:r>
    </w:p>
    <w:p w14:paraId="04FF7AB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7.1.13 项目监理机构应根据工程特点、专业要求，以及建设工程监理合同约定，对施工质量进行平行检验。</w:t>
      </w:r>
    </w:p>
    <w:p w14:paraId="5848EDA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7.1.14 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50897D6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3C86B2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7.1.16 对需要返工处理或加固补强的质量缺陷，项目监理机构应要求施工单位报送经设计等相关单位认可的处理方案，并应对质量缺陷的处理过程进行跟踪检查，同时应对处理结果进行验收。</w:t>
      </w:r>
    </w:p>
    <w:p w14:paraId="474DB2E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7.1.17 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23CA89A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7.1.18 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745CCB0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7.1.19 工程竣工预验收合格后，项目监理机构应编写工程质量评估报告，并应经总监理工程师和工程监理单位技术负责人审核签字后报建设单位。</w:t>
      </w:r>
    </w:p>
    <w:p w14:paraId="7D710A5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7.1.20 项目监理机构应参加由建设单位组织的竣工验收，对验收中提出的整改问题，应督促施工单位及时整改。工程质量符合要求的，总监理工程师应在工程竣工验收报告中签署意见。</w:t>
      </w:r>
    </w:p>
    <w:p w14:paraId="74C6A59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7.1.21 保修期满后，项目监理机构应参与保修期满质量复检，对复检中发现的问题提出整改意见并督促施工单位整改；整改合格后，总监理工程师在复检报告中签署意见。</w:t>
      </w:r>
    </w:p>
    <w:p w14:paraId="0A757B4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7.1.22 项目监理机构受招标人的委托对工程项目实施进行监督与管理，必须按照国家和广东省的有关施工技术规范及现行标准，保证工程达到合格标准，若因中标人原因，工程在竣工验收或分部工程验收时没有达到此标准，项目监理机构按监理按合同价款的</w:t>
      </w:r>
      <w:r>
        <w:rPr>
          <w:rFonts w:hint="eastAsia" w:ascii="Times New Roman"/>
          <w:snapToGrid w:val="0"/>
          <w:color w:val="auto"/>
          <w:kern w:val="0"/>
          <w:highlight w:val="none"/>
          <w:u w:val="single"/>
        </w:rPr>
        <w:t>3%</w:t>
      </w:r>
      <w:r>
        <w:rPr>
          <w:rFonts w:hint="eastAsia" w:ascii="Times New Roman"/>
          <w:snapToGrid w:val="0"/>
          <w:color w:val="auto"/>
          <w:kern w:val="0"/>
          <w:highlight w:val="none"/>
        </w:rPr>
        <w:t>向招标人返纳质量违约金，并无条件免费监理服务至工程质量达到合格止。</w:t>
      </w:r>
    </w:p>
    <w:p w14:paraId="3BCC4A52">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7.2 工程造价控制：</w:t>
      </w:r>
    </w:p>
    <w:p w14:paraId="09D5150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7.2.1 项目监理机构应按下列程序进行工程计量和付款签证：</w:t>
      </w:r>
    </w:p>
    <w:p w14:paraId="7BBE9D5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（1）专业监理工程师对施工单位在工程款支付报审表中提交的工程量和支付金额进行复核，确定实际完成的工程量，提出到期应支付给施工单位的金额，并提出相应的支持性材料。</w:t>
      </w:r>
    </w:p>
    <w:p w14:paraId="5DDC942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w:t>
      </w:r>
    </w:p>
    <w:p w14:paraId="10CB130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（3）总监理工程师根据建设单位的审批意见，向施工单位签发工程款支付证书。</w:t>
      </w:r>
    </w:p>
    <w:p w14:paraId="398555D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工程款支付报审表及工程款支付证书应按相应规范的要求填写。</w:t>
      </w:r>
    </w:p>
    <w:p w14:paraId="4F46741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7.2.2项目监理机构应编制月完成工程量统计表，对实际完成量与计划完成量进行比较分析，发现偏差的，应提出调整建议，并应在监理月报中向建设单位报告。</w:t>
      </w:r>
    </w:p>
    <w:p w14:paraId="7F9C80F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7.2.3 项目监理机构应按下列程序进行竣工结算款审核：</w:t>
      </w:r>
    </w:p>
    <w:p w14:paraId="0440067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（1）专业监理工程师审查施工单位提交的竣工结算款支付申请，提出审查意见。</w:t>
      </w:r>
    </w:p>
    <w:p w14:paraId="60E9BF7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工程竣工结算款支付报审表及竣工结算款支付证书应按相应规范的要求填写。</w:t>
      </w:r>
    </w:p>
    <w:p w14:paraId="2BE3A9F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7.2.4项目监理单位应按上述要求和有关规定控制本项目的工程造价，若由于项目监理单位的过失造成工程造价提高，招标人按所提高造价额的50%从监理服务费中扣除，扣除累计不超过监理服务费的70%。且不低于《关于加强县本级政府投资项目管理的通知》（始府办〔2021〕10号）规定的标准：：①因承包人责任引起变更造成投资规模增加10%以上的，由发包人扣减其20%委托费用；②因承包人责任引起变更造成投资规模增加15%以上的，由发包人扣减其30%委托费用；③因承包人责任引起变更造成投资规模增加20%以上的，由发包人扣减其40%委托费用。</w:t>
      </w:r>
    </w:p>
    <w:p w14:paraId="731AD45B">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7.3 工程进度控制：</w:t>
      </w:r>
    </w:p>
    <w:p w14:paraId="3E1AF6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7.3.1 项目监理机构应审查施工单位报审的施工总进度计划和阶段性施工进度计划，提出审查意见，并应由总监理工程师审核后报建设单位。</w:t>
      </w:r>
    </w:p>
    <w:p w14:paraId="2D59DBC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施工进度计划审查应包括下列基本内容：</w:t>
      </w:r>
    </w:p>
    <w:p w14:paraId="7E8FAB1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（1）施工进度计划应符合施工合同中工期的约定。</w:t>
      </w:r>
    </w:p>
    <w:p w14:paraId="00569D9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（2）施工进度计划中主要工程项目无遗漏，应满足分批投入试运、分批动用的需要，阶段性施工进度计划应满足总进度控制目标的要求。</w:t>
      </w:r>
    </w:p>
    <w:p w14:paraId="3C861E5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（3）施工顺序的安排应符合施工工艺要求。</w:t>
      </w:r>
    </w:p>
    <w:p w14:paraId="0BC42DF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（4）施工人员、工程材料、施工机械等资源供应计划应满足施工进度计划的需要。</w:t>
      </w:r>
    </w:p>
    <w:p w14:paraId="093B1C0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（5）施工进度计划应符合建设单位提供的资金、施工图纸、施工场地、物资等施工条件。</w:t>
      </w:r>
    </w:p>
    <w:p w14:paraId="0496196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施工进度计划报审表应按相应规范的要求填写。</w:t>
      </w:r>
    </w:p>
    <w:p w14:paraId="32ACB63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36DEF7B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7.3.3 项目监理机构应比较分析工程施工实际进度与计划进度，预测实际进度对工程总工期的影响，并应在监理月报中向建设单位报告工程实际进展情况。</w:t>
      </w:r>
    </w:p>
    <w:p w14:paraId="5ABDE768">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7.4 工程安全生产管理：</w:t>
      </w:r>
    </w:p>
    <w:p w14:paraId="15D9AE4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7.4.1 项目监理机构应根据法律法规、工程建设强制性标准，履行建设工程安全生产管理的监理职责，并应将安全生产管理的监理工作内容、方法和措施纳入监理规划及监理实施细则。</w:t>
      </w:r>
    </w:p>
    <w:p w14:paraId="643B3E7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7.4.2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49A0F99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F5790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专项施工方案审查应包括下列基本内容：</w:t>
      </w:r>
    </w:p>
    <w:p w14:paraId="489ED48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202BF9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（2）安全技术措施应符合工程建设强制性标准。</w:t>
      </w:r>
    </w:p>
    <w:p w14:paraId="15D6135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专项施工方案报审表应按相应规范的要求填写。</w:t>
      </w:r>
    </w:p>
    <w:p w14:paraId="02665E5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7.4.4项目监理机构应巡视检查危险性较大的分部分项工程专项施工方案实施情况。发现未按专项施工方案实施时，应签发监理通知单，要求施工单位按专项施工方案实施。</w:t>
      </w:r>
    </w:p>
    <w:p w14:paraId="149AB1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7.4.5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3CBF63E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ascii="Times New Roman"/>
          <w:snapToGrid w:val="0"/>
          <w:color w:val="auto"/>
          <w:kern w:val="0"/>
          <w:highlight w:val="none"/>
        </w:rPr>
        <w:t>监理报告应按相应规范的要求填写。</w:t>
      </w:r>
    </w:p>
    <w:p w14:paraId="06BFFCA1">
      <w:pPr>
        <w:pStyle w:val="40"/>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D4094DE">
      <w:pPr>
        <w:pStyle w:val="40"/>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016FEEB7">
      <w:pPr>
        <w:pStyle w:val="40"/>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E82C505">
      <w:pPr>
        <w:pStyle w:val="40"/>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bookmarkEnd w:id="174"/>
    <w:p w14:paraId="00DFB3FB">
      <w:pPr>
        <w:pStyle w:val="2"/>
        <w:tabs>
          <w:tab w:val="left" w:pos="885"/>
        </w:tabs>
        <w:wordWrap w:val="0"/>
        <w:autoSpaceDE/>
        <w:autoSpaceDN/>
        <w:snapToGrid w:val="0"/>
        <w:spacing w:line="440" w:lineRule="exact"/>
        <w:ind w:left="885" w:hanging="885"/>
        <w:jc w:val="center"/>
        <w:rPr>
          <w:rFonts w:ascii="Times New Roman"/>
          <w:b/>
          <w:snapToGrid w:val="0"/>
          <w:color w:val="auto"/>
          <w:sz w:val="32"/>
          <w:szCs w:val="22"/>
          <w:highlight w:val="none"/>
        </w:rPr>
      </w:pPr>
      <w:bookmarkStart w:id="236" w:name="_Toc12907"/>
      <w:bookmarkStart w:id="237" w:name="_Toc12650"/>
      <w:bookmarkStart w:id="238" w:name="_Toc21669"/>
      <w:bookmarkStart w:id="239" w:name="_Hlt69698796"/>
      <w:r>
        <w:rPr>
          <w:rFonts w:hint="eastAsia" w:ascii="Times New Roman"/>
          <w:b/>
          <w:snapToGrid w:val="0"/>
          <w:color w:val="auto"/>
          <w:sz w:val="32"/>
          <w:szCs w:val="22"/>
          <w:highlight w:val="none"/>
        </w:rPr>
        <w:t>第四章</w:t>
      </w:r>
      <w:bookmarkStart w:id="240" w:name="_Hlt87793853"/>
      <w:bookmarkEnd w:id="240"/>
      <w:r>
        <w:rPr>
          <w:rFonts w:hint="eastAsia" w:ascii="Times New Roman"/>
          <w:b/>
          <w:snapToGrid w:val="0"/>
          <w:color w:val="auto"/>
          <w:sz w:val="32"/>
          <w:szCs w:val="22"/>
          <w:highlight w:val="none"/>
        </w:rPr>
        <w:t xml:space="preserve"> 技术要求</w:t>
      </w:r>
      <w:bookmarkEnd w:id="236"/>
      <w:bookmarkEnd w:id="237"/>
      <w:bookmarkEnd w:id="238"/>
    </w:p>
    <w:bookmarkEnd w:id="239"/>
    <w:p w14:paraId="69F644B1">
      <w:pPr>
        <w:wordWrap w:val="0"/>
        <w:adjustRightInd w:val="0"/>
        <w:snapToGrid w:val="0"/>
        <w:spacing w:line="440" w:lineRule="exact"/>
        <w:rPr>
          <w:rFonts w:hint="eastAsia" w:hAnsi="宋体" w:cs="宋体"/>
          <w:bCs/>
          <w:snapToGrid w:val="0"/>
          <w:color w:val="auto"/>
          <w:kern w:val="0"/>
          <w:highlight w:val="none"/>
        </w:rPr>
      </w:pPr>
      <w:bookmarkStart w:id="241" w:name="_Hlt69116854"/>
      <w:bookmarkEnd w:id="241"/>
      <w:bookmarkStart w:id="242" w:name="_Hlt66104926"/>
      <w:bookmarkEnd w:id="242"/>
      <w:bookmarkStart w:id="243" w:name="_Hlt69265216"/>
      <w:bookmarkEnd w:id="243"/>
      <w:bookmarkStart w:id="244" w:name="_Hlt87793370"/>
      <w:bookmarkEnd w:id="244"/>
      <w:bookmarkStart w:id="245" w:name="_Hlt69359335"/>
      <w:bookmarkEnd w:id="245"/>
      <w:bookmarkStart w:id="246" w:name="_Hlt75685840"/>
      <w:bookmarkEnd w:id="246"/>
      <w:bookmarkStart w:id="247" w:name="_Hlt80411122"/>
      <w:bookmarkEnd w:id="247"/>
      <w:bookmarkStart w:id="248" w:name="_Hlt69357851"/>
      <w:bookmarkEnd w:id="248"/>
      <w:bookmarkStart w:id="249" w:name="_Hlt69358207"/>
      <w:bookmarkEnd w:id="249"/>
      <w:bookmarkStart w:id="250" w:name="_Hlt68774758"/>
      <w:bookmarkEnd w:id="250"/>
      <w:bookmarkStart w:id="251" w:name="_Hlt87793346"/>
      <w:bookmarkEnd w:id="251"/>
      <w:bookmarkStart w:id="252" w:name="_Toc2392"/>
      <w:bookmarkStart w:id="253" w:name="_Toc7515"/>
    </w:p>
    <w:bookmarkEnd w:id="252"/>
    <w:bookmarkEnd w:id="253"/>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54" w:name="_Hlt66848640"/>
      <w:bookmarkEnd w:id="254"/>
      <w:bookmarkStart w:id="255" w:name="_Hlt69116863"/>
      <w:bookmarkEnd w:id="255"/>
      <w:bookmarkStart w:id="256" w:name="_Hlt69265207"/>
      <w:bookmarkEnd w:id="256"/>
      <w:bookmarkStart w:id="257" w:name="_Hlt69358336"/>
      <w:bookmarkEnd w:id="257"/>
      <w:bookmarkStart w:id="258" w:name="_Hlt69635247"/>
      <w:bookmarkEnd w:id="258"/>
      <w:bookmarkStart w:id="259" w:name="_Hlt69338190"/>
      <w:bookmarkEnd w:id="259"/>
      <w:bookmarkStart w:id="260" w:name="_Toc29899"/>
      <w:bookmarkStart w:id="261" w:name="_Toc29213"/>
      <w:bookmarkStart w:id="262" w:name="_Toc25992"/>
      <w:bookmarkStart w:id="263" w:name="_Toc22126"/>
      <w:bookmarkStart w:id="264" w:name="_Toc16011"/>
      <w:bookmarkStart w:id="265" w:name="_Hlt69698785"/>
      <w:r>
        <w:rPr>
          <w:rFonts w:hint="eastAsia" w:ascii="宋体" w:hAnsi="宋体" w:eastAsia="宋体" w:cs="宋体"/>
          <w:b/>
          <w:snapToGrid w:val="0"/>
          <w:color w:val="auto"/>
          <w:kern w:val="0"/>
          <w:highlight w:val="none"/>
        </w:rPr>
        <w:t>1．房屋建筑工程建设项目</w:t>
      </w:r>
      <w:bookmarkEnd w:id="260"/>
      <w:bookmarkEnd w:id="261"/>
      <w:bookmarkEnd w:id="262"/>
      <w:bookmarkEnd w:id="263"/>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266" w:name="_Hlt69359243"/>
      <w:bookmarkEnd w:id="266"/>
      <w:bookmarkStart w:id="267" w:name="_Hlt69359245"/>
      <w:bookmarkEnd w:id="267"/>
      <w:bookmarkStart w:id="268" w:name="_Hlt69116858"/>
      <w:bookmarkEnd w:id="268"/>
      <w:bookmarkStart w:id="269" w:name="_Hlt78709799"/>
      <w:bookmarkEnd w:id="269"/>
      <w:bookmarkStart w:id="270" w:name="_Hlt69358458"/>
      <w:bookmarkEnd w:id="270"/>
      <w:bookmarkStart w:id="271" w:name="_Hlt69635252"/>
      <w:bookmarkEnd w:id="271"/>
      <w:bookmarkStart w:id="272" w:name="_Hlt69359086"/>
      <w:bookmarkEnd w:id="272"/>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273" w:name="_Hlt78795211"/>
      <w:bookmarkEnd w:id="273"/>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45654C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Cs/>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highlight w:val="none"/>
        </w:rPr>
      </w:pPr>
      <w:bookmarkStart w:id="274" w:name="_Toc23789"/>
      <w:bookmarkStart w:id="275" w:name="_Toc16196"/>
      <w:bookmarkStart w:id="276" w:name="_Toc3631"/>
      <w:bookmarkStart w:id="277" w:name="_Toc2706"/>
      <w:r>
        <w:rPr>
          <w:rFonts w:hint="eastAsia" w:ascii="宋体" w:hAnsi="宋体" w:eastAsia="宋体" w:cs="宋体"/>
          <w:b/>
          <w:snapToGrid w:val="0"/>
          <w:color w:val="auto"/>
          <w:kern w:val="0"/>
          <w:highlight w:val="none"/>
        </w:rPr>
        <w:t>2．市政基础设施工程建设项目</w:t>
      </w:r>
      <w:bookmarkEnd w:id="274"/>
      <w:bookmarkEnd w:id="275"/>
      <w:bookmarkEnd w:id="276"/>
      <w:bookmarkEnd w:id="277"/>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highlight w:val="none"/>
        </w:rPr>
      </w:pPr>
      <w:r>
        <w:rPr>
          <w:rFonts w:hint="eastAsia" w:ascii="宋体" w:hAnsi="宋体" w:eastAsia="宋体" w:cs="宋体"/>
          <w:b w:val="0"/>
          <w:bCs/>
          <w:snapToGrid w:val="0"/>
          <w:color w:val="auto"/>
          <w:kern w:val="0"/>
          <w:highlight w:val="none"/>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78" w:name="_Toc20464"/>
      <w:bookmarkStart w:id="279" w:name="_Toc8840"/>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highlight w:val="none"/>
        </w:rPr>
        <w:t>《城市道路照明设计标准》（CJJ45-2015）；</w:t>
      </w:r>
      <w:bookmarkEnd w:id="278"/>
      <w:bookmarkEnd w:id="279"/>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highlight w:val="none"/>
        </w:rPr>
      </w:pPr>
      <w:bookmarkStart w:id="280" w:name="_Toc12769"/>
      <w:bookmarkStart w:id="281" w:name="_Toc8828"/>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12</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《低压配电设计规范》（GB50054-2011）；</w:t>
      </w:r>
      <w:bookmarkEnd w:id="280"/>
      <w:bookmarkEnd w:id="281"/>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82" w:name="_Toc5338"/>
      <w:bookmarkStart w:id="283" w:name="_Toc17054"/>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13</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《城市道路照明工程施工及验收规程》（CJJ89-2012）；</w:t>
      </w:r>
      <w:bookmarkEnd w:id="282"/>
      <w:bookmarkEnd w:id="283"/>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lang w:val="en-US" w:eastAsia="zh-CN"/>
        </w:rPr>
      </w:pPr>
      <w:bookmarkStart w:id="284" w:name="_Toc17302"/>
      <w:bookmarkStart w:id="285" w:name="_Toc15704"/>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14</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LED道路照明工程技术规范</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DB44/T 1898-2016</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bookmarkEnd w:id="284"/>
      <w:bookmarkEnd w:id="285"/>
    </w:p>
    <w:p w14:paraId="0F08A875">
      <w:pPr>
        <w:pStyle w:val="154"/>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15</w:t>
      </w:r>
      <w:r>
        <w:rPr>
          <w:rFonts w:hint="eastAsia" w:ascii="宋体" w:hAnsi="宋体" w:eastAsia="宋体" w:cs="宋体"/>
          <w:b w:val="0"/>
          <w:bCs/>
          <w:i w:val="0"/>
          <w:iCs w:val="0"/>
          <w:color w:val="auto"/>
          <w:kern w:val="0"/>
          <w:szCs w:val="21"/>
          <w:highlight w:val="none"/>
          <w:lang w:eastAsia="zh-CN"/>
        </w:rPr>
        <w:t>）《灯具第</w:t>
      </w:r>
      <w:r>
        <w:rPr>
          <w:rFonts w:hint="eastAsia" w:ascii="宋体" w:hAnsi="宋体" w:eastAsia="宋体" w:cs="宋体"/>
          <w:b w:val="0"/>
          <w:bCs/>
          <w:i w:val="0"/>
          <w:iCs w:val="0"/>
          <w:color w:val="auto"/>
          <w:kern w:val="0"/>
          <w:szCs w:val="21"/>
          <w:highlight w:val="none"/>
          <w:lang w:val="en-US" w:eastAsia="zh-CN"/>
        </w:rPr>
        <w:t>1部分：一般要求与试验</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GB7000.1-2015</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16</w:t>
      </w:r>
      <w:r>
        <w:rPr>
          <w:rFonts w:hint="eastAsia" w:ascii="宋体" w:hAnsi="宋体" w:eastAsia="宋体" w:cs="宋体"/>
          <w:b w:val="0"/>
          <w:bCs/>
          <w:i w:val="0"/>
          <w:iCs w:val="0"/>
          <w:color w:val="auto"/>
          <w:kern w:val="0"/>
          <w:szCs w:val="21"/>
          <w:highlight w:val="none"/>
          <w:lang w:eastAsia="zh-CN"/>
        </w:rPr>
        <w:t>）《电缆工程电缆设计标准》（</w:t>
      </w:r>
      <w:r>
        <w:rPr>
          <w:rFonts w:hint="eastAsia" w:ascii="宋体" w:hAnsi="宋体" w:eastAsia="宋体" w:cs="宋体"/>
          <w:b w:val="0"/>
          <w:bCs/>
          <w:i w:val="0"/>
          <w:iCs w:val="0"/>
          <w:color w:val="auto"/>
          <w:kern w:val="0"/>
          <w:szCs w:val="21"/>
          <w:highlight w:val="none"/>
          <w:lang w:val="en-US" w:eastAsia="zh-CN"/>
        </w:rPr>
        <w:t>GB50217-2018</w:t>
      </w:r>
      <w:r>
        <w:rPr>
          <w:rFonts w:hint="eastAsia" w:ascii="宋体" w:hAnsi="宋体" w:eastAsia="宋体" w:cs="宋体"/>
          <w:b w:val="0"/>
          <w:bCs/>
          <w:i w:val="0"/>
          <w:iCs w:val="0"/>
          <w:color w:val="auto"/>
          <w:kern w:val="0"/>
          <w:szCs w:val="21"/>
          <w:highlight w:val="none"/>
          <w:lang w:eastAsia="zh-CN"/>
        </w:rPr>
        <w:t>）；</w:t>
      </w:r>
    </w:p>
    <w:p w14:paraId="2BD737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86" w:name="_Toc20571"/>
      <w:bookmarkStart w:id="287" w:name="_Toc5246"/>
      <w:r>
        <w:rPr>
          <w:rFonts w:hint="eastAsia" w:ascii="宋体" w:hAnsi="宋体" w:eastAsia="宋体" w:cs="宋体"/>
          <w:b/>
          <w:snapToGrid w:val="0"/>
          <w:color w:val="auto"/>
          <w:kern w:val="0"/>
          <w:highlight w:val="none"/>
        </w:rPr>
        <w:t>3．备查要求</w:t>
      </w:r>
      <w:bookmarkEnd w:id="286"/>
      <w:bookmarkEnd w:id="287"/>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highlight w:val="none"/>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highlight w:val="none"/>
        </w:rPr>
        <w:t>监理人必须在施工现场准备至少一套上述规范，委托人可随时检</w:t>
      </w:r>
      <w:r>
        <w:rPr>
          <w:rFonts w:hint="eastAsia" w:ascii="宋体" w:hAnsi="宋体" w:eastAsia="宋体" w:cs="宋体"/>
          <w:bCs/>
          <w:snapToGrid w:val="0"/>
          <w:color w:val="auto"/>
          <w:kern w:val="0"/>
          <w:highlight w:val="none"/>
        </w:rPr>
        <w:t>查监理人的上述规范，并监督监理人按规范要求执行。</w:t>
      </w:r>
      <w:bookmarkStart w:id="288" w:name="_Hlt69670335"/>
      <w:bookmarkEnd w:id="288"/>
    </w:p>
    <w:p w14:paraId="2C01AB53">
      <w:pPr>
        <w:pStyle w:val="2"/>
        <w:wordWrap w:val="0"/>
        <w:autoSpaceDE/>
        <w:autoSpaceDN/>
        <w:snapToGrid w:val="0"/>
        <w:spacing w:line="440" w:lineRule="exact"/>
        <w:jc w:val="center"/>
        <w:rPr>
          <w:rFonts w:ascii="Times New Roman"/>
          <w:b/>
          <w:snapToGrid w:val="0"/>
          <w:color w:val="auto"/>
          <w:sz w:val="32"/>
          <w:szCs w:val="22"/>
          <w:highlight w:val="none"/>
        </w:rPr>
      </w:pPr>
      <w:bookmarkStart w:id="289" w:name="_Toc6160"/>
      <w:r>
        <w:rPr>
          <w:rFonts w:hint="eastAsia" w:ascii="Times New Roman"/>
          <w:b/>
          <w:snapToGrid w:val="0"/>
          <w:color w:val="auto"/>
          <w:sz w:val="32"/>
          <w:szCs w:val="22"/>
          <w:highlight w:val="none"/>
        </w:rPr>
        <w:t xml:space="preserve">第五章 </w:t>
      </w:r>
      <w:bookmarkStart w:id="290" w:name="_Hlt75747044"/>
      <w:bookmarkEnd w:id="290"/>
      <w:r>
        <w:rPr>
          <w:rFonts w:hint="eastAsia" w:ascii="Times New Roman"/>
          <w:b/>
          <w:snapToGrid w:val="0"/>
          <w:color w:val="auto"/>
          <w:sz w:val="32"/>
          <w:szCs w:val="22"/>
          <w:highlight w:val="none"/>
        </w:rPr>
        <w:t>投标文件格式</w:t>
      </w:r>
      <w:bookmarkEnd w:id="264"/>
      <w:bookmarkEnd w:id="289"/>
    </w:p>
    <w:bookmarkEnd w:id="265"/>
    <w:p w14:paraId="7A6D8682">
      <w:pPr>
        <w:pStyle w:val="72"/>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highlight w:val="none"/>
        </w:rPr>
      </w:pPr>
      <w:bookmarkStart w:id="291" w:name="_附件四：工期承诺书"/>
      <w:bookmarkEnd w:id="291"/>
      <w:bookmarkStart w:id="292" w:name="_附件一：投标函"/>
      <w:bookmarkEnd w:id="292"/>
      <w:bookmarkStart w:id="293" w:name="_附件五：综合评审合理低价法"/>
      <w:bookmarkEnd w:id="293"/>
      <w:bookmarkStart w:id="294" w:name="_附件二：工期承诺书"/>
      <w:bookmarkEnd w:id="294"/>
      <w:bookmarkStart w:id="295" w:name="_附件二：近三年度主要施工项目（竣工及在建）一览表"/>
      <w:bookmarkEnd w:id="295"/>
      <w:bookmarkStart w:id="296" w:name="_附件一：对招标文件条款自愿接受承诺书"/>
      <w:bookmarkEnd w:id="296"/>
      <w:bookmarkStart w:id="297" w:name="_Toc200338097"/>
      <w:bookmarkStart w:id="298" w:name="_Hlt66847557"/>
      <w:bookmarkStart w:id="299" w:name="_Toc66849200"/>
      <w:bookmarkStart w:id="300" w:name="_Toc137621693"/>
    </w:p>
    <w:p w14:paraId="605BD047">
      <w:pPr>
        <w:pStyle w:val="72"/>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highlight w:val="none"/>
        </w:rPr>
      </w:pPr>
      <w:bookmarkStart w:id="301" w:name="_Toc63"/>
      <w:bookmarkStart w:id="302" w:name="_Toc11556"/>
      <w:r>
        <w:rPr>
          <w:rFonts w:hint="eastAsia" w:ascii="Times New Roman"/>
          <w:b/>
          <w:snapToGrid w:val="0"/>
          <w:color w:val="auto"/>
          <w:highlight w:val="none"/>
        </w:rPr>
        <w:t>格式一 封面</w:t>
      </w:r>
      <w:bookmarkEnd w:id="301"/>
      <w:bookmarkEnd w:id="302"/>
    </w:p>
    <w:p w14:paraId="5DF40F53">
      <w:pPr>
        <w:pStyle w:val="73"/>
        <w:widowControl w:val="0"/>
        <w:wordWrap w:val="0"/>
        <w:adjustRightInd w:val="0"/>
        <w:snapToGrid w:val="0"/>
        <w:spacing w:line="240" w:lineRule="auto"/>
        <w:rPr>
          <w:rFonts w:ascii="Times New Roman"/>
          <w:b/>
          <w:snapToGrid w:val="0"/>
          <w:color w:val="auto"/>
          <w:sz w:val="24"/>
          <w:highlight w:val="none"/>
        </w:rPr>
      </w:pPr>
    </w:p>
    <w:p w14:paraId="6FBB4A80">
      <w:pPr>
        <w:pStyle w:val="73"/>
        <w:widowControl w:val="0"/>
        <w:wordWrap w:val="0"/>
        <w:adjustRightInd w:val="0"/>
        <w:snapToGrid w:val="0"/>
        <w:spacing w:line="240" w:lineRule="auto"/>
        <w:jc w:val="right"/>
        <w:rPr>
          <w:rFonts w:ascii="Times New Roman"/>
          <w:b/>
          <w:snapToGrid w:val="0"/>
          <w:color w:val="auto"/>
          <w:sz w:val="24"/>
          <w:highlight w:val="none"/>
        </w:rPr>
      </w:pPr>
    </w:p>
    <w:p w14:paraId="59746A92">
      <w:pPr>
        <w:pStyle w:val="73"/>
        <w:widowControl w:val="0"/>
        <w:wordWrap w:val="0"/>
        <w:adjustRightInd w:val="0"/>
        <w:snapToGrid w:val="0"/>
        <w:spacing w:line="240" w:lineRule="auto"/>
        <w:rPr>
          <w:rFonts w:ascii="Times New Roman"/>
          <w:b/>
          <w:snapToGrid w:val="0"/>
          <w:color w:val="auto"/>
          <w:sz w:val="24"/>
          <w:highlight w:val="none"/>
        </w:rPr>
      </w:pPr>
    </w:p>
    <w:p w14:paraId="0294BCEE">
      <w:pPr>
        <w:pStyle w:val="73"/>
        <w:widowControl w:val="0"/>
        <w:wordWrap w:val="0"/>
        <w:adjustRightInd w:val="0"/>
        <w:snapToGrid w:val="0"/>
        <w:spacing w:line="240" w:lineRule="auto"/>
        <w:rPr>
          <w:rFonts w:ascii="Times New Roman"/>
          <w:b/>
          <w:snapToGrid w:val="0"/>
          <w:color w:val="auto"/>
          <w:sz w:val="24"/>
          <w:highlight w:val="none"/>
        </w:rPr>
      </w:pPr>
    </w:p>
    <w:p w14:paraId="7513099E">
      <w:pPr>
        <w:pStyle w:val="73"/>
        <w:widowControl w:val="0"/>
        <w:wordWrap w:val="0"/>
        <w:adjustRightInd w:val="0"/>
        <w:snapToGrid w:val="0"/>
        <w:spacing w:line="240" w:lineRule="auto"/>
        <w:rPr>
          <w:rFonts w:ascii="Times New Roman"/>
          <w:b/>
          <w:snapToGrid w:val="0"/>
          <w:color w:val="auto"/>
          <w:sz w:val="24"/>
          <w:highlight w:val="none"/>
        </w:rPr>
      </w:pPr>
    </w:p>
    <w:p w14:paraId="4875FFE9">
      <w:pPr>
        <w:pStyle w:val="73"/>
        <w:widowControl w:val="0"/>
        <w:wordWrap w:val="0"/>
        <w:adjustRightInd w:val="0"/>
        <w:snapToGrid w:val="0"/>
        <w:spacing w:line="240" w:lineRule="auto"/>
        <w:rPr>
          <w:rFonts w:ascii="Times New Roman"/>
          <w:b/>
          <w:snapToGrid w:val="0"/>
          <w:color w:val="auto"/>
          <w:sz w:val="24"/>
          <w:highlight w:val="none"/>
        </w:rPr>
      </w:pPr>
    </w:p>
    <w:p w14:paraId="2D9D39D4">
      <w:pPr>
        <w:pStyle w:val="73"/>
        <w:widowControl w:val="0"/>
        <w:wordWrap w:val="0"/>
        <w:adjustRightInd w:val="0"/>
        <w:snapToGrid w:val="0"/>
        <w:spacing w:line="240" w:lineRule="auto"/>
        <w:rPr>
          <w:rFonts w:ascii="Times New Roman"/>
          <w:b/>
          <w:snapToGrid w:val="0"/>
          <w:color w:val="auto"/>
          <w:sz w:val="24"/>
          <w:highlight w:val="none"/>
        </w:rPr>
      </w:pPr>
    </w:p>
    <w:p w14:paraId="5F4307BB">
      <w:pPr>
        <w:pStyle w:val="73"/>
        <w:widowControl w:val="0"/>
        <w:wordWrap w:val="0"/>
        <w:adjustRightInd w:val="0"/>
        <w:snapToGrid w:val="0"/>
        <w:spacing w:line="240" w:lineRule="auto"/>
        <w:rPr>
          <w:rFonts w:ascii="Times New Roman"/>
          <w:b/>
          <w:snapToGrid w:val="0"/>
          <w:color w:val="auto"/>
          <w:sz w:val="24"/>
          <w:highlight w:val="none"/>
        </w:rPr>
      </w:pPr>
    </w:p>
    <w:p w14:paraId="0005A7BA">
      <w:pPr>
        <w:pStyle w:val="73"/>
        <w:widowControl w:val="0"/>
        <w:wordWrap w:val="0"/>
        <w:adjustRightInd w:val="0"/>
        <w:snapToGrid w:val="0"/>
        <w:spacing w:line="240" w:lineRule="auto"/>
        <w:rPr>
          <w:rFonts w:ascii="Times New Roman"/>
          <w:b/>
          <w:snapToGrid w:val="0"/>
          <w:color w:val="auto"/>
          <w:sz w:val="24"/>
          <w:highlight w:val="none"/>
        </w:rPr>
      </w:pPr>
    </w:p>
    <w:p w14:paraId="38D03B0C">
      <w:pPr>
        <w:pStyle w:val="73"/>
        <w:widowControl w:val="0"/>
        <w:wordWrap w:val="0"/>
        <w:adjustRightInd w:val="0"/>
        <w:snapToGrid w:val="0"/>
        <w:spacing w:line="240" w:lineRule="auto"/>
        <w:rPr>
          <w:rFonts w:ascii="Times New Roman"/>
          <w:b/>
          <w:snapToGrid w:val="0"/>
          <w:color w:val="auto"/>
          <w:sz w:val="24"/>
          <w:highlight w:val="none"/>
        </w:rPr>
      </w:pPr>
    </w:p>
    <w:p w14:paraId="01F56212">
      <w:pPr>
        <w:pStyle w:val="73"/>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（项目名称）招标</w:t>
      </w:r>
    </w:p>
    <w:p w14:paraId="3BD1E3C7">
      <w:pPr>
        <w:pStyle w:val="73"/>
        <w:widowControl w:val="0"/>
        <w:wordWrap w:val="0"/>
        <w:adjustRightInd w:val="0"/>
        <w:snapToGrid w:val="0"/>
        <w:spacing w:line="240" w:lineRule="auto"/>
        <w:ind w:firstLine="0"/>
        <w:jc w:val="center"/>
        <w:rPr>
          <w:rFonts w:ascii="Times New Roman"/>
          <w:b/>
          <w:snapToGrid w:val="0"/>
          <w:color w:val="auto"/>
          <w:sz w:val="32"/>
          <w:highlight w:val="none"/>
        </w:rPr>
      </w:pPr>
    </w:p>
    <w:p w14:paraId="3D2A6112">
      <w:pPr>
        <w:pStyle w:val="73"/>
        <w:widowControl w:val="0"/>
        <w:wordWrap w:val="0"/>
        <w:adjustRightInd w:val="0"/>
        <w:snapToGrid w:val="0"/>
        <w:spacing w:line="240" w:lineRule="auto"/>
        <w:ind w:firstLine="0"/>
        <w:jc w:val="center"/>
        <w:rPr>
          <w:rFonts w:ascii="Times New Roman"/>
          <w:b/>
          <w:snapToGrid w:val="0"/>
          <w:color w:val="auto"/>
          <w:sz w:val="72"/>
          <w:highlight w:val="none"/>
        </w:rPr>
      </w:pPr>
      <w:r>
        <w:rPr>
          <w:rFonts w:hint="eastAsia" w:ascii="Times New Roman"/>
          <w:b/>
          <w:snapToGrid w:val="0"/>
          <w:color w:val="auto"/>
          <w:sz w:val="72"/>
          <w:highlight w:val="none"/>
        </w:rPr>
        <w:t>投  标  文  件</w:t>
      </w:r>
    </w:p>
    <w:p w14:paraId="5A4D8E98">
      <w:pPr>
        <w:pStyle w:val="73"/>
        <w:widowControl w:val="0"/>
        <w:wordWrap w:val="0"/>
        <w:adjustRightInd w:val="0"/>
        <w:snapToGrid w:val="0"/>
        <w:spacing w:line="240" w:lineRule="auto"/>
        <w:ind w:firstLine="0"/>
        <w:jc w:val="center"/>
        <w:rPr>
          <w:rFonts w:ascii="Times New Roman"/>
          <w:b/>
          <w:snapToGrid w:val="0"/>
          <w:color w:val="auto"/>
          <w:sz w:val="32"/>
          <w:highlight w:val="none"/>
        </w:rPr>
      </w:pPr>
    </w:p>
    <w:p w14:paraId="189B292E">
      <w:pPr>
        <w:pStyle w:val="73"/>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
          <w:snapToGrid w:val="0"/>
          <w:color w:val="auto"/>
          <w:sz w:val="48"/>
          <w:szCs w:val="48"/>
          <w:highlight w:val="none"/>
        </w:rPr>
        <w:t>（商务标书／监理大纲／</w:t>
      </w:r>
      <w:r>
        <w:rPr>
          <w:rFonts w:hint="eastAsia" w:ascii="Times New Roman"/>
          <w:b/>
          <w:snapToGrid w:val="0"/>
          <w:color w:val="auto"/>
          <w:sz w:val="48"/>
          <w:szCs w:val="48"/>
          <w:highlight w:val="none"/>
          <w:lang w:val="en-US" w:eastAsia="zh-CN"/>
        </w:rPr>
        <w:t>定标文件</w:t>
      </w:r>
      <w:r>
        <w:rPr>
          <w:rFonts w:hint="eastAsia" w:ascii="Times New Roman"/>
          <w:b/>
          <w:snapToGrid w:val="0"/>
          <w:color w:val="auto"/>
          <w:sz w:val="48"/>
          <w:szCs w:val="48"/>
          <w:highlight w:val="none"/>
        </w:rPr>
        <w:t>）</w:t>
      </w:r>
    </w:p>
    <w:p w14:paraId="21D0A39E">
      <w:pPr>
        <w:pStyle w:val="73"/>
        <w:widowControl w:val="0"/>
        <w:wordWrap w:val="0"/>
        <w:adjustRightInd w:val="0"/>
        <w:snapToGrid w:val="0"/>
        <w:spacing w:line="240" w:lineRule="auto"/>
        <w:rPr>
          <w:rFonts w:ascii="Times New Roman"/>
          <w:b/>
          <w:snapToGrid w:val="0"/>
          <w:color w:val="auto"/>
          <w:highlight w:val="none"/>
        </w:rPr>
      </w:pPr>
    </w:p>
    <w:p w14:paraId="47BA86B9">
      <w:pPr>
        <w:pStyle w:val="73"/>
        <w:widowControl w:val="0"/>
        <w:wordWrap w:val="0"/>
        <w:adjustRightInd w:val="0"/>
        <w:snapToGrid w:val="0"/>
        <w:spacing w:line="240" w:lineRule="auto"/>
        <w:rPr>
          <w:rFonts w:ascii="Times New Roman"/>
          <w:b/>
          <w:snapToGrid w:val="0"/>
          <w:color w:val="auto"/>
          <w:sz w:val="32"/>
          <w:highlight w:val="none"/>
        </w:rPr>
      </w:pPr>
    </w:p>
    <w:p w14:paraId="65C3F1D5">
      <w:pPr>
        <w:pStyle w:val="73"/>
        <w:widowControl w:val="0"/>
        <w:wordWrap w:val="0"/>
        <w:adjustRightInd w:val="0"/>
        <w:snapToGrid w:val="0"/>
        <w:spacing w:line="240" w:lineRule="auto"/>
        <w:rPr>
          <w:rFonts w:ascii="Times New Roman"/>
          <w:b/>
          <w:snapToGrid w:val="0"/>
          <w:color w:val="auto"/>
          <w:sz w:val="32"/>
          <w:highlight w:val="none"/>
        </w:rPr>
      </w:pPr>
    </w:p>
    <w:p w14:paraId="04CF17A0">
      <w:pPr>
        <w:pStyle w:val="73"/>
        <w:widowControl w:val="0"/>
        <w:wordWrap w:val="0"/>
        <w:adjustRightInd w:val="0"/>
        <w:snapToGrid w:val="0"/>
        <w:spacing w:line="240" w:lineRule="auto"/>
        <w:rPr>
          <w:rFonts w:ascii="Times New Roman"/>
          <w:b/>
          <w:snapToGrid w:val="0"/>
          <w:color w:val="auto"/>
          <w:sz w:val="32"/>
          <w:highlight w:val="none"/>
        </w:rPr>
      </w:pPr>
    </w:p>
    <w:p w14:paraId="70B9E93C">
      <w:pPr>
        <w:pStyle w:val="73"/>
        <w:widowControl w:val="0"/>
        <w:wordWrap w:val="0"/>
        <w:adjustRightInd w:val="0"/>
        <w:snapToGrid w:val="0"/>
        <w:spacing w:line="240" w:lineRule="auto"/>
        <w:rPr>
          <w:rFonts w:ascii="Times New Roman"/>
          <w:b/>
          <w:snapToGrid w:val="0"/>
          <w:color w:val="auto"/>
          <w:sz w:val="32"/>
          <w:highlight w:val="none"/>
        </w:rPr>
      </w:pPr>
    </w:p>
    <w:p w14:paraId="1ECCE2FB">
      <w:pPr>
        <w:pStyle w:val="73"/>
        <w:widowControl w:val="0"/>
        <w:wordWrap w:val="0"/>
        <w:adjustRightInd w:val="0"/>
        <w:snapToGrid w:val="0"/>
        <w:spacing w:line="240" w:lineRule="auto"/>
        <w:rPr>
          <w:rFonts w:ascii="Times New Roman"/>
          <w:b/>
          <w:snapToGrid w:val="0"/>
          <w:color w:val="auto"/>
          <w:sz w:val="32"/>
          <w:highlight w:val="none"/>
        </w:rPr>
      </w:pPr>
    </w:p>
    <w:p w14:paraId="1EB2808C">
      <w:pPr>
        <w:pStyle w:val="73"/>
        <w:widowControl w:val="0"/>
        <w:wordWrap w:val="0"/>
        <w:adjustRightInd w:val="0"/>
        <w:snapToGrid w:val="0"/>
        <w:spacing w:line="240" w:lineRule="auto"/>
        <w:rPr>
          <w:rFonts w:ascii="Times New Roman"/>
          <w:b/>
          <w:snapToGrid w:val="0"/>
          <w:color w:val="auto"/>
          <w:sz w:val="32"/>
          <w:highlight w:val="none"/>
        </w:rPr>
      </w:pPr>
    </w:p>
    <w:p w14:paraId="759F596E">
      <w:pPr>
        <w:pStyle w:val="73"/>
        <w:widowControl w:val="0"/>
        <w:wordWrap w:val="0"/>
        <w:adjustRightInd w:val="0"/>
        <w:snapToGrid w:val="0"/>
        <w:spacing w:line="240" w:lineRule="auto"/>
        <w:rPr>
          <w:rFonts w:ascii="Times New Roman"/>
          <w:b/>
          <w:snapToGrid w:val="0"/>
          <w:color w:val="auto"/>
          <w:sz w:val="32"/>
          <w:highlight w:val="none"/>
        </w:rPr>
      </w:pPr>
    </w:p>
    <w:p w14:paraId="146D5E17">
      <w:pPr>
        <w:pStyle w:val="73"/>
        <w:widowControl w:val="0"/>
        <w:wordWrap w:val="0"/>
        <w:adjustRightInd w:val="0"/>
        <w:snapToGrid w:val="0"/>
        <w:spacing w:line="240" w:lineRule="auto"/>
        <w:rPr>
          <w:rFonts w:ascii="Times New Roman"/>
          <w:b/>
          <w:snapToGrid w:val="0"/>
          <w:color w:val="auto"/>
          <w:sz w:val="32"/>
          <w:highlight w:val="none"/>
        </w:rPr>
      </w:pPr>
    </w:p>
    <w:p w14:paraId="6742C860">
      <w:pPr>
        <w:pStyle w:val="73"/>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4DAF0F5D">
      <w:pPr>
        <w:pStyle w:val="73"/>
        <w:widowControl w:val="0"/>
        <w:wordWrap w:val="0"/>
        <w:adjustRightInd w:val="0"/>
        <w:snapToGrid w:val="0"/>
        <w:spacing w:line="240" w:lineRule="auto"/>
        <w:ind w:firstLine="0"/>
        <w:jc w:val="center"/>
        <w:rPr>
          <w:rFonts w:ascii="Times New Roman"/>
          <w:bCs/>
          <w:snapToGrid w:val="0"/>
          <w:color w:val="auto"/>
          <w:sz w:val="32"/>
          <w:highlight w:val="none"/>
        </w:rPr>
      </w:pPr>
    </w:p>
    <w:p w14:paraId="0642C6A2">
      <w:pPr>
        <w:pStyle w:val="73"/>
        <w:widowControl w:val="0"/>
        <w:wordWrap w:val="0"/>
        <w:adjustRightInd w:val="0"/>
        <w:snapToGrid w:val="0"/>
        <w:spacing w:line="240" w:lineRule="auto"/>
        <w:ind w:firstLine="0"/>
        <w:jc w:val="center"/>
        <w:rPr>
          <w:rFonts w:ascii="Times New Roman"/>
          <w:bCs/>
          <w:snapToGrid w:val="0"/>
          <w:color w:val="auto"/>
          <w:sz w:val="32"/>
          <w:highlight w:val="none"/>
        </w:rPr>
      </w:pPr>
    </w:p>
    <w:p w14:paraId="60435907">
      <w:pPr>
        <w:pStyle w:val="73"/>
        <w:widowControl w:val="0"/>
        <w:wordWrap w:val="0"/>
        <w:adjustRightInd w:val="0"/>
        <w:snapToGrid w:val="0"/>
        <w:spacing w:line="240" w:lineRule="auto"/>
        <w:ind w:firstLine="0"/>
        <w:jc w:val="center"/>
        <w:rPr>
          <w:rFonts w:ascii="Times New Roman"/>
          <w:bCs/>
          <w:snapToGrid w:val="0"/>
          <w:color w:val="auto"/>
          <w:sz w:val="32"/>
          <w:highlight w:val="none"/>
        </w:rPr>
      </w:pPr>
    </w:p>
    <w:p w14:paraId="6A449385">
      <w:pPr>
        <w:pStyle w:val="73"/>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234CEA92">
      <w:pPr>
        <w:pStyle w:val="73"/>
        <w:widowControl w:val="0"/>
        <w:wordWrap w:val="0"/>
        <w:adjustRightInd w:val="0"/>
        <w:snapToGrid w:val="0"/>
        <w:spacing w:line="240" w:lineRule="auto"/>
        <w:ind w:firstLine="0"/>
        <w:jc w:val="center"/>
        <w:rPr>
          <w:rFonts w:ascii="Times New Roman"/>
          <w:bCs/>
          <w:snapToGrid w:val="0"/>
          <w:color w:val="auto"/>
          <w:sz w:val="32"/>
          <w:highlight w:val="none"/>
        </w:rPr>
      </w:pPr>
    </w:p>
    <w:p w14:paraId="565FD46B">
      <w:pPr>
        <w:pStyle w:val="73"/>
        <w:widowControl w:val="0"/>
        <w:wordWrap w:val="0"/>
        <w:adjustRightInd w:val="0"/>
        <w:snapToGrid w:val="0"/>
        <w:spacing w:line="240" w:lineRule="auto"/>
        <w:ind w:firstLine="0"/>
        <w:jc w:val="center"/>
        <w:rPr>
          <w:rFonts w:ascii="Times New Roman"/>
          <w:bCs/>
          <w:snapToGrid w:val="0"/>
          <w:color w:val="auto"/>
          <w:sz w:val="32"/>
          <w:highlight w:val="none"/>
          <w:u w:val="single"/>
        </w:rPr>
      </w:pPr>
    </w:p>
    <w:p w14:paraId="1A771D3C">
      <w:pPr>
        <w:pStyle w:val="73"/>
        <w:widowControl w:val="0"/>
        <w:wordWrap w:val="0"/>
        <w:adjustRightInd w:val="0"/>
        <w:snapToGrid w:val="0"/>
        <w:spacing w:line="240" w:lineRule="auto"/>
        <w:ind w:firstLine="0"/>
        <w:jc w:val="center"/>
        <w:rPr>
          <w:rFonts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2B7C22CA">
      <w:pPr>
        <w:pStyle w:val="73"/>
        <w:widowControl w:val="0"/>
        <w:wordWrap w:val="0"/>
        <w:adjustRightInd w:val="0"/>
        <w:snapToGrid w:val="0"/>
        <w:rPr>
          <w:rFonts w:ascii="Times New Roman"/>
          <w:b/>
          <w:snapToGrid w:val="0"/>
          <w:color w:val="auto"/>
          <w:highlight w:val="none"/>
        </w:rPr>
      </w:pPr>
    </w:p>
    <w:p w14:paraId="60968DD1">
      <w:pPr>
        <w:pStyle w:val="73"/>
        <w:widowControl w:val="0"/>
        <w:wordWrap w:val="0"/>
        <w:adjustRightInd w:val="0"/>
        <w:snapToGrid w:val="0"/>
        <w:rPr>
          <w:rFonts w:ascii="Times New Roman"/>
          <w:b/>
          <w:snapToGrid w:val="0"/>
          <w:color w:val="auto"/>
          <w:highlight w:val="none"/>
        </w:rPr>
      </w:pPr>
    </w:p>
    <w:p w14:paraId="20B8FB5C">
      <w:pPr>
        <w:pStyle w:val="73"/>
        <w:widowControl w:val="0"/>
        <w:wordWrap w:val="0"/>
        <w:adjustRightInd w:val="0"/>
        <w:snapToGrid w:val="0"/>
        <w:rPr>
          <w:rFonts w:ascii="Times New Roman"/>
          <w:b/>
          <w:snapToGrid w:val="0"/>
          <w:color w:val="auto"/>
          <w:highlight w:val="none"/>
        </w:rPr>
        <w:sectPr>
          <w:endnotePr>
            <w:numFmt w:val="decimal"/>
          </w:endnotePr>
          <w:pgSz w:w="11906" w:h="16838"/>
          <w:pgMar w:top="1417" w:right="1417" w:bottom="1417" w:left="1417" w:header="850" w:footer="992" w:gutter="0"/>
          <w:cols w:space="0" w:num="1"/>
          <w:docGrid w:linePitch="327" w:charSpace="0"/>
        </w:sectPr>
      </w:pPr>
    </w:p>
    <w:p w14:paraId="15A266C5">
      <w:pPr>
        <w:pStyle w:val="3"/>
        <w:wordWrap w:val="0"/>
        <w:autoSpaceDE/>
        <w:autoSpaceDN/>
        <w:snapToGrid w:val="0"/>
        <w:spacing w:line="440" w:lineRule="exact"/>
        <w:rPr>
          <w:rFonts w:ascii="Times New Roman"/>
          <w:b/>
          <w:snapToGrid w:val="0"/>
          <w:color w:val="auto"/>
          <w:highlight w:val="none"/>
        </w:rPr>
      </w:pPr>
      <w:bookmarkStart w:id="303" w:name="_Toc29964"/>
      <w:bookmarkStart w:id="304" w:name="_Toc21838"/>
      <w:bookmarkStart w:id="305" w:name="_Toc104711098"/>
      <w:bookmarkStart w:id="306" w:name="_Toc106418843"/>
      <w:r>
        <w:rPr>
          <w:rFonts w:hint="eastAsia" w:ascii="Times New Roman"/>
          <w:b/>
          <w:snapToGrid w:val="0"/>
          <w:color w:val="auto"/>
          <w:highlight w:val="none"/>
        </w:rPr>
        <w:t>格式</w:t>
      </w:r>
      <w:bookmarkStart w:id="307" w:name="_Hlt97526007"/>
      <w:bookmarkEnd w:id="307"/>
      <w:r>
        <w:rPr>
          <w:rFonts w:hint="eastAsia" w:ascii="Times New Roman"/>
          <w:b/>
          <w:snapToGrid w:val="0"/>
          <w:color w:val="auto"/>
          <w:highlight w:val="none"/>
        </w:rPr>
        <w:t>二 投标函</w:t>
      </w:r>
      <w:bookmarkEnd w:id="303"/>
      <w:bookmarkEnd w:id="304"/>
    </w:p>
    <w:p w14:paraId="47DFBF08">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投</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标</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函</w:t>
      </w:r>
      <w:bookmarkEnd w:id="305"/>
      <w:bookmarkEnd w:id="306"/>
    </w:p>
    <w:p w14:paraId="7699421D">
      <w:pPr>
        <w:wordWrap w:val="0"/>
        <w:adjustRightInd w:val="0"/>
        <w:snapToGrid w:val="0"/>
        <w:spacing w:line="440" w:lineRule="exact"/>
        <w:jc w:val="center"/>
        <w:rPr>
          <w:rFonts w:ascii="Times New Roman"/>
          <w:b/>
          <w:snapToGrid w:val="0"/>
          <w:color w:val="auto"/>
          <w:kern w:val="0"/>
          <w:highlight w:val="none"/>
        </w:rPr>
      </w:pPr>
    </w:p>
    <w:p w14:paraId="6A37BA44">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72F2551D">
      <w:pPr>
        <w:wordWrap w:val="0"/>
        <w:adjustRightInd w:val="0"/>
        <w:snapToGrid w:val="0"/>
        <w:spacing w:line="500" w:lineRule="exact"/>
        <w:ind w:firstLine="570"/>
        <w:rPr>
          <w:rFonts w:hAnsi="宋体" w:cs="宋体"/>
          <w:snapToGrid w:val="0"/>
          <w:color w:val="auto"/>
          <w:kern w:val="0"/>
          <w:highlight w:val="none"/>
          <w:u w:val="single"/>
        </w:rPr>
      </w:pPr>
      <w:r>
        <w:rPr>
          <w:rFonts w:hint="eastAsia" w:hAnsi="宋体" w:cs="宋体"/>
          <w:snapToGrid w:val="0"/>
          <w:color w:val="auto"/>
          <w:kern w:val="0"/>
          <w:highlight w:val="none"/>
        </w:rPr>
        <w:t xml:space="preserve">1. </w:t>
      </w:r>
      <w:r>
        <w:rPr>
          <w:rFonts w:hint="eastAsia" w:hAnsi="宋体" w:cs="宋体"/>
          <w:snapToGrid w:val="0"/>
          <w:color w:val="auto"/>
          <w:kern w:val="0"/>
          <w:szCs w:val="22"/>
          <w:highlight w:val="none"/>
        </w:rPr>
        <w:t>我方在仔细研究</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 xml:space="preserve">（小写）：（¥ </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）的投标总价（其中，增值税税率为</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）竞投本项目监理及相关服务</w:t>
      </w:r>
      <w:r>
        <w:rPr>
          <w:rFonts w:hint="eastAsia" w:hAnsi="宋体" w:cs="宋体"/>
          <w:snapToGrid w:val="0"/>
          <w:color w:val="auto"/>
          <w:kern w:val="0"/>
          <w:szCs w:val="22"/>
          <w:highlight w:val="none"/>
          <w:lang w:eastAsia="zh-CN"/>
        </w:rPr>
        <w:t>，投标取费费率为</w:t>
      </w:r>
      <w:r>
        <w:rPr>
          <w:rFonts w:hint="eastAsia" w:hAnsi="宋体" w:cs="宋体"/>
          <w:snapToGrid w:val="0"/>
          <w:color w:val="auto"/>
          <w:kern w:val="0"/>
          <w:szCs w:val="22"/>
          <w:highlight w:val="none"/>
          <w:u w:val="single"/>
          <w:lang w:eastAsia="zh-CN"/>
        </w:rPr>
        <w:t xml:space="preserve">     </w:t>
      </w:r>
      <w:r>
        <w:rPr>
          <w:rFonts w:hint="eastAsia" w:hAnsi="宋体" w:cs="宋体"/>
          <w:snapToGrid w:val="0"/>
          <w:color w:val="auto"/>
          <w:kern w:val="0"/>
          <w:szCs w:val="22"/>
          <w:highlight w:val="none"/>
          <w:lang w:eastAsia="zh-CN"/>
        </w:rPr>
        <w:t>%</w:t>
      </w:r>
      <w:r>
        <w:rPr>
          <w:rFonts w:hint="eastAsia" w:hAnsi="宋体" w:cs="宋体"/>
          <w:snapToGrid w:val="0"/>
          <w:color w:val="auto"/>
          <w:kern w:val="0"/>
          <w:szCs w:val="22"/>
          <w:highlight w:val="none"/>
        </w:rPr>
        <w:t>。</w:t>
      </w:r>
    </w:p>
    <w:p w14:paraId="00F3B9EA">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2. 如果我方中标，我方保证按照委托人发出的开始监理通知中写明的日期开始本项目的</w:t>
      </w:r>
      <w:r>
        <w:rPr>
          <w:rFonts w:hint="eastAsia" w:hAnsi="宋体" w:cs="宋体"/>
          <w:snapToGrid w:val="0"/>
          <w:color w:val="auto"/>
          <w:kern w:val="0"/>
          <w:highlight w:val="none"/>
          <w:u w:val="single"/>
        </w:rPr>
        <w:t xml:space="preserve"> 监理及相关服务 </w:t>
      </w:r>
      <w:r>
        <w:rPr>
          <w:rFonts w:hint="eastAsia" w:hAnsi="宋体" w:cs="宋体"/>
          <w:snapToGrid w:val="0"/>
          <w:color w:val="auto"/>
          <w:kern w:val="0"/>
          <w:highlight w:val="none"/>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4．我方在此声明，我方不存在本项目招标文件第一章第三节第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highlight w:val="none"/>
        </w:rPr>
      </w:pPr>
      <w:bookmarkStart w:id="308" w:name="_Hlt68771070"/>
      <w:bookmarkEnd w:id="308"/>
      <w:r>
        <w:rPr>
          <w:rFonts w:hint="eastAsia" w:hAnsi="宋体" w:cs="宋体"/>
          <w:snapToGrid w:val="0"/>
          <w:color w:val="auto"/>
          <w:kern w:val="0"/>
          <w:highlight w:val="none"/>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 xml:space="preserve">  </w:t>
      </w:r>
    </w:p>
    <w:p w14:paraId="428C057D">
      <w:pPr>
        <w:wordWrap w:val="0"/>
        <w:adjustRightInd w:val="0"/>
        <w:snapToGrid w:val="0"/>
        <w:spacing w:line="440" w:lineRule="exact"/>
        <w:rPr>
          <w:rFonts w:ascii="Times New Roman"/>
          <w:snapToGrid w:val="0"/>
          <w:color w:val="auto"/>
          <w:kern w:val="0"/>
          <w:highlight w:val="none"/>
        </w:rPr>
      </w:pPr>
    </w:p>
    <w:p w14:paraId="276EABA1">
      <w:pPr>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4CA7B314">
      <w:pPr>
        <w:wordWrap w:val="0"/>
        <w:adjustRightInd w:val="0"/>
        <w:snapToGrid w:val="0"/>
        <w:spacing w:line="440" w:lineRule="exact"/>
        <w:jc w:val="right"/>
        <w:rPr>
          <w:rFonts w:ascii="Times New Roman"/>
          <w:snapToGrid w:val="0"/>
          <w:color w:val="auto"/>
          <w:kern w:val="0"/>
          <w:highlight w:val="none"/>
        </w:rPr>
      </w:pPr>
    </w:p>
    <w:p w14:paraId="387ED88C">
      <w:pPr>
        <w:wordWrap w:val="0"/>
        <w:adjustRightInd w:val="0"/>
        <w:snapToGrid w:val="0"/>
        <w:spacing w:line="440" w:lineRule="exact"/>
        <w:ind w:firstLine="480" w:firstLineChars="200"/>
        <w:jc w:val="right"/>
        <w:rPr>
          <w:rFonts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highlight w:val="none"/>
        </w:rPr>
      </w:pPr>
    </w:p>
    <w:p w14:paraId="28DC9D94">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25B8347D">
      <w:pPr>
        <w:pStyle w:val="73"/>
        <w:widowControl w:val="0"/>
        <w:wordWrap w:val="0"/>
        <w:adjustRightInd w:val="0"/>
        <w:snapToGrid w:val="0"/>
        <w:spacing w:line="400" w:lineRule="exact"/>
        <w:ind w:firstLine="0"/>
        <w:outlineLvl w:val="1"/>
        <w:rPr>
          <w:rFonts w:hAnsi="宋体" w:cs="宋体"/>
          <w:b/>
          <w:snapToGrid w:val="0"/>
          <w:color w:val="auto"/>
          <w:sz w:val="24"/>
          <w:highlight w:val="none"/>
        </w:rPr>
      </w:pPr>
      <w:bookmarkStart w:id="309" w:name="_Toc15452"/>
      <w:r>
        <w:rPr>
          <w:rFonts w:hint="eastAsia" w:hAnsi="宋体" w:cs="宋体"/>
          <w:b/>
          <w:snapToGrid w:val="0"/>
          <w:color w:val="auto"/>
          <w:sz w:val="24"/>
          <w:highlight w:val="none"/>
        </w:rPr>
        <w:t>格式三 各项承诺一览表</w:t>
      </w:r>
      <w:bookmarkEnd w:id="309"/>
    </w:p>
    <w:p w14:paraId="20B05016">
      <w:pPr>
        <w:pStyle w:val="72"/>
        <w:keepNext w:val="0"/>
        <w:keepLines w:val="0"/>
        <w:widowControl w:val="0"/>
        <w:wordWrap w:val="0"/>
        <w:adjustRightInd w:val="0"/>
        <w:snapToGrid w:val="0"/>
        <w:spacing w:before="260" w:after="260" w:line="440" w:lineRule="exact"/>
        <w:ind w:firstLine="0"/>
        <w:outlineLvl w:val="9"/>
        <w:rPr>
          <w:rFonts w:hAnsi="宋体" w:cs="宋体"/>
          <w:b/>
          <w:snapToGrid w:val="0"/>
          <w:color w:val="auto"/>
          <w:highlight w:val="none"/>
        </w:rPr>
      </w:pPr>
      <w:bookmarkStart w:id="310" w:name="_Toc7685"/>
      <w:bookmarkStart w:id="311" w:name="_Toc18253"/>
      <w:bookmarkStart w:id="312" w:name="_Toc24548"/>
      <w:bookmarkStart w:id="313" w:name="_Toc27092"/>
      <w:bookmarkStart w:id="314" w:name="_Toc11270"/>
      <w:r>
        <w:rPr>
          <w:rFonts w:hint="eastAsia" w:hAnsi="宋体" w:cs="宋体"/>
          <w:b/>
          <w:snapToGrid w:val="0"/>
          <w:color w:val="auto"/>
          <w:sz w:val="30"/>
          <w:highlight w:val="none"/>
        </w:rPr>
        <w:t>各项承诺一览表</w:t>
      </w:r>
      <w:bookmarkEnd w:id="310"/>
      <w:bookmarkEnd w:id="311"/>
      <w:bookmarkEnd w:id="312"/>
      <w:bookmarkEnd w:id="313"/>
      <w:bookmarkEnd w:id="314"/>
    </w:p>
    <w:tbl>
      <w:tblPr>
        <w:tblStyle w:val="31"/>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716" w:type="dxa"/>
            <w:tcBorders>
              <w:tl2br w:val="nil"/>
              <w:tr2bl w:val="nil"/>
            </w:tcBorders>
            <w:vAlign w:val="center"/>
          </w:tcPr>
          <w:p w14:paraId="4B001337">
            <w:pPr>
              <w:pStyle w:val="74"/>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序号</w:t>
            </w:r>
          </w:p>
        </w:tc>
        <w:tc>
          <w:tcPr>
            <w:tcW w:w="1573" w:type="dxa"/>
            <w:tcBorders>
              <w:tl2br w:val="nil"/>
              <w:tr2bl w:val="nil"/>
            </w:tcBorders>
            <w:vAlign w:val="center"/>
          </w:tcPr>
          <w:p w14:paraId="0DD645C3">
            <w:pPr>
              <w:pStyle w:val="74"/>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承诺事项</w:t>
            </w:r>
          </w:p>
        </w:tc>
        <w:tc>
          <w:tcPr>
            <w:tcW w:w="2923" w:type="dxa"/>
            <w:tcBorders>
              <w:tl2br w:val="nil"/>
              <w:tr2bl w:val="nil"/>
            </w:tcBorders>
            <w:vAlign w:val="center"/>
          </w:tcPr>
          <w:p w14:paraId="286917BA">
            <w:pPr>
              <w:pStyle w:val="74"/>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承诺内容</w:t>
            </w:r>
          </w:p>
        </w:tc>
        <w:tc>
          <w:tcPr>
            <w:tcW w:w="4019" w:type="dxa"/>
            <w:tcBorders>
              <w:tl2br w:val="nil"/>
              <w:tr2bl w:val="nil"/>
            </w:tcBorders>
            <w:vAlign w:val="center"/>
          </w:tcPr>
          <w:p w14:paraId="5A051E55">
            <w:pPr>
              <w:pStyle w:val="74"/>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573" w:type="dxa"/>
            <w:tcBorders>
              <w:tl2br w:val="nil"/>
              <w:tr2bl w:val="nil"/>
            </w:tcBorders>
            <w:vAlign w:val="center"/>
          </w:tcPr>
          <w:p w14:paraId="746B30D1">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自愿接受招标</w:t>
            </w:r>
          </w:p>
          <w:p w14:paraId="71ED28BC">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文件条款的承诺</w:t>
            </w:r>
          </w:p>
        </w:tc>
        <w:tc>
          <w:tcPr>
            <w:tcW w:w="2923" w:type="dxa"/>
            <w:tcBorders>
              <w:tl2br w:val="nil"/>
              <w:tr2bl w:val="nil"/>
            </w:tcBorders>
            <w:vAlign w:val="center"/>
          </w:tcPr>
          <w:p w14:paraId="2D307866">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573" w:type="dxa"/>
            <w:tcBorders>
              <w:tl2br w:val="nil"/>
              <w:tr2bl w:val="nil"/>
            </w:tcBorders>
            <w:vAlign w:val="center"/>
          </w:tcPr>
          <w:p w14:paraId="4E13328C">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无禁止投标</w:t>
            </w:r>
          </w:p>
          <w:p w14:paraId="2E04458C">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情形的承诺</w:t>
            </w:r>
          </w:p>
        </w:tc>
        <w:tc>
          <w:tcPr>
            <w:tcW w:w="2923" w:type="dxa"/>
            <w:tcBorders>
              <w:tl2br w:val="nil"/>
              <w:tr2bl w:val="nil"/>
            </w:tcBorders>
            <w:vAlign w:val="center"/>
          </w:tcPr>
          <w:p w14:paraId="6A2783C9">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我方不存在招标文件第一章第三节第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w:t>
            </w:r>
          </w:p>
        </w:tc>
        <w:tc>
          <w:tcPr>
            <w:tcW w:w="4019" w:type="dxa"/>
            <w:tcBorders>
              <w:tl2br w:val="nil"/>
              <w:tr2bl w:val="nil"/>
            </w:tcBorders>
            <w:vAlign w:val="center"/>
          </w:tcPr>
          <w:p w14:paraId="60B01B1E">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如果我方有招标文件第一章第三节第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573" w:type="dxa"/>
            <w:tcBorders>
              <w:tl2br w:val="nil"/>
              <w:tr2bl w:val="nil"/>
            </w:tcBorders>
            <w:vAlign w:val="center"/>
          </w:tcPr>
          <w:p w14:paraId="7327796A">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自觉抵制围标</w:t>
            </w:r>
          </w:p>
          <w:p w14:paraId="6537DAA0">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串标和弄虚</w:t>
            </w:r>
          </w:p>
          <w:p w14:paraId="3A865B06">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作假行为的承诺</w:t>
            </w:r>
          </w:p>
        </w:tc>
        <w:tc>
          <w:tcPr>
            <w:tcW w:w="2923" w:type="dxa"/>
            <w:tcBorders>
              <w:tl2br w:val="nil"/>
              <w:tr2bl w:val="nil"/>
            </w:tcBorders>
            <w:vAlign w:val="center"/>
          </w:tcPr>
          <w:p w14:paraId="1074D0F2">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4</w:t>
            </w:r>
          </w:p>
        </w:tc>
        <w:tc>
          <w:tcPr>
            <w:tcW w:w="1573" w:type="dxa"/>
            <w:tcBorders>
              <w:tl2br w:val="nil"/>
              <w:tr2bl w:val="nil"/>
            </w:tcBorders>
            <w:vAlign w:val="center"/>
          </w:tcPr>
          <w:p w14:paraId="754EDB94">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总监理工程师</w:t>
            </w:r>
          </w:p>
          <w:p w14:paraId="4D5B47CB">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任职承诺</w:t>
            </w:r>
          </w:p>
        </w:tc>
        <w:tc>
          <w:tcPr>
            <w:tcW w:w="2923" w:type="dxa"/>
            <w:tcBorders>
              <w:tl2br w:val="nil"/>
              <w:tr2bl w:val="nil"/>
            </w:tcBorders>
            <w:vAlign w:val="center"/>
          </w:tcPr>
          <w:p w14:paraId="0015B20B">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5</w:t>
            </w:r>
          </w:p>
        </w:tc>
        <w:tc>
          <w:tcPr>
            <w:tcW w:w="1573" w:type="dxa"/>
            <w:tcBorders>
              <w:tl2br w:val="nil"/>
              <w:tr2bl w:val="nil"/>
            </w:tcBorders>
            <w:vAlign w:val="center"/>
          </w:tcPr>
          <w:p w14:paraId="003F6C1C">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56563611">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真实性承诺</w:t>
            </w:r>
          </w:p>
        </w:tc>
        <w:tc>
          <w:tcPr>
            <w:tcW w:w="2923" w:type="dxa"/>
            <w:tcBorders>
              <w:tl2br w:val="nil"/>
              <w:tr2bl w:val="nil"/>
            </w:tcBorders>
            <w:vAlign w:val="center"/>
          </w:tcPr>
          <w:p w14:paraId="3AAF78A2">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我方所递交投标文件的全部内容均为真实、有效、准确的。</w:t>
            </w:r>
          </w:p>
        </w:tc>
        <w:tc>
          <w:tcPr>
            <w:tcW w:w="4019" w:type="dxa"/>
            <w:tcBorders>
              <w:tl2br w:val="nil"/>
              <w:tr2bl w:val="nil"/>
            </w:tcBorders>
            <w:vAlign w:val="center"/>
          </w:tcPr>
          <w:p w14:paraId="537798B9">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6</w:t>
            </w:r>
          </w:p>
        </w:tc>
        <w:tc>
          <w:tcPr>
            <w:tcW w:w="1573" w:type="dxa"/>
            <w:tcBorders>
              <w:tl2br w:val="nil"/>
              <w:tr2bl w:val="nil"/>
            </w:tcBorders>
            <w:vAlign w:val="center"/>
          </w:tcPr>
          <w:p w14:paraId="4626B0C9">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3294E70E">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信息公开承诺</w:t>
            </w:r>
          </w:p>
        </w:tc>
        <w:tc>
          <w:tcPr>
            <w:tcW w:w="2923" w:type="dxa"/>
            <w:tcBorders>
              <w:tl2br w:val="nil"/>
              <w:tr2bl w:val="nil"/>
            </w:tcBorders>
            <w:vAlign w:val="center"/>
          </w:tcPr>
          <w:p w14:paraId="0BD5A69B">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val="en-US" w:eastAsia="zh-CN"/>
              </w:rPr>
              <w:t>7</w:t>
            </w:r>
          </w:p>
        </w:tc>
        <w:tc>
          <w:tcPr>
            <w:tcW w:w="1573" w:type="dxa"/>
            <w:tcBorders>
              <w:tl2br w:val="nil"/>
              <w:tr2bl w:val="nil"/>
            </w:tcBorders>
            <w:vAlign w:val="center"/>
          </w:tcPr>
          <w:p w14:paraId="7E0FB442">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按时签订合同</w:t>
            </w:r>
          </w:p>
          <w:p w14:paraId="3DA87571">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的承诺</w:t>
            </w:r>
          </w:p>
        </w:tc>
        <w:tc>
          <w:tcPr>
            <w:tcW w:w="2923" w:type="dxa"/>
            <w:tcBorders>
              <w:tl2br w:val="nil"/>
              <w:tr2bl w:val="nil"/>
            </w:tcBorders>
            <w:vAlign w:val="center"/>
          </w:tcPr>
          <w:p w14:paraId="108034DD">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4"/>
        <w:wordWrap w:val="0"/>
        <w:adjustRightInd w:val="0"/>
        <w:snapToGrid w:val="0"/>
        <w:spacing w:line="420" w:lineRule="exact"/>
        <w:jc w:val="left"/>
        <w:rPr>
          <w:rFonts w:hAnsi="宋体" w:cs="宋体"/>
          <w:snapToGrid w:val="0"/>
          <w:color w:val="auto"/>
          <w:kern w:val="0"/>
          <w:highlight w:val="none"/>
        </w:rPr>
      </w:pPr>
    </w:p>
    <w:p w14:paraId="4B6FF6DB">
      <w:pPr>
        <w:pStyle w:val="74"/>
        <w:wordWrap w:val="0"/>
        <w:adjustRightInd w:val="0"/>
        <w:snapToGrid w:val="0"/>
        <w:spacing w:line="420" w:lineRule="exact"/>
        <w:jc w:val="left"/>
        <w:rPr>
          <w:rFonts w:hAnsi="宋体" w:cs="宋体"/>
          <w:snapToGrid w:val="0"/>
          <w:color w:val="auto"/>
          <w:kern w:val="0"/>
          <w:highlight w:val="none"/>
        </w:rPr>
      </w:pPr>
    </w:p>
    <w:p w14:paraId="148553C2">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投标人：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（盖单位章）</w:t>
      </w:r>
    </w:p>
    <w:p w14:paraId="28CA7502">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BE8168B">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172B28D">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法定代表人或其委托代理人：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（签字或盖章）</w:t>
      </w:r>
    </w:p>
    <w:p w14:paraId="40FD3ED2">
      <w:pPr>
        <w:pStyle w:val="17"/>
        <w:wordWrap w:val="0"/>
        <w:adjustRightInd w:val="0"/>
        <w:snapToGrid w:val="0"/>
        <w:spacing w:line="420" w:lineRule="exact"/>
        <w:ind w:firstLine="480" w:firstLineChars="200"/>
        <w:rPr>
          <w:rFonts w:hAnsi="宋体" w:cs="宋体"/>
          <w:snapToGrid w:val="0"/>
          <w:color w:val="auto"/>
          <w:kern w:val="0"/>
          <w:szCs w:val="24"/>
          <w:highlight w:val="none"/>
        </w:rPr>
      </w:pPr>
    </w:p>
    <w:p w14:paraId="498998F1">
      <w:pPr>
        <w:pStyle w:val="17"/>
        <w:wordWrap w:val="0"/>
        <w:adjustRightInd w:val="0"/>
        <w:snapToGrid w:val="0"/>
        <w:spacing w:line="420" w:lineRule="exact"/>
        <w:ind w:firstLine="480" w:firstLineChars="200"/>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日</w:t>
      </w:r>
    </w:p>
    <w:p w14:paraId="3E8D0F6D">
      <w:pPr>
        <w:wordWrap w:val="0"/>
        <w:adjustRightInd w:val="0"/>
        <w:snapToGrid w:val="0"/>
        <w:spacing w:line="420" w:lineRule="exact"/>
        <w:jc w:val="left"/>
        <w:rPr>
          <w:rFonts w:hAnsi="宋体" w:cs="宋体"/>
          <w:b/>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highlight w:val="none"/>
        </w:rPr>
      </w:pPr>
      <w:bookmarkStart w:id="315" w:name="_Toc11266"/>
      <w:r>
        <w:rPr>
          <w:rFonts w:hint="eastAsia" w:hAnsi="宋体" w:cs="宋体"/>
          <w:b/>
          <w:bCs/>
          <w:snapToGrid w:val="0"/>
          <w:color w:val="auto"/>
          <w:kern w:val="0"/>
          <w:szCs w:val="24"/>
          <w:highlight w:val="none"/>
        </w:rPr>
        <w:t>格式四 授权委托书</w:t>
      </w:r>
      <w:bookmarkEnd w:id="315"/>
    </w:p>
    <w:p w14:paraId="759A7BEF">
      <w:pPr>
        <w:wordWrap w:val="0"/>
        <w:adjustRightInd w:val="0"/>
        <w:snapToGrid w:val="0"/>
        <w:spacing w:line="440" w:lineRule="exact"/>
        <w:rPr>
          <w:rFonts w:hAnsi="宋体" w:cs="宋体"/>
          <w:b/>
          <w:bCs/>
          <w:snapToGrid w:val="0"/>
          <w:color w:val="auto"/>
          <w:kern w:val="0"/>
          <w:szCs w:val="24"/>
          <w:highlight w:val="none"/>
        </w:rPr>
      </w:pPr>
    </w:p>
    <w:p w14:paraId="1D02247C">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授权委托书</w:t>
      </w:r>
    </w:p>
    <w:p w14:paraId="2077EBE8">
      <w:pPr>
        <w:wordWrap w:val="0"/>
        <w:adjustRightInd w:val="0"/>
        <w:snapToGrid w:val="0"/>
        <w:spacing w:line="440" w:lineRule="exact"/>
        <w:rPr>
          <w:rFonts w:hAnsi="宋体" w:cs="宋体"/>
          <w:snapToGrid w:val="0"/>
          <w:color w:val="auto"/>
          <w:kern w:val="0"/>
          <w:szCs w:val="28"/>
          <w:highlight w:val="none"/>
        </w:rPr>
      </w:pPr>
    </w:p>
    <w:p w14:paraId="30754A5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本人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（投标人名称）的法定代表人，现委托</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（姓名）为我方代理人。代理人根据授权，以我方名义签署、澄清、说明、补正、递交、撤回、修改</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委托期限：至</w:t>
      </w:r>
      <w:r>
        <w:rPr>
          <w:rFonts w:hint="eastAsia" w:hAnsi="宋体" w:cs="宋体"/>
          <w:snapToGrid w:val="0"/>
          <w:color w:val="auto"/>
          <w:kern w:val="0"/>
          <w:szCs w:val="21"/>
          <w:highlight w:val="none"/>
          <w:u w:val="single"/>
        </w:rPr>
        <w:t xml:space="preserve">     年   月   日</w:t>
      </w:r>
      <w:r>
        <w:rPr>
          <w:rFonts w:hint="eastAsia" w:hAnsi="宋体" w:cs="宋体"/>
          <w:i/>
          <w:iCs/>
          <w:snapToGrid w:val="0"/>
          <w:color w:val="auto"/>
          <w:kern w:val="0"/>
          <w:szCs w:val="21"/>
          <w:highlight w:val="none"/>
          <w:u w:val="single"/>
        </w:rPr>
        <w:t>（不得短于招标文件规定的投标有效期）</w:t>
      </w:r>
      <w:r>
        <w:rPr>
          <w:rFonts w:hint="eastAsia" w:hAnsi="宋体" w:cs="宋体"/>
          <w:snapToGrid w:val="0"/>
          <w:color w:val="auto"/>
          <w:kern w:val="0"/>
          <w:szCs w:val="21"/>
          <w:highlight w:val="none"/>
        </w:rPr>
        <w:t xml:space="preserve"> 。</w:t>
      </w:r>
    </w:p>
    <w:p w14:paraId="58D1757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highlight w:val="none"/>
        </w:rPr>
      </w:pPr>
    </w:p>
    <w:p w14:paraId="2168011B">
      <w:pPr>
        <w:wordWrap w:val="0"/>
        <w:adjustRightInd w:val="0"/>
        <w:snapToGrid w:val="0"/>
        <w:spacing w:line="440" w:lineRule="exact"/>
        <w:ind w:firstLine="480" w:firstLineChars="200"/>
        <w:rPr>
          <w:rFonts w:hAnsi="宋体" w:cs="宋体"/>
          <w:snapToGrid w:val="0"/>
          <w:color w:val="auto"/>
          <w:kern w:val="0"/>
          <w:szCs w:val="21"/>
          <w:highlight w:val="none"/>
        </w:rPr>
      </w:pPr>
    </w:p>
    <w:p w14:paraId="5D117B02">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投  标  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657F48EA">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5A982326">
      <w:pPr>
        <w:wordWrap w:val="0"/>
        <w:adjustRightInd w:val="0"/>
        <w:snapToGrid w:val="0"/>
        <w:spacing w:line="440" w:lineRule="exact"/>
        <w:ind w:firstLine="480" w:firstLineChars="200"/>
        <w:rPr>
          <w:rFonts w:hAnsi="宋体" w:cs="宋体"/>
          <w:snapToGrid w:val="0"/>
          <w:color w:val="auto"/>
          <w:kern w:val="0"/>
          <w:szCs w:val="21"/>
          <w:highlight w:val="none"/>
        </w:rPr>
      </w:pPr>
    </w:p>
    <w:p w14:paraId="47DE65D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highlight w:val="none"/>
        </w:rPr>
      </w:pPr>
    </w:p>
    <w:p w14:paraId="636F605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委托代理人：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07FCA71E">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日</w:t>
      </w:r>
    </w:p>
    <w:p w14:paraId="764F8561">
      <w:pPr>
        <w:wordWrap w:val="0"/>
        <w:adjustRightInd w:val="0"/>
        <w:snapToGrid w:val="0"/>
        <w:spacing w:line="440" w:lineRule="exact"/>
        <w:ind w:firstLine="480" w:firstLineChars="200"/>
        <w:rPr>
          <w:rFonts w:hAnsi="宋体" w:cs="宋体"/>
          <w:snapToGrid w:val="0"/>
          <w:color w:val="auto"/>
          <w:kern w:val="0"/>
          <w:szCs w:val="21"/>
          <w:highlight w:val="none"/>
        </w:rPr>
      </w:pPr>
    </w:p>
    <w:p w14:paraId="79AD2214">
      <w:pPr>
        <w:wordWrap w:val="0"/>
        <w:adjustRightInd w:val="0"/>
        <w:snapToGrid w:val="0"/>
        <w:spacing w:line="440" w:lineRule="exact"/>
        <w:ind w:firstLine="480" w:firstLineChars="200"/>
        <w:rPr>
          <w:rFonts w:hAnsi="宋体" w:cs="宋体"/>
          <w:snapToGrid w:val="0"/>
          <w:color w:val="auto"/>
          <w:kern w:val="0"/>
          <w:szCs w:val="21"/>
          <w:highlight w:val="none"/>
        </w:rPr>
      </w:pPr>
    </w:p>
    <w:p w14:paraId="523F244E">
      <w:pPr>
        <w:wordWrap w:val="0"/>
        <w:adjustRightInd w:val="0"/>
        <w:snapToGrid w:val="0"/>
        <w:ind w:firstLine="6440" w:firstLineChars="2300"/>
        <w:rPr>
          <w:rFonts w:hAnsi="宋体" w:cs="宋体"/>
          <w:snapToGrid w:val="0"/>
          <w:color w:val="auto"/>
          <w:kern w:val="0"/>
          <w:szCs w:val="24"/>
          <w:highlight w:val="none"/>
        </w:rPr>
      </w:pPr>
      <w:r>
        <w:rPr>
          <w:rFonts w:hint="eastAsia" w:hAnsi="宋体" w:cs="宋体"/>
          <w:snapToGrid w:val="0"/>
          <w:color w:val="auto"/>
          <w:kern w:val="0"/>
          <w:sz w:val="28"/>
          <w:szCs w:val="28"/>
          <w:highlight w:val="none"/>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0"/>
        <w:wordWrap w:val="0"/>
        <w:adjustRightInd w:val="0"/>
        <w:snapToGrid w:val="0"/>
        <w:rPr>
          <w:rFonts w:hAnsi="宋体" w:cs="宋体"/>
          <w:snapToGrid w:val="0"/>
          <w:color w:val="auto"/>
          <w:kern w:val="0"/>
          <w:szCs w:val="24"/>
          <w:highlight w:val="none"/>
        </w:rPr>
      </w:pPr>
    </w:p>
    <w:p w14:paraId="3DEB4B42">
      <w:pPr>
        <w:bidi w:val="0"/>
        <w:rPr>
          <w:color w:val="auto"/>
          <w:highlight w:val="none"/>
        </w:rPr>
      </w:pPr>
    </w:p>
    <w:p w14:paraId="4EE63B06">
      <w:pPr>
        <w:wordWrap w:val="0"/>
        <w:adjustRightInd w:val="0"/>
        <w:snapToGrid w:val="0"/>
        <w:rPr>
          <w:rFonts w:hAnsi="宋体" w:cs="宋体"/>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highlight w:val="none"/>
        </w:rPr>
      </w:pPr>
      <w:bookmarkStart w:id="316" w:name="_Toc25663"/>
      <w:r>
        <w:rPr>
          <w:rFonts w:hint="eastAsia" w:hAnsi="宋体" w:cs="宋体"/>
          <w:b/>
          <w:snapToGrid w:val="0"/>
          <w:color w:val="auto"/>
          <w:kern w:val="0"/>
          <w:highlight w:val="none"/>
        </w:rPr>
        <w:t>格式五 法定代表人身份证明</w:t>
      </w:r>
      <w:bookmarkEnd w:id="316"/>
    </w:p>
    <w:p w14:paraId="6BB79DDB">
      <w:pPr>
        <w:wordWrap w:val="0"/>
        <w:adjustRightInd w:val="0"/>
        <w:snapToGrid w:val="0"/>
        <w:spacing w:line="440" w:lineRule="exact"/>
        <w:rPr>
          <w:rFonts w:hAnsi="宋体" w:cs="宋体"/>
          <w:b/>
          <w:snapToGrid w:val="0"/>
          <w:color w:val="auto"/>
          <w:kern w:val="0"/>
          <w:highlight w:val="none"/>
        </w:rPr>
      </w:pPr>
    </w:p>
    <w:p w14:paraId="16729C42">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法定代表人身份证明</w:t>
      </w:r>
    </w:p>
    <w:p w14:paraId="2FF4BF41">
      <w:pPr>
        <w:wordWrap w:val="0"/>
        <w:adjustRightInd w:val="0"/>
        <w:snapToGrid w:val="0"/>
        <w:spacing w:line="440" w:lineRule="exact"/>
        <w:rPr>
          <w:rFonts w:hAnsi="宋体" w:cs="宋体"/>
          <w:snapToGrid w:val="0"/>
          <w:color w:val="auto"/>
          <w:kern w:val="0"/>
          <w:szCs w:val="21"/>
          <w:highlight w:val="none"/>
        </w:rPr>
      </w:pPr>
    </w:p>
    <w:p w14:paraId="7DB8BCD1">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投标人名称：</w:t>
      </w:r>
      <w:r>
        <w:rPr>
          <w:rFonts w:hint="eastAsia" w:hAnsi="宋体" w:cs="宋体"/>
          <w:snapToGrid w:val="0"/>
          <w:color w:val="auto"/>
          <w:kern w:val="0"/>
          <w:szCs w:val="21"/>
          <w:highlight w:val="none"/>
          <w:u w:val="single"/>
        </w:rPr>
        <w:t xml:space="preserve">                  </w:t>
      </w:r>
    </w:p>
    <w:p w14:paraId="5F87A2BE">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姓名：</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性别：</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年龄：</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职务：</w:t>
      </w:r>
      <w:r>
        <w:rPr>
          <w:rFonts w:hint="eastAsia" w:hAnsi="宋体" w:cs="宋体"/>
          <w:snapToGrid w:val="0"/>
          <w:color w:val="auto"/>
          <w:kern w:val="0"/>
          <w:szCs w:val="21"/>
          <w:highlight w:val="none"/>
          <w:u w:val="single"/>
        </w:rPr>
        <w:t xml:space="preserve">           </w:t>
      </w:r>
    </w:p>
    <w:p w14:paraId="49E9994E">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w:t>
      </w:r>
    </w:p>
    <w:p w14:paraId="0EC840B0">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特此证明。</w:t>
      </w:r>
    </w:p>
    <w:p w14:paraId="6BD5A741">
      <w:pPr>
        <w:wordWrap w:val="0"/>
        <w:adjustRightInd w:val="0"/>
        <w:snapToGrid w:val="0"/>
        <w:spacing w:line="440" w:lineRule="exact"/>
        <w:rPr>
          <w:rFonts w:hAnsi="宋体" w:cs="宋体"/>
          <w:snapToGrid w:val="0"/>
          <w:color w:val="auto"/>
          <w:kern w:val="0"/>
          <w:szCs w:val="21"/>
          <w:highlight w:val="none"/>
        </w:rPr>
      </w:pPr>
    </w:p>
    <w:p w14:paraId="2E95E920">
      <w:pPr>
        <w:wordWrap w:val="0"/>
        <w:adjustRightInd w:val="0"/>
        <w:snapToGrid w:val="0"/>
        <w:spacing w:line="440" w:lineRule="exact"/>
        <w:rPr>
          <w:rFonts w:hAnsi="宋体" w:cs="宋体"/>
          <w:snapToGrid w:val="0"/>
          <w:color w:val="auto"/>
          <w:kern w:val="0"/>
          <w:szCs w:val="21"/>
          <w:highlight w:val="none"/>
        </w:rPr>
      </w:pPr>
    </w:p>
    <w:p w14:paraId="2BAF37F3">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投标人：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15931070">
      <w:pPr>
        <w:wordWrap w:val="0"/>
        <w:adjustRightInd w:val="0"/>
        <w:snapToGrid w:val="0"/>
        <w:spacing w:line="440" w:lineRule="exact"/>
        <w:jc w:val="right"/>
        <w:rPr>
          <w:rFonts w:hAnsi="宋体" w:cs="宋体"/>
          <w:snapToGrid w:val="0"/>
          <w:color w:val="auto"/>
          <w:kern w:val="0"/>
          <w:szCs w:val="21"/>
          <w:highlight w:val="none"/>
        </w:rPr>
      </w:pPr>
    </w:p>
    <w:p w14:paraId="4E9E006A">
      <w:pPr>
        <w:wordWrap w:val="0"/>
        <w:adjustRightInd w:val="0"/>
        <w:snapToGrid w:val="0"/>
        <w:spacing w:line="440" w:lineRule="exact"/>
        <w:jc w:val="right"/>
        <w:rPr>
          <w:rFonts w:hAnsi="宋体" w:cs="宋体"/>
          <w:snapToGrid w:val="0"/>
          <w:color w:val="auto"/>
          <w:kern w:val="0"/>
          <w:szCs w:val="21"/>
          <w:highlight w:val="none"/>
        </w:rPr>
      </w:pPr>
    </w:p>
    <w:p w14:paraId="6E1D2B4A">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7C11D6D8">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4649928B">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highlight w:val="none"/>
        </w:rPr>
      </w:pPr>
    </w:p>
    <w:p w14:paraId="658B356B">
      <w:pPr>
        <w:wordWrap w:val="0"/>
        <w:adjustRightInd w:val="0"/>
        <w:snapToGrid w:val="0"/>
        <w:spacing w:line="440" w:lineRule="exact"/>
        <w:ind w:firstLine="240" w:firstLineChars="100"/>
        <w:rPr>
          <w:rFonts w:hAnsi="宋体" w:cs="宋体"/>
          <w:snapToGrid w:val="0"/>
          <w:color w:val="auto"/>
          <w:kern w:val="0"/>
          <w:szCs w:val="21"/>
          <w:highlight w:val="none"/>
        </w:rPr>
      </w:pPr>
    </w:p>
    <w:p w14:paraId="5B344952">
      <w:pPr>
        <w:wordWrap w:val="0"/>
        <w:adjustRightInd w:val="0"/>
        <w:snapToGrid w:val="0"/>
        <w:spacing w:line="440" w:lineRule="exact"/>
        <w:ind w:firstLine="720" w:firstLineChars="300"/>
        <w:rPr>
          <w:rFonts w:hAnsi="宋体" w:cs="宋体"/>
          <w:b/>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i/>
          <w:iCs/>
          <w:snapToGrid w:val="0"/>
          <w:color w:val="auto"/>
          <w:kern w:val="0"/>
          <w:szCs w:val="21"/>
          <w:highlight w:val="none"/>
        </w:rPr>
        <w:t xml:space="preserve"> </w:t>
      </w:r>
    </w:p>
    <w:p w14:paraId="1F32B462">
      <w:pPr>
        <w:wordWrap w:val="0"/>
        <w:adjustRightInd w:val="0"/>
        <w:snapToGrid w:val="0"/>
        <w:rPr>
          <w:rFonts w:hAnsi="宋体" w:cs="宋体"/>
          <w:b/>
          <w:snapToGrid w:val="0"/>
          <w:color w:val="auto"/>
          <w:kern w:val="0"/>
          <w:szCs w:val="21"/>
          <w:highlight w:val="none"/>
        </w:rPr>
      </w:pPr>
      <w:r>
        <w:rPr>
          <w:rFonts w:hint="eastAsia" w:hAnsi="宋体" w:cs="宋体"/>
          <w:b/>
          <w:snapToGrid w:val="0"/>
          <w:color w:val="auto"/>
          <w:kern w:val="0"/>
          <w:szCs w:val="21"/>
          <w:highlight w:val="none"/>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highlight w:val="none"/>
        </w:rPr>
      </w:pPr>
    </w:p>
    <w:p w14:paraId="42859630">
      <w:pPr>
        <w:wordWrap w:val="0"/>
        <w:adjustRightInd w:val="0"/>
        <w:snapToGrid w:val="0"/>
        <w:spacing w:line="480" w:lineRule="exact"/>
        <w:jc w:val="center"/>
        <w:rPr>
          <w:rFonts w:hAnsi="宋体" w:cs="宋体"/>
          <w:b/>
          <w:snapToGrid w:val="0"/>
          <w:color w:val="auto"/>
          <w:kern w:val="0"/>
          <w:sz w:val="28"/>
          <w:szCs w:val="28"/>
          <w:highlight w:val="none"/>
        </w:rPr>
      </w:pPr>
    </w:p>
    <w:p w14:paraId="67FF2234">
      <w:pPr>
        <w:wordWrap w:val="0"/>
        <w:adjustRightInd w:val="0"/>
        <w:snapToGrid w:val="0"/>
        <w:spacing w:line="480" w:lineRule="exact"/>
        <w:jc w:val="center"/>
        <w:rPr>
          <w:rFonts w:hAnsi="宋体" w:cs="宋体"/>
          <w:b/>
          <w:snapToGrid w:val="0"/>
          <w:color w:val="auto"/>
          <w:kern w:val="0"/>
          <w:sz w:val="28"/>
          <w:szCs w:val="28"/>
          <w:highlight w:val="none"/>
        </w:rPr>
      </w:pPr>
    </w:p>
    <w:p w14:paraId="75D1150B">
      <w:pPr>
        <w:wordWrap w:val="0"/>
        <w:adjustRightInd w:val="0"/>
        <w:snapToGrid w:val="0"/>
        <w:spacing w:line="480" w:lineRule="exact"/>
        <w:jc w:val="center"/>
        <w:rPr>
          <w:rFonts w:hAnsi="宋体" w:cs="宋体"/>
          <w:b/>
          <w:snapToGrid w:val="0"/>
          <w:color w:val="auto"/>
          <w:kern w:val="0"/>
          <w:sz w:val="28"/>
          <w:szCs w:val="28"/>
          <w:highlight w:val="none"/>
        </w:rPr>
        <w:sectPr>
          <w:endnotePr>
            <w:numFmt w:val="decimal"/>
          </w:endnotePr>
          <w:pgSz w:w="11906" w:h="16838"/>
          <w:pgMar w:top="1417" w:right="1417" w:bottom="1417" w:left="1417" w:header="850" w:footer="992" w:gutter="0"/>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highlight w:val="none"/>
        </w:rPr>
      </w:pPr>
      <w:bookmarkStart w:id="317" w:name="_Toc24104"/>
      <w:r>
        <w:rPr>
          <w:rFonts w:hint="eastAsia" w:hAnsi="宋体" w:cs="宋体"/>
          <w:b/>
          <w:bCs/>
          <w:snapToGrid w:val="0"/>
          <w:color w:val="auto"/>
          <w:kern w:val="0"/>
          <w:szCs w:val="24"/>
          <w:highlight w:val="none"/>
        </w:rPr>
        <w:t>格式六 投标人基本情况表</w:t>
      </w:r>
      <w:bookmarkEnd w:id="317"/>
    </w:p>
    <w:p w14:paraId="3C45457B">
      <w:pPr>
        <w:pStyle w:val="73"/>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投标人基本情况表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020" w:type="dxa"/>
            <w:gridSpan w:val="8"/>
            <w:vAlign w:val="center"/>
          </w:tcPr>
          <w:p w14:paraId="29F5C9C3">
            <w:pPr>
              <w:pStyle w:val="137"/>
              <w:wordWrap w:val="0"/>
              <w:adjustRightInd w:val="0"/>
              <w:snapToGrid w:val="0"/>
              <w:jc w:val="center"/>
              <w:rPr>
                <w:rFonts w:ascii="宋体" w:hAnsi="宋体" w:cs="宋体"/>
                <w:snapToGrid w:val="0"/>
                <w:color w:val="auto"/>
                <w:kern w:val="0"/>
                <w:szCs w:val="21"/>
                <w:highlight w:val="none"/>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389" w:type="dxa"/>
            <w:gridSpan w:val="3"/>
            <w:vAlign w:val="center"/>
          </w:tcPr>
          <w:p w14:paraId="41522393">
            <w:pPr>
              <w:pStyle w:val="137"/>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0BEA5ED6">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385" w:type="dxa"/>
            <w:gridSpan w:val="3"/>
            <w:vAlign w:val="center"/>
          </w:tcPr>
          <w:p w14:paraId="515E2314">
            <w:pPr>
              <w:pStyle w:val="137"/>
              <w:wordWrap w:val="0"/>
              <w:adjustRightInd w:val="0"/>
              <w:snapToGrid w:val="0"/>
              <w:jc w:val="center"/>
              <w:rPr>
                <w:rFonts w:ascii="宋体" w:hAnsi="宋体" w:cs="宋体"/>
                <w:snapToGrid w:val="0"/>
                <w:color w:val="auto"/>
                <w:kern w:val="0"/>
                <w:szCs w:val="21"/>
                <w:highlight w:val="none"/>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897" w:type="dxa"/>
            <w:vAlign w:val="center"/>
          </w:tcPr>
          <w:p w14:paraId="75946708">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492" w:type="dxa"/>
            <w:gridSpan w:val="2"/>
            <w:vAlign w:val="center"/>
          </w:tcPr>
          <w:p w14:paraId="164B535F">
            <w:pPr>
              <w:pStyle w:val="137"/>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7B9898D">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385" w:type="dxa"/>
            <w:gridSpan w:val="3"/>
            <w:vAlign w:val="center"/>
          </w:tcPr>
          <w:p w14:paraId="137FBF1E">
            <w:pPr>
              <w:pStyle w:val="137"/>
              <w:wordWrap w:val="0"/>
              <w:adjustRightInd w:val="0"/>
              <w:snapToGrid w:val="0"/>
              <w:jc w:val="center"/>
              <w:rPr>
                <w:rFonts w:ascii="宋体" w:hAnsi="宋体" w:cs="宋体"/>
                <w:snapToGrid w:val="0"/>
                <w:color w:val="auto"/>
                <w:kern w:val="0"/>
                <w:szCs w:val="21"/>
                <w:highlight w:val="none"/>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7"/>
              <w:wordWrap w:val="0"/>
              <w:adjustRightInd w:val="0"/>
              <w:snapToGrid w:val="0"/>
              <w:jc w:val="center"/>
              <w:rPr>
                <w:rFonts w:ascii="宋体" w:hAnsi="宋体" w:cs="宋体"/>
                <w:snapToGrid w:val="0"/>
                <w:color w:val="auto"/>
                <w:kern w:val="0"/>
                <w:szCs w:val="21"/>
                <w:highlight w:val="none"/>
              </w:rPr>
            </w:pPr>
          </w:p>
        </w:tc>
        <w:tc>
          <w:tcPr>
            <w:tcW w:w="897" w:type="dxa"/>
            <w:vAlign w:val="center"/>
          </w:tcPr>
          <w:p w14:paraId="321DEB84">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492" w:type="dxa"/>
            <w:gridSpan w:val="2"/>
            <w:vAlign w:val="center"/>
          </w:tcPr>
          <w:p w14:paraId="4DCC7DF0">
            <w:pPr>
              <w:pStyle w:val="137"/>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0A861B3">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385" w:type="dxa"/>
            <w:gridSpan w:val="3"/>
            <w:vAlign w:val="center"/>
          </w:tcPr>
          <w:p w14:paraId="2B81EB7B">
            <w:pPr>
              <w:pStyle w:val="137"/>
              <w:wordWrap w:val="0"/>
              <w:adjustRightInd w:val="0"/>
              <w:snapToGrid w:val="0"/>
              <w:jc w:val="center"/>
              <w:rPr>
                <w:rFonts w:ascii="宋体" w:hAnsi="宋体" w:cs="宋体"/>
                <w:snapToGrid w:val="0"/>
                <w:color w:val="auto"/>
                <w:kern w:val="0"/>
                <w:szCs w:val="21"/>
                <w:highlight w:val="none"/>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897" w:type="dxa"/>
            <w:vAlign w:val="center"/>
          </w:tcPr>
          <w:p w14:paraId="7308E285">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01032AE9">
            <w:pPr>
              <w:pStyle w:val="137"/>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07229148">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7AD6FF43">
            <w:pPr>
              <w:pStyle w:val="137"/>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6E7CBB9E">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44831199">
            <w:pPr>
              <w:pStyle w:val="137"/>
              <w:wordWrap w:val="0"/>
              <w:adjustRightInd w:val="0"/>
              <w:snapToGrid w:val="0"/>
              <w:jc w:val="center"/>
              <w:rPr>
                <w:rFonts w:ascii="宋体" w:hAnsi="宋体" w:cs="宋体"/>
                <w:snapToGrid w:val="0"/>
                <w:color w:val="auto"/>
                <w:kern w:val="0"/>
                <w:szCs w:val="21"/>
                <w:highlight w:val="none"/>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技术负责人</w:t>
            </w:r>
          </w:p>
        </w:tc>
        <w:tc>
          <w:tcPr>
            <w:tcW w:w="897" w:type="dxa"/>
            <w:vAlign w:val="center"/>
          </w:tcPr>
          <w:p w14:paraId="2CF40332">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4F32A38E">
            <w:pPr>
              <w:pStyle w:val="137"/>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76373BE1">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414D5E8B">
            <w:pPr>
              <w:pStyle w:val="137"/>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25D85234">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300E4877">
            <w:pPr>
              <w:pStyle w:val="137"/>
              <w:wordWrap w:val="0"/>
              <w:adjustRightInd w:val="0"/>
              <w:snapToGrid w:val="0"/>
              <w:jc w:val="center"/>
              <w:rPr>
                <w:rFonts w:ascii="宋体" w:hAnsi="宋体" w:cs="宋体"/>
                <w:snapToGrid w:val="0"/>
                <w:color w:val="auto"/>
                <w:kern w:val="0"/>
                <w:szCs w:val="21"/>
                <w:highlight w:val="none"/>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成立日期</w:t>
            </w:r>
          </w:p>
        </w:tc>
        <w:tc>
          <w:tcPr>
            <w:tcW w:w="2586" w:type="dxa"/>
            <w:gridSpan w:val="2"/>
            <w:vAlign w:val="center"/>
          </w:tcPr>
          <w:p w14:paraId="31845C08">
            <w:pPr>
              <w:pStyle w:val="137"/>
              <w:wordWrap w:val="0"/>
              <w:adjustRightInd w:val="0"/>
              <w:snapToGrid w:val="0"/>
              <w:jc w:val="center"/>
              <w:rPr>
                <w:rFonts w:ascii="宋体" w:hAnsi="宋体" w:cs="宋体"/>
                <w:snapToGrid w:val="0"/>
                <w:color w:val="auto"/>
                <w:kern w:val="0"/>
                <w:szCs w:val="21"/>
                <w:highlight w:val="none"/>
              </w:rPr>
            </w:pPr>
          </w:p>
        </w:tc>
        <w:tc>
          <w:tcPr>
            <w:tcW w:w="4434" w:type="dxa"/>
            <w:gridSpan w:val="6"/>
            <w:vAlign w:val="center"/>
          </w:tcPr>
          <w:p w14:paraId="5488CAEC">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w:t>
            </w:r>
          </w:p>
          <w:p w14:paraId="70FDE49A">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类型和等级</w:t>
            </w:r>
          </w:p>
        </w:tc>
        <w:tc>
          <w:tcPr>
            <w:tcW w:w="2586" w:type="dxa"/>
            <w:gridSpan w:val="2"/>
            <w:vAlign w:val="center"/>
          </w:tcPr>
          <w:p w14:paraId="3FBBCF9F">
            <w:pPr>
              <w:pStyle w:val="137"/>
              <w:wordWrap w:val="0"/>
              <w:adjustRightInd w:val="0"/>
              <w:snapToGrid w:val="0"/>
              <w:jc w:val="left"/>
              <w:rPr>
                <w:rFonts w:ascii="宋体" w:hAnsi="宋体" w:cs="宋体"/>
                <w:snapToGrid w:val="0"/>
                <w:color w:val="auto"/>
                <w:kern w:val="0"/>
                <w:szCs w:val="21"/>
                <w:highlight w:val="none"/>
              </w:rPr>
            </w:pPr>
          </w:p>
        </w:tc>
        <w:tc>
          <w:tcPr>
            <w:tcW w:w="1089" w:type="dxa"/>
            <w:gridSpan w:val="2"/>
            <w:vMerge w:val="restart"/>
            <w:vAlign w:val="center"/>
          </w:tcPr>
          <w:p w14:paraId="53F8BA96">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29" w:type="dxa"/>
            <w:gridSpan w:val="3"/>
            <w:vAlign w:val="center"/>
          </w:tcPr>
          <w:p w14:paraId="13106D98">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各类注册人员</w:t>
            </w:r>
          </w:p>
        </w:tc>
        <w:tc>
          <w:tcPr>
            <w:tcW w:w="1416" w:type="dxa"/>
            <w:vAlign w:val="center"/>
          </w:tcPr>
          <w:p w14:paraId="66A45836">
            <w:pPr>
              <w:pStyle w:val="137"/>
              <w:wordWrap w:val="0"/>
              <w:adjustRightInd w:val="0"/>
              <w:snapToGrid w:val="0"/>
              <w:jc w:val="center"/>
              <w:rPr>
                <w:rFonts w:ascii="宋体" w:hAnsi="宋体" w:cs="宋体"/>
                <w:snapToGrid w:val="0"/>
                <w:color w:val="auto"/>
                <w:kern w:val="0"/>
                <w:szCs w:val="21"/>
                <w:highlight w:val="none"/>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586" w:type="dxa"/>
            <w:gridSpan w:val="2"/>
            <w:vAlign w:val="center"/>
          </w:tcPr>
          <w:p w14:paraId="537F167F">
            <w:pPr>
              <w:pStyle w:val="137"/>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2FE95C77">
            <w:pPr>
              <w:pStyle w:val="137"/>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58F77C7C">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16" w:type="dxa"/>
            <w:vAlign w:val="center"/>
          </w:tcPr>
          <w:p w14:paraId="6727EBCF">
            <w:pPr>
              <w:pStyle w:val="137"/>
              <w:wordWrap w:val="0"/>
              <w:adjustRightInd w:val="0"/>
              <w:snapToGrid w:val="0"/>
              <w:jc w:val="center"/>
              <w:rPr>
                <w:rFonts w:ascii="宋体" w:hAnsi="宋体" w:cs="宋体"/>
                <w:snapToGrid w:val="0"/>
                <w:color w:val="auto"/>
                <w:kern w:val="0"/>
                <w:szCs w:val="21"/>
                <w:highlight w:val="none"/>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586" w:type="dxa"/>
            <w:gridSpan w:val="2"/>
            <w:vAlign w:val="center"/>
          </w:tcPr>
          <w:p w14:paraId="6B4F28EE">
            <w:pPr>
              <w:pStyle w:val="137"/>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339F6456">
            <w:pPr>
              <w:pStyle w:val="137"/>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099C1C60">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16" w:type="dxa"/>
            <w:vAlign w:val="center"/>
          </w:tcPr>
          <w:p w14:paraId="5467645F">
            <w:pPr>
              <w:pStyle w:val="137"/>
              <w:wordWrap w:val="0"/>
              <w:adjustRightInd w:val="0"/>
              <w:snapToGrid w:val="0"/>
              <w:jc w:val="center"/>
              <w:rPr>
                <w:rFonts w:ascii="宋体" w:hAnsi="宋体" w:cs="宋体"/>
                <w:snapToGrid w:val="0"/>
                <w:color w:val="auto"/>
                <w:kern w:val="0"/>
                <w:szCs w:val="21"/>
                <w:highlight w:val="none"/>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66D98136">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586" w:type="dxa"/>
            <w:gridSpan w:val="2"/>
            <w:vAlign w:val="center"/>
          </w:tcPr>
          <w:p w14:paraId="531EB950">
            <w:pPr>
              <w:pStyle w:val="137"/>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6FB92093">
            <w:pPr>
              <w:pStyle w:val="137"/>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7786B5B6">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16" w:type="dxa"/>
            <w:vAlign w:val="center"/>
          </w:tcPr>
          <w:p w14:paraId="5AAF3BA2">
            <w:pPr>
              <w:pStyle w:val="137"/>
              <w:wordWrap w:val="0"/>
              <w:adjustRightInd w:val="0"/>
              <w:snapToGrid w:val="0"/>
              <w:jc w:val="center"/>
              <w:rPr>
                <w:rFonts w:ascii="宋体" w:hAnsi="宋体" w:cs="宋体"/>
                <w:snapToGrid w:val="0"/>
                <w:color w:val="auto"/>
                <w:kern w:val="0"/>
                <w:szCs w:val="21"/>
                <w:highlight w:val="none"/>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41FAD386">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银行账号</w:t>
            </w:r>
          </w:p>
        </w:tc>
        <w:tc>
          <w:tcPr>
            <w:tcW w:w="2586" w:type="dxa"/>
            <w:gridSpan w:val="2"/>
            <w:vAlign w:val="center"/>
          </w:tcPr>
          <w:p w14:paraId="5F82E5BB">
            <w:pPr>
              <w:pStyle w:val="137"/>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4376DF60">
            <w:pPr>
              <w:pStyle w:val="137"/>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4671252B">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16" w:type="dxa"/>
            <w:vAlign w:val="center"/>
          </w:tcPr>
          <w:p w14:paraId="5F52F934">
            <w:pPr>
              <w:pStyle w:val="137"/>
              <w:wordWrap w:val="0"/>
              <w:adjustRightInd w:val="0"/>
              <w:snapToGrid w:val="0"/>
              <w:jc w:val="center"/>
              <w:rPr>
                <w:rFonts w:ascii="宋体" w:hAnsi="宋体" w:cs="宋体"/>
                <w:snapToGrid w:val="0"/>
                <w:color w:val="auto"/>
                <w:kern w:val="0"/>
                <w:szCs w:val="21"/>
                <w:highlight w:val="none"/>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020" w:type="dxa"/>
            <w:gridSpan w:val="8"/>
            <w:vAlign w:val="center"/>
          </w:tcPr>
          <w:p w14:paraId="28B3173C">
            <w:pPr>
              <w:pStyle w:val="137"/>
              <w:wordWrap w:val="0"/>
              <w:adjustRightInd w:val="0"/>
              <w:snapToGrid w:val="0"/>
              <w:jc w:val="center"/>
              <w:rPr>
                <w:rFonts w:ascii="宋体" w:hAnsi="宋体" w:cs="宋体"/>
                <w:snapToGrid w:val="0"/>
                <w:color w:val="auto"/>
                <w:kern w:val="0"/>
                <w:szCs w:val="21"/>
                <w:highlight w:val="none"/>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020" w:type="dxa"/>
            <w:gridSpan w:val="8"/>
            <w:vAlign w:val="center"/>
          </w:tcPr>
          <w:p w14:paraId="627CBE37">
            <w:pPr>
              <w:pStyle w:val="137"/>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78866B0F">
            <w:pPr>
              <w:pStyle w:val="137"/>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2B8DF13B">
            <w:pPr>
              <w:pStyle w:val="137"/>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78C5A631">
            <w:pPr>
              <w:pStyle w:val="137"/>
              <w:wordWrap w:val="0"/>
              <w:adjustRightInd w:val="0"/>
              <w:snapToGrid w:val="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020" w:type="dxa"/>
            <w:gridSpan w:val="8"/>
            <w:vAlign w:val="center"/>
          </w:tcPr>
          <w:p w14:paraId="0B7A9410">
            <w:pPr>
              <w:pStyle w:val="137"/>
              <w:wordWrap w:val="0"/>
              <w:adjustRightInd w:val="0"/>
              <w:snapToGrid w:val="0"/>
              <w:jc w:val="center"/>
              <w:rPr>
                <w:rFonts w:ascii="宋体" w:hAnsi="宋体" w:cs="宋体"/>
                <w:snapToGrid w:val="0"/>
                <w:color w:val="auto"/>
                <w:kern w:val="0"/>
                <w:szCs w:val="21"/>
                <w:highlight w:val="none"/>
              </w:rPr>
            </w:pPr>
          </w:p>
        </w:tc>
      </w:tr>
    </w:tbl>
    <w:p w14:paraId="31CF04E5">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8B0DF88">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77700285">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w:t>
      </w:r>
      <w:r>
        <w:rPr>
          <w:rFonts w:hint="eastAsia" w:ascii="宋体" w:hAnsi="宋体" w:cs="宋体"/>
          <w:snapToGrid w:val="0"/>
          <w:color w:val="auto"/>
          <w:kern w:val="0"/>
          <w:szCs w:val="21"/>
          <w:highlight w:val="none"/>
          <w:lang w:val="en-US" w:eastAsia="zh-CN"/>
        </w:rPr>
        <w:t>彩色</w:t>
      </w:r>
      <w:r>
        <w:rPr>
          <w:rFonts w:hint="eastAsia" w:ascii="宋体" w:hAnsi="宋体" w:cs="宋体"/>
          <w:snapToGrid w:val="0"/>
          <w:color w:val="auto"/>
          <w:kern w:val="0"/>
          <w:szCs w:val="21"/>
          <w:highlight w:val="none"/>
        </w:rPr>
        <w:t>扫描件（因推行电子证照，企业的营业执照、资质证书等可以提供电子证照）；</w:t>
      </w:r>
    </w:p>
    <w:p w14:paraId="3B9DB170">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“进粤企业和人员诚信信息登记平台”企业信息情况打印页。（适用于省外企业）</w:t>
      </w:r>
      <w:r>
        <w:rPr>
          <w:rFonts w:hint="eastAsia" w:ascii="宋体" w:hAnsi="宋体" w:cs="宋体"/>
          <w:snapToGrid w:val="0"/>
          <w:color w:val="auto"/>
          <w:kern w:val="0"/>
          <w:szCs w:val="21"/>
          <w:highlight w:val="none"/>
        </w:rPr>
        <w:t>。</w:t>
      </w:r>
    </w:p>
    <w:p w14:paraId="6A573612">
      <w:pPr>
        <w:pStyle w:val="73"/>
        <w:widowControl w:val="0"/>
        <w:wordWrap w:val="0"/>
        <w:adjustRightInd w:val="0"/>
        <w:snapToGrid w:val="0"/>
        <w:spacing w:line="400" w:lineRule="exact"/>
        <w:rPr>
          <w:rFonts w:hAnsi="宋体" w:cs="宋体"/>
          <w:snapToGrid w:val="0"/>
          <w:color w:val="auto"/>
          <w:sz w:val="21"/>
          <w:szCs w:val="21"/>
          <w:highlight w:val="none"/>
        </w:rPr>
      </w:pPr>
      <w:r>
        <w:rPr>
          <w:rFonts w:hint="eastAsia" w:hAnsi="宋体" w:cs="宋体"/>
          <w:snapToGrid w:val="0"/>
          <w:color w:val="auto"/>
          <w:sz w:val="21"/>
          <w:szCs w:val="21"/>
          <w:highlight w:val="none"/>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highlight w:val="none"/>
        </w:rPr>
      </w:pPr>
      <w:bookmarkStart w:id="318" w:name="_Toc8190"/>
      <w:r>
        <w:rPr>
          <w:rFonts w:hint="eastAsia" w:hAnsi="宋体" w:cs="宋体"/>
          <w:b/>
          <w:snapToGrid w:val="0"/>
          <w:color w:val="auto"/>
          <w:kern w:val="0"/>
          <w:highlight w:val="none"/>
        </w:rPr>
        <w:t>格式七 总监理工程师任职声明（适用于无任职项目）</w:t>
      </w:r>
      <w:bookmarkEnd w:id="318"/>
    </w:p>
    <w:p w14:paraId="6FD021E2">
      <w:pPr>
        <w:wordWrap w:val="0"/>
        <w:adjustRightInd w:val="0"/>
        <w:snapToGrid w:val="0"/>
        <w:spacing w:line="440" w:lineRule="exact"/>
        <w:jc w:val="left"/>
        <w:rPr>
          <w:rFonts w:hAnsi="宋体" w:cs="宋体"/>
          <w:b/>
          <w:snapToGrid w:val="0"/>
          <w:color w:val="auto"/>
          <w:kern w:val="0"/>
          <w:highlight w:val="none"/>
        </w:rPr>
      </w:pPr>
    </w:p>
    <w:p w14:paraId="7734BDAC">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F3A4633">
      <w:pPr>
        <w:wordWrap w:val="0"/>
        <w:adjustRightInd w:val="0"/>
        <w:snapToGrid w:val="0"/>
        <w:spacing w:line="440" w:lineRule="exact"/>
        <w:jc w:val="center"/>
        <w:rPr>
          <w:rFonts w:hAnsi="宋体" w:cs="宋体"/>
          <w:snapToGrid w:val="0"/>
          <w:color w:val="auto"/>
          <w:kern w:val="0"/>
          <w:szCs w:val="28"/>
          <w:highlight w:val="none"/>
        </w:rPr>
      </w:pPr>
    </w:p>
    <w:p w14:paraId="14B6B195">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36EB755F">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特此承诺　　</w:t>
      </w:r>
    </w:p>
    <w:p w14:paraId="699B7C56">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244A9EE">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FB105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2A604D50">
      <w:pPr>
        <w:wordWrap w:val="0"/>
        <w:adjustRightInd w:val="0"/>
        <w:snapToGrid w:val="0"/>
        <w:spacing w:line="440" w:lineRule="exact"/>
        <w:jc w:val="right"/>
        <w:rPr>
          <w:rFonts w:hAnsi="宋体" w:cs="宋体"/>
          <w:snapToGrid w:val="0"/>
          <w:color w:val="auto"/>
          <w:kern w:val="0"/>
          <w:szCs w:val="28"/>
          <w:highlight w:val="none"/>
        </w:rPr>
      </w:pPr>
    </w:p>
    <w:p w14:paraId="71BB53AD">
      <w:pPr>
        <w:wordWrap w:val="0"/>
        <w:adjustRightInd w:val="0"/>
        <w:snapToGrid w:val="0"/>
        <w:spacing w:line="440" w:lineRule="exact"/>
        <w:jc w:val="right"/>
        <w:rPr>
          <w:rFonts w:hAnsi="宋体" w:cs="宋体"/>
          <w:snapToGrid w:val="0"/>
          <w:color w:val="auto"/>
          <w:kern w:val="0"/>
          <w:szCs w:val="28"/>
          <w:highlight w:val="none"/>
        </w:rPr>
      </w:pPr>
    </w:p>
    <w:p w14:paraId="0C3A73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7AE6CC90">
      <w:pPr>
        <w:wordWrap w:val="0"/>
        <w:adjustRightInd w:val="0"/>
        <w:snapToGrid w:val="0"/>
        <w:spacing w:line="440" w:lineRule="exact"/>
        <w:jc w:val="right"/>
        <w:rPr>
          <w:rFonts w:hAnsi="宋体" w:cs="宋体"/>
          <w:snapToGrid w:val="0"/>
          <w:color w:val="auto"/>
          <w:kern w:val="0"/>
          <w:szCs w:val="28"/>
          <w:highlight w:val="none"/>
        </w:rPr>
      </w:pPr>
    </w:p>
    <w:p w14:paraId="3C9B11CD">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7BA2FE9F">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highlight w:val="none"/>
        </w:rPr>
      </w:pPr>
      <w:bookmarkStart w:id="319" w:name="_Toc17780"/>
      <w:r>
        <w:rPr>
          <w:rFonts w:hint="eastAsia" w:hAnsi="宋体" w:cs="宋体"/>
          <w:b/>
          <w:snapToGrid w:val="0"/>
          <w:color w:val="auto"/>
          <w:kern w:val="0"/>
          <w:highlight w:val="none"/>
        </w:rPr>
        <w:t>格式八 总监理工程师任职声明（适用于有任职项目）</w:t>
      </w:r>
      <w:bookmarkEnd w:id="319"/>
    </w:p>
    <w:p w14:paraId="449B4FD5">
      <w:pPr>
        <w:wordWrap w:val="0"/>
        <w:adjustRightInd w:val="0"/>
        <w:snapToGrid w:val="0"/>
        <w:spacing w:line="440" w:lineRule="exact"/>
        <w:jc w:val="left"/>
        <w:rPr>
          <w:rFonts w:hAnsi="宋体" w:cs="宋体"/>
          <w:b/>
          <w:snapToGrid w:val="0"/>
          <w:color w:val="auto"/>
          <w:kern w:val="0"/>
          <w:highlight w:val="none"/>
        </w:rPr>
      </w:pPr>
    </w:p>
    <w:p w14:paraId="14A50C1D">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B3ED8C9">
      <w:pPr>
        <w:wordWrap w:val="0"/>
        <w:adjustRightInd w:val="0"/>
        <w:snapToGrid w:val="0"/>
        <w:spacing w:line="440" w:lineRule="exact"/>
        <w:jc w:val="center"/>
        <w:rPr>
          <w:rFonts w:hAnsi="宋体" w:cs="宋体"/>
          <w:snapToGrid w:val="0"/>
          <w:color w:val="auto"/>
          <w:kern w:val="0"/>
          <w:szCs w:val="28"/>
          <w:highlight w:val="none"/>
        </w:rPr>
      </w:pPr>
    </w:p>
    <w:p w14:paraId="45489580">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（总监理工程师姓名）现阶段正在担任</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1FA625A2">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特此承诺</w:t>
      </w:r>
    </w:p>
    <w:p w14:paraId="46BFCB72">
      <w:pPr>
        <w:wordWrap w:val="0"/>
        <w:adjustRightInd w:val="0"/>
        <w:snapToGrid w:val="0"/>
        <w:spacing w:line="440" w:lineRule="exact"/>
        <w:ind w:firstLine="480"/>
        <w:rPr>
          <w:rFonts w:hAnsi="宋体" w:cs="宋体"/>
          <w:snapToGrid w:val="0"/>
          <w:color w:val="auto"/>
          <w:kern w:val="0"/>
          <w:szCs w:val="28"/>
          <w:highlight w:val="none"/>
        </w:rPr>
      </w:pPr>
    </w:p>
    <w:p w14:paraId="627F814D">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47D291EC">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1B4B0533">
      <w:pPr>
        <w:wordWrap w:val="0"/>
        <w:adjustRightInd w:val="0"/>
        <w:snapToGrid w:val="0"/>
        <w:spacing w:line="440" w:lineRule="exact"/>
        <w:jc w:val="right"/>
        <w:rPr>
          <w:rFonts w:hAnsi="宋体" w:cs="宋体"/>
          <w:snapToGrid w:val="0"/>
          <w:color w:val="auto"/>
          <w:kern w:val="0"/>
          <w:szCs w:val="28"/>
          <w:highlight w:val="none"/>
        </w:rPr>
      </w:pPr>
    </w:p>
    <w:p w14:paraId="487F86BE">
      <w:pPr>
        <w:wordWrap w:val="0"/>
        <w:adjustRightInd w:val="0"/>
        <w:snapToGrid w:val="0"/>
        <w:spacing w:line="440" w:lineRule="exact"/>
        <w:jc w:val="right"/>
        <w:rPr>
          <w:rFonts w:hAnsi="宋体" w:cs="宋体"/>
          <w:snapToGrid w:val="0"/>
          <w:color w:val="auto"/>
          <w:kern w:val="0"/>
          <w:szCs w:val="28"/>
          <w:highlight w:val="none"/>
        </w:rPr>
      </w:pPr>
    </w:p>
    <w:p w14:paraId="7D65E6AD">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029F2B4C">
      <w:pPr>
        <w:wordWrap w:val="0"/>
        <w:adjustRightInd w:val="0"/>
        <w:snapToGrid w:val="0"/>
        <w:spacing w:line="440" w:lineRule="exact"/>
        <w:jc w:val="right"/>
        <w:rPr>
          <w:rFonts w:hAnsi="宋体" w:cs="宋体"/>
          <w:snapToGrid w:val="0"/>
          <w:color w:val="auto"/>
          <w:kern w:val="0"/>
          <w:szCs w:val="28"/>
          <w:highlight w:val="none"/>
        </w:rPr>
      </w:pPr>
    </w:p>
    <w:p w14:paraId="1E734F3E">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19DAFB93">
      <w:pPr>
        <w:wordWrap w:val="0"/>
        <w:adjustRightInd w:val="0"/>
        <w:snapToGrid w:val="0"/>
        <w:spacing w:line="440" w:lineRule="exact"/>
        <w:jc w:val="center"/>
        <w:rPr>
          <w:rFonts w:hAnsi="宋体" w:cs="宋体"/>
          <w:snapToGrid w:val="0"/>
          <w:color w:val="auto"/>
          <w:kern w:val="0"/>
          <w:szCs w:val="28"/>
          <w:highlight w:val="none"/>
        </w:rPr>
      </w:pPr>
    </w:p>
    <w:p w14:paraId="77D57279">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highlight w:val="none"/>
        </w:rPr>
      </w:pPr>
      <w:bookmarkStart w:id="320" w:name="_Toc26395"/>
      <w:r>
        <w:rPr>
          <w:rFonts w:hint="eastAsia" w:hAnsi="宋体" w:cs="宋体"/>
          <w:b/>
          <w:bCs/>
          <w:snapToGrid w:val="0"/>
          <w:color w:val="auto"/>
          <w:kern w:val="0"/>
          <w:szCs w:val="24"/>
          <w:highlight w:val="none"/>
        </w:rPr>
        <w:t>格式九 总监理工程师任职项目情况表</w:t>
      </w:r>
      <w:bookmarkEnd w:id="320"/>
    </w:p>
    <w:p w14:paraId="1C05E0FA">
      <w:pPr>
        <w:wordWrap w:val="0"/>
        <w:adjustRightInd w:val="0"/>
        <w:snapToGrid w:val="0"/>
        <w:spacing w:line="440" w:lineRule="exact"/>
        <w:rPr>
          <w:rFonts w:hAnsi="宋体" w:cs="宋体"/>
          <w:b/>
          <w:bCs/>
          <w:snapToGrid w:val="0"/>
          <w:color w:val="auto"/>
          <w:kern w:val="0"/>
          <w:szCs w:val="24"/>
          <w:highlight w:val="none"/>
        </w:rPr>
      </w:pPr>
    </w:p>
    <w:p w14:paraId="1E110BE9">
      <w:pPr>
        <w:pStyle w:val="73"/>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 xml:space="preserve"> 总监理工程师任职项目情况表（）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项目名称</w:t>
            </w:r>
          </w:p>
        </w:tc>
        <w:tc>
          <w:tcPr>
            <w:tcW w:w="2771" w:type="dxa"/>
            <w:vAlign w:val="center"/>
          </w:tcPr>
          <w:p w14:paraId="2DFCFA84">
            <w:pPr>
              <w:pStyle w:val="137"/>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6AC2BA15">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项目所在地</w:t>
            </w:r>
          </w:p>
        </w:tc>
        <w:tc>
          <w:tcPr>
            <w:tcW w:w="2594" w:type="dxa"/>
            <w:vAlign w:val="center"/>
          </w:tcPr>
          <w:p w14:paraId="24CD9F05">
            <w:pPr>
              <w:pStyle w:val="137"/>
              <w:wordWrap w:val="0"/>
              <w:adjustRightInd w:val="0"/>
              <w:snapToGrid w:val="0"/>
              <w:jc w:val="center"/>
              <w:rPr>
                <w:rFonts w:ascii="宋体" w:hAnsi="宋体" w:cs="宋体"/>
                <w:snapToGrid w:val="0"/>
                <w:color w:val="auto"/>
                <w:kern w:val="0"/>
                <w:szCs w:val="21"/>
                <w:highlight w:val="none"/>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委托人名称</w:t>
            </w:r>
          </w:p>
        </w:tc>
        <w:tc>
          <w:tcPr>
            <w:tcW w:w="2771" w:type="dxa"/>
            <w:vAlign w:val="center"/>
          </w:tcPr>
          <w:p w14:paraId="5F8E80CE">
            <w:pPr>
              <w:pStyle w:val="137"/>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1BC9377E">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委托人地址</w:t>
            </w:r>
          </w:p>
        </w:tc>
        <w:tc>
          <w:tcPr>
            <w:tcW w:w="2594" w:type="dxa"/>
            <w:vAlign w:val="center"/>
          </w:tcPr>
          <w:p w14:paraId="334897D3">
            <w:pPr>
              <w:pStyle w:val="137"/>
              <w:wordWrap w:val="0"/>
              <w:adjustRightInd w:val="0"/>
              <w:snapToGrid w:val="0"/>
              <w:jc w:val="center"/>
              <w:rPr>
                <w:rFonts w:ascii="宋体" w:hAnsi="宋体" w:cs="宋体"/>
                <w:snapToGrid w:val="0"/>
                <w:color w:val="auto"/>
                <w:kern w:val="0"/>
                <w:szCs w:val="21"/>
                <w:highlight w:val="none"/>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委托人电话</w:t>
            </w:r>
          </w:p>
        </w:tc>
        <w:tc>
          <w:tcPr>
            <w:tcW w:w="2771" w:type="dxa"/>
            <w:vAlign w:val="center"/>
          </w:tcPr>
          <w:p w14:paraId="2AAC336B">
            <w:pPr>
              <w:pStyle w:val="137"/>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0B3B45">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总监理工程师</w:t>
            </w:r>
          </w:p>
        </w:tc>
        <w:tc>
          <w:tcPr>
            <w:tcW w:w="2594" w:type="dxa"/>
            <w:vAlign w:val="center"/>
          </w:tcPr>
          <w:p w14:paraId="2993C8DD">
            <w:pPr>
              <w:pStyle w:val="137"/>
              <w:wordWrap w:val="0"/>
              <w:adjustRightInd w:val="0"/>
              <w:snapToGrid w:val="0"/>
              <w:jc w:val="center"/>
              <w:rPr>
                <w:rFonts w:ascii="宋体" w:hAnsi="宋体" w:cs="宋体"/>
                <w:snapToGrid w:val="0"/>
                <w:color w:val="auto"/>
                <w:kern w:val="0"/>
                <w:szCs w:val="21"/>
                <w:highlight w:val="none"/>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监理服务期限</w:t>
            </w:r>
          </w:p>
        </w:tc>
        <w:tc>
          <w:tcPr>
            <w:tcW w:w="2771" w:type="dxa"/>
            <w:vAlign w:val="center"/>
          </w:tcPr>
          <w:p w14:paraId="253ECA3C">
            <w:pPr>
              <w:pStyle w:val="137"/>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79C804">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监理内容</w:t>
            </w:r>
          </w:p>
        </w:tc>
        <w:tc>
          <w:tcPr>
            <w:tcW w:w="2594" w:type="dxa"/>
            <w:vAlign w:val="center"/>
          </w:tcPr>
          <w:p w14:paraId="1EEFB69A">
            <w:pPr>
              <w:pStyle w:val="137"/>
              <w:wordWrap w:val="0"/>
              <w:adjustRightInd w:val="0"/>
              <w:snapToGrid w:val="0"/>
              <w:jc w:val="center"/>
              <w:rPr>
                <w:rFonts w:ascii="宋体" w:hAnsi="宋体" w:cs="宋体"/>
                <w:snapToGrid w:val="0"/>
                <w:color w:val="auto"/>
                <w:kern w:val="0"/>
                <w:szCs w:val="21"/>
                <w:highlight w:val="none"/>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项目描述</w:t>
            </w:r>
          </w:p>
        </w:tc>
        <w:tc>
          <w:tcPr>
            <w:tcW w:w="7000" w:type="dxa"/>
            <w:gridSpan w:val="3"/>
            <w:vAlign w:val="center"/>
          </w:tcPr>
          <w:p w14:paraId="21A54D72">
            <w:pPr>
              <w:pStyle w:val="137"/>
              <w:wordWrap w:val="0"/>
              <w:adjustRightInd w:val="0"/>
              <w:snapToGrid w:val="0"/>
              <w:jc w:val="left"/>
              <w:rPr>
                <w:rFonts w:ascii="宋体" w:hAnsi="宋体" w:cs="宋体"/>
                <w:snapToGrid w:val="0"/>
                <w:color w:val="auto"/>
                <w:kern w:val="0"/>
                <w:szCs w:val="21"/>
                <w:highlight w:val="none"/>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委托人声明</w:t>
            </w:r>
          </w:p>
        </w:tc>
        <w:tc>
          <w:tcPr>
            <w:tcW w:w="7000" w:type="dxa"/>
            <w:gridSpan w:val="3"/>
            <w:vAlign w:val="center"/>
          </w:tcPr>
          <w:p w14:paraId="418BE4BE">
            <w:pPr>
              <w:pStyle w:val="137"/>
              <w:adjustRightInd w:val="0"/>
              <w:snapToGrid w:val="0"/>
              <w:spacing w:line="360" w:lineRule="auto"/>
              <w:rPr>
                <w:rFonts w:ascii="宋体" w:hAnsi="宋体" w:cs="宋体"/>
                <w:snapToGrid w:val="0"/>
                <w:color w:val="auto"/>
                <w:kern w:val="0"/>
                <w:szCs w:val="21"/>
                <w:highlight w:val="none"/>
              </w:rPr>
            </w:pPr>
          </w:p>
          <w:p w14:paraId="602D8050">
            <w:pPr>
              <w:pStyle w:val="137"/>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致：</w:t>
            </w:r>
            <w:r>
              <w:rPr>
                <w:rFonts w:hint="eastAsia" w:ascii="宋体" w:hAnsi="宋体" w:cs="宋体"/>
                <w:snapToGrid w:val="0"/>
                <w:color w:val="auto"/>
                <w:kern w:val="0"/>
                <w:szCs w:val="21"/>
                <w:highlight w:val="none"/>
                <w:u w:val="single"/>
              </w:rPr>
              <w:t>（本招标项目招标人名称）</w:t>
            </w:r>
          </w:p>
          <w:p w14:paraId="37F7ABA7">
            <w:pPr>
              <w:pStyle w:val="137"/>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我方在此声明：</w:t>
            </w:r>
          </w:p>
          <w:p w14:paraId="221BF42B">
            <w:pPr>
              <w:pStyle w:val="137"/>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一、在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同志任我方在施项目总监理工程师期间，如果</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中标你方招标项目监理业务，在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6DBCA6A9">
            <w:pPr>
              <w:pStyle w:val="137"/>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二、无论</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同志是否担任其他建设项目的总监理工程师，</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都必须完全、严格履行我方在施项目监理合同中约定的所有义务，并确保服务内容、服务质量不得有任何减少或降低。</w:t>
            </w:r>
          </w:p>
          <w:p w14:paraId="092F9495">
            <w:pPr>
              <w:pStyle w:val="137"/>
              <w:adjustRightInd w:val="0"/>
              <w:snapToGrid w:val="0"/>
              <w:spacing w:line="360" w:lineRule="auto"/>
              <w:rPr>
                <w:rFonts w:ascii="宋体" w:hAnsi="宋体" w:cs="宋体"/>
                <w:snapToGrid w:val="0"/>
                <w:color w:val="auto"/>
                <w:kern w:val="0"/>
                <w:szCs w:val="21"/>
                <w:highlight w:val="none"/>
              </w:rPr>
            </w:pPr>
          </w:p>
          <w:p w14:paraId="2DED7437">
            <w:pPr>
              <w:pStyle w:val="137"/>
              <w:adjustRightInd w:val="0"/>
              <w:snapToGrid w:val="0"/>
              <w:spacing w:line="360" w:lineRule="auto"/>
              <w:rPr>
                <w:rFonts w:ascii="宋体" w:hAnsi="宋体" w:cs="宋体"/>
                <w:snapToGrid w:val="0"/>
                <w:color w:val="auto"/>
                <w:kern w:val="0"/>
                <w:szCs w:val="21"/>
                <w:highlight w:val="none"/>
              </w:rPr>
            </w:pPr>
          </w:p>
          <w:p w14:paraId="599D977E">
            <w:pPr>
              <w:pStyle w:val="137"/>
              <w:adjustRightInd w:val="0"/>
              <w:snapToGrid w:val="0"/>
              <w:spacing w:line="360" w:lineRule="auto"/>
              <w:jc w:val="righ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建设单位名称：</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（盖单位章）</w:t>
            </w:r>
          </w:p>
          <w:p w14:paraId="1047DB8F">
            <w:pPr>
              <w:pStyle w:val="137"/>
              <w:adjustRightInd w:val="0"/>
              <w:snapToGrid w:val="0"/>
              <w:spacing w:line="360" w:lineRule="auto"/>
              <w:jc w:val="right"/>
              <w:rPr>
                <w:rFonts w:ascii="宋体" w:hAnsi="宋体" w:cs="宋体"/>
                <w:snapToGrid w:val="0"/>
                <w:color w:val="auto"/>
                <w:kern w:val="0"/>
                <w:szCs w:val="21"/>
                <w:highlight w:val="none"/>
              </w:rPr>
            </w:pPr>
          </w:p>
          <w:p w14:paraId="36196D25">
            <w:pPr>
              <w:pStyle w:val="137"/>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XXXX年XX月XX日</w:t>
            </w:r>
          </w:p>
        </w:tc>
      </w:tr>
    </w:tbl>
    <w:p w14:paraId="01E57326">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621617A">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3AD580BD">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每份情况表后应附该项目的合同协议书彩色扫描件。</w:t>
      </w:r>
    </w:p>
    <w:p w14:paraId="5D509C1C">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snapToGrid w:val="0"/>
          <w:color w:val="auto"/>
          <w:kern w:val="0"/>
          <w:szCs w:val="28"/>
          <w:highlight w:val="none"/>
        </w:rPr>
        <w:t>．投标人填写本</w:t>
      </w:r>
      <w:r>
        <w:rPr>
          <w:rFonts w:hint="eastAsia" w:ascii="宋体" w:hAnsi="宋体" w:cs="宋体"/>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highlight w:val="none"/>
        </w:rPr>
        <w:sectPr>
          <w:endnotePr>
            <w:numFmt w:val="decimal"/>
          </w:endnotePr>
          <w:pgSz w:w="11906" w:h="16838"/>
          <w:pgMar w:top="1417" w:right="1417" w:bottom="1417" w:left="1417" w:header="850" w:footer="992" w:gutter="0"/>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highlight w:val="none"/>
        </w:rPr>
      </w:pPr>
      <w:bookmarkStart w:id="321" w:name="_Toc4928"/>
      <w:bookmarkStart w:id="322" w:name="_Toc200338098"/>
      <w:bookmarkStart w:id="323" w:name="_Toc8264"/>
      <w:r>
        <w:rPr>
          <w:rFonts w:hint="eastAsia" w:hAnsi="宋体" w:cs="宋体"/>
          <w:b/>
          <w:snapToGrid w:val="0"/>
          <w:color w:val="auto"/>
          <w:kern w:val="0"/>
          <w:highlight w:val="none"/>
        </w:rPr>
        <w:t>格式</w:t>
      </w:r>
      <w:bookmarkStart w:id="324" w:name="_Hlt287950384"/>
      <w:bookmarkEnd w:id="324"/>
      <w:r>
        <w:rPr>
          <w:rFonts w:hint="eastAsia" w:hAnsi="宋体" w:cs="宋体"/>
          <w:b/>
          <w:bCs/>
          <w:snapToGrid w:val="0"/>
          <w:color w:val="auto"/>
          <w:kern w:val="0"/>
          <w:szCs w:val="24"/>
          <w:highlight w:val="none"/>
        </w:rPr>
        <w:t>十 项目监理机构组成人员汇总表</w:t>
      </w:r>
      <w:bookmarkEnd w:id="321"/>
    </w:p>
    <w:p w14:paraId="58540D5A">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 xml:space="preserve"> 项目监理机构组成人员汇总表</w:t>
      </w: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highlight w:val="none"/>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highlight w:val="none"/>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highlight w:val="none"/>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highlight w:val="none"/>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highlight w:val="none"/>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highlight w:val="none"/>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highlight w:val="none"/>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highlight w:val="none"/>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highlight w:val="none"/>
              </w:rPr>
            </w:pPr>
          </w:p>
        </w:tc>
        <w:bookmarkStart w:id="325" w:name="_Hlt69116778"/>
        <w:bookmarkStart w:id="326" w:name="_附件十：单项工程费汇总表"/>
        <w:bookmarkStart w:id="327" w:name="_Hlt68774664"/>
        <w:bookmarkStart w:id="328" w:name="_附件二十四：技术标提问单"/>
        <w:bookmarkStart w:id="329" w:name="_附件二十五：综合评审合理低价法"/>
      </w:tr>
      <w:bookmarkEnd w:id="322"/>
      <w:bookmarkEnd w:id="323"/>
      <w:bookmarkEnd w:id="325"/>
      <w:bookmarkEnd w:id="326"/>
      <w:bookmarkEnd w:id="327"/>
      <w:bookmarkEnd w:id="328"/>
      <w:bookmarkEnd w:id="329"/>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highlight w:val="none"/>
              </w:rPr>
            </w:pPr>
          </w:p>
        </w:tc>
      </w:tr>
    </w:tbl>
    <w:p w14:paraId="4CDFA701">
      <w:pPr>
        <w:pStyle w:val="73"/>
        <w:widowControl w:val="0"/>
        <w:wordWrap w:val="0"/>
        <w:adjustRightInd w:val="0"/>
        <w:snapToGrid w:val="0"/>
        <w:spacing w:line="400" w:lineRule="exact"/>
        <w:rPr>
          <w:rFonts w:hAnsi="宋体" w:cs="宋体"/>
          <w:snapToGrid w:val="0"/>
          <w:color w:val="auto"/>
          <w:sz w:val="21"/>
          <w:highlight w:val="none"/>
        </w:rPr>
      </w:pPr>
      <w:r>
        <w:rPr>
          <w:rFonts w:hint="eastAsia" w:hAnsi="宋体" w:cs="宋体"/>
          <w:snapToGrid w:val="0"/>
          <w:color w:val="auto"/>
          <w:sz w:val="21"/>
          <w:highlight w:val="none"/>
        </w:rPr>
        <w:t>说明：</w:t>
      </w:r>
    </w:p>
    <w:p w14:paraId="24312D3D">
      <w:pPr>
        <w:pStyle w:val="73"/>
        <w:widowControl w:val="0"/>
        <w:wordWrap w:val="0"/>
        <w:adjustRightInd w:val="0"/>
        <w:snapToGrid w:val="0"/>
        <w:spacing w:line="400" w:lineRule="exact"/>
        <w:rPr>
          <w:rFonts w:hAnsi="宋体" w:cs="宋体"/>
          <w:snapToGrid w:val="0"/>
          <w:color w:val="auto"/>
          <w:sz w:val="21"/>
          <w:highlight w:val="none"/>
        </w:rPr>
        <w:sectPr>
          <w:endnotePr>
            <w:numFmt w:val="decimal"/>
          </w:endnotePr>
          <w:pgSz w:w="16838" w:h="11906" w:orient="landscape"/>
          <w:pgMar w:top="1417" w:right="1417" w:bottom="1417" w:left="1417" w:header="850" w:footer="992" w:gutter="0"/>
          <w:cols w:space="0" w:num="1"/>
          <w:docGrid w:linePitch="327" w:charSpace="0"/>
        </w:sectPr>
      </w:pPr>
      <w:r>
        <w:rPr>
          <w:rFonts w:hint="eastAsia" w:hAnsi="宋体" w:cs="宋体"/>
          <w:snapToGrid w:val="0"/>
          <w:color w:val="auto"/>
          <w:sz w:val="21"/>
          <w:highlight w:val="none"/>
        </w:rPr>
        <w:t>1</w:t>
      </w:r>
      <w:r>
        <w:rPr>
          <w:rFonts w:hint="eastAsia" w:hAnsi="宋体" w:cs="宋体"/>
          <w:snapToGrid w:val="0"/>
          <w:color w:val="auto"/>
          <w:sz w:val="21"/>
          <w:szCs w:val="28"/>
          <w:highlight w:val="none"/>
        </w:rPr>
        <w:t>．表中没有或无法填写的栏目，用</w:t>
      </w:r>
      <w:r>
        <w:rPr>
          <w:rFonts w:hint="eastAsia" w:hAnsi="宋体" w:cs="宋体"/>
          <w:snapToGrid w:val="0"/>
          <w:color w:val="auto"/>
          <w:sz w:val="21"/>
          <w:highlight w:val="none"/>
        </w:rPr>
        <w:t>“/”示意。</w:t>
      </w:r>
      <w:bookmarkEnd w:id="297"/>
      <w:bookmarkEnd w:id="298"/>
      <w:bookmarkEnd w:id="299"/>
      <w:bookmarkEnd w:id="300"/>
    </w:p>
    <w:p w14:paraId="63F60130">
      <w:pPr>
        <w:pStyle w:val="149"/>
        <w:keepNext/>
        <w:keepLines/>
        <w:snapToGrid w:val="0"/>
        <w:spacing w:line="400" w:lineRule="exact"/>
        <w:jc w:val="both"/>
        <w:rPr>
          <w:rFonts w:ascii="宋体" w:hAnsi="宋体" w:cs="宋体"/>
          <w:b/>
          <w:bCs/>
          <w:snapToGrid w:val="0"/>
          <w:color w:val="auto"/>
          <w:highlight w:val="none"/>
        </w:rPr>
      </w:pPr>
      <w:bookmarkStart w:id="330" w:name="_Toc17913"/>
      <w:bookmarkStart w:id="331" w:name="_Toc24916"/>
      <w:r>
        <w:rPr>
          <w:rFonts w:hint="eastAsia" w:ascii="宋体" w:hAnsi="宋体" w:cs="宋体"/>
          <w:b/>
          <w:bCs/>
          <w:snapToGrid w:val="0"/>
          <w:color w:val="auto"/>
          <w:highlight w:val="none"/>
        </w:rPr>
        <w:t>格式十一 总监理工程师简历表</w:t>
      </w:r>
      <w:bookmarkEnd w:id="330"/>
      <w:bookmarkEnd w:id="331"/>
    </w:p>
    <w:p w14:paraId="6461E15D">
      <w:pPr>
        <w:adjustRightInd w:val="0"/>
        <w:snapToGrid w:val="0"/>
        <w:spacing w:line="400" w:lineRule="exact"/>
        <w:jc w:val="center"/>
        <w:rPr>
          <w:rFonts w:hAnsi="宋体" w:cs="宋体"/>
          <w:b/>
          <w:bCs/>
          <w:color w:val="auto"/>
          <w:sz w:val="32"/>
          <w:szCs w:val="22"/>
          <w:highlight w:val="none"/>
        </w:rPr>
      </w:pPr>
    </w:p>
    <w:p w14:paraId="13A99F0A">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总监理工程师简历表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highlight w:val="none"/>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highlight w:val="none"/>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highlight w:val="none"/>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highlight w:val="none"/>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highlight w:val="none"/>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highlight w:val="none"/>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highlight w:val="none"/>
              </w:rPr>
            </w:pPr>
          </w:p>
        </w:tc>
      </w:tr>
    </w:tbl>
    <w:p w14:paraId="05AF772E">
      <w:pPr>
        <w:adjustRightInd w:val="0"/>
        <w:snapToGrid w:val="0"/>
        <w:spacing w:line="400" w:lineRule="exact"/>
        <w:rPr>
          <w:rFonts w:hAnsi="宋体" w:cs="宋体"/>
          <w:color w:val="auto"/>
          <w:highlight w:val="none"/>
        </w:rPr>
      </w:pPr>
    </w:p>
    <w:p w14:paraId="55649CDC">
      <w:pPr>
        <w:pStyle w:val="74"/>
        <w:wordWrap w:val="0"/>
        <w:adjustRightInd w:val="0"/>
        <w:snapToGrid w:val="0"/>
        <w:spacing w:line="400" w:lineRule="exact"/>
        <w:jc w:val="right"/>
        <w:rPr>
          <w:rFonts w:hAnsi="宋体" w:cs="宋体"/>
          <w:snapToGrid w:val="0"/>
          <w:color w:val="auto"/>
          <w:kern w:val="0"/>
          <w:highlight w:val="none"/>
        </w:rPr>
      </w:pPr>
    </w:p>
    <w:p w14:paraId="5212B167">
      <w:pPr>
        <w:pStyle w:val="74"/>
        <w:wordWrap w:val="0"/>
        <w:adjustRightInd w:val="0"/>
        <w:snapToGrid w:val="0"/>
        <w:spacing w:line="400" w:lineRule="exact"/>
        <w:jc w:val="right"/>
        <w:rPr>
          <w:rFonts w:hAnsi="宋体" w:cs="宋体"/>
          <w:snapToGrid w:val="0"/>
          <w:color w:val="auto"/>
          <w:kern w:val="0"/>
          <w:highlight w:val="none"/>
        </w:rPr>
      </w:pPr>
      <w:r>
        <w:rPr>
          <w:rFonts w:hint="eastAsia" w:hAnsi="宋体" w:cs="宋体"/>
          <w:snapToGrid w:val="0"/>
          <w:color w:val="auto"/>
          <w:kern w:val="0"/>
          <w:highlight w:val="none"/>
        </w:rPr>
        <w:t>总监理工程师：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w:t>
      </w:r>
    </w:p>
    <w:p w14:paraId="0C2580C4">
      <w:pPr>
        <w:pStyle w:val="74"/>
        <w:wordWrap w:val="0"/>
        <w:adjustRightInd w:val="0"/>
        <w:snapToGrid w:val="0"/>
        <w:spacing w:line="400" w:lineRule="exact"/>
        <w:jc w:val="center"/>
        <w:rPr>
          <w:rFonts w:hAnsi="宋体" w:cs="宋体"/>
          <w:snapToGrid w:val="0"/>
          <w:color w:val="auto"/>
          <w:kern w:val="0"/>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54D577A5">
      <w:pPr>
        <w:wordWrap w:val="0"/>
        <w:adjustRightInd w:val="0"/>
        <w:snapToGrid w:val="0"/>
        <w:spacing w:line="400" w:lineRule="exact"/>
        <w:ind w:firstLine="570"/>
        <w:rPr>
          <w:rFonts w:hAnsi="宋体" w:cs="宋体"/>
          <w:snapToGrid w:val="0"/>
          <w:color w:val="auto"/>
          <w:kern w:val="0"/>
          <w:szCs w:val="28"/>
          <w:highlight w:val="none"/>
        </w:rPr>
      </w:pPr>
    </w:p>
    <w:p w14:paraId="1CA52C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2．监理工程师注册证书彩色扫描件（须彩色扫描至变更注册栏）</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hAnsi="宋体" w:cs="宋体"/>
          <w:snapToGrid w:val="0"/>
          <w:color w:val="auto"/>
          <w:kern w:val="0"/>
          <w:sz w:val="21"/>
          <w:szCs w:val="28"/>
          <w:highlight w:val="none"/>
        </w:rPr>
        <w:t>；</w:t>
      </w:r>
    </w:p>
    <w:p w14:paraId="4FD46B7A">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03</w:t>
      </w:r>
      <w:r>
        <w:rPr>
          <w:rFonts w:hint="eastAsia" w:ascii="宋体" w:hAnsi="宋体" w:eastAsia="宋体" w:cs="宋体"/>
          <w:caps w:val="0"/>
          <w:smallCaps w:val="0"/>
          <w:snapToGrid w:val="0"/>
          <w:color w:val="auto"/>
          <w:spacing w:val="0"/>
          <w:kern w:val="0"/>
          <w:sz w:val="21"/>
          <w:szCs w:val="28"/>
          <w:highlight w:val="none"/>
          <w:lang w:val="en-US" w:eastAsia="zh-CN"/>
        </w:rPr>
        <w:t>月）彩色扫描件。</w:t>
      </w:r>
    </w:p>
    <w:p w14:paraId="2DC2A311">
      <w:pPr>
        <w:pStyle w:val="9"/>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4.“进粤企业和人员诚信信息登记平台”个人（总监理工程师等）信息情况截图。（适用于省外建筑企业）</w:t>
      </w:r>
    </w:p>
    <w:p w14:paraId="1FF4E9EC">
      <w:pPr>
        <w:pStyle w:val="9"/>
        <w:snapToGrid w:val="0"/>
        <w:spacing w:line="400" w:lineRule="exact"/>
        <w:rPr>
          <w:rFonts w:hAnsi="宋体" w:cs="宋体"/>
          <w:snapToGrid w:val="0"/>
          <w:color w:val="auto"/>
          <w:sz w:val="21"/>
          <w:highlight w:val="none"/>
        </w:rPr>
      </w:pPr>
    </w:p>
    <w:p w14:paraId="1F51A155">
      <w:pPr>
        <w:adjustRightInd w:val="0"/>
        <w:snapToGrid w:val="0"/>
        <w:spacing w:line="400" w:lineRule="exact"/>
        <w:rPr>
          <w:rFonts w:hAnsi="宋体" w:cs="宋体"/>
          <w:b/>
          <w:bCs/>
          <w:snapToGrid w:val="0"/>
          <w:color w:val="auto"/>
          <w:kern w:val="0"/>
          <w:szCs w:val="24"/>
          <w:highlight w:val="none"/>
        </w:rPr>
      </w:pPr>
      <w:bookmarkStart w:id="332" w:name="_Toc19546"/>
      <w:r>
        <w:rPr>
          <w:rFonts w:hint="eastAsia" w:hAnsi="宋体" w:cs="宋体"/>
          <w:b/>
          <w:bCs/>
          <w:snapToGrid w:val="0"/>
          <w:color w:val="auto"/>
          <w:kern w:val="0"/>
          <w:szCs w:val="24"/>
          <w:highlight w:val="none"/>
        </w:rPr>
        <w:br w:type="page"/>
      </w:r>
    </w:p>
    <w:p w14:paraId="32B105E3">
      <w:pPr>
        <w:pStyle w:val="149"/>
        <w:keepNext/>
        <w:keepLines/>
        <w:snapToGrid w:val="0"/>
        <w:spacing w:line="400" w:lineRule="exact"/>
        <w:jc w:val="both"/>
        <w:rPr>
          <w:rFonts w:ascii="宋体" w:hAnsi="宋体" w:cs="宋体"/>
          <w:b/>
          <w:bCs/>
          <w:snapToGrid w:val="0"/>
          <w:color w:val="auto"/>
          <w:highlight w:val="none"/>
        </w:rPr>
      </w:pPr>
      <w:bookmarkStart w:id="333" w:name="_Toc2307"/>
      <w:r>
        <w:rPr>
          <w:rFonts w:hint="eastAsia" w:ascii="宋体" w:hAnsi="宋体" w:cs="宋体"/>
          <w:b/>
          <w:bCs/>
          <w:snapToGrid w:val="0"/>
          <w:color w:val="auto"/>
          <w:highlight w:val="none"/>
        </w:rPr>
        <w:t>格式十二 其他拟派人员简历表</w:t>
      </w:r>
      <w:bookmarkEnd w:id="332"/>
      <w:bookmarkEnd w:id="333"/>
    </w:p>
    <w:p w14:paraId="6BB2F130">
      <w:pPr>
        <w:adjustRightInd w:val="0"/>
        <w:snapToGrid w:val="0"/>
        <w:spacing w:line="400" w:lineRule="exact"/>
        <w:jc w:val="center"/>
        <w:rPr>
          <w:rFonts w:hAnsi="宋体" w:cs="宋体"/>
          <w:b/>
          <w:bCs/>
          <w:color w:val="auto"/>
          <w:sz w:val="32"/>
          <w:szCs w:val="22"/>
          <w:highlight w:val="none"/>
        </w:rPr>
      </w:pPr>
    </w:p>
    <w:p w14:paraId="3FF56886">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其他拟派人员简历表（）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highlight w:val="none"/>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highlight w:val="none"/>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highlight w:val="none"/>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1AEF7FE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6A8FC6B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r>
              <w:rPr>
                <w:rFonts w:hint="eastAsia" w:hAnsi="宋体" w:cs="宋体"/>
                <w:snapToGrid w:val="0"/>
                <w:color w:val="auto"/>
                <w:kern w:val="0"/>
                <w:sz w:val="21"/>
                <w:szCs w:val="28"/>
                <w:highlight w:val="none"/>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highlight w:val="none"/>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highlight w:val="none"/>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highlight w:val="none"/>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highlight w:val="none"/>
              </w:rPr>
            </w:pPr>
          </w:p>
        </w:tc>
      </w:tr>
    </w:tbl>
    <w:p w14:paraId="77C02387">
      <w:pPr>
        <w:pStyle w:val="74"/>
        <w:wordWrap w:val="0"/>
        <w:adjustRightInd w:val="0"/>
        <w:snapToGrid w:val="0"/>
        <w:spacing w:line="400" w:lineRule="exact"/>
        <w:rPr>
          <w:rFonts w:hAnsi="宋体" w:cs="宋体"/>
          <w:snapToGrid w:val="0"/>
          <w:color w:val="auto"/>
          <w:kern w:val="0"/>
          <w:highlight w:val="none"/>
        </w:rPr>
      </w:pPr>
    </w:p>
    <w:p w14:paraId="51FC9EC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w:t>
      </w:r>
    </w:p>
    <w:p w14:paraId="2C895D48">
      <w:pPr>
        <w:wordWrap w:val="0"/>
        <w:adjustRightInd w:val="0"/>
        <w:snapToGrid w:val="0"/>
        <w:spacing w:line="400" w:lineRule="exact"/>
        <w:ind w:firstLine="420"/>
        <w:rPr>
          <w:rFonts w:hAnsi="宋体" w:cs="宋体"/>
          <w:snapToGrid w:val="0"/>
          <w:color w:val="auto"/>
          <w:kern w:val="0"/>
          <w:sz w:val="21"/>
          <w:szCs w:val="21"/>
          <w:highlight w:val="none"/>
        </w:rPr>
      </w:pPr>
      <w:r>
        <w:rPr>
          <w:rFonts w:hint="eastAsia" w:hAnsi="宋体" w:cs="宋体"/>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highlight w:val="none"/>
        </w:rPr>
        <w:t>并标明序号。</w:t>
      </w:r>
    </w:p>
    <w:p w14:paraId="784C9BD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highlight w:val="none"/>
          <w:lang w:val="en-US" w:eastAsia="zh-CN"/>
        </w:rPr>
      </w:pPr>
      <w:r>
        <w:rPr>
          <w:rFonts w:hint="eastAsia" w:hAnsi="宋体" w:cs="宋体"/>
          <w:snapToGrid w:val="0"/>
          <w:color w:val="auto"/>
          <w:kern w:val="0"/>
          <w:sz w:val="21"/>
          <w:szCs w:val="28"/>
          <w:highlight w:val="none"/>
        </w:rPr>
        <w:t>（2）相关证书彩色扫描件</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须彩色扫描至变更注册栏</w:t>
      </w:r>
      <w:r>
        <w:rPr>
          <w:rFonts w:hint="eastAsia" w:hAnsi="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ascii="宋体" w:hAnsi="宋体" w:eastAsia="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具体要求详见招标文件第一章第三节第</w:t>
      </w:r>
      <w:r>
        <w:rPr>
          <w:rFonts w:hint="eastAsia" w:hAnsi="宋体" w:cs="宋体"/>
          <w:b/>
          <w:bCs/>
          <w:snapToGrid w:val="0"/>
          <w:color w:val="auto"/>
          <w:kern w:val="0"/>
          <w:sz w:val="21"/>
          <w:szCs w:val="28"/>
          <w:highlight w:val="none"/>
        </w:rPr>
        <w:t>15.5</w:t>
      </w:r>
      <w:r>
        <w:rPr>
          <w:rFonts w:hint="eastAsia" w:hAnsi="宋体" w:cs="宋体"/>
          <w:snapToGrid w:val="0"/>
          <w:color w:val="auto"/>
          <w:kern w:val="0"/>
          <w:sz w:val="21"/>
          <w:szCs w:val="28"/>
          <w:highlight w:val="none"/>
        </w:rPr>
        <w:t>条表</w:t>
      </w:r>
      <w:r>
        <w:rPr>
          <w:rFonts w:hint="eastAsia" w:hAnsi="宋体" w:cs="宋体"/>
          <w:b/>
          <w:bCs/>
          <w:snapToGrid w:val="0"/>
          <w:color w:val="auto"/>
          <w:kern w:val="0"/>
          <w:sz w:val="21"/>
          <w:szCs w:val="28"/>
          <w:highlight w:val="none"/>
        </w:rPr>
        <w:t>2</w:t>
      </w:r>
      <w:r>
        <w:rPr>
          <w:rFonts w:hint="eastAsia" w:hAnsi="宋体" w:cs="宋体"/>
          <w:snapToGrid w:val="0"/>
          <w:color w:val="auto"/>
          <w:kern w:val="0"/>
          <w:sz w:val="21"/>
          <w:szCs w:val="28"/>
          <w:highlight w:val="none"/>
        </w:rPr>
        <w:t>《项目监理机构其他人员需求表》“持证要求”栏目</w:t>
      </w:r>
      <w:r>
        <w:rPr>
          <w:rFonts w:hint="eastAsia" w:hAnsi="宋体" w:cs="宋体"/>
          <w:snapToGrid w:val="0"/>
          <w:color w:val="auto"/>
          <w:kern w:val="0"/>
          <w:sz w:val="21"/>
          <w:szCs w:val="28"/>
          <w:highlight w:val="none"/>
          <w:lang w:val="en-US" w:eastAsia="zh-CN"/>
        </w:rPr>
        <w:t>；</w:t>
      </w:r>
    </w:p>
    <w:p w14:paraId="1BFF2D1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Times New Roman"/>
          <w:snapToGrid w:val="0"/>
          <w:color w:val="auto"/>
          <w:kern w:val="0"/>
          <w:sz w:val="21"/>
          <w:szCs w:val="28"/>
          <w:highlight w:val="none"/>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03</w:t>
      </w:r>
      <w:r>
        <w:rPr>
          <w:rFonts w:hint="eastAsia" w:ascii="宋体" w:hAnsi="宋体" w:eastAsia="宋体" w:cs="宋体"/>
          <w:caps w:val="0"/>
          <w:smallCaps w:val="0"/>
          <w:snapToGrid w:val="0"/>
          <w:color w:val="auto"/>
          <w:spacing w:val="0"/>
          <w:kern w:val="0"/>
          <w:sz w:val="21"/>
          <w:szCs w:val="28"/>
          <w:highlight w:val="none"/>
          <w:lang w:val="en-US" w:eastAsia="zh-CN"/>
        </w:rPr>
        <w:t>月）</w:t>
      </w:r>
      <w:r>
        <w:rPr>
          <w:rFonts w:hint="eastAsia" w:ascii="Times New Roman"/>
          <w:snapToGrid w:val="0"/>
          <w:color w:val="auto"/>
          <w:kern w:val="0"/>
          <w:sz w:val="21"/>
          <w:szCs w:val="28"/>
          <w:highlight w:val="none"/>
        </w:rPr>
        <w:t>彩色扫描件。</w:t>
      </w:r>
    </w:p>
    <w:p w14:paraId="14218DA9">
      <w:pPr>
        <w:pStyle w:val="9"/>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3.“进粤企业和人员诚信信息登记平台”个人信息情况截图。（适用于省外建筑企业）</w:t>
      </w:r>
    </w:p>
    <w:p w14:paraId="16DC49F0">
      <w:pPr>
        <w:rPr>
          <w:color w:val="auto"/>
          <w:highlight w:val="none"/>
        </w:rPr>
      </w:pPr>
      <w:bookmarkStart w:id="334" w:name="_Toc25312"/>
      <w:bookmarkStart w:id="335" w:name="_Toc593"/>
    </w:p>
    <w:p w14:paraId="4F5701AB">
      <w:pPr>
        <w:rPr>
          <w:color w:val="auto"/>
          <w:highlight w:val="none"/>
        </w:rPr>
      </w:pPr>
    </w:p>
    <w:p w14:paraId="0B0CC3A8">
      <w:pPr>
        <w:rPr>
          <w:color w:val="auto"/>
          <w:highlight w:val="none"/>
        </w:rPr>
      </w:pPr>
    </w:p>
    <w:p w14:paraId="0887FC9D">
      <w:pPr>
        <w:rPr>
          <w:color w:val="auto"/>
          <w:highlight w:val="none"/>
        </w:rPr>
      </w:pPr>
    </w:p>
    <w:p w14:paraId="746FE86D">
      <w:pPr>
        <w:rPr>
          <w:color w:val="auto"/>
          <w:highlight w:val="none"/>
        </w:rPr>
      </w:pPr>
    </w:p>
    <w:p w14:paraId="4A3461BE">
      <w:pPr>
        <w:bidi w:val="0"/>
        <w:rPr>
          <w:color w:val="auto"/>
          <w:highlight w:val="none"/>
        </w:rPr>
      </w:pPr>
    </w:p>
    <w:p w14:paraId="20F0C669">
      <w:pPr>
        <w:pStyle w:val="3"/>
        <w:bidi w:val="0"/>
        <w:rPr>
          <w:rFonts w:hint="default"/>
          <w:b/>
          <w:bCs/>
          <w:color w:val="auto"/>
          <w:highlight w:val="none"/>
          <w:lang w:val="en-US" w:eastAsia="zh-CN"/>
        </w:rPr>
      </w:pPr>
      <w:bookmarkStart w:id="336" w:name="_Toc27697"/>
      <w:r>
        <w:rPr>
          <w:rFonts w:hint="eastAsia"/>
          <w:b/>
          <w:bCs/>
          <w:color w:val="auto"/>
          <w:highlight w:val="none"/>
          <w:lang w:val="en-US" w:eastAsia="zh-CN"/>
        </w:rPr>
        <w:t>格式十三 原件一览表</w:t>
      </w:r>
      <w:bookmarkEnd w:id="336"/>
    </w:p>
    <w:tbl>
      <w:tblPr>
        <w:tblStyle w:val="3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highlight w:val="none"/>
              </w:rPr>
            </w:pPr>
            <w:r>
              <w:rPr>
                <w:rFonts w:hAnsi="宋体" w:cs="宋体"/>
                <w:b/>
                <w:color w:val="auto"/>
                <w:highlight w:val="none"/>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highlight w:val="none"/>
              </w:rPr>
            </w:pPr>
            <w:r>
              <w:rPr>
                <w:rFonts w:hAnsi="宋体" w:cs="宋体"/>
                <w:color w:val="auto"/>
                <w:sz w:val="24"/>
                <w:szCs w:val="24"/>
                <w:highlight w:val="none"/>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highlight w:val="none"/>
              </w:rPr>
            </w:pPr>
            <w:r>
              <w:rPr>
                <w:rFonts w:hAnsi="宋体" w:cs="宋体"/>
                <w:color w:val="auto"/>
                <w:sz w:val="24"/>
                <w:szCs w:val="24"/>
                <w:highlight w:val="none"/>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highlight w:val="none"/>
              </w:rPr>
            </w:pPr>
            <w:r>
              <w:rPr>
                <w:rFonts w:hAnsi="宋体" w:cs="宋体"/>
                <w:color w:val="auto"/>
                <w:sz w:val="24"/>
                <w:szCs w:val="24"/>
                <w:highlight w:val="none"/>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highlight w:val="none"/>
              </w:rPr>
            </w:pPr>
            <w:r>
              <w:rPr>
                <w:rFonts w:hAnsi="宋体" w:cs="宋体"/>
                <w:color w:val="auto"/>
                <w:sz w:val="24"/>
                <w:szCs w:val="24"/>
                <w:highlight w:val="none"/>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highlight w:val="none"/>
              </w:rPr>
            </w:pPr>
            <w:r>
              <w:rPr>
                <w:rFonts w:hAnsi="宋体" w:cs="宋体"/>
                <w:color w:val="auto"/>
                <w:sz w:val="24"/>
                <w:szCs w:val="24"/>
                <w:highlight w:val="none"/>
              </w:rPr>
              <w:t>投标人法定代表人或其</w:t>
            </w:r>
          </w:p>
          <w:p w14:paraId="77524DC3">
            <w:pPr>
              <w:jc w:val="center"/>
              <w:rPr>
                <w:rFonts w:hAnsi="宋体" w:cs="宋体"/>
                <w:color w:val="auto"/>
                <w:sz w:val="24"/>
                <w:szCs w:val="24"/>
                <w:highlight w:val="none"/>
              </w:rPr>
            </w:pPr>
            <w:r>
              <w:rPr>
                <w:rFonts w:hAnsi="宋体" w:cs="宋体"/>
                <w:color w:val="auto"/>
                <w:sz w:val="24"/>
                <w:szCs w:val="24"/>
                <w:highlight w:val="none"/>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highlight w:val="none"/>
              </w:rPr>
            </w:pPr>
            <w:r>
              <w:rPr>
                <w:rFonts w:hAnsi="宋体" w:cs="宋体"/>
                <w:color w:val="auto"/>
                <w:sz w:val="24"/>
                <w:szCs w:val="24"/>
                <w:highlight w:val="none"/>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highlight w:val="none"/>
              </w:rPr>
            </w:pPr>
            <w:r>
              <w:rPr>
                <w:rFonts w:hAnsi="宋体" w:cs="宋体"/>
                <w:color w:val="auto"/>
                <w:sz w:val="24"/>
                <w:szCs w:val="24"/>
                <w:highlight w:val="none"/>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highlight w:val="none"/>
              </w:rPr>
            </w:pPr>
            <w:r>
              <w:rPr>
                <w:rFonts w:hAnsi="宋体" w:cs="宋体"/>
                <w:color w:val="auto"/>
                <w:sz w:val="24"/>
                <w:szCs w:val="24"/>
                <w:highlight w:val="none"/>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highlight w:val="none"/>
              </w:rPr>
            </w:pPr>
            <w:r>
              <w:rPr>
                <w:rFonts w:hAnsi="宋体" w:cs="宋体"/>
                <w:color w:val="auto"/>
                <w:sz w:val="24"/>
                <w:szCs w:val="24"/>
                <w:highlight w:val="none"/>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highlight w:val="none"/>
              </w:rPr>
            </w:pPr>
            <w:r>
              <w:rPr>
                <w:rFonts w:hAnsi="宋体" w:cs="宋体"/>
                <w:color w:val="auto"/>
                <w:sz w:val="24"/>
                <w:szCs w:val="24"/>
                <w:highlight w:val="none"/>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highlight w:val="none"/>
              </w:rPr>
            </w:pPr>
            <w:r>
              <w:rPr>
                <w:rFonts w:hAnsi="宋体" w:cs="宋体"/>
                <w:color w:val="auto"/>
                <w:sz w:val="24"/>
                <w:szCs w:val="24"/>
                <w:highlight w:val="none"/>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highlight w:val="none"/>
              </w:rPr>
            </w:pPr>
            <w:r>
              <w:rPr>
                <w:rFonts w:hAnsi="宋体" w:cs="宋体"/>
                <w:color w:val="auto"/>
                <w:sz w:val="24"/>
                <w:szCs w:val="24"/>
                <w:highlight w:val="none"/>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highlight w:val="none"/>
              </w:rPr>
            </w:pPr>
            <w:r>
              <w:rPr>
                <w:rFonts w:hAnsi="宋体" w:cs="宋体"/>
                <w:color w:val="auto"/>
                <w:sz w:val="24"/>
                <w:szCs w:val="24"/>
                <w:highlight w:val="none"/>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highlight w:val="none"/>
              </w:rPr>
            </w:pPr>
            <w:r>
              <w:rPr>
                <w:rFonts w:hint="eastAsia" w:hAnsi="宋体" w:cs="宋体"/>
                <w:color w:val="auto"/>
                <w:sz w:val="24"/>
                <w:szCs w:val="24"/>
                <w:highlight w:val="none"/>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highlight w:val="none"/>
              </w:rPr>
            </w:pPr>
            <w:r>
              <w:rPr>
                <w:rFonts w:hAnsi="宋体" w:cs="宋体"/>
                <w:color w:val="auto"/>
                <w:sz w:val="24"/>
                <w:szCs w:val="24"/>
                <w:highlight w:val="none"/>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highlight w:val="none"/>
              </w:rPr>
            </w:pPr>
            <w:r>
              <w:rPr>
                <w:rFonts w:hint="eastAsia" w:hAnsi="宋体" w:cs="宋体"/>
                <w:color w:val="auto"/>
                <w:sz w:val="24"/>
                <w:szCs w:val="24"/>
                <w:highlight w:val="none"/>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highlight w:val="none"/>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highlight w:val="none"/>
              </w:rPr>
            </w:pPr>
            <w:r>
              <w:rPr>
                <w:rFonts w:hint="eastAsia" w:hAnsi="宋体" w:cs="宋体"/>
                <w:color w:val="auto"/>
                <w:sz w:val="24"/>
                <w:szCs w:val="24"/>
                <w:highlight w:val="none"/>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highlight w:val="none"/>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highlight w:val="none"/>
              </w:rPr>
            </w:pPr>
            <w:r>
              <w:rPr>
                <w:rFonts w:hint="eastAsia" w:hAnsi="宋体" w:cs="宋体"/>
                <w:color w:val="auto"/>
                <w:sz w:val="24"/>
                <w:szCs w:val="24"/>
                <w:highlight w:val="none"/>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highlight w:val="none"/>
              </w:rPr>
            </w:pPr>
            <w:r>
              <w:rPr>
                <w:rFonts w:hAnsi="宋体" w:cs="宋体"/>
                <w:color w:val="auto"/>
                <w:sz w:val="24"/>
                <w:szCs w:val="24"/>
                <w:highlight w:val="none"/>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highlight w:val="none"/>
              </w:rPr>
            </w:pPr>
            <w:r>
              <w:rPr>
                <w:rFonts w:hint="eastAsia" w:hAnsi="宋体" w:cs="宋体"/>
                <w:color w:val="auto"/>
                <w:sz w:val="24"/>
                <w:szCs w:val="24"/>
                <w:highlight w:val="none"/>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highlight w:val="none"/>
              </w:rPr>
            </w:pPr>
            <w:r>
              <w:rPr>
                <w:rFonts w:hint="eastAsia" w:hAnsi="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highlight w:val="none"/>
              </w:rPr>
            </w:pPr>
            <w:r>
              <w:rPr>
                <w:rFonts w:hint="eastAsia" w:hAnsi="宋体" w:cs="宋体"/>
                <w:color w:val="auto"/>
                <w:sz w:val="24"/>
                <w:szCs w:val="24"/>
                <w:highlight w:val="none"/>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highlight w:val="none"/>
              </w:rPr>
            </w:pPr>
            <w:r>
              <w:rPr>
                <w:rFonts w:hint="eastAsia" w:hAnsi="宋体" w:cs="宋体"/>
                <w:color w:val="auto"/>
                <w:sz w:val="24"/>
                <w:szCs w:val="24"/>
                <w:highlight w:val="none"/>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highlight w:val="none"/>
              </w:rPr>
            </w:pPr>
            <w:r>
              <w:rPr>
                <w:rFonts w:hint="eastAsia" w:hAnsi="宋体" w:cs="宋体"/>
                <w:color w:val="auto"/>
                <w:sz w:val="24"/>
                <w:szCs w:val="24"/>
                <w:highlight w:val="none"/>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highlight w:val="none"/>
              </w:rPr>
            </w:pPr>
            <w:r>
              <w:rPr>
                <w:rFonts w:hint="eastAsia" w:hAnsi="宋体" w:cs="宋体"/>
                <w:color w:val="auto"/>
                <w:sz w:val="24"/>
                <w:szCs w:val="24"/>
                <w:highlight w:val="none"/>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bl>
    <w:p w14:paraId="2043B9AC">
      <w:pPr>
        <w:bidi w:val="0"/>
        <w:rPr>
          <w:color w:val="auto"/>
          <w:highlight w:val="none"/>
        </w:rPr>
      </w:pPr>
    </w:p>
    <w:p w14:paraId="59158BD3">
      <w:pPr>
        <w:rPr>
          <w:color w:val="auto"/>
          <w:highlight w:val="none"/>
        </w:rPr>
      </w:pPr>
    </w:p>
    <w:p w14:paraId="65603D6D">
      <w:pPr>
        <w:rPr>
          <w:color w:val="auto"/>
          <w:highlight w:val="none"/>
        </w:rPr>
      </w:pPr>
      <w:r>
        <w:rPr>
          <w:color w:val="auto"/>
          <w:highlight w:val="none"/>
        </w:rPr>
        <w:br w:type="page"/>
      </w:r>
    </w:p>
    <w:p w14:paraId="112E319F">
      <w:pPr>
        <w:pStyle w:val="3"/>
        <w:bidi w:val="0"/>
        <w:rPr>
          <w:rFonts w:hint="eastAsia" w:hAnsi="Times New Roman" w:cs="Times New Roman"/>
          <w:b/>
          <w:bCs/>
          <w:color w:val="auto"/>
          <w:highlight w:val="none"/>
          <w:lang w:val="en-US" w:eastAsia="zh-CN"/>
        </w:rPr>
      </w:pPr>
      <w:bookmarkStart w:id="337" w:name="_Toc17397"/>
      <w:r>
        <w:rPr>
          <w:rFonts w:hint="eastAsia" w:hAnsi="Times New Roman" w:cs="Times New Roman"/>
          <w:b/>
          <w:bCs/>
          <w:color w:val="auto"/>
          <w:highlight w:val="none"/>
          <w:lang w:val="en-US" w:eastAsia="zh-CN"/>
        </w:rPr>
        <w:t>格式十四 定标因素评审资料</w:t>
      </w:r>
      <w:bookmarkEnd w:id="337"/>
    </w:p>
    <w:p w14:paraId="23C6340E">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定标因素评审资料</w:t>
      </w:r>
    </w:p>
    <w:p w14:paraId="5D2B4D60">
      <w:pPr>
        <w:jc w:val="left"/>
        <w:rPr>
          <w:rFonts w:hint="eastAsia" w:ascii="宋体" w:hAnsi="宋体" w:eastAsia="宋体" w:cs="宋体"/>
          <w:color w:val="auto"/>
          <w:sz w:val="24"/>
          <w:highlight w:val="none"/>
          <w:lang w:eastAsia="zh-CN"/>
        </w:rPr>
      </w:pPr>
    </w:p>
    <w:p w14:paraId="25F0CAE5">
      <w:pPr>
        <w:bidi w:val="0"/>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val="en-US" w:eastAsia="zh-CN"/>
        </w:rPr>
        <w:t>投标人根据“</w:t>
      </w:r>
      <w:r>
        <w:rPr>
          <w:rFonts w:hint="eastAsia" w:ascii="宋体" w:hAnsi="宋体" w:eastAsia="宋体" w:cs="宋体"/>
          <w:b w:val="0"/>
          <w:bCs w:val="0"/>
          <w:color w:val="auto"/>
          <w:sz w:val="28"/>
          <w:szCs w:val="28"/>
          <w:highlight w:val="none"/>
        </w:rPr>
        <w:t>第</w:t>
      </w:r>
      <w:r>
        <w:rPr>
          <w:rFonts w:hint="eastAsia" w:hAnsi="宋体" w:cs="宋体"/>
          <w:b w:val="0"/>
          <w:bCs w:val="0"/>
          <w:color w:val="auto"/>
          <w:sz w:val="28"/>
          <w:szCs w:val="28"/>
          <w:highlight w:val="none"/>
          <w:lang w:eastAsia="zh-CN"/>
        </w:rPr>
        <w:t>一</w:t>
      </w:r>
      <w:r>
        <w:rPr>
          <w:rFonts w:hint="eastAsia" w:ascii="宋体" w:hAnsi="宋体" w:eastAsia="宋体" w:cs="宋体"/>
          <w:b w:val="0"/>
          <w:bCs w:val="0"/>
          <w:color w:val="auto"/>
          <w:sz w:val="28"/>
          <w:szCs w:val="28"/>
          <w:highlight w:val="none"/>
        </w:rPr>
        <w:t xml:space="preserve">章 </w:t>
      </w:r>
      <w:r>
        <w:rPr>
          <w:rFonts w:hint="eastAsia" w:hAnsi="宋体" w:cs="宋体"/>
          <w:b w:val="0"/>
          <w:bCs w:val="0"/>
          <w:color w:val="auto"/>
          <w:sz w:val="28"/>
          <w:szCs w:val="28"/>
          <w:highlight w:val="none"/>
          <w:lang w:eastAsia="zh-CN"/>
        </w:rPr>
        <w:t>第五节</w:t>
      </w:r>
      <w:r>
        <w:rPr>
          <w:rFonts w:hint="eastAsia" w:hAnsi="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lang w:eastAsia="zh-CN"/>
        </w:rPr>
        <w:t>定标</w:t>
      </w:r>
      <w:r>
        <w:rPr>
          <w:rFonts w:hint="eastAsia" w:ascii="宋体" w:hAnsi="宋体" w:eastAsia="宋体" w:cs="宋体"/>
          <w:b w:val="0"/>
          <w:bCs w:val="0"/>
          <w:color w:val="auto"/>
          <w:sz w:val="28"/>
          <w:szCs w:val="28"/>
          <w:highlight w:val="none"/>
          <w:lang w:val="en-US" w:eastAsia="zh-CN"/>
        </w:rPr>
        <w:t>”载明的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p w14:paraId="1FF4C652">
      <w:pPr>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br w:type="page"/>
      </w:r>
    </w:p>
    <w:p w14:paraId="65B63C1F">
      <w:pPr>
        <w:bidi w:val="0"/>
        <w:rPr>
          <w:rFonts w:hint="eastAsia" w:ascii="宋体" w:hAnsi="宋体" w:eastAsia="宋体" w:cs="宋体"/>
          <w:b w:val="0"/>
          <w:bCs w:val="0"/>
          <w:color w:val="auto"/>
          <w:sz w:val="28"/>
          <w:szCs w:val="28"/>
          <w:highlight w:val="none"/>
          <w:lang w:eastAsia="zh-CN"/>
        </w:rPr>
      </w:pPr>
    </w:p>
    <w:bookmarkEnd w:id="334"/>
    <w:bookmarkEnd w:id="335"/>
    <w:p w14:paraId="6FEFA5B3">
      <w:pPr>
        <w:pStyle w:val="150"/>
        <w:keepNext/>
        <w:keepLines/>
        <w:snapToGrid w:val="0"/>
        <w:spacing w:line="400" w:lineRule="exact"/>
        <w:jc w:val="center"/>
        <w:rPr>
          <w:rFonts w:ascii="宋体" w:hAnsi="宋体" w:cs="宋体"/>
          <w:b/>
          <w:color w:val="auto"/>
          <w:kern w:val="44"/>
          <w:sz w:val="32"/>
          <w:szCs w:val="22"/>
          <w:highlight w:val="none"/>
        </w:rPr>
      </w:pPr>
      <w:bookmarkStart w:id="338" w:name="_Toc137444778"/>
      <w:bookmarkStart w:id="339" w:name="_Toc26162"/>
      <w:bookmarkStart w:id="340" w:name="_Toc142468134"/>
      <w:bookmarkStart w:id="341" w:name="_Toc132687128"/>
      <w:bookmarkStart w:id="342" w:name="_Toc13722"/>
      <w:bookmarkStart w:id="343" w:name="_Toc133160683"/>
      <w:bookmarkStart w:id="344" w:name="_Toc3174"/>
      <w:bookmarkStart w:id="345" w:name="_Toc133815902"/>
      <w:bookmarkStart w:id="346" w:name="_Toc78794873"/>
      <w:r>
        <w:rPr>
          <w:rFonts w:hint="eastAsia" w:ascii="宋体" w:hAnsi="宋体" w:cs="宋体"/>
          <w:b/>
          <w:color w:val="auto"/>
          <w:kern w:val="44"/>
          <w:sz w:val="32"/>
          <w:szCs w:val="22"/>
          <w:highlight w:val="none"/>
        </w:rPr>
        <w:t>第六章 建设工程监理合同</w:t>
      </w:r>
      <w:bookmarkEnd w:id="338"/>
      <w:bookmarkEnd w:id="339"/>
      <w:bookmarkEnd w:id="340"/>
      <w:bookmarkEnd w:id="341"/>
      <w:bookmarkEnd w:id="342"/>
      <w:bookmarkEnd w:id="343"/>
      <w:bookmarkEnd w:id="344"/>
    </w:p>
    <w:p w14:paraId="489A5B59">
      <w:pPr>
        <w:wordWrap w:val="0"/>
        <w:adjustRightInd w:val="0"/>
        <w:snapToGrid w:val="0"/>
        <w:spacing w:before="360" w:beforeLines="150" w:line="400" w:lineRule="exact"/>
        <w:rPr>
          <w:rFonts w:hAnsi="宋体" w:cs="宋体"/>
          <w:color w:val="auto"/>
          <w:highlight w:val="none"/>
        </w:rPr>
      </w:pPr>
      <w:r>
        <w:rPr>
          <w:rFonts w:hint="eastAsia" w:hAnsi="宋体" w:cs="宋体"/>
          <w:snapToGrid w:val="0"/>
          <w:color w:val="auto"/>
          <w:kern w:val="0"/>
          <w:highlight w:val="none"/>
        </w:rPr>
        <w:t xml:space="preserve">    （略），</w:t>
      </w:r>
      <w:bookmarkEnd w:id="345"/>
      <w:bookmarkEnd w:id="346"/>
      <w:r>
        <w:rPr>
          <w:rFonts w:hint="eastAsia" w:hAnsi="宋体" w:cs="宋体"/>
          <w:snapToGrid w:val="0"/>
          <w:color w:val="auto"/>
          <w:kern w:val="0"/>
          <w:highlight w:val="none"/>
        </w:rPr>
        <w:t>按照《建设工程监理合同（示范文本）》（GF—2012—0202）执行。</w:t>
      </w:r>
    </w:p>
    <w:p w14:paraId="6CF11764">
      <w:pPr>
        <w:pStyle w:val="9"/>
        <w:snapToGrid w:val="0"/>
        <w:spacing w:line="400" w:lineRule="exact"/>
        <w:rPr>
          <w:rFonts w:hAnsi="宋体" w:cs="宋体"/>
          <w:snapToGrid w:val="0"/>
          <w:color w:val="auto"/>
          <w:highlight w:val="none"/>
        </w:rPr>
      </w:pPr>
    </w:p>
    <w:p w14:paraId="05AE5769">
      <w:pPr>
        <w:pStyle w:val="73"/>
        <w:widowControl w:val="0"/>
        <w:wordWrap w:val="0"/>
        <w:adjustRightInd w:val="0"/>
        <w:snapToGrid w:val="0"/>
        <w:spacing w:line="400" w:lineRule="exact"/>
        <w:ind w:firstLine="0"/>
        <w:rPr>
          <w:rFonts w:hAnsi="宋体" w:cs="宋体"/>
          <w:snapToGrid w:val="0"/>
          <w:color w:val="auto"/>
          <w:sz w:val="21"/>
          <w:highlight w:val="none"/>
        </w:rPr>
      </w:pPr>
    </w:p>
    <w:sectPr>
      <w:footerReference r:id="rId7" w:type="default"/>
      <w:endnotePr>
        <w:numFmt w:val="decimal"/>
      </w:endnotePr>
      <w:pgSz w:w="11906" w:h="16838"/>
      <w:pgMar w:top="1134" w:right="1134" w:bottom="1134" w:left="1134" w:header="850" w:footer="850" w:gutter="0"/>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D23B4">
    <w:pPr>
      <w:pStyle w:val="110"/>
      <w:pBdr>
        <w:between w:val="none" w:color="auto" w:sz="0" w:space="0"/>
      </w:pBdr>
      <w:tabs>
        <w:tab w:val="left" w:pos="4803"/>
        <w:tab w:val="clear" w:pos="4153"/>
      </w:tabs>
      <w:rPr>
        <w:rFonts w:hint="eastAsia"/>
      </w:rPr>
    </w:pPr>
    <w:r>
      <w:rPr>
        <w:rFonts w:hint="eastAsia"/>
      </w:rPr>
      <w:tab/>
    </w:r>
  </w:p>
  <w:p w14:paraId="3881DEF1">
    <w:pPr>
      <w:pStyle w:val="110"/>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60097F">
                          <w:pPr>
                            <w:pStyle w:val="19"/>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iymp9cBAACyAwAADgAAAGRycy9lMm9Eb2MueG1srVPBjtMwEL0j8Q+W&#10;7zTZIq2qqOkKqBYhIUBa9gNcx2ks2R7LnjYpHwB/wIkLd76r38HYSbqwXPbAJRnPjN+8NzNe3wzW&#10;sKMKUYOr+dWi5Ew5CY12+5rff759seIsonCNMOBUzU8q8pvN82fr3ldqCR2YRgVGIC5Wva95h+ir&#10;ooiyU1bEBXjlKNhCsALpGPZFE0RP6NYUy7K8LnoIjQ8gVYzk3Y5BPiGGpwBC22qptiAPVjkcUYMy&#10;AklS7LSPfJPZtq2S+LFto0Jmak5KMX+pCNm79C02a1Htg/CdlhMF8RQKjzRZoR0VvUBtBQp2CPof&#10;KKtlgAgtLiTYYhSSO0IqrspHvbnrhFdZC7U6+kvT4/+DlR+OnwLTTc2vOXPC0sDP37+df/w6//zK&#10;Xqb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ospqfXAQAAsgMAAA4AAAAAAAAAAQAgAAAA&#10;HgEAAGRycy9lMm9Eb2MueG1sUEsFBgAAAAAGAAYAWQEAAGcFAAAAAA==&#10;">
              <v:fill on="f" focussize="0,0"/>
              <v:stroke on="f"/>
              <v:imagedata o:title=""/>
              <o:lock v:ext="edit" aspectratio="f"/>
              <v:textbox inset="0mm,0mm,0mm,0mm" style="mso-fit-shape-to-text:t;">
                <w:txbxContent>
                  <w:p w14:paraId="6360097F">
                    <w:pPr>
                      <w:pStyle w:val="19"/>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A73AE3">
                          <w:pPr>
                            <w:pStyle w:val="19"/>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75A73AE3">
                    <w:pPr>
                      <w:pStyle w:val="19"/>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78314"/>
    <w:multiLevelType w:val="singleLevel"/>
    <w:tmpl w:val="84678314"/>
    <w:lvl w:ilvl="0" w:tentative="0">
      <w:start w:val="1"/>
      <w:numFmt w:val="decimal"/>
      <w:lvlText w:val="%1."/>
      <w:lvlJc w:val="left"/>
      <w:pPr>
        <w:tabs>
          <w:tab w:val="left" w:pos="312"/>
        </w:tabs>
      </w:pPr>
      <w:rPr>
        <w:rFonts w:hint="default"/>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2E36C1"/>
    <w:rsid w:val="00410516"/>
    <w:rsid w:val="00484F5E"/>
    <w:rsid w:val="004B70BA"/>
    <w:rsid w:val="004D7577"/>
    <w:rsid w:val="00567655"/>
    <w:rsid w:val="00590B05"/>
    <w:rsid w:val="005B2D42"/>
    <w:rsid w:val="006D0E2D"/>
    <w:rsid w:val="00715412"/>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4F219D"/>
    <w:rsid w:val="0158531E"/>
    <w:rsid w:val="01AC7678"/>
    <w:rsid w:val="01AF70E0"/>
    <w:rsid w:val="01C427EB"/>
    <w:rsid w:val="01D07479"/>
    <w:rsid w:val="01D22CED"/>
    <w:rsid w:val="01DA01AC"/>
    <w:rsid w:val="01F86CD9"/>
    <w:rsid w:val="02647AB9"/>
    <w:rsid w:val="027C0AD0"/>
    <w:rsid w:val="02BB47BA"/>
    <w:rsid w:val="02BE191A"/>
    <w:rsid w:val="02D320E0"/>
    <w:rsid w:val="02D446CD"/>
    <w:rsid w:val="02E6644C"/>
    <w:rsid w:val="03280EF8"/>
    <w:rsid w:val="032B3195"/>
    <w:rsid w:val="03353615"/>
    <w:rsid w:val="03606DA8"/>
    <w:rsid w:val="03826431"/>
    <w:rsid w:val="03AA0611"/>
    <w:rsid w:val="03AE02E8"/>
    <w:rsid w:val="03B83805"/>
    <w:rsid w:val="0455083C"/>
    <w:rsid w:val="04780182"/>
    <w:rsid w:val="04841E6C"/>
    <w:rsid w:val="048707A2"/>
    <w:rsid w:val="04D81F7C"/>
    <w:rsid w:val="05D37647"/>
    <w:rsid w:val="06096CBB"/>
    <w:rsid w:val="06336531"/>
    <w:rsid w:val="0636289C"/>
    <w:rsid w:val="06372B69"/>
    <w:rsid w:val="06403908"/>
    <w:rsid w:val="06437A4D"/>
    <w:rsid w:val="064E157F"/>
    <w:rsid w:val="06685A39"/>
    <w:rsid w:val="066863D5"/>
    <w:rsid w:val="0680104B"/>
    <w:rsid w:val="06B12BCD"/>
    <w:rsid w:val="06BD5A5C"/>
    <w:rsid w:val="06CE69E4"/>
    <w:rsid w:val="06F44232"/>
    <w:rsid w:val="071A4FFB"/>
    <w:rsid w:val="072F60EA"/>
    <w:rsid w:val="073003F6"/>
    <w:rsid w:val="073C1416"/>
    <w:rsid w:val="07626CD1"/>
    <w:rsid w:val="076349FE"/>
    <w:rsid w:val="07E01DA1"/>
    <w:rsid w:val="07F654CB"/>
    <w:rsid w:val="07F90245"/>
    <w:rsid w:val="08077FE9"/>
    <w:rsid w:val="08432B8E"/>
    <w:rsid w:val="08562C40"/>
    <w:rsid w:val="085D1A1C"/>
    <w:rsid w:val="0872069D"/>
    <w:rsid w:val="08767FD2"/>
    <w:rsid w:val="087D7F38"/>
    <w:rsid w:val="08970A40"/>
    <w:rsid w:val="09702125"/>
    <w:rsid w:val="09B41737"/>
    <w:rsid w:val="09CA2D09"/>
    <w:rsid w:val="09E65669"/>
    <w:rsid w:val="09EA5159"/>
    <w:rsid w:val="09F5235C"/>
    <w:rsid w:val="0A073F5D"/>
    <w:rsid w:val="0A0E69FD"/>
    <w:rsid w:val="0A3E54A5"/>
    <w:rsid w:val="0A476F6E"/>
    <w:rsid w:val="0A570314"/>
    <w:rsid w:val="0A6523F4"/>
    <w:rsid w:val="0A685FB5"/>
    <w:rsid w:val="0A740EC6"/>
    <w:rsid w:val="0A9F6084"/>
    <w:rsid w:val="0B4006EB"/>
    <w:rsid w:val="0B914627"/>
    <w:rsid w:val="0B9B6EF0"/>
    <w:rsid w:val="0B9E10B5"/>
    <w:rsid w:val="0B9E1CB0"/>
    <w:rsid w:val="0BC47C2C"/>
    <w:rsid w:val="0C0D7AE6"/>
    <w:rsid w:val="0CA02447"/>
    <w:rsid w:val="0CA20070"/>
    <w:rsid w:val="0CC7733C"/>
    <w:rsid w:val="0CC80FED"/>
    <w:rsid w:val="0CD32A34"/>
    <w:rsid w:val="0CF12128"/>
    <w:rsid w:val="0D140105"/>
    <w:rsid w:val="0D364445"/>
    <w:rsid w:val="0D7E1192"/>
    <w:rsid w:val="0DB82B2F"/>
    <w:rsid w:val="0E0322E5"/>
    <w:rsid w:val="0E650489"/>
    <w:rsid w:val="0E8273DD"/>
    <w:rsid w:val="0E954BA0"/>
    <w:rsid w:val="0EAF2288"/>
    <w:rsid w:val="0EC544EB"/>
    <w:rsid w:val="0EE213FB"/>
    <w:rsid w:val="0F177F3C"/>
    <w:rsid w:val="0F287BA3"/>
    <w:rsid w:val="0F3B1552"/>
    <w:rsid w:val="0F823F1F"/>
    <w:rsid w:val="0FA1224B"/>
    <w:rsid w:val="0FAB1B4B"/>
    <w:rsid w:val="0FC147F0"/>
    <w:rsid w:val="0FC83017"/>
    <w:rsid w:val="0FDA6D40"/>
    <w:rsid w:val="0FDE143F"/>
    <w:rsid w:val="0FED49BA"/>
    <w:rsid w:val="106F6EDC"/>
    <w:rsid w:val="10AE33E1"/>
    <w:rsid w:val="10BB100E"/>
    <w:rsid w:val="10CF5BBB"/>
    <w:rsid w:val="10E072B6"/>
    <w:rsid w:val="10F42D61"/>
    <w:rsid w:val="10FB5335"/>
    <w:rsid w:val="10FD39C4"/>
    <w:rsid w:val="112D1D65"/>
    <w:rsid w:val="11303196"/>
    <w:rsid w:val="11360437"/>
    <w:rsid w:val="113B11BA"/>
    <w:rsid w:val="11515ABE"/>
    <w:rsid w:val="116021A5"/>
    <w:rsid w:val="11A42091"/>
    <w:rsid w:val="11D67B34"/>
    <w:rsid w:val="11F70077"/>
    <w:rsid w:val="11FE6FE0"/>
    <w:rsid w:val="121459A3"/>
    <w:rsid w:val="121611D1"/>
    <w:rsid w:val="124F46F3"/>
    <w:rsid w:val="127C2803"/>
    <w:rsid w:val="127E10FD"/>
    <w:rsid w:val="12851648"/>
    <w:rsid w:val="128819B3"/>
    <w:rsid w:val="12884038"/>
    <w:rsid w:val="128F3694"/>
    <w:rsid w:val="12C13398"/>
    <w:rsid w:val="12C45D4D"/>
    <w:rsid w:val="12F876BF"/>
    <w:rsid w:val="13114669"/>
    <w:rsid w:val="132029E9"/>
    <w:rsid w:val="132F1E2E"/>
    <w:rsid w:val="13351019"/>
    <w:rsid w:val="135B72ED"/>
    <w:rsid w:val="136C6CCA"/>
    <w:rsid w:val="13841C28"/>
    <w:rsid w:val="139A08A3"/>
    <w:rsid w:val="13B3480E"/>
    <w:rsid w:val="13BE434A"/>
    <w:rsid w:val="13C925E9"/>
    <w:rsid w:val="13D87533"/>
    <w:rsid w:val="13E2760C"/>
    <w:rsid w:val="13E55A7C"/>
    <w:rsid w:val="13ED238A"/>
    <w:rsid w:val="141719EA"/>
    <w:rsid w:val="144D28BE"/>
    <w:rsid w:val="14A11363"/>
    <w:rsid w:val="14AD3C82"/>
    <w:rsid w:val="14AD638E"/>
    <w:rsid w:val="14D507B4"/>
    <w:rsid w:val="14E82BDD"/>
    <w:rsid w:val="150717C8"/>
    <w:rsid w:val="1530421B"/>
    <w:rsid w:val="15335E3C"/>
    <w:rsid w:val="154C316C"/>
    <w:rsid w:val="15585425"/>
    <w:rsid w:val="15632821"/>
    <w:rsid w:val="156E0438"/>
    <w:rsid w:val="159710CE"/>
    <w:rsid w:val="1613202A"/>
    <w:rsid w:val="161A6DC6"/>
    <w:rsid w:val="161D4E95"/>
    <w:rsid w:val="162C017A"/>
    <w:rsid w:val="16435C60"/>
    <w:rsid w:val="16561DB0"/>
    <w:rsid w:val="165B50B5"/>
    <w:rsid w:val="16715F6C"/>
    <w:rsid w:val="16744260"/>
    <w:rsid w:val="168C342C"/>
    <w:rsid w:val="16921052"/>
    <w:rsid w:val="16991967"/>
    <w:rsid w:val="16A92C1F"/>
    <w:rsid w:val="16AB4918"/>
    <w:rsid w:val="16DF3B6C"/>
    <w:rsid w:val="16E216B8"/>
    <w:rsid w:val="17292082"/>
    <w:rsid w:val="17394FF8"/>
    <w:rsid w:val="17A50E24"/>
    <w:rsid w:val="17DE305B"/>
    <w:rsid w:val="17EB6EF9"/>
    <w:rsid w:val="17EF123E"/>
    <w:rsid w:val="181E2472"/>
    <w:rsid w:val="186F67C2"/>
    <w:rsid w:val="18AC5722"/>
    <w:rsid w:val="18BA750B"/>
    <w:rsid w:val="18C03544"/>
    <w:rsid w:val="18D45DFC"/>
    <w:rsid w:val="18DD6311"/>
    <w:rsid w:val="19000928"/>
    <w:rsid w:val="192856B3"/>
    <w:rsid w:val="19506374"/>
    <w:rsid w:val="19A21714"/>
    <w:rsid w:val="19AB63C4"/>
    <w:rsid w:val="1A0D6313"/>
    <w:rsid w:val="1A3810FE"/>
    <w:rsid w:val="1A3D0F0C"/>
    <w:rsid w:val="1A4A48FF"/>
    <w:rsid w:val="1A501F1B"/>
    <w:rsid w:val="1A7C0E8F"/>
    <w:rsid w:val="1A866C12"/>
    <w:rsid w:val="1A9A0468"/>
    <w:rsid w:val="1ABE60EB"/>
    <w:rsid w:val="1AFB4481"/>
    <w:rsid w:val="1B3626B5"/>
    <w:rsid w:val="1B544E28"/>
    <w:rsid w:val="1B5938A5"/>
    <w:rsid w:val="1B5D1E9E"/>
    <w:rsid w:val="1B6323E0"/>
    <w:rsid w:val="1B776451"/>
    <w:rsid w:val="1BAE4064"/>
    <w:rsid w:val="1BD16179"/>
    <w:rsid w:val="1BD712B5"/>
    <w:rsid w:val="1BDB2B53"/>
    <w:rsid w:val="1C0D795C"/>
    <w:rsid w:val="1C0F788B"/>
    <w:rsid w:val="1C141501"/>
    <w:rsid w:val="1C3D55BC"/>
    <w:rsid w:val="1C7726C5"/>
    <w:rsid w:val="1C814C75"/>
    <w:rsid w:val="1C8F2794"/>
    <w:rsid w:val="1CAE7812"/>
    <w:rsid w:val="1CB20AFB"/>
    <w:rsid w:val="1CB751D0"/>
    <w:rsid w:val="1CB919A4"/>
    <w:rsid w:val="1CC9510B"/>
    <w:rsid w:val="1CD83537"/>
    <w:rsid w:val="1CFC2D19"/>
    <w:rsid w:val="1D105D93"/>
    <w:rsid w:val="1D1E0445"/>
    <w:rsid w:val="1D270AE4"/>
    <w:rsid w:val="1D44283A"/>
    <w:rsid w:val="1D60342F"/>
    <w:rsid w:val="1D78009C"/>
    <w:rsid w:val="1D871C03"/>
    <w:rsid w:val="1D884CF0"/>
    <w:rsid w:val="1D8E0177"/>
    <w:rsid w:val="1DA3413D"/>
    <w:rsid w:val="1E545B64"/>
    <w:rsid w:val="1E7B6870"/>
    <w:rsid w:val="1EC73280"/>
    <w:rsid w:val="1EFF124F"/>
    <w:rsid w:val="1F114792"/>
    <w:rsid w:val="1F120F82"/>
    <w:rsid w:val="1F1E1F01"/>
    <w:rsid w:val="1F444EB4"/>
    <w:rsid w:val="1F503858"/>
    <w:rsid w:val="1F8E7284"/>
    <w:rsid w:val="1FB360E7"/>
    <w:rsid w:val="1FB873A4"/>
    <w:rsid w:val="1FF232DB"/>
    <w:rsid w:val="1FF45850"/>
    <w:rsid w:val="202D1235"/>
    <w:rsid w:val="203013AA"/>
    <w:rsid w:val="20327A15"/>
    <w:rsid w:val="206E565F"/>
    <w:rsid w:val="20AD340D"/>
    <w:rsid w:val="20BF0C96"/>
    <w:rsid w:val="20D364EF"/>
    <w:rsid w:val="20E97676"/>
    <w:rsid w:val="21295B5E"/>
    <w:rsid w:val="212D27FA"/>
    <w:rsid w:val="216C1038"/>
    <w:rsid w:val="21791D25"/>
    <w:rsid w:val="219E373C"/>
    <w:rsid w:val="21AF599B"/>
    <w:rsid w:val="21D0774F"/>
    <w:rsid w:val="223713D9"/>
    <w:rsid w:val="227B2B13"/>
    <w:rsid w:val="22A461F0"/>
    <w:rsid w:val="22B12CDA"/>
    <w:rsid w:val="22C92E53"/>
    <w:rsid w:val="22FC4CE3"/>
    <w:rsid w:val="23187739"/>
    <w:rsid w:val="23291E8B"/>
    <w:rsid w:val="23437531"/>
    <w:rsid w:val="236457F5"/>
    <w:rsid w:val="236E081B"/>
    <w:rsid w:val="2387194A"/>
    <w:rsid w:val="238C2DA9"/>
    <w:rsid w:val="23E85901"/>
    <w:rsid w:val="241E63E6"/>
    <w:rsid w:val="24213A15"/>
    <w:rsid w:val="24372BE7"/>
    <w:rsid w:val="245105A4"/>
    <w:rsid w:val="245A0AF2"/>
    <w:rsid w:val="245C2F8D"/>
    <w:rsid w:val="249066DD"/>
    <w:rsid w:val="24990D97"/>
    <w:rsid w:val="24CE594B"/>
    <w:rsid w:val="24E707BB"/>
    <w:rsid w:val="251C369C"/>
    <w:rsid w:val="25536401"/>
    <w:rsid w:val="2566287E"/>
    <w:rsid w:val="25FD1164"/>
    <w:rsid w:val="2612287C"/>
    <w:rsid w:val="26196704"/>
    <w:rsid w:val="26217CFD"/>
    <w:rsid w:val="26440673"/>
    <w:rsid w:val="26623C6C"/>
    <w:rsid w:val="26C86BA7"/>
    <w:rsid w:val="26E06C71"/>
    <w:rsid w:val="26EA0CB5"/>
    <w:rsid w:val="26FD55DC"/>
    <w:rsid w:val="27017996"/>
    <w:rsid w:val="273C36E8"/>
    <w:rsid w:val="2744740D"/>
    <w:rsid w:val="274B251F"/>
    <w:rsid w:val="274B5F1C"/>
    <w:rsid w:val="274C5507"/>
    <w:rsid w:val="274E67F3"/>
    <w:rsid w:val="27725362"/>
    <w:rsid w:val="2774076B"/>
    <w:rsid w:val="27C923FA"/>
    <w:rsid w:val="281250A7"/>
    <w:rsid w:val="28131DB1"/>
    <w:rsid w:val="28251659"/>
    <w:rsid w:val="283C7070"/>
    <w:rsid w:val="284618DF"/>
    <w:rsid w:val="286F2FA1"/>
    <w:rsid w:val="289531DE"/>
    <w:rsid w:val="28E47B36"/>
    <w:rsid w:val="291C1B2F"/>
    <w:rsid w:val="29234F87"/>
    <w:rsid w:val="29554B1B"/>
    <w:rsid w:val="29671ECA"/>
    <w:rsid w:val="298A6B2C"/>
    <w:rsid w:val="29B66A0D"/>
    <w:rsid w:val="29F05B24"/>
    <w:rsid w:val="29F179E6"/>
    <w:rsid w:val="2A350D3C"/>
    <w:rsid w:val="2A4D7E90"/>
    <w:rsid w:val="2A960744"/>
    <w:rsid w:val="2AB51533"/>
    <w:rsid w:val="2AC60E73"/>
    <w:rsid w:val="2ADA3A0F"/>
    <w:rsid w:val="2AFF2BF3"/>
    <w:rsid w:val="2B037A34"/>
    <w:rsid w:val="2B593377"/>
    <w:rsid w:val="2B7C1908"/>
    <w:rsid w:val="2B8F40D6"/>
    <w:rsid w:val="2BC1086B"/>
    <w:rsid w:val="2BDC351D"/>
    <w:rsid w:val="2BE13AE1"/>
    <w:rsid w:val="2BEF2275"/>
    <w:rsid w:val="2C230203"/>
    <w:rsid w:val="2C8D32F9"/>
    <w:rsid w:val="2C9E20A7"/>
    <w:rsid w:val="2CEB0040"/>
    <w:rsid w:val="2D0A4DD2"/>
    <w:rsid w:val="2D427EAD"/>
    <w:rsid w:val="2D9515C6"/>
    <w:rsid w:val="2DC826D3"/>
    <w:rsid w:val="2DEF1607"/>
    <w:rsid w:val="2DF27D49"/>
    <w:rsid w:val="2DF803FC"/>
    <w:rsid w:val="2E0C16EA"/>
    <w:rsid w:val="2E857AA5"/>
    <w:rsid w:val="2E910CDC"/>
    <w:rsid w:val="2EBD1EFD"/>
    <w:rsid w:val="2EC715D4"/>
    <w:rsid w:val="2F0B092E"/>
    <w:rsid w:val="2F1D4D98"/>
    <w:rsid w:val="2F4E3303"/>
    <w:rsid w:val="2F625641"/>
    <w:rsid w:val="2FBF699C"/>
    <w:rsid w:val="301C3E1D"/>
    <w:rsid w:val="303C6E79"/>
    <w:rsid w:val="304479DC"/>
    <w:rsid w:val="306B0278"/>
    <w:rsid w:val="308E63ED"/>
    <w:rsid w:val="30BF65F3"/>
    <w:rsid w:val="30C47C02"/>
    <w:rsid w:val="30E02716"/>
    <w:rsid w:val="312608BD"/>
    <w:rsid w:val="315F570D"/>
    <w:rsid w:val="31615422"/>
    <w:rsid w:val="3163741B"/>
    <w:rsid w:val="316423EB"/>
    <w:rsid w:val="31C679AA"/>
    <w:rsid w:val="31E0281A"/>
    <w:rsid w:val="31FE12D4"/>
    <w:rsid w:val="32364B30"/>
    <w:rsid w:val="32B271D3"/>
    <w:rsid w:val="32BA0022"/>
    <w:rsid w:val="332643F5"/>
    <w:rsid w:val="33791178"/>
    <w:rsid w:val="33CB12A8"/>
    <w:rsid w:val="33D267D7"/>
    <w:rsid w:val="33D66E83"/>
    <w:rsid w:val="33E82ECD"/>
    <w:rsid w:val="33F7209D"/>
    <w:rsid w:val="34022441"/>
    <w:rsid w:val="340D366E"/>
    <w:rsid w:val="3428064F"/>
    <w:rsid w:val="3460329E"/>
    <w:rsid w:val="34675E29"/>
    <w:rsid w:val="34E20DCD"/>
    <w:rsid w:val="34E70363"/>
    <w:rsid w:val="34E76031"/>
    <w:rsid w:val="34F150E6"/>
    <w:rsid w:val="350C3E26"/>
    <w:rsid w:val="3511371C"/>
    <w:rsid w:val="352178D8"/>
    <w:rsid w:val="352251C2"/>
    <w:rsid w:val="353F2CB2"/>
    <w:rsid w:val="35435F75"/>
    <w:rsid w:val="357F2541"/>
    <w:rsid w:val="35827B62"/>
    <w:rsid w:val="358562B5"/>
    <w:rsid w:val="35AD5109"/>
    <w:rsid w:val="35B84990"/>
    <w:rsid w:val="35BA3E5B"/>
    <w:rsid w:val="35F21282"/>
    <w:rsid w:val="361A5EE2"/>
    <w:rsid w:val="362F5B1E"/>
    <w:rsid w:val="36395EE4"/>
    <w:rsid w:val="36493477"/>
    <w:rsid w:val="364D6ED6"/>
    <w:rsid w:val="36673031"/>
    <w:rsid w:val="36B726AE"/>
    <w:rsid w:val="36C3101C"/>
    <w:rsid w:val="36ED7BA0"/>
    <w:rsid w:val="36F3211B"/>
    <w:rsid w:val="373525CE"/>
    <w:rsid w:val="374F73CF"/>
    <w:rsid w:val="375873B1"/>
    <w:rsid w:val="375A09AF"/>
    <w:rsid w:val="3766112D"/>
    <w:rsid w:val="37B46FED"/>
    <w:rsid w:val="37CF580A"/>
    <w:rsid w:val="37D1291E"/>
    <w:rsid w:val="37D4026E"/>
    <w:rsid w:val="37DA5E90"/>
    <w:rsid w:val="383A4B00"/>
    <w:rsid w:val="38A019C9"/>
    <w:rsid w:val="38A61F0C"/>
    <w:rsid w:val="38B03362"/>
    <w:rsid w:val="38B67EB0"/>
    <w:rsid w:val="38D26C34"/>
    <w:rsid w:val="38E01244"/>
    <w:rsid w:val="392A60A6"/>
    <w:rsid w:val="393A310B"/>
    <w:rsid w:val="39471031"/>
    <w:rsid w:val="39684A29"/>
    <w:rsid w:val="3971644D"/>
    <w:rsid w:val="397C551E"/>
    <w:rsid w:val="3994602B"/>
    <w:rsid w:val="39A92D27"/>
    <w:rsid w:val="39B953E3"/>
    <w:rsid w:val="3A081ED6"/>
    <w:rsid w:val="3A0B3E46"/>
    <w:rsid w:val="3A2C5B75"/>
    <w:rsid w:val="3A483652"/>
    <w:rsid w:val="3A5024DC"/>
    <w:rsid w:val="3A6366DE"/>
    <w:rsid w:val="3AE13585"/>
    <w:rsid w:val="3AE500CF"/>
    <w:rsid w:val="3B051543"/>
    <w:rsid w:val="3B071DE4"/>
    <w:rsid w:val="3B1F5DC1"/>
    <w:rsid w:val="3B3A4AB6"/>
    <w:rsid w:val="3B43221E"/>
    <w:rsid w:val="3B732D74"/>
    <w:rsid w:val="3B8B7F8C"/>
    <w:rsid w:val="3B9A46DD"/>
    <w:rsid w:val="3BA174BE"/>
    <w:rsid w:val="3BA34FDA"/>
    <w:rsid w:val="3BBB7C7B"/>
    <w:rsid w:val="3BBD0245"/>
    <w:rsid w:val="3BC5576C"/>
    <w:rsid w:val="3C35213B"/>
    <w:rsid w:val="3C5067EE"/>
    <w:rsid w:val="3C581218"/>
    <w:rsid w:val="3CD218F9"/>
    <w:rsid w:val="3CD704BD"/>
    <w:rsid w:val="3CE75849"/>
    <w:rsid w:val="3D1A6A65"/>
    <w:rsid w:val="3D4B689C"/>
    <w:rsid w:val="3D8F7C9A"/>
    <w:rsid w:val="3E3B4AB9"/>
    <w:rsid w:val="3E63171A"/>
    <w:rsid w:val="3E88226F"/>
    <w:rsid w:val="3EBC63BD"/>
    <w:rsid w:val="3EDB4A95"/>
    <w:rsid w:val="3EE057E6"/>
    <w:rsid w:val="3F18690D"/>
    <w:rsid w:val="3F1B285B"/>
    <w:rsid w:val="3F2A3743"/>
    <w:rsid w:val="3F310B59"/>
    <w:rsid w:val="3F43243B"/>
    <w:rsid w:val="3F47212A"/>
    <w:rsid w:val="3F6A3CD5"/>
    <w:rsid w:val="3FCB19D9"/>
    <w:rsid w:val="3FCB2D5B"/>
    <w:rsid w:val="3FE57C96"/>
    <w:rsid w:val="3FF81D2D"/>
    <w:rsid w:val="402847E9"/>
    <w:rsid w:val="40302BBE"/>
    <w:rsid w:val="40386269"/>
    <w:rsid w:val="405E34A3"/>
    <w:rsid w:val="407C7161"/>
    <w:rsid w:val="407D5E86"/>
    <w:rsid w:val="40807762"/>
    <w:rsid w:val="409A44DC"/>
    <w:rsid w:val="40A92971"/>
    <w:rsid w:val="40BC08F6"/>
    <w:rsid w:val="40BE0F76"/>
    <w:rsid w:val="40CB718C"/>
    <w:rsid w:val="40DD59C2"/>
    <w:rsid w:val="41610361"/>
    <w:rsid w:val="41A8307D"/>
    <w:rsid w:val="41C06995"/>
    <w:rsid w:val="41DB1250"/>
    <w:rsid w:val="41E2613A"/>
    <w:rsid w:val="421B6FDC"/>
    <w:rsid w:val="42595C18"/>
    <w:rsid w:val="429E14C7"/>
    <w:rsid w:val="429F2762"/>
    <w:rsid w:val="42AB17FE"/>
    <w:rsid w:val="42B11DCD"/>
    <w:rsid w:val="42EF6D61"/>
    <w:rsid w:val="42FF5094"/>
    <w:rsid w:val="436C03B1"/>
    <w:rsid w:val="43C7528C"/>
    <w:rsid w:val="43CB220C"/>
    <w:rsid w:val="445415FA"/>
    <w:rsid w:val="44564BBE"/>
    <w:rsid w:val="445B3984"/>
    <w:rsid w:val="445B5455"/>
    <w:rsid w:val="44943A7F"/>
    <w:rsid w:val="44DF70BA"/>
    <w:rsid w:val="450B62EC"/>
    <w:rsid w:val="450F631C"/>
    <w:rsid w:val="453971E4"/>
    <w:rsid w:val="453C54BE"/>
    <w:rsid w:val="45476363"/>
    <w:rsid w:val="456D040C"/>
    <w:rsid w:val="458938E1"/>
    <w:rsid w:val="459F543E"/>
    <w:rsid w:val="463F7FFF"/>
    <w:rsid w:val="46484BFF"/>
    <w:rsid w:val="46503FBA"/>
    <w:rsid w:val="46512233"/>
    <w:rsid w:val="46540D24"/>
    <w:rsid w:val="46A737E8"/>
    <w:rsid w:val="46C14018"/>
    <w:rsid w:val="46C73076"/>
    <w:rsid w:val="46D07EE5"/>
    <w:rsid w:val="46E465A3"/>
    <w:rsid w:val="46F806BD"/>
    <w:rsid w:val="47043CAB"/>
    <w:rsid w:val="472705CE"/>
    <w:rsid w:val="479A2C46"/>
    <w:rsid w:val="479C5136"/>
    <w:rsid w:val="47E06018"/>
    <w:rsid w:val="48505CB1"/>
    <w:rsid w:val="48653A64"/>
    <w:rsid w:val="48811B8A"/>
    <w:rsid w:val="48C40B78"/>
    <w:rsid w:val="48C43988"/>
    <w:rsid w:val="48E83E36"/>
    <w:rsid w:val="49211C3E"/>
    <w:rsid w:val="49345B93"/>
    <w:rsid w:val="49487A2C"/>
    <w:rsid w:val="494C4B08"/>
    <w:rsid w:val="49951EFC"/>
    <w:rsid w:val="499A26FB"/>
    <w:rsid w:val="49B026D9"/>
    <w:rsid w:val="49B722B7"/>
    <w:rsid w:val="49C15E4A"/>
    <w:rsid w:val="49D955C3"/>
    <w:rsid w:val="49ED65A4"/>
    <w:rsid w:val="49F031DE"/>
    <w:rsid w:val="4A307756"/>
    <w:rsid w:val="4A6D7DCA"/>
    <w:rsid w:val="4A9910AB"/>
    <w:rsid w:val="4A992597"/>
    <w:rsid w:val="4A9B332A"/>
    <w:rsid w:val="4AD625B4"/>
    <w:rsid w:val="4AFF509B"/>
    <w:rsid w:val="4B4014D1"/>
    <w:rsid w:val="4B5E2E2F"/>
    <w:rsid w:val="4B675E1C"/>
    <w:rsid w:val="4B7806EA"/>
    <w:rsid w:val="4B9F7C0E"/>
    <w:rsid w:val="4BC73F17"/>
    <w:rsid w:val="4BEB73D9"/>
    <w:rsid w:val="4C166235"/>
    <w:rsid w:val="4C1C544C"/>
    <w:rsid w:val="4C313219"/>
    <w:rsid w:val="4C5D1828"/>
    <w:rsid w:val="4C6C738D"/>
    <w:rsid w:val="4C6D0CF6"/>
    <w:rsid w:val="4C7E6A54"/>
    <w:rsid w:val="4C865C08"/>
    <w:rsid w:val="4D317F76"/>
    <w:rsid w:val="4D565C2E"/>
    <w:rsid w:val="4D7E2A50"/>
    <w:rsid w:val="4DA23565"/>
    <w:rsid w:val="4DA9629F"/>
    <w:rsid w:val="4DB7491F"/>
    <w:rsid w:val="4DD038A9"/>
    <w:rsid w:val="4DE1199C"/>
    <w:rsid w:val="4E49490E"/>
    <w:rsid w:val="4E551A8D"/>
    <w:rsid w:val="4E624307"/>
    <w:rsid w:val="4EB250E6"/>
    <w:rsid w:val="4EE207BB"/>
    <w:rsid w:val="4EF75916"/>
    <w:rsid w:val="4F1720D5"/>
    <w:rsid w:val="4F1D51EC"/>
    <w:rsid w:val="4F1F0C9F"/>
    <w:rsid w:val="4F244C6A"/>
    <w:rsid w:val="4FB00148"/>
    <w:rsid w:val="4FE12F08"/>
    <w:rsid w:val="4FF63972"/>
    <w:rsid w:val="500B4BE0"/>
    <w:rsid w:val="504A7CCC"/>
    <w:rsid w:val="504B329A"/>
    <w:rsid w:val="50580297"/>
    <w:rsid w:val="50697817"/>
    <w:rsid w:val="506F6B37"/>
    <w:rsid w:val="5086682B"/>
    <w:rsid w:val="5090365A"/>
    <w:rsid w:val="51096E4A"/>
    <w:rsid w:val="51106525"/>
    <w:rsid w:val="511A6C71"/>
    <w:rsid w:val="512567F5"/>
    <w:rsid w:val="513C4D1D"/>
    <w:rsid w:val="514C3DAD"/>
    <w:rsid w:val="515047BA"/>
    <w:rsid w:val="5157430C"/>
    <w:rsid w:val="515B2F41"/>
    <w:rsid w:val="516A7F37"/>
    <w:rsid w:val="51916F53"/>
    <w:rsid w:val="51AA4C59"/>
    <w:rsid w:val="51CB4CC2"/>
    <w:rsid w:val="51D829D5"/>
    <w:rsid w:val="51ED0D38"/>
    <w:rsid w:val="51F31FFB"/>
    <w:rsid w:val="51FA103F"/>
    <w:rsid w:val="520170B1"/>
    <w:rsid w:val="524428F4"/>
    <w:rsid w:val="5257047F"/>
    <w:rsid w:val="525B5D4E"/>
    <w:rsid w:val="52693AF2"/>
    <w:rsid w:val="52765BD3"/>
    <w:rsid w:val="52851E0F"/>
    <w:rsid w:val="529B0943"/>
    <w:rsid w:val="52D81743"/>
    <w:rsid w:val="52F44E38"/>
    <w:rsid w:val="52FE3AEF"/>
    <w:rsid w:val="53284056"/>
    <w:rsid w:val="537038AC"/>
    <w:rsid w:val="537540CD"/>
    <w:rsid w:val="53911E0A"/>
    <w:rsid w:val="53D77AC9"/>
    <w:rsid w:val="53E13EC3"/>
    <w:rsid w:val="53E415EA"/>
    <w:rsid w:val="540E59BB"/>
    <w:rsid w:val="54140409"/>
    <w:rsid w:val="546837CB"/>
    <w:rsid w:val="54723DA3"/>
    <w:rsid w:val="547A0454"/>
    <w:rsid w:val="548C2969"/>
    <w:rsid w:val="54934AA7"/>
    <w:rsid w:val="549624AE"/>
    <w:rsid w:val="54CF254E"/>
    <w:rsid w:val="550B7745"/>
    <w:rsid w:val="554A42CB"/>
    <w:rsid w:val="55607267"/>
    <w:rsid w:val="556421BF"/>
    <w:rsid w:val="55676BB4"/>
    <w:rsid w:val="55835251"/>
    <w:rsid w:val="55913CA7"/>
    <w:rsid w:val="55CC6A83"/>
    <w:rsid w:val="560E3249"/>
    <w:rsid w:val="56186177"/>
    <w:rsid w:val="561B7A15"/>
    <w:rsid w:val="56532D14"/>
    <w:rsid w:val="56643F7B"/>
    <w:rsid w:val="56821842"/>
    <w:rsid w:val="569F0646"/>
    <w:rsid w:val="56B45E9F"/>
    <w:rsid w:val="56D3302D"/>
    <w:rsid w:val="56D973CF"/>
    <w:rsid w:val="56FC63ED"/>
    <w:rsid w:val="57035F7F"/>
    <w:rsid w:val="570E4942"/>
    <w:rsid w:val="573222F5"/>
    <w:rsid w:val="5737262D"/>
    <w:rsid w:val="579A0B0F"/>
    <w:rsid w:val="57B41CD5"/>
    <w:rsid w:val="57BA102C"/>
    <w:rsid w:val="57D61931"/>
    <w:rsid w:val="57DB3900"/>
    <w:rsid w:val="57DD6DD0"/>
    <w:rsid w:val="582A366D"/>
    <w:rsid w:val="585169D2"/>
    <w:rsid w:val="58861256"/>
    <w:rsid w:val="588B4AFA"/>
    <w:rsid w:val="58900246"/>
    <w:rsid w:val="58906680"/>
    <w:rsid w:val="58D03F93"/>
    <w:rsid w:val="59016B9E"/>
    <w:rsid w:val="595963DC"/>
    <w:rsid w:val="595A456A"/>
    <w:rsid w:val="59607A95"/>
    <w:rsid w:val="59964FFE"/>
    <w:rsid w:val="59DB6FF7"/>
    <w:rsid w:val="59E20C6B"/>
    <w:rsid w:val="5A2515C6"/>
    <w:rsid w:val="5A2E66EC"/>
    <w:rsid w:val="5A395940"/>
    <w:rsid w:val="5A513553"/>
    <w:rsid w:val="5A7F7348"/>
    <w:rsid w:val="5A8329E1"/>
    <w:rsid w:val="5A8D4028"/>
    <w:rsid w:val="5A976D2B"/>
    <w:rsid w:val="5A9B5D67"/>
    <w:rsid w:val="5AD059E8"/>
    <w:rsid w:val="5AE92B8E"/>
    <w:rsid w:val="5B075A06"/>
    <w:rsid w:val="5B153530"/>
    <w:rsid w:val="5B3168E5"/>
    <w:rsid w:val="5B4C3B08"/>
    <w:rsid w:val="5B6D574D"/>
    <w:rsid w:val="5B8338B0"/>
    <w:rsid w:val="5B885B4D"/>
    <w:rsid w:val="5BFB6474"/>
    <w:rsid w:val="5C0D7037"/>
    <w:rsid w:val="5C2A7DE1"/>
    <w:rsid w:val="5C6829AF"/>
    <w:rsid w:val="5C6A0DAE"/>
    <w:rsid w:val="5C6D1843"/>
    <w:rsid w:val="5C806B92"/>
    <w:rsid w:val="5C8F1D6F"/>
    <w:rsid w:val="5C9F5B4C"/>
    <w:rsid w:val="5CC6692D"/>
    <w:rsid w:val="5CDC1F44"/>
    <w:rsid w:val="5CF26970"/>
    <w:rsid w:val="5D1860EA"/>
    <w:rsid w:val="5D352289"/>
    <w:rsid w:val="5D5B375C"/>
    <w:rsid w:val="5D5D1495"/>
    <w:rsid w:val="5D634689"/>
    <w:rsid w:val="5D6D26E9"/>
    <w:rsid w:val="5D703886"/>
    <w:rsid w:val="5D9A4716"/>
    <w:rsid w:val="5DA84284"/>
    <w:rsid w:val="5E0733DA"/>
    <w:rsid w:val="5E1406C1"/>
    <w:rsid w:val="5E1A1D20"/>
    <w:rsid w:val="5E2F7E48"/>
    <w:rsid w:val="5E602469"/>
    <w:rsid w:val="5E717821"/>
    <w:rsid w:val="5EAB5584"/>
    <w:rsid w:val="5EC52DEA"/>
    <w:rsid w:val="5ECB3D0A"/>
    <w:rsid w:val="5ED510A9"/>
    <w:rsid w:val="5EF263E7"/>
    <w:rsid w:val="5EF75F46"/>
    <w:rsid w:val="5F21609C"/>
    <w:rsid w:val="5F230BEF"/>
    <w:rsid w:val="5F622ECF"/>
    <w:rsid w:val="5FA665A1"/>
    <w:rsid w:val="5FAB7FB5"/>
    <w:rsid w:val="5FAD2544"/>
    <w:rsid w:val="5FB66017"/>
    <w:rsid w:val="5FF437B1"/>
    <w:rsid w:val="5FFE29B9"/>
    <w:rsid w:val="604675E9"/>
    <w:rsid w:val="60786190"/>
    <w:rsid w:val="608E7761"/>
    <w:rsid w:val="60915473"/>
    <w:rsid w:val="6092153B"/>
    <w:rsid w:val="609B683C"/>
    <w:rsid w:val="60A00576"/>
    <w:rsid w:val="60AF2097"/>
    <w:rsid w:val="60B34A44"/>
    <w:rsid w:val="60B753A8"/>
    <w:rsid w:val="60BB7E2A"/>
    <w:rsid w:val="60C870C1"/>
    <w:rsid w:val="60F51603"/>
    <w:rsid w:val="615D7134"/>
    <w:rsid w:val="618F268C"/>
    <w:rsid w:val="61EA23B0"/>
    <w:rsid w:val="620A72BB"/>
    <w:rsid w:val="62287615"/>
    <w:rsid w:val="622F67B3"/>
    <w:rsid w:val="627D4254"/>
    <w:rsid w:val="62897466"/>
    <w:rsid w:val="62AD3683"/>
    <w:rsid w:val="62B261AF"/>
    <w:rsid w:val="62C70D09"/>
    <w:rsid w:val="62F57B08"/>
    <w:rsid w:val="6303429D"/>
    <w:rsid w:val="63205356"/>
    <w:rsid w:val="63424833"/>
    <w:rsid w:val="63464D73"/>
    <w:rsid w:val="635822A8"/>
    <w:rsid w:val="63583AEB"/>
    <w:rsid w:val="63737FC7"/>
    <w:rsid w:val="63C656BB"/>
    <w:rsid w:val="63CE3380"/>
    <w:rsid w:val="63E36016"/>
    <w:rsid w:val="63F21DB5"/>
    <w:rsid w:val="63FF6480"/>
    <w:rsid w:val="640A1EA8"/>
    <w:rsid w:val="642900E6"/>
    <w:rsid w:val="64302590"/>
    <w:rsid w:val="6439089B"/>
    <w:rsid w:val="64495DD6"/>
    <w:rsid w:val="64623809"/>
    <w:rsid w:val="64746C6E"/>
    <w:rsid w:val="647C3D75"/>
    <w:rsid w:val="65080F89"/>
    <w:rsid w:val="651E4E2C"/>
    <w:rsid w:val="655A76A7"/>
    <w:rsid w:val="655C6589"/>
    <w:rsid w:val="657A4EC4"/>
    <w:rsid w:val="66047425"/>
    <w:rsid w:val="661052EF"/>
    <w:rsid w:val="66207331"/>
    <w:rsid w:val="662830CF"/>
    <w:rsid w:val="66747DFB"/>
    <w:rsid w:val="66767F83"/>
    <w:rsid w:val="66C405E0"/>
    <w:rsid w:val="66D54C1C"/>
    <w:rsid w:val="66F41F1E"/>
    <w:rsid w:val="6701113C"/>
    <w:rsid w:val="671C40AC"/>
    <w:rsid w:val="672D4EE4"/>
    <w:rsid w:val="674F751F"/>
    <w:rsid w:val="677658C0"/>
    <w:rsid w:val="6797113A"/>
    <w:rsid w:val="67AF1F51"/>
    <w:rsid w:val="67BC1DD1"/>
    <w:rsid w:val="67C86935"/>
    <w:rsid w:val="67D14F07"/>
    <w:rsid w:val="67E07000"/>
    <w:rsid w:val="67E77C07"/>
    <w:rsid w:val="67EA3883"/>
    <w:rsid w:val="67EC51A3"/>
    <w:rsid w:val="680F17C8"/>
    <w:rsid w:val="681C04AD"/>
    <w:rsid w:val="683A6B4A"/>
    <w:rsid w:val="68444162"/>
    <w:rsid w:val="686A6F2B"/>
    <w:rsid w:val="68825416"/>
    <w:rsid w:val="68AA0B6B"/>
    <w:rsid w:val="68AC217A"/>
    <w:rsid w:val="68C77ED2"/>
    <w:rsid w:val="68E24AEE"/>
    <w:rsid w:val="68E331BF"/>
    <w:rsid w:val="6922138F"/>
    <w:rsid w:val="695127AC"/>
    <w:rsid w:val="69F85C86"/>
    <w:rsid w:val="6A09523D"/>
    <w:rsid w:val="6A1B26B7"/>
    <w:rsid w:val="6A1D1DA5"/>
    <w:rsid w:val="6A244C92"/>
    <w:rsid w:val="6A2809FC"/>
    <w:rsid w:val="6A883CBC"/>
    <w:rsid w:val="6A902328"/>
    <w:rsid w:val="6B19056F"/>
    <w:rsid w:val="6B340F05"/>
    <w:rsid w:val="6B345E30"/>
    <w:rsid w:val="6B3A216D"/>
    <w:rsid w:val="6B505357"/>
    <w:rsid w:val="6B874EAB"/>
    <w:rsid w:val="6B8A31E2"/>
    <w:rsid w:val="6B985938"/>
    <w:rsid w:val="6BFB3E5A"/>
    <w:rsid w:val="6BFD3458"/>
    <w:rsid w:val="6C423778"/>
    <w:rsid w:val="6CAF118B"/>
    <w:rsid w:val="6CBB7E1F"/>
    <w:rsid w:val="6CC01E51"/>
    <w:rsid w:val="6CF372CA"/>
    <w:rsid w:val="6D027F59"/>
    <w:rsid w:val="6D167491"/>
    <w:rsid w:val="6D2D1C64"/>
    <w:rsid w:val="6D475F5F"/>
    <w:rsid w:val="6D600E21"/>
    <w:rsid w:val="6D68133A"/>
    <w:rsid w:val="6DA82289"/>
    <w:rsid w:val="6DE915B6"/>
    <w:rsid w:val="6E061A11"/>
    <w:rsid w:val="6E345B45"/>
    <w:rsid w:val="6E63668A"/>
    <w:rsid w:val="6E671CA5"/>
    <w:rsid w:val="6E741E30"/>
    <w:rsid w:val="6E9A5352"/>
    <w:rsid w:val="6EA0733B"/>
    <w:rsid w:val="6EBB122E"/>
    <w:rsid w:val="6EBB2C83"/>
    <w:rsid w:val="6EC77A48"/>
    <w:rsid w:val="6EC77E06"/>
    <w:rsid w:val="6EC97030"/>
    <w:rsid w:val="6F2B35AD"/>
    <w:rsid w:val="6F332F4A"/>
    <w:rsid w:val="6F3C2DD2"/>
    <w:rsid w:val="6F8063CA"/>
    <w:rsid w:val="6FB66044"/>
    <w:rsid w:val="6FE8588F"/>
    <w:rsid w:val="700A492A"/>
    <w:rsid w:val="703F6602"/>
    <w:rsid w:val="70F34F86"/>
    <w:rsid w:val="70F759D2"/>
    <w:rsid w:val="71211F2C"/>
    <w:rsid w:val="713E329A"/>
    <w:rsid w:val="7146159B"/>
    <w:rsid w:val="714D0321"/>
    <w:rsid w:val="715C7211"/>
    <w:rsid w:val="718D73C3"/>
    <w:rsid w:val="71900A0A"/>
    <w:rsid w:val="719A4E18"/>
    <w:rsid w:val="71BC787F"/>
    <w:rsid w:val="71BE3E19"/>
    <w:rsid w:val="72011EEA"/>
    <w:rsid w:val="720A0C12"/>
    <w:rsid w:val="727517BE"/>
    <w:rsid w:val="72BB53F2"/>
    <w:rsid w:val="72FF2DB8"/>
    <w:rsid w:val="73004C22"/>
    <w:rsid w:val="73555EBD"/>
    <w:rsid w:val="7386317F"/>
    <w:rsid w:val="7395781C"/>
    <w:rsid w:val="73A53748"/>
    <w:rsid w:val="73B01345"/>
    <w:rsid w:val="73F00452"/>
    <w:rsid w:val="73F97D41"/>
    <w:rsid w:val="74A353FC"/>
    <w:rsid w:val="74B55FCA"/>
    <w:rsid w:val="751E6462"/>
    <w:rsid w:val="7547670C"/>
    <w:rsid w:val="754B5EDD"/>
    <w:rsid w:val="755B32BA"/>
    <w:rsid w:val="756D7FC7"/>
    <w:rsid w:val="75B626CC"/>
    <w:rsid w:val="75D86956"/>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60703"/>
    <w:rsid w:val="773B1F42"/>
    <w:rsid w:val="77492189"/>
    <w:rsid w:val="776E61EE"/>
    <w:rsid w:val="777D019A"/>
    <w:rsid w:val="779D0C3B"/>
    <w:rsid w:val="77BA27C4"/>
    <w:rsid w:val="77BE7989"/>
    <w:rsid w:val="77C16217"/>
    <w:rsid w:val="781E6439"/>
    <w:rsid w:val="78214A6B"/>
    <w:rsid w:val="7824041B"/>
    <w:rsid w:val="78897474"/>
    <w:rsid w:val="78A64B86"/>
    <w:rsid w:val="78BD078C"/>
    <w:rsid w:val="78DE3D6C"/>
    <w:rsid w:val="78E33867"/>
    <w:rsid w:val="78E52BDC"/>
    <w:rsid w:val="78F93EFF"/>
    <w:rsid w:val="790776EC"/>
    <w:rsid w:val="798701EE"/>
    <w:rsid w:val="798720C7"/>
    <w:rsid w:val="798B75C8"/>
    <w:rsid w:val="798D230A"/>
    <w:rsid w:val="79A3081B"/>
    <w:rsid w:val="79A36AC1"/>
    <w:rsid w:val="79A8143C"/>
    <w:rsid w:val="7A071D78"/>
    <w:rsid w:val="7A2D742D"/>
    <w:rsid w:val="7A5600FC"/>
    <w:rsid w:val="7A5C06AF"/>
    <w:rsid w:val="7A6447EC"/>
    <w:rsid w:val="7A6E489C"/>
    <w:rsid w:val="7A716D06"/>
    <w:rsid w:val="7A7E03EF"/>
    <w:rsid w:val="7AC662B5"/>
    <w:rsid w:val="7B347D8A"/>
    <w:rsid w:val="7B824CF1"/>
    <w:rsid w:val="7B8F4980"/>
    <w:rsid w:val="7B972CB9"/>
    <w:rsid w:val="7BA61501"/>
    <w:rsid w:val="7BAF14B0"/>
    <w:rsid w:val="7BD06448"/>
    <w:rsid w:val="7BE85AB6"/>
    <w:rsid w:val="7CA103C5"/>
    <w:rsid w:val="7CA420D7"/>
    <w:rsid w:val="7CC52305"/>
    <w:rsid w:val="7CE922B5"/>
    <w:rsid w:val="7CF0056D"/>
    <w:rsid w:val="7CFD4359"/>
    <w:rsid w:val="7D196F8A"/>
    <w:rsid w:val="7D324E38"/>
    <w:rsid w:val="7D376D09"/>
    <w:rsid w:val="7D3A16E9"/>
    <w:rsid w:val="7D4A2A43"/>
    <w:rsid w:val="7D7B5294"/>
    <w:rsid w:val="7D9D74DD"/>
    <w:rsid w:val="7DA92784"/>
    <w:rsid w:val="7DB37D69"/>
    <w:rsid w:val="7DCA019C"/>
    <w:rsid w:val="7DCA17AE"/>
    <w:rsid w:val="7DE55723"/>
    <w:rsid w:val="7DED451A"/>
    <w:rsid w:val="7E2214CE"/>
    <w:rsid w:val="7E2F24BC"/>
    <w:rsid w:val="7E564EE1"/>
    <w:rsid w:val="7E6D3957"/>
    <w:rsid w:val="7E6D67B0"/>
    <w:rsid w:val="7E8D7C7B"/>
    <w:rsid w:val="7EA83077"/>
    <w:rsid w:val="7ECD0B10"/>
    <w:rsid w:val="7ED53E1B"/>
    <w:rsid w:val="7F1D6A6D"/>
    <w:rsid w:val="7F2554A7"/>
    <w:rsid w:val="7F2A34D9"/>
    <w:rsid w:val="7F4D44C9"/>
    <w:rsid w:val="7F7A3881"/>
    <w:rsid w:val="7F8A15E4"/>
    <w:rsid w:val="7FA60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autoRedefine/>
    <w:qFormat/>
    <w:uiPriority w:val="0"/>
    <w:pPr>
      <w:autoSpaceDE w:val="0"/>
      <w:autoSpaceDN w:val="0"/>
      <w:adjustRightInd w:val="0"/>
      <w:jc w:val="left"/>
      <w:outlineLvl w:val="0"/>
    </w:pPr>
    <w:rPr>
      <w:kern w:val="0"/>
      <w:sz w:val="30"/>
    </w:rPr>
  </w:style>
  <w:style w:type="paragraph" w:styleId="3">
    <w:name w:val="heading 2"/>
    <w:basedOn w:val="1"/>
    <w:next w:val="1"/>
    <w:autoRedefine/>
    <w:qFormat/>
    <w:uiPriority w:val="0"/>
    <w:pPr>
      <w:autoSpaceDE w:val="0"/>
      <w:autoSpaceDN w:val="0"/>
      <w:adjustRightInd w:val="0"/>
      <w:jc w:val="left"/>
      <w:outlineLvl w:val="1"/>
    </w:pPr>
    <w:rPr>
      <w:kern w:val="0"/>
    </w:rPr>
  </w:style>
  <w:style w:type="paragraph" w:styleId="4">
    <w:name w:val="heading 3"/>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5">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Document Map"/>
    <w:basedOn w:val="1"/>
    <w:autoRedefine/>
    <w:qFormat/>
    <w:uiPriority w:val="0"/>
    <w:pPr>
      <w:shd w:val="clear" w:color="auto" w:fill="000080"/>
    </w:pPr>
  </w:style>
  <w:style w:type="paragraph" w:styleId="9">
    <w:name w:val="annotation text"/>
    <w:basedOn w:val="1"/>
    <w:next w:val="1"/>
    <w:autoRedefine/>
    <w:qFormat/>
    <w:uiPriority w:val="0"/>
    <w:pPr>
      <w:adjustRightInd w:val="0"/>
      <w:spacing w:line="360" w:lineRule="atLeast"/>
      <w:jc w:val="left"/>
      <w:textAlignment w:val="baseline"/>
    </w:pPr>
    <w:rPr>
      <w:kern w:val="0"/>
    </w:rPr>
  </w:style>
  <w:style w:type="paragraph" w:styleId="10">
    <w:name w:val="Body Text"/>
    <w:basedOn w:val="1"/>
    <w:next w:val="11"/>
    <w:autoRedefine/>
    <w:qFormat/>
    <w:uiPriority w:val="0"/>
    <w:pPr>
      <w:spacing w:after="120"/>
    </w:pPr>
  </w:style>
  <w:style w:type="paragraph" w:styleId="11">
    <w:name w:val="Body Text 2"/>
    <w:basedOn w:val="1"/>
    <w:autoRedefine/>
    <w:qFormat/>
    <w:uiPriority w:val="0"/>
    <w:pPr>
      <w:spacing w:line="500" w:lineRule="exact"/>
    </w:pPr>
  </w:style>
  <w:style w:type="paragraph" w:styleId="12">
    <w:name w:val="Body Text Indent"/>
    <w:basedOn w:val="1"/>
    <w:link w:val="45"/>
    <w:autoRedefine/>
    <w:qFormat/>
    <w:uiPriority w:val="0"/>
    <w:pPr>
      <w:ind w:firstLine="560" w:firstLineChars="200"/>
    </w:pPr>
  </w:style>
  <w:style w:type="paragraph" w:styleId="13">
    <w:name w:val="toc 5"/>
    <w:basedOn w:val="1"/>
    <w:next w:val="1"/>
    <w:autoRedefine/>
    <w:qFormat/>
    <w:uiPriority w:val="0"/>
    <w:pPr>
      <w:ind w:left="1120"/>
      <w:jc w:val="left"/>
    </w:pPr>
  </w:style>
  <w:style w:type="paragraph" w:styleId="14">
    <w:name w:val="toc 3"/>
    <w:basedOn w:val="1"/>
    <w:next w:val="1"/>
    <w:autoRedefine/>
    <w:qFormat/>
    <w:uiPriority w:val="0"/>
    <w:pPr>
      <w:ind w:left="561"/>
      <w:jc w:val="left"/>
    </w:pPr>
  </w:style>
  <w:style w:type="paragraph" w:styleId="15">
    <w:name w:val="Plain Text"/>
    <w:basedOn w:val="1"/>
    <w:qFormat/>
    <w:uiPriority w:val="0"/>
    <w:rPr>
      <w:rFonts w:ascii="宋体" w:hAnsi="Courier New" w:eastAsia="宋体" w:cs="Courier New"/>
      <w:szCs w:val="21"/>
    </w:rPr>
  </w:style>
  <w:style w:type="paragraph" w:styleId="16">
    <w:name w:val="toc 8"/>
    <w:basedOn w:val="1"/>
    <w:next w:val="1"/>
    <w:autoRedefine/>
    <w:qFormat/>
    <w:uiPriority w:val="0"/>
    <w:pPr>
      <w:ind w:left="1960"/>
      <w:jc w:val="left"/>
    </w:pPr>
  </w:style>
  <w:style w:type="paragraph" w:styleId="17">
    <w:name w:val="Body Text Indent 2"/>
    <w:basedOn w:val="1"/>
    <w:autoRedefine/>
    <w:qFormat/>
    <w:uiPriority w:val="0"/>
    <w:pPr>
      <w:spacing w:line="480" w:lineRule="auto"/>
      <w:ind w:firstLine="561"/>
    </w:pPr>
  </w:style>
  <w:style w:type="paragraph" w:styleId="18">
    <w:name w:val="Balloon Text"/>
    <w:basedOn w:val="1"/>
    <w:autoRedefine/>
    <w:qFormat/>
    <w:uiPriority w:val="0"/>
    <w:rPr>
      <w:sz w:val="18"/>
      <w:szCs w:val="18"/>
    </w:rPr>
  </w:style>
  <w:style w:type="paragraph" w:styleId="19">
    <w:name w:val="footer"/>
    <w:basedOn w:val="1"/>
    <w:autoRedefine/>
    <w:qFormat/>
    <w:uiPriority w:val="0"/>
    <w:pPr>
      <w:widowControl/>
      <w:tabs>
        <w:tab w:val="center" w:pos="4153"/>
        <w:tab w:val="right" w:pos="8306"/>
      </w:tabs>
      <w:snapToGrid w:val="0"/>
      <w:jc w:val="left"/>
    </w:pPr>
    <w:rPr>
      <w:kern w:val="0"/>
      <w:sz w:val="18"/>
    </w:rPr>
  </w:style>
  <w:style w:type="paragraph" w:styleId="20">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1">
    <w:name w:val="toc 1"/>
    <w:basedOn w:val="1"/>
    <w:next w:val="1"/>
    <w:autoRedefine/>
    <w:qFormat/>
    <w:uiPriority w:val="0"/>
    <w:pPr>
      <w:spacing w:before="120" w:after="120"/>
      <w:jc w:val="left"/>
    </w:pPr>
    <w:rPr>
      <w:caps/>
    </w:rPr>
  </w:style>
  <w:style w:type="paragraph" w:styleId="22">
    <w:name w:val="toc 4"/>
    <w:basedOn w:val="1"/>
    <w:next w:val="1"/>
    <w:autoRedefine/>
    <w:qFormat/>
    <w:uiPriority w:val="0"/>
    <w:pPr>
      <w:ind w:left="840"/>
      <w:jc w:val="left"/>
    </w:pPr>
  </w:style>
  <w:style w:type="paragraph" w:styleId="23">
    <w:name w:val="toc 6"/>
    <w:basedOn w:val="1"/>
    <w:next w:val="1"/>
    <w:autoRedefine/>
    <w:qFormat/>
    <w:uiPriority w:val="0"/>
    <w:pPr>
      <w:ind w:left="1400"/>
      <w:jc w:val="left"/>
    </w:pPr>
  </w:style>
  <w:style w:type="paragraph" w:styleId="24">
    <w:name w:val="Body Text Indent 3"/>
    <w:basedOn w:val="1"/>
    <w:link w:val="46"/>
    <w:autoRedefine/>
    <w:qFormat/>
    <w:uiPriority w:val="0"/>
    <w:pPr>
      <w:ind w:firstLine="560"/>
    </w:pPr>
    <w:rPr>
      <w:color w:val="FF0000"/>
    </w:rPr>
  </w:style>
  <w:style w:type="paragraph" w:styleId="25">
    <w:name w:val="toc 2"/>
    <w:basedOn w:val="1"/>
    <w:next w:val="1"/>
    <w:autoRedefine/>
    <w:qFormat/>
    <w:uiPriority w:val="0"/>
    <w:pPr>
      <w:ind w:left="278"/>
      <w:jc w:val="left"/>
    </w:pPr>
    <w:rPr>
      <w:smallCaps/>
    </w:rPr>
  </w:style>
  <w:style w:type="paragraph" w:styleId="26">
    <w:name w:val="toc 9"/>
    <w:basedOn w:val="1"/>
    <w:next w:val="1"/>
    <w:autoRedefine/>
    <w:qFormat/>
    <w:uiPriority w:val="0"/>
    <w:pPr>
      <w:ind w:left="2240"/>
      <w:jc w:val="left"/>
    </w:pPr>
  </w:style>
  <w:style w:type="paragraph" w:styleId="27">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annotation subject"/>
    <w:basedOn w:val="9"/>
    <w:next w:val="9"/>
    <w:autoRedefine/>
    <w:qFormat/>
    <w:uiPriority w:val="0"/>
    <w:pPr>
      <w:adjustRightInd/>
      <w:spacing w:line="360" w:lineRule="auto"/>
      <w:textAlignment w:val="auto"/>
    </w:pPr>
    <w:rPr>
      <w:b/>
      <w:bCs/>
      <w:kern w:val="2"/>
    </w:rPr>
  </w:style>
  <w:style w:type="paragraph" w:styleId="29">
    <w:name w:val="Body Text First Indent"/>
    <w:basedOn w:val="10"/>
    <w:next w:val="1"/>
    <w:qFormat/>
    <w:uiPriority w:val="0"/>
    <w:pPr>
      <w:ind w:firstLine="420"/>
    </w:pPr>
  </w:style>
  <w:style w:type="paragraph" w:styleId="30">
    <w:name w:val="Body Text First Indent 2"/>
    <w:basedOn w:val="12"/>
    <w:next w:val="29"/>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2">
    <w:name w:val="Table Grid"/>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bCs/>
    </w:rPr>
  </w:style>
  <w:style w:type="character" w:styleId="35">
    <w:name w:val="page number"/>
    <w:basedOn w:val="33"/>
    <w:autoRedefine/>
    <w:qFormat/>
    <w:uiPriority w:val="0"/>
  </w:style>
  <w:style w:type="character" w:styleId="36">
    <w:name w:val="FollowedHyperlink"/>
    <w:autoRedefine/>
    <w:qFormat/>
    <w:uiPriority w:val="0"/>
    <w:rPr>
      <w:color w:val="800080"/>
      <w:u w:val="single"/>
    </w:rPr>
  </w:style>
  <w:style w:type="character" w:styleId="37">
    <w:name w:val="Hyperlink"/>
    <w:autoRedefine/>
    <w:qFormat/>
    <w:uiPriority w:val="0"/>
    <w:rPr>
      <w:color w:val="0000FF"/>
      <w:u w:val="single"/>
    </w:rPr>
  </w:style>
  <w:style w:type="character" w:styleId="38">
    <w:name w:val="annotation reference"/>
    <w:autoRedefine/>
    <w:qFormat/>
    <w:uiPriority w:val="0"/>
    <w:rPr>
      <w:sz w:val="21"/>
    </w:rPr>
  </w:style>
  <w:style w:type="paragraph" w:customStyle="1" w:styleId="39">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paragraph" w:customStyle="1" w:styleId="40">
    <w:name w:val="Normal Indent1"/>
    <w:basedOn w:val="1"/>
    <w:autoRedefine/>
    <w:qFormat/>
    <w:uiPriority w:val="0"/>
    <w:pPr>
      <w:widowControl/>
      <w:ind w:firstLine="420"/>
      <w:jc w:val="left"/>
    </w:pPr>
    <w:rPr>
      <w:rFonts w:ascii="Times New Roman"/>
      <w:kern w:val="0"/>
    </w:rPr>
  </w:style>
  <w:style w:type="paragraph" w:customStyle="1" w:styleId="41">
    <w:name w:val="样式 宋体 行距: 1.5 倍行距"/>
    <w:basedOn w:val="42"/>
    <w:next w:val="1"/>
    <w:autoRedefine/>
    <w:qFormat/>
    <w:uiPriority w:val="0"/>
    <w:pPr>
      <w:jc w:val="center"/>
    </w:pPr>
    <w:rPr>
      <w:rFonts w:ascii="Times New Roman"/>
      <w:b/>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1"/>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1"/>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4">
    <w:name w:val="Char Char2"/>
    <w:basedOn w:val="8"/>
    <w:autoRedefine/>
    <w:qFormat/>
    <w:uiPriority w:val="0"/>
    <w:pPr>
      <w:spacing w:line="240" w:lineRule="auto"/>
    </w:pPr>
  </w:style>
  <w:style w:type="character" w:customStyle="1" w:styleId="45">
    <w:name w:val="正文文本缩进 字符"/>
    <w:link w:val="12"/>
    <w:autoRedefine/>
    <w:qFormat/>
    <w:uiPriority w:val="0"/>
    <w:rPr>
      <w:rFonts w:ascii="宋体"/>
      <w:kern w:val="2"/>
      <w:sz w:val="24"/>
    </w:rPr>
  </w:style>
  <w:style w:type="character" w:customStyle="1" w:styleId="46">
    <w:name w:val="正文文本缩进 3 字符"/>
    <w:link w:val="24"/>
    <w:autoRedefine/>
    <w:qFormat/>
    <w:uiPriority w:val="0"/>
    <w:rPr>
      <w:rFonts w:ascii="宋体" w:eastAsia="宋体"/>
      <w:color w:val="FF0000"/>
      <w:kern w:val="2"/>
      <w:sz w:val="24"/>
      <w:lang w:val="en-US" w:eastAsia="zh-CN" w:bidi="ar-SA"/>
    </w:rPr>
  </w:style>
  <w:style w:type="character" w:customStyle="1" w:styleId="47">
    <w:name w:val="超链接 New New"/>
    <w:autoRedefine/>
    <w:qFormat/>
    <w:uiPriority w:val="0"/>
    <w:rPr>
      <w:color w:val="000000"/>
      <w:sz w:val="18"/>
      <w:szCs w:val="18"/>
      <w:u w:val="none"/>
    </w:rPr>
  </w:style>
  <w:style w:type="character" w:customStyle="1" w:styleId="48">
    <w:name w:val="超链接 New"/>
    <w:autoRedefine/>
    <w:qFormat/>
    <w:uiPriority w:val="0"/>
    <w:rPr>
      <w:color w:val="000000"/>
      <w:sz w:val="18"/>
      <w:szCs w:val="18"/>
      <w:u w:val="none"/>
    </w:rPr>
  </w:style>
  <w:style w:type="character" w:customStyle="1" w:styleId="49">
    <w:name w:val="默认段落字体1"/>
    <w:autoRedefine/>
    <w:qFormat/>
    <w:uiPriority w:val="0"/>
    <w:rPr>
      <w:rFonts w:hint="default"/>
    </w:rPr>
  </w:style>
  <w:style w:type="character" w:customStyle="1" w:styleId="50">
    <w:name w:val="默认段落字体 New New"/>
    <w:link w:val="51"/>
    <w:autoRedefine/>
    <w:qFormat/>
    <w:uiPriority w:val="0"/>
    <w:rPr>
      <w:rFonts w:ascii="Tahoma" w:hAnsi="Tahoma"/>
      <w:szCs w:val="24"/>
    </w:rPr>
  </w:style>
  <w:style w:type="paragraph" w:customStyle="1" w:styleId="51">
    <w:name w:val="Char New New"/>
    <w:basedOn w:val="1"/>
    <w:link w:val="50"/>
    <w:autoRedefine/>
    <w:qFormat/>
    <w:uiPriority w:val="0"/>
    <w:pPr>
      <w:spacing w:line="240" w:lineRule="auto"/>
    </w:pPr>
    <w:rPr>
      <w:rFonts w:ascii="Tahoma" w:hAnsi="Tahoma"/>
      <w:szCs w:val="24"/>
    </w:rPr>
  </w:style>
  <w:style w:type="character" w:customStyle="1" w:styleId="52">
    <w:name w:val="默认段落字体 New"/>
    <w:link w:val="53"/>
    <w:autoRedefine/>
    <w:qFormat/>
    <w:uiPriority w:val="0"/>
    <w:rPr>
      <w:rFonts w:ascii="Tahoma" w:hAnsi="Tahoma"/>
      <w:szCs w:val="24"/>
    </w:rPr>
  </w:style>
  <w:style w:type="paragraph" w:customStyle="1" w:styleId="53">
    <w:name w:val="Char New"/>
    <w:basedOn w:val="1"/>
    <w:link w:val="52"/>
    <w:autoRedefine/>
    <w:qFormat/>
    <w:uiPriority w:val="0"/>
    <w:pPr>
      <w:spacing w:line="240" w:lineRule="auto"/>
    </w:pPr>
    <w:rPr>
      <w:rFonts w:ascii="Tahoma" w:hAnsi="Tahoma"/>
      <w:szCs w:val="24"/>
    </w:rPr>
  </w:style>
  <w:style w:type="character" w:customStyle="1" w:styleId="54">
    <w:name w:val="页码 New New New"/>
    <w:autoRedefine/>
    <w:qFormat/>
    <w:uiPriority w:val="0"/>
    <w:rPr>
      <w:rFonts w:eastAsia="宋体"/>
      <w:kern w:val="2"/>
      <w:sz w:val="24"/>
      <w:szCs w:val="24"/>
      <w:lang w:val="en-US" w:eastAsia="zh-CN" w:bidi="ar-SA"/>
    </w:rPr>
  </w:style>
  <w:style w:type="character" w:customStyle="1" w:styleId="55">
    <w:name w:val="页码 New New"/>
    <w:autoRedefine/>
    <w:qFormat/>
    <w:uiPriority w:val="0"/>
    <w:rPr>
      <w:rFonts w:eastAsia="宋体"/>
      <w:kern w:val="2"/>
      <w:sz w:val="24"/>
      <w:szCs w:val="24"/>
      <w:lang w:val="en-US" w:eastAsia="zh-CN" w:bidi="ar-SA"/>
    </w:rPr>
  </w:style>
  <w:style w:type="character" w:customStyle="1" w:styleId="56">
    <w:name w:val="Char Char1"/>
    <w:autoRedefine/>
    <w:qFormat/>
    <w:uiPriority w:val="0"/>
    <w:rPr>
      <w:rFonts w:ascii="宋体" w:eastAsia="宋体"/>
      <w:color w:val="FF0000"/>
      <w:kern w:val="2"/>
      <w:sz w:val="24"/>
      <w:lang w:val="en-US" w:eastAsia="zh-CN" w:bidi="ar-SA"/>
    </w:rPr>
  </w:style>
  <w:style w:type="character" w:customStyle="1" w:styleId="57">
    <w:name w:val="页码 New"/>
    <w:autoRedefine/>
    <w:qFormat/>
    <w:uiPriority w:val="0"/>
    <w:rPr>
      <w:rFonts w:eastAsia="宋体"/>
      <w:kern w:val="2"/>
      <w:sz w:val="24"/>
      <w:szCs w:val="24"/>
      <w:lang w:val="en-US" w:eastAsia="zh-CN" w:bidi="ar-SA"/>
    </w:rPr>
  </w:style>
  <w:style w:type="paragraph" w:customStyle="1" w:styleId="58">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9">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0">
    <w:name w:val="页脚 New New New New New New New New New New New New New"/>
    <w:basedOn w:val="61"/>
    <w:autoRedefine/>
    <w:qFormat/>
    <w:uiPriority w:val="0"/>
    <w:pPr>
      <w:widowControl/>
      <w:tabs>
        <w:tab w:val="center" w:pos="4153"/>
        <w:tab w:val="right" w:pos="8306"/>
      </w:tabs>
      <w:snapToGrid w:val="0"/>
      <w:jc w:val="left"/>
    </w:pPr>
    <w:rPr>
      <w:sz w:val="18"/>
    </w:rPr>
  </w:style>
  <w:style w:type="paragraph" w:customStyle="1" w:styleId="61">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2">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4">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页脚 New New New New New"/>
    <w:basedOn w:val="66"/>
    <w:autoRedefine/>
    <w:qFormat/>
    <w:uiPriority w:val="0"/>
    <w:pPr>
      <w:tabs>
        <w:tab w:val="center" w:pos="4153"/>
        <w:tab w:val="right" w:pos="8306"/>
      </w:tabs>
      <w:snapToGrid w:val="0"/>
      <w:jc w:val="left"/>
    </w:pPr>
    <w:rPr>
      <w:sz w:val="18"/>
    </w:rPr>
  </w:style>
  <w:style w:type="paragraph" w:customStyle="1" w:styleId="66">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7">
    <w:name w:val="纯文本 New New"/>
    <w:basedOn w:val="68"/>
    <w:autoRedefine/>
    <w:qFormat/>
    <w:uiPriority w:val="0"/>
    <w:rPr>
      <w:rFonts w:ascii="宋体" w:hAnsi="Courier New"/>
      <w:szCs w:val="24"/>
    </w:rPr>
  </w:style>
  <w:style w:type="paragraph" w:customStyle="1" w:styleId="68">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9">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70">
    <w:name w:val="页脚1"/>
    <w:basedOn w:val="69"/>
    <w:autoRedefine/>
    <w:qFormat/>
    <w:uiPriority w:val="0"/>
    <w:pPr>
      <w:widowControl/>
      <w:tabs>
        <w:tab w:val="center" w:pos="4153"/>
        <w:tab w:val="right" w:pos="8306"/>
      </w:tabs>
      <w:snapToGrid w:val="0"/>
      <w:jc w:val="left"/>
    </w:pPr>
    <w:rPr>
      <w:kern w:val="0"/>
      <w:sz w:val="18"/>
    </w:rPr>
  </w:style>
  <w:style w:type="paragraph" w:customStyle="1" w:styleId="71">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2">
    <w:name w:val="标题 3 New New"/>
    <w:basedOn w:val="73"/>
    <w:next w:val="73"/>
    <w:autoRedefine/>
    <w:qFormat/>
    <w:uiPriority w:val="0"/>
    <w:pPr>
      <w:keepNext/>
      <w:keepLines/>
      <w:spacing w:before="120" w:after="120"/>
      <w:jc w:val="center"/>
      <w:outlineLvl w:val="2"/>
    </w:pPr>
    <w:rPr>
      <w:sz w:val="24"/>
    </w:rPr>
  </w:style>
  <w:style w:type="paragraph" w:customStyle="1" w:styleId="73">
    <w:name w:val="正文缩进 New"/>
    <w:basedOn w:val="74"/>
    <w:autoRedefine/>
    <w:qFormat/>
    <w:uiPriority w:val="0"/>
    <w:pPr>
      <w:widowControl/>
      <w:ind w:firstLine="420"/>
      <w:jc w:val="left"/>
    </w:pPr>
    <w:rPr>
      <w:kern w:val="0"/>
      <w:sz w:val="20"/>
    </w:rPr>
  </w:style>
  <w:style w:type="paragraph" w:customStyle="1" w:styleId="74">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5">
    <w:name w:val="普通(网站) New"/>
    <w:basedOn w:val="76"/>
    <w:autoRedefine/>
    <w:qFormat/>
    <w:uiPriority w:val="0"/>
    <w:rPr>
      <w:sz w:val="24"/>
    </w:rPr>
  </w:style>
  <w:style w:type="paragraph" w:customStyle="1" w:styleId="76">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7">
    <w:name w:val="正文文本缩进 New"/>
    <w:basedOn w:val="74"/>
    <w:autoRedefine/>
    <w:qFormat/>
    <w:uiPriority w:val="0"/>
    <w:pPr>
      <w:ind w:firstLine="560" w:firstLineChars="200"/>
    </w:pPr>
  </w:style>
  <w:style w:type="paragraph" w:customStyle="1" w:styleId="78">
    <w:name w:val="Char"/>
    <w:basedOn w:val="8"/>
    <w:autoRedefine/>
    <w:qFormat/>
    <w:uiPriority w:val="0"/>
    <w:pPr>
      <w:spacing w:line="240" w:lineRule="auto"/>
    </w:pPr>
  </w:style>
  <w:style w:type="paragraph" w:customStyle="1" w:styleId="79">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0">
    <w:name w:val="页脚 New New New New"/>
    <w:basedOn w:val="81"/>
    <w:autoRedefine/>
    <w:qFormat/>
    <w:uiPriority w:val="0"/>
    <w:pPr>
      <w:tabs>
        <w:tab w:val="center" w:pos="4153"/>
        <w:tab w:val="right" w:pos="8306"/>
      </w:tabs>
      <w:snapToGrid w:val="0"/>
      <w:jc w:val="left"/>
    </w:pPr>
    <w:rPr>
      <w:sz w:val="18"/>
      <w:szCs w:val="18"/>
    </w:rPr>
  </w:style>
  <w:style w:type="paragraph" w:customStyle="1" w:styleId="81">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4">
    <w:name w:val="页眉 New New New New New New New New New"/>
    <w:basedOn w:val="61"/>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5">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6">
    <w:name w:val="页眉 New New New New New New New New"/>
    <w:basedOn w:val="87"/>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7">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8">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9">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91">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2">
    <w:name w:val="样式2"/>
    <w:basedOn w:val="21"/>
    <w:autoRedefine/>
    <w:qFormat/>
    <w:uiPriority w:val="0"/>
    <w:pPr>
      <w:tabs>
        <w:tab w:val="right" w:leader="dot" w:pos="9345"/>
      </w:tabs>
    </w:pPr>
    <w:rPr>
      <w:rFonts w:hAnsi="宋体"/>
      <w:b/>
      <w:color w:val="0000FF"/>
      <w:u w:val="single"/>
    </w:rPr>
  </w:style>
  <w:style w:type="paragraph" w:customStyle="1" w:styleId="93">
    <w:name w:val="页脚 New New New New New New New New"/>
    <w:basedOn w:val="94"/>
    <w:autoRedefine/>
    <w:qFormat/>
    <w:uiPriority w:val="0"/>
    <w:pPr>
      <w:tabs>
        <w:tab w:val="center" w:pos="4153"/>
        <w:tab w:val="right" w:pos="8306"/>
      </w:tabs>
      <w:snapToGrid w:val="0"/>
      <w:jc w:val="left"/>
    </w:pPr>
    <w:rPr>
      <w:sz w:val="18"/>
      <w:szCs w:val="18"/>
    </w:rPr>
  </w:style>
  <w:style w:type="paragraph" w:customStyle="1" w:styleId="94">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6">
    <w:name w:val="页脚 New New New New New New New New New New"/>
    <w:basedOn w:val="91"/>
    <w:autoRedefine/>
    <w:qFormat/>
    <w:uiPriority w:val="0"/>
    <w:pPr>
      <w:widowControl/>
      <w:tabs>
        <w:tab w:val="center" w:pos="4153"/>
        <w:tab w:val="right" w:pos="8306"/>
      </w:tabs>
      <w:snapToGrid w:val="0"/>
      <w:jc w:val="left"/>
    </w:pPr>
    <w:rPr>
      <w:sz w:val="18"/>
    </w:rPr>
  </w:style>
  <w:style w:type="paragraph" w:customStyle="1" w:styleId="97">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8">
    <w:name w:val="页脚 New New New New New New"/>
    <w:basedOn w:val="76"/>
    <w:autoRedefine/>
    <w:qFormat/>
    <w:uiPriority w:val="0"/>
    <w:pPr>
      <w:tabs>
        <w:tab w:val="center" w:pos="4153"/>
        <w:tab w:val="right" w:pos="8306"/>
      </w:tabs>
      <w:snapToGrid w:val="0"/>
      <w:jc w:val="left"/>
    </w:pPr>
    <w:rPr>
      <w:sz w:val="18"/>
    </w:rPr>
  </w:style>
  <w:style w:type="paragraph" w:customStyle="1" w:styleId="99">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0">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1">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2">
    <w:name w:val="页眉 New New New New New"/>
    <w:basedOn w:val="76"/>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3">
    <w:name w:val="页脚 New New New New New New New New New New New"/>
    <w:basedOn w:val="87"/>
    <w:autoRedefine/>
    <w:qFormat/>
    <w:uiPriority w:val="0"/>
    <w:pPr>
      <w:widowControl/>
      <w:tabs>
        <w:tab w:val="center" w:pos="4153"/>
        <w:tab w:val="right" w:pos="8306"/>
      </w:tabs>
      <w:snapToGrid w:val="0"/>
      <w:jc w:val="left"/>
    </w:pPr>
    <w:rPr>
      <w:sz w:val="18"/>
    </w:rPr>
  </w:style>
  <w:style w:type="paragraph" w:customStyle="1" w:styleId="104">
    <w:name w:val="页眉 New New New New New New"/>
    <w:basedOn w:val="83"/>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5">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6">
    <w:name w:val="页眉 New New"/>
    <w:basedOn w:val="63"/>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7">
    <w:name w:val="页眉 New"/>
    <w:basedOn w:val="108"/>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8">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9">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页脚 New"/>
    <w:basedOn w:val="108"/>
    <w:autoRedefine/>
    <w:qFormat/>
    <w:uiPriority w:val="0"/>
    <w:pPr>
      <w:tabs>
        <w:tab w:val="center" w:pos="4153"/>
        <w:tab w:val="right" w:pos="8306"/>
      </w:tabs>
      <w:snapToGrid w:val="0"/>
      <w:jc w:val="left"/>
    </w:pPr>
    <w:rPr>
      <w:sz w:val="18"/>
      <w:szCs w:val="18"/>
    </w:rPr>
  </w:style>
  <w:style w:type="paragraph" w:customStyle="1" w:styleId="111">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2">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3">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4">
    <w:name w:val="页脚 New New New"/>
    <w:basedOn w:val="68"/>
    <w:autoRedefine/>
    <w:qFormat/>
    <w:uiPriority w:val="0"/>
    <w:pPr>
      <w:tabs>
        <w:tab w:val="center" w:pos="4153"/>
        <w:tab w:val="right" w:pos="8306"/>
      </w:tabs>
      <w:snapToGrid w:val="0"/>
      <w:jc w:val="left"/>
    </w:pPr>
    <w:rPr>
      <w:sz w:val="18"/>
      <w:szCs w:val="18"/>
    </w:rPr>
  </w:style>
  <w:style w:type="paragraph" w:customStyle="1" w:styleId="115">
    <w:name w:val="页眉 New New New New"/>
    <w:basedOn w:val="66"/>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6">
    <w:name w:val="纯文本 New"/>
    <w:basedOn w:val="63"/>
    <w:autoRedefine/>
    <w:qFormat/>
    <w:uiPriority w:val="0"/>
    <w:rPr>
      <w:rFonts w:ascii="宋体" w:hAnsi="Courier New"/>
      <w:szCs w:val="24"/>
    </w:rPr>
  </w:style>
  <w:style w:type="paragraph" w:customStyle="1" w:styleId="117">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8">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0">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1">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
    <w:name w:val="页脚 New New New New New New New New New New New New"/>
    <w:basedOn w:val="123"/>
    <w:autoRedefine/>
    <w:qFormat/>
    <w:uiPriority w:val="0"/>
    <w:pPr>
      <w:tabs>
        <w:tab w:val="center" w:pos="4153"/>
        <w:tab w:val="right" w:pos="8306"/>
      </w:tabs>
      <w:snapToGrid w:val="0"/>
      <w:jc w:val="left"/>
    </w:pPr>
    <w:rPr>
      <w:sz w:val="18"/>
      <w:szCs w:val="18"/>
    </w:rPr>
  </w:style>
  <w:style w:type="paragraph" w:customStyle="1" w:styleId="123">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4">
    <w:name w:val="目录 31"/>
    <w:basedOn w:val="69"/>
    <w:next w:val="69"/>
    <w:autoRedefine/>
    <w:qFormat/>
    <w:uiPriority w:val="0"/>
    <w:pPr>
      <w:ind w:left="561"/>
      <w:jc w:val="left"/>
    </w:pPr>
  </w:style>
  <w:style w:type="paragraph" w:customStyle="1" w:styleId="125">
    <w:name w:val="p0"/>
    <w:basedOn w:val="62"/>
    <w:autoRedefine/>
    <w:qFormat/>
    <w:uiPriority w:val="0"/>
    <w:pPr>
      <w:widowControl/>
      <w:spacing w:line="360" w:lineRule="auto"/>
    </w:pPr>
    <w:rPr>
      <w:rFonts w:ascii="宋体" w:hAnsi="宋体" w:cs="宋体"/>
      <w:kern w:val="0"/>
      <w:sz w:val="24"/>
      <w:szCs w:val="24"/>
    </w:rPr>
  </w:style>
  <w:style w:type="paragraph" w:customStyle="1" w:styleId="126">
    <w:name w:val="页眉 New New New New New New New"/>
    <w:basedOn w:val="91"/>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7">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8">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9">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0">
    <w:name w:val="标题 2 New"/>
    <w:basedOn w:val="89"/>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1">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2">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3">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4">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5">
    <w:name w:val="正文文本缩进 New New New New"/>
    <w:basedOn w:val="128"/>
    <w:autoRedefine/>
    <w:qFormat/>
    <w:uiPriority w:val="0"/>
    <w:pPr>
      <w:ind w:firstLine="560" w:firstLineChars="200"/>
    </w:pPr>
    <w:rPr>
      <w:szCs w:val="28"/>
    </w:rPr>
  </w:style>
  <w:style w:type="paragraph" w:customStyle="1" w:styleId="136">
    <w:name w:val="页脚 New New New New New New New"/>
    <w:basedOn w:val="83"/>
    <w:autoRedefine/>
    <w:qFormat/>
    <w:uiPriority w:val="0"/>
    <w:pPr>
      <w:widowControl/>
      <w:tabs>
        <w:tab w:val="center" w:pos="4153"/>
        <w:tab w:val="right" w:pos="8306"/>
      </w:tabs>
      <w:snapToGrid w:val="0"/>
      <w:jc w:val="left"/>
    </w:pPr>
    <w:rPr>
      <w:kern w:val="0"/>
      <w:sz w:val="18"/>
      <w:szCs w:val="20"/>
    </w:rPr>
  </w:style>
  <w:style w:type="paragraph" w:customStyle="1" w:styleId="137">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
    <w:name w:val="页脚 New New New New New New New New New"/>
    <w:basedOn w:val="82"/>
    <w:autoRedefine/>
    <w:qFormat/>
    <w:uiPriority w:val="0"/>
    <w:pPr>
      <w:tabs>
        <w:tab w:val="center" w:pos="4153"/>
        <w:tab w:val="right" w:pos="8306"/>
      </w:tabs>
      <w:snapToGrid w:val="0"/>
      <w:jc w:val="left"/>
    </w:pPr>
    <w:rPr>
      <w:sz w:val="18"/>
      <w:szCs w:val="18"/>
    </w:rPr>
  </w:style>
  <w:style w:type="paragraph" w:customStyle="1" w:styleId="139">
    <w:name w:val="页脚 New New"/>
    <w:basedOn w:val="63"/>
    <w:autoRedefine/>
    <w:qFormat/>
    <w:uiPriority w:val="0"/>
    <w:pPr>
      <w:tabs>
        <w:tab w:val="center" w:pos="4153"/>
        <w:tab w:val="right" w:pos="8306"/>
      </w:tabs>
      <w:snapToGrid w:val="0"/>
      <w:jc w:val="left"/>
    </w:pPr>
    <w:rPr>
      <w:sz w:val="18"/>
      <w:szCs w:val="18"/>
    </w:rPr>
  </w:style>
  <w:style w:type="paragraph" w:customStyle="1" w:styleId="140">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1">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2">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3">
    <w:name w:val="样式1"/>
    <w:basedOn w:val="5"/>
    <w:autoRedefine/>
    <w:qFormat/>
    <w:uiPriority w:val="0"/>
    <w:pPr>
      <w:tabs>
        <w:tab w:val="right" w:leader="dot" w:pos="9345"/>
      </w:tabs>
    </w:pPr>
    <w:rPr>
      <w:rFonts w:ascii="宋体" w:hAnsi="宋体"/>
      <w:b/>
      <w:caps/>
      <w:u w:val="single"/>
    </w:rPr>
  </w:style>
  <w:style w:type="paragraph" w:customStyle="1" w:styleId="144">
    <w:name w:val="页眉 New New New"/>
    <w:basedOn w:val="68"/>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5">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6">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7">
    <w:name w:val="正文正"/>
    <w:basedOn w:val="1"/>
    <w:autoRedefine/>
    <w:qFormat/>
    <w:uiPriority w:val="0"/>
    <w:pPr>
      <w:spacing w:line="560" w:lineRule="exact"/>
      <w:ind w:firstLine="561"/>
    </w:pPr>
    <w:rPr>
      <w:rFonts w:ascii="Calibri" w:hAnsi="Calibri"/>
      <w:sz w:val="28"/>
      <w:szCs w:val="28"/>
    </w:rPr>
  </w:style>
  <w:style w:type="paragraph" w:customStyle="1" w:styleId="148">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9">
    <w:name w:val="标题 2 New New"/>
    <w:basedOn w:val="118"/>
    <w:next w:val="118"/>
    <w:autoRedefine/>
    <w:qFormat/>
    <w:uiPriority w:val="0"/>
    <w:pPr>
      <w:autoSpaceDE w:val="0"/>
      <w:autoSpaceDN w:val="0"/>
      <w:adjustRightInd w:val="0"/>
      <w:jc w:val="left"/>
      <w:outlineLvl w:val="1"/>
    </w:pPr>
    <w:rPr>
      <w:kern w:val="0"/>
      <w:sz w:val="24"/>
    </w:rPr>
  </w:style>
  <w:style w:type="paragraph" w:customStyle="1" w:styleId="150">
    <w:name w:val="标题 1 New"/>
    <w:basedOn w:val="118"/>
    <w:next w:val="118"/>
    <w:autoRedefine/>
    <w:qFormat/>
    <w:uiPriority w:val="0"/>
    <w:pPr>
      <w:autoSpaceDE w:val="0"/>
      <w:autoSpaceDN w:val="0"/>
      <w:adjustRightInd w:val="0"/>
      <w:jc w:val="left"/>
      <w:outlineLvl w:val="0"/>
    </w:pPr>
    <w:rPr>
      <w:kern w:val="0"/>
      <w:sz w:val="30"/>
    </w:rPr>
  </w:style>
  <w:style w:type="paragraph" w:customStyle="1" w:styleId="151">
    <w:name w:val="WPSOffice手动目录 1"/>
    <w:autoRedefine/>
    <w:qFormat/>
    <w:uiPriority w:val="0"/>
    <w:rPr>
      <w:rFonts w:ascii="Times New Roman" w:hAnsi="Times New Roman" w:eastAsia="宋体" w:cs="Times New Roman"/>
      <w:lang w:val="en-US" w:eastAsia="zh-CN" w:bidi="ar-SA"/>
    </w:rPr>
  </w:style>
  <w:style w:type="paragraph" w:customStyle="1" w:styleId="152">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3">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4">
    <w:name w:val="正文缩进1"/>
    <w:basedOn w:val="1"/>
    <w:autoRedefine/>
    <w:qFormat/>
    <w:uiPriority w:val="0"/>
    <w:pPr>
      <w:widowControl/>
      <w:ind w:firstLine="420"/>
      <w:jc w:val="left"/>
    </w:pPr>
    <w:rPr>
      <w:kern w:val="0"/>
    </w:rPr>
  </w:style>
  <w:style w:type="character" w:styleId="155">
    <w:name w:val="Placeholder Text"/>
    <w:basedOn w:val="33"/>
    <w:semiHidden/>
    <w:qFormat/>
    <w:uiPriority w:val="99"/>
    <w:rPr>
      <w:color w:val="808080"/>
    </w:rPr>
  </w:style>
  <w:style w:type="paragraph" w:customStyle="1" w:styleId="156">
    <w:name w:val="正文文本1"/>
    <w:basedOn w:val="1"/>
    <w:qFormat/>
    <w:uiPriority w:val="0"/>
    <w:pPr>
      <w:spacing w:after="120"/>
    </w:pPr>
  </w:style>
  <w:style w:type="paragraph" w:customStyle="1" w:styleId="157">
    <w:name w:val=" Char Char Char Char"/>
    <w:basedOn w:val="1"/>
    <w:qFormat/>
    <w:uiPriority w:val="0"/>
    <w:pPr>
      <w:tabs>
        <w:tab w:val="left" w:pos="360"/>
      </w:tabs>
      <w:spacing w:line="440" w:lineRule="exact"/>
      <w:ind w:firstLine="480" w:firstLineChars="200"/>
    </w:pPr>
    <w:rPr>
      <w:rFonts w:cs="宋体"/>
      <w:kern w:val="0"/>
      <w:sz w:val="24"/>
      <w:u w:val="wav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74</Pages>
  <Words>14852</Words>
  <Characters>16213</Characters>
  <Lines>292</Lines>
  <Paragraphs>82</Paragraphs>
  <TotalTime>8</TotalTime>
  <ScaleCrop>false</ScaleCrop>
  <LinksUpToDate>false</LinksUpToDate>
  <CharactersWithSpaces>16561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SS</cp:lastModifiedBy>
  <cp:lastPrinted>2026-03-10T06:51:00Z</cp:lastPrinted>
  <dcterms:modified xsi:type="dcterms:W3CDTF">2026-04-16T06:44:47Z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ribbonExt">
    <vt:lpwstr>{"WPSExtOfficeTab":{"OnGetEnabled":false,"OnGetVisible":false}}</vt:lpwstr>
  </property>
  <property fmtid="{D5CDD505-2E9C-101B-9397-08002B2CF9AE}" pid="4" name="ICV">
    <vt:lpwstr>64B7CD0802E6405BB224CDBA5711C704_13</vt:lpwstr>
  </property>
  <property fmtid="{D5CDD505-2E9C-101B-9397-08002B2CF9AE}" pid="5" name="KSOTemplateDocerSaveRecord">
    <vt:lpwstr>eyJoZGlkIjoiYzAwYmE0YmUxMjFiNGZhMjhmNjA3NTQxMzAwNjExZjYiLCJ1c2VySWQiOiI1MTEwMDIyMTUifQ==</vt:lpwstr>
  </property>
</Properties>
</file>