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4A10F9">
      <w:pPr>
        <w:pStyle w:val="2"/>
        <w:rPr>
          <w:rFonts w:hint="eastAsia" w:ascii="宋体" w:hAnsi="宋体" w:eastAsia="宋体" w:cs="宋体"/>
          <w:b/>
          <w:bCs/>
          <w:color w:val="auto"/>
          <w:kern w:val="2"/>
          <w:sz w:val="56"/>
          <w:szCs w:val="72"/>
          <w:highlight w:val="none"/>
          <w:u w:val="none"/>
          <w:lang w:val="en-US" w:eastAsia="zh-CN" w:bidi="ar-SA"/>
        </w:rPr>
      </w:pPr>
      <w:bookmarkStart w:id="279" w:name="_GoBack"/>
      <w:r>
        <w:rPr>
          <w:rFonts w:hint="eastAsia" w:ascii="宋体" w:hAnsi="宋体" w:eastAsia="宋体" w:cs="宋体"/>
          <w:b/>
          <w:bCs/>
          <w:color w:val="auto"/>
          <w:kern w:val="2"/>
          <w:sz w:val="44"/>
          <w:szCs w:val="44"/>
          <w:highlight w:val="none"/>
          <w:u w:val="none"/>
          <w:lang w:val="en-US" w:eastAsia="zh-CN" w:bidi="ar-SA"/>
        </w:rPr>
        <w:drawing>
          <wp:inline distT="0" distB="0" distL="114300" distR="114300">
            <wp:extent cx="6714490" cy="8714740"/>
            <wp:effectExtent l="0" t="0" r="6350" b="2540"/>
            <wp:docPr id="19" name="图片 19" descr="招标文件封面5.13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招标文件封面5.13_01"/>
                    <pic:cNvPicPr>
                      <a:picLocks noChangeAspect="1"/>
                    </pic:cNvPicPr>
                  </pic:nvPicPr>
                  <pic:blipFill>
                    <a:blip r:embed="rId27"/>
                    <a:stretch>
                      <a:fillRect/>
                    </a:stretch>
                  </pic:blipFill>
                  <pic:spPr>
                    <a:xfrm>
                      <a:off x="0" y="0"/>
                      <a:ext cx="6714490" cy="8714740"/>
                    </a:xfrm>
                    <a:prstGeom prst="rect">
                      <a:avLst/>
                    </a:prstGeom>
                  </pic:spPr>
                </pic:pic>
              </a:graphicData>
            </a:graphic>
          </wp:inline>
        </w:drawing>
      </w:r>
      <w:bookmarkEnd w:id="279"/>
    </w:p>
    <w:p w14:paraId="6E29DB7F">
      <w:pPr>
        <w:rPr>
          <w:rFonts w:hint="eastAsia" w:ascii="宋体" w:hAnsi="宋体" w:eastAsia="宋体" w:cs="宋体"/>
          <w:b/>
          <w:bCs/>
          <w:color w:val="auto"/>
          <w:kern w:val="2"/>
          <w:sz w:val="56"/>
          <w:szCs w:val="72"/>
          <w:highlight w:val="none"/>
          <w:u w:val="none"/>
          <w:lang w:val="en-US" w:eastAsia="zh-CN" w:bidi="ar-SA"/>
        </w:rPr>
      </w:pPr>
    </w:p>
    <w:p w14:paraId="7A96D5DD">
      <w:pPr>
        <w:rPr>
          <w:rFonts w:hint="eastAsia" w:ascii="宋体" w:hAnsi="宋体" w:eastAsia="宋体" w:cs="宋体"/>
          <w:b/>
          <w:bCs/>
          <w:color w:val="auto"/>
          <w:kern w:val="2"/>
          <w:sz w:val="56"/>
          <w:szCs w:val="72"/>
          <w:highlight w:val="none"/>
          <w:u w:val="none"/>
          <w:lang w:val="en-US" w:eastAsia="zh-CN" w:bidi="ar-SA"/>
        </w:rPr>
        <w:sectPr>
          <w:headerReference r:id="rId3" w:type="default"/>
          <w:pgSz w:w="11906" w:h="16839"/>
          <w:pgMar w:top="1440" w:right="1080" w:bottom="1440" w:left="1080" w:header="1200" w:footer="0" w:gutter="0"/>
          <w:pgBorders>
            <w:top w:val="none" w:sz="0" w:space="0"/>
            <w:left w:val="none" w:sz="0" w:space="0"/>
            <w:bottom w:val="none" w:sz="0" w:space="0"/>
            <w:right w:val="none" w:sz="0" w:space="0"/>
          </w:pgBorders>
          <w:pgNumType w:start="1"/>
          <w:cols w:space="720" w:num="1"/>
        </w:sectPr>
      </w:pPr>
    </w:p>
    <w:p w14:paraId="242E58A3">
      <w:pPr>
        <w:rPr>
          <w:rFonts w:hint="eastAsia" w:ascii="宋体" w:hAnsi="宋体" w:eastAsia="宋体" w:cs="宋体"/>
          <w:color w:val="auto"/>
          <w:highlight w:val="none"/>
        </w:rPr>
      </w:pPr>
    </w:p>
    <w:p w14:paraId="6EF33911">
      <w:pPr>
        <w:jc w:val="center"/>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目录</w:t>
      </w:r>
    </w:p>
    <w:p w14:paraId="3B9CCDC2">
      <w:pPr>
        <w:pStyle w:val="9"/>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TOC \o "1-3" \h \u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_Toc30584 </w:instrText>
      </w:r>
      <w:r>
        <w:rPr>
          <w:rFonts w:hint="eastAsia" w:ascii="宋体" w:hAnsi="宋体" w:eastAsia="宋体" w:cs="宋体"/>
          <w:sz w:val="24"/>
          <w:szCs w:val="24"/>
          <w:highlight w:val="none"/>
        </w:rPr>
        <w:fldChar w:fldCharType="separate"/>
      </w:r>
      <w:r>
        <w:rPr>
          <w:rFonts w:hint="eastAsia" w:ascii="宋体" w:hAnsi="宋体" w:eastAsia="宋体" w:cs="宋体"/>
          <w:bCs/>
          <w:spacing w:val="-3"/>
          <w:sz w:val="24"/>
          <w:szCs w:val="24"/>
          <w:highlight w:val="none"/>
        </w:rPr>
        <w:t>第一章</w:t>
      </w:r>
      <w:r>
        <w:rPr>
          <w:rFonts w:hint="eastAsia" w:ascii="宋体" w:hAnsi="宋体" w:eastAsia="宋体" w:cs="宋体"/>
          <w:spacing w:val="-3"/>
          <w:sz w:val="24"/>
          <w:szCs w:val="24"/>
          <w:highlight w:val="none"/>
        </w:rPr>
        <w:t xml:space="preserve"> </w:t>
      </w:r>
      <w:r>
        <w:rPr>
          <w:rFonts w:hint="eastAsia" w:ascii="宋体" w:hAnsi="宋体" w:eastAsia="宋体" w:cs="宋体"/>
          <w:bCs/>
          <w:spacing w:val="-3"/>
          <w:sz w:val="24"/>
          <w:szCs w:val="24"/>
          <w:highlight w:val="none"/>
        </w:rPr>
        <w:t>投标人须知</w:t>
      </w:r>
      <w:r>
        <w:rPr>
          <w:sz w:val="24"/>
          <w:szCs w:val="24"/>
          <w:highlight w:val="none"/>
        </w:rPr>
        <w:tab/>
      </w:r>
      <w:r>
        <w:rPr>
          <w:sz w:val="24"/>
          <w:szCs w:val="24"/>
          <w:highlight w:val="none"/>
        </w:rPr>
        <w:fldChar w:fldCharType="begin"/>
      </w:r>
      <w:r>
        <w:rPr>
          <w:sz w:val="24"/>
          <w:szCs w:val="24"/>
          <w:highlight w:val="none"/>
        </w:rPr>
        <w:instrText xml:space="preserve"> PAGEREF _Toc30584 \h </w:instrText>
      </w:r>
      <w:r>
        <w:rPr>
          <w:sz w:val="24"/>
          <w:szCs w:val="24"/>
          <w:highlight w:val="none"/>
        </w:rPr>
        <w:fldChar w:fldCharType="separate"/>
      </w:r>
      <w:r>
        <w:rPr>
          <w:sz w:val="24"/>
          <w:szCs w:val="24"/>
          <w:highlight w:val="none"/>
        </w:rPr>
        <w:t>3</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6755E0D1">
      <w:pPr>
        <w:pStyle w:val="10"/>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_Toc1079 </w:instrText>
      </w:r>
      <w:r>
        <w:rPr>
          <w:rFonts w:hint="eastAsia" w:ascii="宋体" w:hAnsi="宋体" w:eastAsia="宋体" w:cs="宋体"/>
          <w:sz w:val="24"/>
          <w:szCs w:val="24"/>
          <w:highlight w:val="none"/>
        </w:rPr>
        <w:fldChar w:fldCharType="separate"/>
      </w:r>
      <w:r>
        <w:rPr>
          <w:rFonts w:hint="eastAsia" w:ascii="宋体" w:hAnsi="宋体" w:eastAsia="宋体" w:cs="宋体"/>
          <w:bCs/>
          <w:spacing w:val="-3"/>
          <w:sz w:val="24"/>
          <w:szCs w:val="24"/>
          <w:highlight w:val="none"/>
        </w:rPr>
        <w:t>第一节</w:t>
      </w:r>
      <w:r>
        <w:rPr>
          <w:rFonts w:hint="eastAsia" w:ascii="宋体" w:hAnsi="宋体" w:eastAsia="宋体" w:cs="宋体"/>
          <w:spacing w:val="-3"/>
          <w:sz w:val="24"/>
          <w:szCs w:val="24"/>
          <w:highlight w:val="none"/>
        </w:rPr>
        <w:t xml:space="preserve"> </w:t>
      </w:r>
      <w:r>
        <w:rPr>
          <w:rFonts w:hint="eastAsia" w:ascii="宋体" w:hAnsi="宋体" w:eastAsia="宋体" w:cs="宋体"/>
          <w:bCs/>
          <w:spacing w:val="-3"/>
          <w:sz w:val="24"/>
          <w:szCs w:val="24"/>
          <w:highlight w:val="none"/>
        </w:rPr>
        <w:t>投标人须知前附表</w:t>
      </w:r>
      <w:r>
        <w:rPr>
          <w:sz w:val="24"/>
          <w:szCs w:val="24"/>
          <w:highlight w:val="none"/>
        </w:rPr>
        <w:tab/>
      </w:r>
      <w:r>
        <w:rPr>
          <w:sz w:val="24"/>
          <w:szCs w:val="24"/>
          <w:highlight w:val="none"/>
        </w:rPr>
        <w:fldChar w:fldCharType="begin"/>
      </w:r>
      <w:r>
        <w:rPr>
          <w:sz w:val="24"/>
          <w:szCs w:val="24"/>
          <w:highlight w:val="none"/>
        </w:rPr>
        <w:instrText xml:space="preserve"> PAGEREF _Toc1079 \h </w:instrText>
      </w:r>
      <w:r>
        <w:rPr>
          <w:sz w:val="24"/>
          <w:szCs w:val="24"/>
          <w:highlight w:val="none"/>
        </w:rPr>
        <w:fldChar w:fldCharType="separate"/>
      </w:r>
      <w:r>
        <w:rPr>
          <w:sz w:val="24"/>
          <w:szCs w:val="24"/>
          <w:highlight w:val="none"/>
        </w:rPr>
        <w:t>3</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442F6BD3">
      <w:pPr>
        <w:pStyle w:val="10"/>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_Toc14297 </w:instrText>
      </w:r>
      <w:r>
        <w:rPr>
          <w:rFonts w:hint="eastAsia" w:ascii="宋体" w:hAnsi="宋体" w:eastAsia="宋体" w:cs="宋体"/>
          <w:sz w:val="24"/>
          <w:szCs w:val="24"/>
          <w:highlight w:val="none"/>
        </w:rPr>
        <w:fldChar w:fldCharType="separate"/>
      </w:r>
      <w:r>
        <w:rPr>
          <w:rFonts w:hint="eastAsia" w:ascii="宋体" w:hAnsi="宋体" w:eastAsia="宋体" w:cs="宋体"/>
          <w:bCs/>
          <w:spacing w:val="-3"/>
          <w:sz w:val="24"/>
          <w:szCs w:val="24"/>
          <w:highlight w:val="none"/>
        </w:rPr>
        <w:t>第二节 重要事项时间地点一览表</w:t>
      </w:r>
      <w:r>
        <w:rPr>
          <w:sz w:val="24"/>
          <w:szCs w:val="24"/>
          <w:highlight w:val="none"/>
        </w:rPr>
        <w:tab/>
      </w:r>
      <w:r>
        <w:rPr>
          <w:sz w:val="24"/>
          <w:szCs w:val="24"/>
          <w:highlight w:val="none"/>
        </w:rPr>
        <w:fldChar w:fldCharType="begin"/>
      </w:r>
      <w:r>
        <w:rPr>
          <w:sz w:val="24"/>
          <w:szCs w:val="24"/>
          <w:highlight w:val="none"/>
        </w:rPr>
        <w:instrText xml:space="preserve"> PAGEREF _Toc14297 \h </w:instrText>
      </w:r>
      <w:r>
        <w:rPr>
          <w:sz w:val="24"/>
          <w:szCs w:val="24"/>
          <w:highlight w:val="none"/>
        </w:rPr>
        <w:fldChar w:fldCharType="separate"/>
      </w:r>
      <w:r>
        <w:rPr>
          <w:sz w:val="24"/>
          <w:szCs w:val="24"/>
          <w:highlight w:val="none"/>
        </w:rPr>
        <w:t>11</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3E23004D">
      <w:pPr>
        <w:pStyle w:val="10"/>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_Toc9283 </w:instrText>
      </w:r>
      <w:r>
        <w:rPr>
          <w:rFonts w:hint="eastAsia" w:ascii="宋体" w:hAnsi="宋体" w:eastAsia="宋体" w:cs="宋体"/>
          <w:sz w:val="24"/>
          <w:szCs w:val="24"/>
          <w:highlight w:val="none"/>
        </w:rPr>
        <w:fldChar w:fldCharType="separate"/>
      </w:r>
      <w:r>
        <w:rPr>
          <w:rFonts w:hint="eastAsia" w:ascii="宋体" w:hAnsi="宋体" w:eastAsia="宋体" w:cs="宋体"/>
          <w:bCs/>
          <w:spacing w:val="-3"/>
          <w:sz w:val="24"/>
          <w:szCs w:val="24"/>
          <w:highlight w:val="none"/>
        </w:rPr>
        <w:t>第三节</w:t>
      </w:r>
      <w:r>
        <w:rPr>
          <w:rFonts w:hint="eastAsia" w:ascii="宋体" w:hAnsi="宋体" w:eastAsia="宋体" w:cs="宋体"/>
          <w:spacing w:val="-3"/>
          <w:sz w:val="24"/>
          <w:szCs w:val="24"/>
          <w:highlight w:val="none"/>
        </w:rPr>
        <w:t xml:space="preserve"> </w:t>
      </w:r>
      <w:r>
        <w:rPr>
          <w:rFonts w:hint="eastAsia" w:ascii="宋体" w:hAnsi="宋体" w:eastAsia="宋体" w:cs="宋体"/>
          <w:bCs/>
          <w:spacing w:val="-3"/>
          <w:sz w:val="24"/>
          <w:szCs w:val="24"/>
          <w:highlight w:val="none"/>
        </w:rPr>
        <w:t>投标人须知正文</w:t>
      </w:r>
      <w:r>
        <w:rPr>
          <w:sz w:val="24"/>
          <w:szCs w:val="24"/>
          <w:highlight w:val="none"/>
        </w:rPr>
        <w:tab/>
      </w:r>
      <w:r>
        <w:rPr>
          <w:sz w:val="24"/>
          <w:szCs w:val="24"/>
          <w:highlight w:val="none"/>
        </w:rPr>
        <w:fldChar w:fldCharType="begin"/>
      </w:r>
      <w:r>
        <w:rPr>
          <w:sz w:val="24"/>
          <w:szCs w:val="24"/>
          <w:highlight w:val="none"/>
        </w:rPr>
        <w:instrText xml:space="preserve"> PAGEREF _Toc9283 \h </w:instrText>
      </w:r>
      <w:r>
        <w:rPr>
          <w:sz w:val="24"/>
          <w:szCs w:val="24"/>
          <w:highlight w:val="none"/>
        </w:rPr>
        <w:fldChar w:fldCharType="separate"/>
      </w:r>
      <w:r>
        <w:rPr>
          <w:sz w:val="24"/>
          <w:szCs w:val="24"/>
          <w:highlight w:val="none"/>
        </w:rPr>
        <w:t>12</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79E5003B">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_Toc19017 </w:instrText>
      </w:r>
      <w:r>
        <w:rPr>
          <w:rFonts w:hint="eastAsia" w:ascii="宋体" w:hAnsi="宋体" w:eastAsia="宋体" w:cs="宋体"/>
          <w:sz w:val="24"/>
          <w:szCs w:val="24"/>
          <w:highlight w:val="none"/>
        </w:rPr>
        <w:fldChar w:fldCharType="separate"/>
      </w:r>
      <w:r>
        <w:rPr>
          <w:rFonts w:hint="eastAsia" w:ascii="宋体" w:hAnsi="宋体" w:eastAsia="宋体" w:cs="宋体"/>
          <w:bCs/>
          <w:spacing w:val="-4"/>
          <w:sz w:val="24"/>
          <w:szCs w:val="24"/>
          <w:highlight w:val="none"/>
        </w:rPr>
        <w:t>1</w:t>
      </w:r>
      <w:r>
        <w:rPr>
          <w:rFonts w:hint="eastAsia" w:ascii="宋体" w:hAnsi="宋体" w:eastAsia="宋体" w:cs="宋体"/>
          <w:bCs/>
          <w:spacing w:val="-23"/>
          <w:sz w:val="24"/>
          <w:szCs w:val="24"/>
          <w:highlight w:val="none"/>
        </w:rPr>
        <w:t xml:space="preserve"> </w:t>
      </w:r>
      <w:r>
        <w:rPr>
          <w:rFonts w:hint="eastAsia" w:ascii="宋体" w:hAnsi="宋体" w:eastAsia="宋体" w:cs="宋体"/>
          <w:bCs/>
          <w:spacing w:val="-4"/>
          <w:sz w:val="24"/>
          <w:szCs w:val="24"/>
          <w:highlight w:val="none"/>
        </w:rPr>
        <w:t>．项目概况、招标范围和标段划分、投标费用等</w:t>
      </w:r>
      <w:r>
        <w:rPr>
          <w:sz w:val="24"/>
          <w:szCs w:val="24"/>
          <w:highlight w:val="none"/>
        </w:rPr>
        <w:tab/>
      </w:r>
      <w:r>
        <w:rPr>
          <w:sz w:val="24"/>
          <w:szCs w:val="24"/>
          <w:highlight w:val="none"/>
        </w:rPr>
        <w:fldChar w:fldCharType="begin"/>
      </w:r>
      <w:r>
        <w:rPr>
          <w:sz w:val="24"/>
          <w:szCs w:val="24"/>
          <w:highlight w:val="none"/>
        </w:rPr>
        <w:instrText xml:space="preserve"> PAGEREF _Toc19017 \h </w:instrText>
      </w:r>
      <w:r>
        <w:rPr>
          <w:sz w:val="24"/>
          <w:szCs w:val="24"/>
          <w:highlight w:val="none"/>
        </w:rPr>
        <w:fldChar w:fldCharType="separate"/>
      </w:r>
      <w:r>
        <w:rPr>
          <w:sz w:val="24"/>
          <w:szCs w:val="24"/>
          <w:highlight w:val="none"/>
        </w:rPr>
        <w:t>12</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22DFBB9F">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_Toc21208 </w:instrText>
      </w:r>
      <w:r>
        <w:rPr>
          <w:rFonts w:hint="eastAsia" w:ascii="宋体" w:hAnsi="宋体" w:eastAsia="宋体" w:cs="宋体"/>
          <w:sz w:val="24"/>
          <w:szCs w:val="24"/>
          <w:highlight w:val="none"/>
        </w:rPr>
        <w:fldChar w:fldCharType="separate"/>
      </w:r>
      <w:r>
        <w:rPr>
          <w:rFonts w:hint="eastAsia" w:ascii="宋体" w:hAnsi="宋体" w:eastAsia="宋体" w:cs="宋体"/>
          <w:bCs/>
          <w:sz w:val="24"/>
          <w:szCs w:val="24"/>
          <w:highlight w:val="none"/>
        </w:rPr>
        <w:t>2．</w:t>
      </w:r>
      <w:r>
        <w:rPr>
          <w:rFonts w:hint="eastAsia" w:ascii="宋体" w:hAnsi="宋体" w:eastAsia="宋体" w:cs="宋体"/>
          <w:bCs w:val="0"/>
          <w:sz w:val="24"/>
          <w:szCs w:val="24"/>
          <w:highlight w:val="none"/>
          <w:lang w:eastAsia="zh-CN"/>
        </w:rPr>
        <w:t>投标人</w:t>
      </w:r>
      <w:r>
        <w:rPr>
          <w:rFonts w:hint="eastAsia" w:ascii="宋体" w:hAnsi="宋体" w:eastAsia="宋体" w:cs="宋体"/>
          <w:bCs w:val="0"/>
          <w:sz w:val="24"/>
          <w:szCs w:val="24"/>
          <w:highlight w:val="none"/>
        </w:rPr>
        <w:t>资质要求</w:t>
      </w:r>
      <w:r>
        <w:rPr>
          <w:sz w:val="24"/>
          <w:szCs w:val="24"/>
          <w:highlight w:val="none"/>
        </w:rPr>
        <w:tab/>
      </w:r>
      <w:r>
        <w:rPr>
          <w:sz w:val="24"/>
          <w:szCs w:val="24"/>
          <w:highlight w:val="none"/>
        </w:rPr>
        <w:fldChar w:fldCharType="begin"/>
      </w:r>
      <w:r>
        <w:rPr>
          <w:sz w:val="24"/>
          <w:szCs w:val="24"/>
          <w:highlight w:val="none"/>
        </w:rPr>
        <w:instrText xml:space="preserve"> PAGEREF _Toc21208 \h </w:instrText>
      </w:r>
      <w:r>
        <w:rPr>
          <w:sz w:val="24"/>
          <w:szCs w:val="24"/>
          <w:highlight w:val="none"/>
        </w:rPr>
        <w:fldChar w:fldCharType="separate"/>
      </w:r>
      <w:r>
        <w:rPr>
          <w:sz w:val="24"/>
          <w:szCs w:val="24"/>
          <w:highlight w:val="none"/>
        </w:rPr>
        <w:t>12</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1A8C265A">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_Toc21490 </w:instrText>
      </w:r>
      <w:r>
        <w:rPr>
          <w:rFonts w:hint="eastAsia" w:ascii="宋体" w:hAnsi="宋体" w:eastAsia="宋体" w:cs="宋体"/>
          <w:sz w:val="24"/>
          <w:szCs w:val="24"/>
          <w:highlight w:val="none"/>
        </w:rPr>
        <w:fldChar w:fldCharType="separate"/>
      </w:r>
      <w:r>
        <w:rPr>
          <w:rFonts w:hint="eastAsia" w:ascii="宋体" w:hAnsi="宋体" w:eastAsia="宋体" w:cs="宋体"/>
          <w:bCs/>
          <w:spacing w:val="-4"/>
          <w:sz w:val="24"/>
          <w:szCs w:val="24"/>
          <w:highlight w:val="none"/>
        </w:rPr>
        <w:t>3．招标文件的获取</w:t>
      </w:r>
      <w:r>
        <w:rPr>
          <w:sz w:val="24"/>
          <w:szCs w:val="24"/>
          <w:highlight w:val="none"/>
        </w:rPr>
        <w:tab/>
      </w:r>
      <w:r>
        <w:rPr>
          <w:sz w:val="24"/>
          <w:szCs w:val="24"/>
          <w:highlight w:val="none"/>
        </w:rPr>
        <w:fldChar w:fldCharType="begin"/>
      </w:r>
      <w:r>
        <w:rPr>
          <w:sz w:val="24"/>
          <w:szCs w:val="24"/>
          <w:highlight w:val="none"/>
        </w:rPr>
        <w:instrText xml:space="preserve"> PAGEREF _Toc21490 \h </w:instrText>
      </w:r>
      <w:r>
        <w:rPr>
          <w:sz w:val="24"/>
          <w:szCs w:val="24"/>
          <w:highlight w:val="none"/>
        </w:rPr>
        <w:fldChar w:fldCharType="separate"/>
      </w:r>
      <w:r>
        <w:rPr>
          <w:sz w:val="24"/>
          <w:szCs w:val="24"/>
          <w:highlight w:val="none"/>
        </w:rPr>
        <w:t>14</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7AD98679">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_Toc8255 </w:instrText>
      </w:r>
      <w:r>
        <w:rPr>
          <w:rFonts w:hint="eastAsia" w:ascii="宋体" w:hAnsi="宋体" w:eastAsia="宋体" w:cs="宋体"/>
          <w:sz w:val="24"/>
          <w:szCs w:val="24"/>
          <w:highlight w:val="none"/>
        </w:rPr>
        <w:fldChar w:fldCharType="separate"/>
      </w:r>
      <w:r>
        <w:rPr>
          <w:rFonts w:hint="eastAsia" w:ascii="宋体" w:hAnsi="宋体" w:eastAsia="宋体" w:cs="宋体"/>
          <w:bCs/>
          <w:spacing w:val="-8"/>
          <w:sz w:val="24"/>
          <w:szCs w:val="24"/>
          <w:highlight w:val="none"/>
        </w:rPr>
        <w:t>4</w:t>
      </w:r>
      <w:r>
        <w:rPr>
          <w:rFonts w:hint="eastAsia" w:ascii="宋体" w:hAnsi="宋体" w:eastAsia="宋体" w:cs="宋体"/>
          <w:bCs/>
          <w:spacing w:val="-8"/>
          <w:sz w:val="24"/>
          <w:szCs w:val="24"/>
          <w:highlight w:val="none"/>
          <w:lang w:val="en-US" w:eastAsia="zh-CN"/>
        </w:rPr>
        <w:t xml:space="preserve"> </w:t>
      </w:r>
      <w:r>
        <w:rPr>
          <w:rFonts w:hint="eastAsia" w:ascii="宋体" w:hAnsi="宋体" w:eastAsia="宋体" w:cs="宋体"/>
          <w:bCs/>
          <w:spacing w:val="-8"/>
          <w:sz w:val="24"/>
          <w:szCs w:val="24"/>
          <w:highlight w:val="none"/>
        </w:rPr>
        <w:t>．工期要求</w:t>
      </w:r>
      <w:r>
        <w:rPr>
          <w:sz w:val="24"/>
          <w:szCs w:val="24"/>
          <w:highlight w:val="none"/>
        </w:rPr>
        <w:tab/>
      </w:r>
      <w:r>
        <w:rPr>
          <w:sz w:val="24"/>
          <w:szCs w:val="24"/>
          <w:highlight w:val="none"/>
        </w:rPr>
        <w:fldChar w:fldCharType="begin"/>
      </w:r>
      <w:r>
        <w:rPr>
          <w:sz w:val="24"/>
          <w:szCs w:val="24"/>
          <w:highlight w:val="none"/>
        </w:rPr>
        <w:instrText xml:space="preserve"> PAGEREF _Toc8255 \h </w:instrText>
      </w:r>
      <w:r>
        <w:rPr>
          <w:sz w:val="24"/>
          <w:szCs w:val="24"/>
          <w:highlight w:val="none"/>
        </w:rPr>
        <w:fldChar w:fldCharType="separate"/>
      </w:r>
      <w:r>
        <w:rPr>
          <w:sz w:val="24"/>
          <w:szCs w:val="24"/>
          <w:highlight w:val="none"/>
        </w:rPr>
        <w:t>16</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78D76237">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_Toc11449 </w:instrText>
      </w:r>
      <w:r>
        <w:rPr>
          <w:rFonts w:hint="eastAsia" w:ascii="宋体" w:hAnsi="宋体" w:eastAsia="宋体" w:cs="宋体"/>
          <w:sz w:val="24"/>
          <w:szCs w:val="24"/>
          <w:highlight w:val="none"/>
        </w:rPr>
        <w:fldChar w:fldCharType="separate"/>
      </w:r>
      <w:r>
        <w:rPr>
          <w:rFonts w:hint="eastAsia" w:ascii="宋体" w:hAnsi="宋体" w:eastAsia="宋体" w:cs="宋体"/>
          <w:bCs/>
          <w:spacing w:val="-5"/>
          <w:sz w:val="24"/>
          <w:szCs w:val="24"/>
          <w:highlight w:val="none"/>
        </w:rPr>
        <w:t>5</w:t>
      </w:r>
      <w:r>
        <w:rPr>
          <w:rFonts w:hint="eastAsia" w:ascii="宋体" w:hAnsi="宋体" w:eastAsia="宋体" w:cs="宋体"/>
          <w:bCs/>
          <w:spacing w:val="-5"/>
          <w:sz w:val="24"/>
          <w:szCs w:val="24"/>
          <w:highlight w:val="none"/>
          <w:lang w:val="en-US" w:eastAsia="zh-CN"/>
        </w:rPr>
        <w:t xml:space="preserve"> </w:t>
      </w:r>
      <w:r>
        <w:rPr>
          <w:rFonts w:hint="eastAsia" w:ascii="宋体" w:hAnsi="宋体" w:eastAsia="宋体" w:cs="宋体"/>
          <w:bCs/>
          <w:spacing w:val="-5"/>
          <w:sz w:val="24"/>
          <w:szCs w:val="24"/>
          <w:highlight w:val="none"/>
        </w:rPr>
        <w:t>．质量标准和材料、机械要求</w:t>
      </w:r>
      <w:r>
        <w:rPr>
          <w:sz w:val="24"/>
          <w:szCs w:val="24"/>
          <w:highlight w:val="none"/>
        </w:rPr>
        <w:tab/>
      </w:r>
      <w:r>
        <w:rPr>
          <w:sz w:val="24"/>
          <w:szCs w:val="24"/>
          <w:highlight w:val="none"/>
        </w:rPr>
        <w:fldChar w:fldCharType="begin"/>
      </w:r>
      <w:r>
        <w:rPr>
          <w:sz w:val="24"/>
          <w:szCs w:val="24"/>
          <w:highlight w:val="none"/>
        </w:rPr>
        <w:instrText xml:space="preserve"> PAGEREF _Toc11449 \h </w:instrText>
      </w:r>
      <w:r>
        <w:rPr>
          <w:sz w:val="24"/>
          <w:szCs w:val="24"/>
          <w:highlight w:val="none"/>
        </w:rPr>
        <w:fldChar w:fldCharType="separate"/>
      </w:r>
      <w:r>
        <w:rPr>
          <w:sz w:val="24"/>
          <w:szCs w:val="24"/>
          <w:highlight w:val="none"/>
        </w:rPr>
        <w:t>16</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6D3ADD19">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_Toc21146 </w:instrText>
      </w:r>
      <w:r>
        <w:rPr>
          <w:rFonts w:hint="eastAsia" w:ascii="宋体" w:hAnsi="宋体" w:eastAsia="宋体" w:cs="宋体"/>
          <w:sz w:val="24"/>
          <w:szCs w:val="24"/>
          <w:highlight w:val="none"/>
        </w:rPr>
        <w:fldChar w:fldCharType="separate"/>
      </w:r>
      <w:r>
        <w:rPr>
          <w:rFonts w:hint="eastAsia" w:ascii="宋体" w:hAnsi="宋体" w:eastAsia="宋体" w:cs="宋体"/>
          <w:bCs/>
          <w:spacing w:val="-6"/>
          <w:sz w:val="24"/>
          <w:szCs w:val="24"/>
          <w:highlight w:val="none"/>
        </w:rPr>
        <w:t>6</w:t>
      </w:r>
      <w:r>
        <w:rPr>
          <w:rFonts w:hint="eastAsia" w:ascii="宋体" w:hAnsi="宋体" w:eastAsia="宋体" w:cs="宋体"/>
          <w:bCs/>
          <w:spacing w:val="-20"/>
          <w:sz w:val="24"/>
          <w:szCs w:val="24"/>
          <w:highlight w:val="none"/>
        </w:rPr>
        <w:t xml:space="preserve"> </w:t>
      </w:r>
      <w:r>
        <w:rPr>
          <w:rFonts w:hint="eastAsia" w:ascii="宋体" w:hAnsi="宋体" w:eastAsia="宋体" w:cs="宋体"/>
          <w:bCs/>
          <w:spacing w:val="-6"/>
          <w:sz w:val="24"/>
          <w:szCs w:val="24"/>
          <w:highlight w:val="none"/>
        </w:rPr>
        <w:t>．施工条件及现场踏勘</w:t>
      </w:r>
      <w:r>
        <w:rPr>
          <w:sz w:val="24"/>
          <w:szCs w:val="24"/>
          <w:highlight w:val="none"/>
        </w:rPr>
        <w:tab/>
      </w:r>
      <w:r>
        <w:rPr>
          <w:sz w:val="24"/>
          <w:szCs w:val="24"/>
          <w:highlight w:val="none"/>
        </w:rPr>
        <w:fldChar w:fldCharType="begin"/>
      </w:r>
      <w:r>
        <w:rPr>
          <w:sz w:val="24"/>
          <w:szCs w:val="24"/>
          <w:highlight w:val="none"/>
        </w:rPr>
        <w:instrText xml:space="preserve"> PAGEREF _Toc21146 \h </w:instrText>
      </w:r>
      <w:r>
        <w:rPr>
          <w:sz w:val="24"/>
          <w:szCs w:val="24"/>
          <w:highlight w:val="none"/>
        </w:rPr>
        <w:fldChar w:fldCharType="separate"/>
      </w:r>
      <w:r>
        <w:rPr>
          <w:sz w:val="24"/>
          <w:szCs w:val="24"/>
          <w:highlight w:val="none"/>
        </w:rPr>
        <w:t>17</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71066524">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_Toc24768 </w:instrText>
      </w:r>
      <w:r>
        <w:rPr>
          <w:rFonts w:hint="eastAsia" w:ascii="宋体" w:hAnsi="宋体" w:eastAsia="宋体" w:cs="宋体"/>
          <w:sz w:val="24"/>
          <w:szCs w:val="24"/>
          <w:highlight w:val="none"/>
        </w:rPr>
        <w:fldChar w:fldCharType="separate"/>
      </w:r>
      <w:r>
        <w:rPr>
          <w:rFonts w:hint="eastAsia" w:ascii="宋体" w:hAnsi="宋体" w:eastAsia="宋体" w:cs="宋体"/>
          <w:bCs/>
          <w:spacing w:val="-5"/>
          <w:sz w:val="24"/>
          <w:szCs w:val="24"/>
          <w:highlight w:val="none"/>
        </w:rPr>
        <w:t>7</w:t>
      </w:r>
      <w:r>
        <w:rPr>
          <w:rFonts w:hint="eastAsia" w:ascii="宋体" w:hAnsi="宋体" w:eastAsia="宋体" w:cs="宋体"/>
          <w:bCs/>
          <w:spacing w:val="-28"/>
          <w:sz w:val="24"/>
          <w:szCs w:val="24"/>
          <w:highlight w:val="none"/>
        </w:rPr>
        <w:t xml:space="preserve"> </w:t>
      </w:r>
      <w:r>
        <w:rPr>
          <w:rFonts w:hint="eastAsia" w:ascii="宋体" w:hAnsi="宋体" w:eastAsia="宋体" w:cs="宋体"/>
          <w:bCs/>
          <w:spacing w:val="-5"/>
          <w:sz w:val="24"/>
          <w:szCs w:val="24"/>
          <w:highlight w:val="none"/>
        </w:rPr>
        <w:t>．招标文件的提问和答疑</w:t>
      </w:r>
      <w:r>
        <w:rPr>
          <w:sz w:val="24"/>
          <w:szCs w:val="24"/>
          <w:highlight w:val="none"/>
        </w:rPr>
        <w:tab/>
      </w:r>
      <w:r>
        <w:rPr>
          <w:sz w:val="24"/>
          <w:szCs w:val="24"/>
          <w:highlight w:val="none"/>
        </w:rPr>
        <w:fldChar w:fldCharType="begin"/>
      </w:r>
      <w:r>
        <w:rPr>
          <w:sz w:val="24"/>
          <w:szCs w:val="24"/>
          <w:highlight w:val="none"/>
        </w:rPr>
        <w:instrText xml:space="preserve"> PAGEREF _Toc24768 \h </w:instrText>
      </w:r>
      <w:r>
        <w:rPr>
          <w:sz w:val="24"/>
          <w:szCs w:val="24"/>
          <w:highlight w:val="none"/>
        </w:rPr>
        <w:fldChar w:fldCharType="separate"/>
      </w:r>
      <w:r>
        <w:rPr>
          <w:sz w:val="24"/>
          <w:szCs w:val="24"/>
          <w:highlight w:val="none"/>
        </w:rPr>
        <w:t>17</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69F7B6A3">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_Toc20958 </w:instrText>
      </w:r>
      <w:r>
        <w:rPr>
          <w:rFonts w:hint="eastAsia" w:ascii="宋体" w:hAnsi="宋体" w:eastAsia="宋体" w:cs="宋体"/>
          <w:sz w:val="24"/>
          <w:szCs w:val="24"/>
          <w:highlight w:val="none"/>
        </w:rPr>
        <w:fldChar w:fldCharType="separate"/>
      </w:r>
      <w:r>
        <w:rPr>
          <w:rFonts w:hint="eastAsia" w:ascii="宋体" w:hAnsi="宋体" w:eastAsia="宋体" w:cs="宋体"/>
          <w:bCs/>
          <w:spacing w:val="-5"/>
          <w:sz w:val="24"/>
          <w:szCs w:val="24"/>
          <w:highlight w:val="none"/>
        </w:rPr>
        <w:t>8</w:t>
      </w:r>
      <w:r>
        <w:rPr>
          <w:rFonts w:hint="eastAsia" w:ascii="宋体" w:hAnsi="宋体" w:eastAsia="宋体" w:cs="宋体"/>
          <w:bCs/>
          <w:spacing w:val="-23"/>
          <w:sz w:val="24"/>
          <w:szCs w:val="24"/>
          <w:highlight w:val="none"/>
        </w:rPr>
        <w:t xml:space="preserve"> </w:t>
      </w:r>
      <w:r>
        <w:rPr>
          <w:rFonts w:hint="eastAsia" w:ascii="宋体" w:hAnsi="宋体" w:eastAsia="宋体" w:cs="宋体"/>
          <w:bCs/>
          <w:spacing w:val="-5"/>
          <w:sz w:val="24"/>
          <w:szCs w:val="24"/>
          <w:highlight w:val="none"/>
        </w:rPr>
        <w:t>．</w:t>
      </w:r>
      <w:r>
        <w:rPr>
          <w:rFonts w:hint="eastAsia" w:ascii="宋体" w:hAnsi="宋体" w:eastAsia="宋体" w:cs="宋体"/>
          <w:bCs/>
          <w:spacing w:val="-1"/>
          <w:sz w:val="24"/>
          <w:szCs w:val="24"/>
          <w:highlight w:val="none"/>
          <w:lang w:eastAsia="zh-CN"/>
        </w:rPr>
        <w:t>最高投标限价</w:t>
      </w:r>
      <w:r>
        <w:rPr>
          <w:sz w:val="24"/>
          <w:szCs w:val="24"/>
          <w:highlight w:val="none"/>
        </w:rPr>
        <w:tab/>
      </w:r>
      <w:r>
        <w:rPr>
          <w:sz w:val="24"/>
          <w:szCs w:val="24"/>
          <w:highlight w:val="none"/>
        </w:rPr>
        <w:fldChar w:fldCharType="begin"/>
      </w:r>
      <w:r>
        <w:rPr>
          <w:sz w:val="24"/>
          <w:szCs w:val="24"/>
          <w:highlight w:val="none"/>
        </w:rPr>
        <w:instrText xml:space="preserve"> PAGEREF _Toc20958 \h </w:instrText>
      </w:r>
      <w:r>
        <w:rPr>
          <w:sz w:val="24"/>
          <w:szCs w:val="24"/>
          <w:highlight w:val="none"/>
        </w:rPr>
        <w:fldChar w:fldCharType="separate"/>
      </w:r>
      <w:r>
        <w:rPr>
          <w:sz w:val="24"/>
          <w:szCs w:val="24"/>
          <w:highlight w:val="none"/>
        </w:rPr>
        <w:t>17</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67F9B4D5">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_Toc6911 </w:instrText>
      </w:r>
      <w:r>
        <w:rPr>
          <w:rFonts w:hint="eastAsia" w:ascii="宋体" w:hAnsi="宋体" w:eastAsia="宋体" w:cs="宋体"/>
          <w:sz w:val="24"/>
          <w:szCs w:val="24"/>
          <w:highlight w:val="none"/>
        </w:rPr>
        <w:fldChar w:fldCharType="separate"/>
      </w:r>
      <w:r>
        <w:rPr>
          <w:rFonts w:hint="eastAsia" w:ascii="宋体" w:hAnsi="宋体" w:eastAsia="宋体" w:cs="宋体"/>
          <w:bCs/>
          <w:spacing w:val="-8"/>
          <w:sz w:val="24"/>
          <w:szCs w:val="24"/>
          <w:highlight w:val="none"/>
        </w:rPr>
        <w:t>9</w:t>
      </w:r>
      <w:r>
        <w:rPr>
          <w:rFonts w:hint="eastAsia" w:ascii="宋体" w:hAnsi="宋体" w:eastAsia="宋体" w:cs="宋体"/>
          <w:bCs/>
          <w:spacing w:val="-29"/>
          <w:sz w:val="24"/>
          <w:szCs w:val="24"/>
          <w:highlight w:val="none"/>
        </w:rPr>
        <w:t xml:space="preserve"> </w:t>
      </w:r>
      <w:r>
        <w:rPr>
          <w:rFonts w:hint="eastAsia" w:ascii="宋体" w:hAnsi="宋体" w:eastAsia="宋体" w:cs="宋体"/>
          <w:bCs/>
          <w:spacing w:val="-8"/>
          <w:sz w:val="24"/>
          <w:szCs w:val="24"/>
          <w:highlight w:val="none"/>
        </w:rPr>
        <w:t>．投标报价</w:t>
      </w:r>
      <w:r>
        <w:rPr>
          <w:sz w:val="24"/>
          <w:szCs w:val="24"/>
          <w:highlight w:val="none"/>
        </w:rPr>
        <w:tab/>
      </w:r>
      <w:r>
        <w:rPr>
          <w:sz w:val="24"/>
          <w:szCs w:val="24"/>
          <w:highlight w:val="none"/>
        </w:rPr>
        <w:fldChar w:fldCharType="begin"/>
      </w:r>
      <w:r>
        <w:rPr>
          <w:sz w:val="24"/>
          <w:szCs w:val="24"/>
          <w:highlight w:val="none"/>
        </w:rPr>
        <w:instrText xml:space="preserve"> PAGEREF _Toc6911 \h </w:instrText>
      </w:r>
      <w:r>
        <w:rPr>
          <w:sz w:val="24"/>
          <w:szCs w:val="24"/>
          <w:highlight w:val="none"/>
        </w:rPr>
        <w:fldChar w:fldCharType="separate"/>
      </w:r>
      <w:r>
        <w:rPr>
          <w:sz w:val="24"/>
          <w:szCs w:val="24"/>
          <w:highlight w:val="none"/>
        </w:rPr>
        <w:t>19</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1573E19F">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_Toc23711 </w:instrText>
      </w:r>
      <w:r>
        <w:rPr>
          <w:rFonts w:hint="eastAsia" w:ascii="宋体" w:hAnsi="宋体" w:eastAsia="宋体" w:cs="宋体"/>
          <w:sz w:val="24"/>
          <w:szCs w:val="24"/>
          <w:highlight w:val="none"/>
        </w:rPr>
        <w:fldChar w:fldCharType="separate"/>
      </w:r>
      <w:r>
        <w:rPr>
          <w:rFonts w:hint="eastAsia" w:ascii="宋体" w:hAnsi="宋体" w:eastAsia="宋体" w:cs="宋体"/>
          <w:bCs/>
          <w:spacing w:val="-6"/>
          <w:sz w:val="24"/>
          <w:szCs w:val="24"/>
          <w:highlight w:val="none"/>
        </w:rPr>
        <w:t>10</w:t>
      </w:r>
      <w:r>
        <w:rPr>
          <w:rFonts w:hint="eastAsia" w:ascii="宋体" w:hAnsi="宋体" w:eastAsia="宋体" w:cs="宋体"/>
          <w:bCs/>
          <w:spacing w:val="-21"/>
          <w:sz w:val="24"/>
          <w:szCs w:val="24"/>
          <w:highlight w:val="none"/>
        </w:rPr>
        <w:t xml:space="preserve"> </w:t>
      </w:r>
      <w:r>
        <w:rPr>
          <w:rFonts w:hint="eastAsia" w:ascii="宋体" w:hAnsi="宋体" w:eastAsia="宋体" w:cs="宋体"/>
          <w:bCs/>
          <w:spacing w:val="-6"/>
          <w:sz w:val="24"/>
          <w:szCs w:val="24"/>
          <w:highlight w:val="none"/>
        </w:rPr>
        <w:t>．投标文件的编制要求</w:t>
      </w:r>
      <w:r>
        <w:rPr>
          <w:sz w:val="24"/>
          <w:szCs w:val="24"/>
          <w:highlight w:val="none"/>
        </w:rPr>
        <w:tab/>
      </w:r>
      <w:r>
        <w:rPr>
          <w:sz w:val="24"/>
          <w:szCs w:val="24"/>
          <w:highlight w:val="none"/>
        </w:rPr>
        <w:fldChar w:fldCharType="begin"/>
      </w:r>
      <w:r>
        <w:rPr>
          <w:sz w:val="24"/>
          <w:szCs w:val="24"/>
          <w:highlight w:val="none"/>
        </w:rPr>
        <w:instrText xml:space="preserve"> PAGEREF _Toc23711 \h </w:instrText>
      </w:r>
      <w:r>
        <w:rPr>
          <w:sz w:val="24"/>
          <w:szCs w:val="24"/>
          <w:highlight w:val="none"/>
        </w:rPr>
        <w:fldChar w:fldCharType="separate"/>
      </w:r>
      <w:r>
        <w:rPr>
          <w:sz w:val="24"/>
          <w:szCs w:val="24"/>
          <w:highlight w:val="none"/>
        </w:rPr>
        <w:t>20</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6D48DC72">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_Toc10599 </w:instrText>
      </w:r>
      <w:r>
        <w:rPr>
          <w:rFonts w:hint="eastAsia" w:ascii="宋体" w:hAnsi="宋体" w:eastAsia="宋体" w:cs="宋体"/>
          <w:sz w:val="24"/>
          <w:szCs w:val="24"/>
          <w:highlight w:val="none"/>
        </w:rPr>
        <w:fldChar w:fldCharType="separate"/>
      </w:r>
      <w:r>
        <w:rPr>
          <w:rFonts w:hint="eastAsia" w:ascii="宋体" w:hAnsi="宋体" w:eastAsia="宋体" w:cs="宋体"/>
          <w:bCs/>
          <w:spacing w:val="-9"/>
          <w:sz w:val="24"/>
          <w:szCs w:val="24"/>
          <w:highlight w:val="none"/>
        </w:rPr>
        <w:t>11.</w:t>
      </w:r>
      <w:r>
        <w:rPr>
          <w:rFonts w:hint="eastAsia" w:ascii="宋体" w:hAnsi="宋体" w:eastAsia="宋体" w:cs="宋体"/>
          <w:bCs/>
          <w:spacing w:val="20"/>
          <w:sz w:val="24"/>
          <w:szCs w:val="24"/>
          <w:highlight w:val="none"/>
        </w:rPr>
        <w:t xml:space="preserve"> </w:t>
      </w:r>
      <w:r>
        <w:rPr>
          <w:rFonts w:hint="eastAsia" w:ascii="宋体" w:hAnsi="宋体" w:eastAsia="宋体" w:cs="宋体"/>
          <w:spacing w:val="-9"/>
          <w:sz w:val="24"/>
          <w:szCs w:val="24"/>
          <w:highlight w:val="none"/>
        </w:rPr>
        <w:t>电子投标：</w:t>
      </w:r>
      <w:r>
        <w:rPr>
          <w:sz w:val="24"/>
          <w:szCs w:val="24"/>
          <w:highlight w:val="none"/>
        </w:rPr>
        <w:tab/>
      </w:r>
      <w:r>
        <w:rPr>
          <w:sz w:val="24"/>
          <w:szCs w:val="24"/>
          <w:highlight w:val="none"/>
        </w:rPr>
        <w:fldChar w:fldCharType="begin"/>
      </w:r>
      <w:r>
        <w:rPr>
          <w:sz w:val="24"/>
          <w:szCs w:val="24"/>
          <w:highlight w:val="none"/>
        </w:rPr>
        <w:instrText xml:space="preserve"> PAGEREF _Toc10599 \h </w:instrText>
      </w:r>
      <w:r>
        <w:rPr>
          <w:sz w:val="24"/>
          <w:szCs w:val="24"/>
          <w:highlight w:val="none"/>
        </w:rPr>
        <w:fldChar w:fldCharType="separate"/>
      </w:r>
      <w:r>
        <w:rPr>
          <w:sz w:val="24"/>
          <w:szCs w:val="24"/>
          <w:highlight w:val="none"/>
        </w:rPr>
        <w:t>23</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0BD3E4D0">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_Toc5126 </w:instrText>
      </w:r>
      <w:r>
        <w:rPr>
          <w:rFonts w:hint="eastAsia" w:ascii="宋体" w:hAnsi="宋体" w:eastAsia="宋体" w:cs="宋体"/>
          <w:sz w:val="24"/>
          <w:szCs w:val="24"/>
          <w:highlight w:val="none"/>
        </w:rPr>
        <w:fldChar w:fldCharType="separate"/>
      </w:r>
      <w:r>
        <w:rPr>
          <w:rFonts w:hint="eastAsia" w:ascii="宋体" w:hAnsi="宋体" w:eastAsia="宋体" w:cs="宋体"/>
          <w:bCs/>
          <w:spacing w:val="-9"/>
          <w:sz w:val="24"/>
          <w:szCs w:val="24"/>
          <w:highlight w:val="none"/>
          <w:lang w:val="en-US" w:eastAsia="zh-CN"/>
        </w:rPr>
        <w:t>12.</w:t>
      </w:r>
      <w:r>
        <w:rPr>
          <w:rFonts w:hint="eastAsia" w:ascii="宋体" w:hAnsi="宋体" w:eastAsia="宋体" w:cs="宋体"/>
          <w:bCs/>
          <w:spacing w:val="22"/>
          <w:w w:val="101"/>
          <w:sz w:val="24"/>
          <w:szCs w:val="24"/>
          <w:highlight w:val="none"/>
        </w:rPr>
        <w:t xml:space="preserve"> </w:t>
      </w:r>
      <w:r>
        <w:rPr>
          <w:rFonts w:hint="eastAsia" w:ascii="宋体" w:hAnsi="宋体" w:eastAsia="宋体" w:cs="宋体"/>
          <w:bCs/>
          <w:spacing w:val="-4"/>
          <w:sz w:val="24"/>
          <w:szCs w:val="24"/>
          <w:highlight w:val="none"/>
        </w:rPr>
        <w:t>电子投标及投标解密失败及突发情况的补救方案</w:t>
      </w:r>
      <w:r>
        <w:rPr>
          <w:sz w:val="24"/>
          <w:szCs w:val="24"/>
          <w:highlight w:val="none"/>
        </w:rPr>
        <w:tab/>
      </w:r>
      <w:r>
        <w:rPr>
          <w:sz w:val="24"/>
          <w:szCs w:val="24"/>
          <w:highlight w:val="none"/>
        </w:rPr>
        <w:fldChar w:fldCharType="begin"/>
      </w:r>
      <w:r>
        <w:rPr>
          <w:sz w:val="24"/>
          <w:szCs w:val="24"/>
          <w:highlight w:val="none"/>
        </w:rPr>
        <w:instrText xml:space="preserve"> PAGEREF _Toc5126 \h </w:instrText>
      </w:r>
      <w:r>
        <w:rPr>
          <w:sz w:val="24"/>
          <w:szCs w:val="24"/>
          <w:highlight w:val="none"/>
        </w:rPr>
        <w:fldChar w:fldCharType="separate"/>
      </w:r>
      <w:r>
        <w:rPr>
          <w:sz w:val="24"/>
          <w:szCs w:val="24"/>
          <w:highlight w:val="none"/>
        </w:rPr>
        <w:t>24</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547427C0">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_Toc3957 </w:instrText>
      </w:r>
      <w:r>
        <w:rPr>
          <w:rFonts w:hint="eastAsia" w:ascii="宋体" w:hAnsi="宋体" w:eastAsia="宋体" w:cs="宋体"/>
          <w:sz w:val="24"/>
          <w:szCs w:val="24"/>
          <w:highlight w:val="none"/>
        </w:rPr>
        <w:fldChar w:fldCharType="separate"/>
      </w:r>
      <w:r>
        <w:rPr>
          <w:rFonts w:hint="eastAsia" w:ascii="宋体" w:hAnsi="宋体" w:eastAsia="宋体" w:cs="宋体"/>
          <w:bCs/>
          <w:spacing w:val="-7"/>
          <w:sz w:val="24"/>
          <w:szCs w:val="24"/>
          <w:highlight w:val="none"/>
        </w:rPr>
        <w:t>13</w:t>
      </w:r>
      <w:r>
        <w:rPr>
          <w:rFonts w:hint="eastAsia" w:ascii="宋体" w:hAnsi="宋体" w:eastAsia="宋体" w:cs="宋体"/>
          <w:bCs/>
          <w:spacing w:val="-23"/>
          <w:sz w:val="24"/>
          <w:szCs w:val="24"/>
          <w:highlight w:val="none"/>
        </w:rPr>
        <w:t xml:space="preserve"> </w:t>
      </w:r>
      <w:r>
        <w:rPr>
          <w:rFonts w:hint="eastAsia" w:ascii="宋体" w:hAnsi="宋体" w:eastAsia="宋体" w:cs="宋体"/>
          <w:bCs/>
          <w:spacing w:val="-7"/>
          <w:sz w:val="24"/>
          <w:szCs w:val="24"/>
          <w:highlight w:val="none"/>
        </w:rPr>
        <w:t>．投标文件的提交</w:t>
      </w:r>
      <w:r>
        <w:rPr>
          <w:sz w:val="24"/>
          <w:szCs w:val="24"/>
          <w:highlight w:val="none"/>
        </w:rPr>
        <w:tab/>
      </w:r>
      <w:r>
        <w:rPr>
          <w:sz w:val="24"/>
          <w:szCs w:val="24"/>
          <w:highlight w:val="none"/>
        </w:rPr>
        <w:fldChar w:fldCharType="begin"/>
      </w:r>
      <w:r>
        <w:rPr>
          <w:sz w:val="24"/>
          <w:szCs w:val="24"/>
          <w:highlight w:val="none"/>
        </w:rPr>
        <w:instrText xml:space="preserve"> PAGEREF _Toc3957 \h </w:instrText>
      </w:r>
      <w:r>
        <w:rPr>
          <w:sz w:val="24"/>
          <w:szCs w:val="24"/>
          <w:highlight w:val="none"/>
        </w:rPr>
        <w:fldChar w:fldCharType="separate"/>
      </w:r>
      <w:r>
        <w:rPr>
          <w:sz w:val="24"/>
          <w:szCs w:val="24"/>
          <w:highlight w:val="none"/>
        </w:rPr>
        <w:t>24</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56683DDA">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_Toc8365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rPr>
        <w:t>14</w:t>
      </w:r>
      <w:r>
        <w:rPr>
          <w:rFonts w:hint="eastAsia" w:ascii="宋体" w:hAnsi="宋体" w:eastAsia="宋体" w:cs="宋体"/>
          <w:bCs/>
          <w:spacing w:val="-28"/>
          <w:sz w:val="24"/>
          <w:szCs w:val="24"/>
          <w:highlight w:val="none"/>
        </w:rPr>
        <w:t xml:space="preserve"> </w:t>
      </w:r>
      <w:r>
        <w:rPr>
          <w:rFonts w:hint="eastAsia" w:ascii="宋体" w:hAnsi="宋体" w:eastAsia="宋体" w:cs="宋体"/>
          <w:bCs/>
          <w:spacing w:val="-11"/>
          <w:sz w:val="24"/>
          <w:szCs w:val="24"/>
          <w:highlight w:val="none"/>
        </w:rPr>
        <w:t>．开标</w:t>
      </w:r>
      <w:r>
        <w:rPr>
          <w:sz w:val="24"/>
          <w:szCs w:val="24"/>
          <w:highlight w:val="none"/>
        </w:rPr>
        <w:tab/>
      </w:r>
      <w:r>
        <w:rPr>
          <w:sz w:val="24"/>
          <w:szCs w:val="24"/>
          <w:highlight w:val="none"/>
        </w:rPr>
        <w:fldChar w:fldCharType="begin"/>
      </w:r>
      <w:r>
        <w:rPr>
          <w:sz w:val="24"/>
          <w:szCs w:val="24"/>
          <w:highlight w:val="none"/>
        </w:rPr>
        <w:instrText xml:space="preserve"> PAGEREF _Toc8365 \h </w:instrText>
      </w:r>
      <w:r>
        <w:rPr>
          <w:sz w:val="24"/>
          <w:szCs w:val="24"/>
          <w:highlight w:val="none"/>
        </w:rPr>
        <w:fldChar w:fldCharType="separate"/>
      </w:r>
      <w:r>
        <w:rPr>
          <w:sz w:val="24"/>
          <w:szCs w:val="24"/>
          <w:highlight w:val="none"/>
        </w:rPr>
        <w:t>25</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6E81D098">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_Toc554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rPr>
        <w:t>15</w:t>
      </w:r>
      <w:r>
        <w:rPr>
          <w:rFonts w:hint="eastAsia" w:ascii="宋体" w:hAnsi="宋体" w:eastAsia="宋体" w:cs="宋体"/>
          <w:bCs/>
          <w:spacing w:val="-28"/>
          <w:sz w:val="24"/>
          <w:szCs w:val="24"/>
          <w:highlight w:val="none"/>
        </w:rPr>
        <w:t xml:space="preserve"> </w:t>
      </w:r>
      <w:r>
        <w:rPr>
          <w:rFonts w:hint="eastAsia" w:ascii="宋体" w:hAnsi="宋体" w:eastAsia="宋体" w:cs="宋体"/>
          <w:bCs/>
          <w:spacing w:val="-11"/>
          <w:sz w:val="24"/>
          <w:szCs w:val="24"/>
          <w:highlight w:val="none"/>
        </w:rPr>
        <w:t>．评标</w:t>
      </w:r>
      <w:r>
        <w:rPr>
          <w:sz w:val="24"/>
          <w:szCs w:val="24"/>
          <w:highlight w:val="none"/>
        </w:rPr>
        <w:tab/>
      </w:r>
      <w:r>
        <w:rPr>
          <w:sz w:val="24"/>
          <w:szCs w:val="24"/>
          <w:highlight w:val="none"/>
        </w:rPr>
        <w:fldChar w:fldCharType="begin"/>
      </w:r>
      <w:r>
        <w:rPr>
          <w:sz w:val="24"/>
          <w:szCs w:val="24"/>
          <w:highlight w:val="none"/>
        </w:rPr>
        <w:instrText xml:space="preserve"> PAGEREF _Toc554 \h </w:instrText>
      </w:r>
      <w:r>
        <w:rPr>
          <w:sz w:val="24"/>
          <w:szCs w:val="24"/>
          <w:highlight w:val="none"/>
        </w:rPr>
        <w:fldChar w:fldCharType="separate"/>
      </w:r>
      <w:r>
        <w:rPr>
          <w:sz w:val="24"/>
          <w:szCs w:val="24"/>
          <w:highlight w:val="none"/>
        </w:rPr>
        <w:t>26</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6199EAB8">
      <w:pPr>
        <w:pStyle w:val="10"/>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ind w:firstLine="436" w:firstLineChars="200"/>
        <w:textAlignment w:val="baseline"/>
        <w:rPr>
          <w:sz w:val="24"/>
          <w:szCs w:val="24"/>
          <w:highlight w:val="none"/>
        </w:rPr>
      </w:pPr>
      <w:r>
        <w:rPr>
          <w:rFonts w:hint="eastAsia" w:ascii="宋体" w:hAnsi="宋体" w:eastAsia="宋体" w:cs="宋体"/>
          <w:bCs/>
          <w:snapToGrid w:val="0"/>
          <w:color w:val="000000"/>
          <w:spacing w:val="-11"/>
          <w:sz w:val="24"/>
          <w:szCs w:val="24"/>
          <w:highlight w:val="none"/>
          <w:lang w:val="en-US" w:eastAsia="en-US" w:bidi="ar-SA"/>
        </w:rPr>
        <w:t>16</w:t>
      </w:r>
      <w:r>
        <w:rPr>
          <w:rFonts w:hint="eastAsia" w:ascii="宋体" w:hAnsi="宋体" w:eastAsia="宋体" w:cs="宋体"/>
          <w:bCs/>
          <w:snapToGrid w:val="0"/>
          <w:color w:val="000000"/>
          <w:spacing w:val="-11"/>
          <w:sz w:val="24"/>
          <w:szCs w:val="24"/>
          <w:highlight w:val="none"/>
          <w:lang w:val="en-US" w:eastAsia="zh-CN" w:bidi="ar-SA"/>
        </w:rPr>
        <w:t>.  评标结果公示</w:t>
      </w: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_Toc32569 </w:instrText>
      </w:r>
      <w:r>
        <w:rPr>
          <w:rFonts w:hint="eastAsia" w:ascii="宋体" w:hAnsi="宋体" w:eastAsia="宋体" w:cs="宋体"/>
          <w:sz w:val="24"/>
          <w:szCs w:val="24"/>
          <w:highlight w:val="none"/>
        </w:rPr>
        <w:fldChar w:fldCharType="separate"/>
      </w:r>
      <w:r>
        <w:rPr>
          <w:sz w:val="24"/>
          <w:szCs w:val="24"/>
          <w:highlight w:val="none"/>
        </w:rPr>
        <w:tab/>
      </w:r>
      <w:r>
        <w:rPr>
          <w:sz w:val="24"/>
          <w:szCs w:val="24"/>
          <w:highlight w:val="none"/>
        </w:rPr>
        <w:fldChar w:fldCharType="begin"/>
      </w:r>
      <w:r>
        <w:rPr>
          <w:sz w:val="24"/>
          <w:szCs w:val="24"/>
          <w:highlight w:val="none"/>
        </w:rPr>
        <w:instrText xml:space="preserve"> PAGEREF _Toc32569 \h </w:instrText>
      </w:r>
      <w:r>
        <w:rPr>
          <w:sz w:val="24"/>
          <w:szCs w:val="24"/>
          <w:highlight w:val="none"/>
        </w:rPr>
        <w:fldChar w:fldCharType="separate"/>
      </w:r>
      <w:r>
        <w:rPr>
          <w:sz w:val="24"/>
          <w:szCs w:val="24"/>
          <w:highlight w:val="none"/>
        </w:rPr>
        <w:t>36</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0E411346">
      <w:pPr>
        <w:pStyle w:val="10"/>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_Toc16554 </w:instrText>
      </w:r>
      <w:r>
        <w:rPr>
          <w:rFonts w:hint="eastAsia" w:ascii="宋体" w:hAnsi="宋体" w:eastAsia="宋体" w:cs="宋体"/>
          <w:sz w:val="24"/>
          <w:szCs w:val="24"/>
          <w:highlight w:val="none"/>
        </w:rPr>
        <w:fldChar w:fldCharType="separate"/>
      </w:r>
      <w:r>
        <w:rPr>
          <w:rFonts w:hint="eastAsia" w:ascii="宋体" w:hAnsi="宋体" w:eastAsia="宋体" w:cs="宋体"/>
          <w:bCs/>
          <w:spacing w:val="-3"/>
          <w:sz w:val="24"/>
          <w:szCs w:val="24"/>
          <w:highlight w:val="none"/>
        </w:rPr>
        <w:t>第四节</w:t>
      </w:r>
      <w:r>
        <w:rPr>
          <w:rFonts w:hint="eastAsia" w:ascii="宋体" w:hAnsi="宋体" w:eastAsia="宋体" w:cs="宋体"/>
          <w:spacing w:val="-3"/>
          <w:sz w:val="24"/>
          <w:szCs w:val="24"/>
          <w:highlight w:val="none"/>
        </w:rPr>
        <w:t xml:space="preserve"> </w:t>
      </w:r>
      <w:r>
        <w:rPr>
          <w:rFonts w:hint="eastAsia" w:ascii="宋体" w:hAnsi="宋体" w:eastAsia="宋体" w:cs="宋体"/>
          <w:bCs/>
          <w:spacing w:val="-3"/>
          <w:sz w:val="24"/>
          <w:szCs w:val="24"/>
          <w:highlight w:val="none"/>
        </w:rPr>
        <w:t>否决投标条件</w:t>
      </w:r>
      <w:r>
        <w:rPr>
          <w:sz w:val="24"/>
          <w:szCs w:val="24"/>
          <w:highlight w:val="none"/>
        </w:rPr>
        <w:tab/>
      </w:r>
      <w:r>
        <w:rPr>
          <w:sz w:val="24"/>
          <w:szCs w:val="24"/>
          <w:highlight w:val="none"/>
        </w:rPr>
        <w:fldChar w:fldCharType="begin"/>
      </w:r>
      <w:r>
        <w:rPr>
          <w:sz w:val="24"/>
          <w:szCs w:val="24"/>
          <w:highlight w:val="none"/>
        </w:rPr>
        <w:instrText xml:space="preserve"> PAGEREF _Toc16554 \h </w:instrText>
      </w:r>
      <w:r>
        <w:rPr>
          <w:sz w:val="24"/>
          <w:szCs w:val="24"/>
          <w:highlight w:val="none"/>
        </w:rPr>
        <w:fldChar w:fldCharType="separate"/>
      </w:r>
      <w:r>
        <w:rPr>
          <w:sz w:val="24"/>
          <w:szCs w:val="24"/>
          <w:highlight w:val="none"/>
        </w:rPr>
        <w:t>38</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7C34CC32">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_Toc15082 </w:instrText>
      </w:r>
      <w:r>
        <w:rPr>
          <w:rFonts w:hint="eastAsia" w:ascii="宋体" w:hAnsi="宋体" w:eastAsia="宋体" w:cs="宋体"/>
          <w:sz w:val="24"/>
          <w:szCs w:val="24"/>
          <w:highlight w:val="none"/>
        </w:rPr>
        <w:fldChar w:fldCharType="separate"/>
      </w:r>
      <w:r>
        <w:rPr>
          <w:rFonts w:hint="eastAsia" w:ascii="宋体" w:hAnsi="宋体" w:eastAsia="宋体" w:cs="宋体"/>
          <w:bCs/>
          <w:spacing w:val="-8"/>
          <w:sz w:val="24"/>
          <w:szCs w:val="24"/>
          <w:highlight w:val="none"/>
        </w:rPr>
        <w:t>1</w:t>
      </w:r>
      <w:r>
        <w:rPr>
          <w:rFonts w:hint="eastAsia" w:ascii="宋体" w:hAnsi="宋体" w:eastAsia="宋体" w:cs="宋体"/>
          <w:bCs/>
          <w:spacing w:val="-26"/>
          <w:sz w:val="24"/>
          <w:szCs w:val="24"/>
          <w:highlight w:val="none"/>
        </w:rPr>
        <w:t xml:space="preserve"> </w:t>
      </w:r>
      <w:r>
        <w:rPr>
          <w:rFonts w:hint="eastAsia" w:ascii="宋体" w:hAnsi="宋体" w:eastAsia="宋体" w:cs="宋体"/>
          <w:bCs/>
          <w:spacing w:val="-8"/>
          <w:sz w:val="24"/>
          <w:szCs w:val="24"/>
          <w:highlight w:val="none"/>
        </w:rPr>
        <w:t>．资格评审环节</w:t>
      </w:r>
      <w:r>
        <w:rPr>
          <w:sz w:val="24"/>
          <w:szCs w:val="24"/>
          <w:highlight w:val="none"/>
        </w:rPr>
        <w:tab/>
      </w:r>
      <w:r>
        <w:rPr>
          <w:sz w:val="24"/>
          <w:szCs w:val="24"/>
          <w:highlight w:val="none"/>
        </w:rPr>
        <w:fldChar w:fldCharType="begin"/>
      </w:r>
      <w:r>
        <w:rPr>
          <w:sz w:val="24"/>
          <w:szCs w:val="24"/>
          <w:highlight w:val="none"/>
        </w:rPr>
        <w:instrText xml:space="preserve"> PAGEREF _Toc15082 \h </w:instrText>
      </w:r>
      <w:r>
        <w:rPr>
          <w:sz w:val="24"/>
          <w:szCs w:val="24"/>
          <w:highlight w:val="none"/>
        </w:rPr>
        <w:fldChar w:fldCharType="separate"/>
      </w:r>
      <w:r>
        <w:rPr>
          <w:sz w:val="24"/>
          <w:szCs w:val="24"/>
          <w:highlight w:val="none"/>
        </w:rPr>
        <w:t>38</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7C8592D7">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_Toc5925 </w:instrText>
      </w:r>
      <w:r>
        <w:rPr>
          <w:rFonts w:hint="eastAsia" w:ascii="宋体" w:hAnsi="宋体" w:eastAsia="宋体" w:cs="宋体"/>
          <w:sz w:val="24"/>
          <w:szCs w:val="24"/>
          <w:highlight w:val="none"/>
        </w:rPr>
        <w:fldChar w:fldCharType="separate"/>
      </w:r>
      <w:r>
        <w:rPr>
          <w:rFonts w:hint="eastAsia" w:ascii="宋体" w:hAnsi="宋体" w:eastAsia="宋体" w:cs="宋体"/>
          <w:bCs/>
          <w:spacing w:val="-7"/>
          <w:sz w:val="24"/>
          <w:szCs w:val="24"/>
          <w:highlight w:val="none"/>
        </w:rPr>
        <w:t>2</w:t>
      </w:r>
      <w:r>
        <w:rPr>
          <w:rFonts w:hint="eastAsia" w:ascii="宋体" w:hAnsi="宋体" w:eastAsia="宋体" w:cs="宋体"/>
          <w:bCs/>
          <w:spacing w:val="-24"/>
          <w:sz w:val="24"/>
          <w:szCs w:val="24"/>
          <w:highlight w:val="none"/>
        </w:rPr>
        <w:t xml:space="preserve"> </w:t>
      </w:r>
      <w:r>
        <w:rPr>
          <w:rFonts w:hint="eastAsia" w:ascii="宋体" w:hAnsi="宋体" w:eastAsia="宋体" w:cs="宋体"/>
          <w:bCs/>
          <w:spacing w:val="-7"/>
          <w:sz w:val="24"/>
          <w:szCs w:val="24"/>
          <w:highlight w:val="none"/>
        </w:rPr>
        <w:t>．形式评审环节</w:t>
      </w:r>
      <w:r>
        <w:rPr>
          <w:sz w:val="24"/>
          <w:szCs w:val="24"/>
          <w:highlight w:val="none"/>
        </w:rPr>
        <w:tab/>
      </w:r>
      <w:r>
        <w:rPr>
          <w:sz w:val="24"/>
          <w:szCs w:val="24"/>
          <w:highlight w:val="none"/>
        </w:rPr>
        <w:fldChar w:fldCharType="begin"/>
      </w:r>
      <w:r>
        <w:rPr>
          <w:sz w:val="24"/>
          <w:szCs w:val="24"/>
          <w:highlight w:val="none"/>
        </w:rPr>
        <w:instrText xml:space="preserve"> PAGEREF _Toc5925 \h </w:instrText>
      </w:r>
      <w:r>
        <w:rPr>
          <w:sz w:val="24"/>
          <w:szCs w:val="24"/>
          <w:highlight w:val="none"/>
        </w:rPr>
        <w:fldChar w:fldCharType="separate"/>
      </w:r>
      <w:r>
        <w:rPr>
          <w:sz w:val="24"/>
          <w:szCs w:val="24"/>
          <w:highlight w:val="none"/>
        </w:rPr>
        <w:t>39</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1F84F8B0">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_Toc19828 </w:instrText>
      </w:r>
      <w:r>
        <w:rPr>
          <w:rFonts w:hint="eastAsia" w:ascii="宋体" w:hAnsi="宋体" w:eastAsia="宋体" w:cs="宋体"/>
          <w:sz w:val="24"/>
          <w:szCs w:val="24"/>
          <w:highlight w:val="none"/>
        </w:rPr>
        <w:fldChar w:fldCharType="separate"/>
      </w:r>
      <w:r>
        <w:rPr>
          <w:rFonts w:hint="eastAsia" w:ascii="宋体" w:hAnsi="宋体" w:eastAsia="宋体" w:cs="宋体"/>
          <w:bCs/>
          <w:spacing w:val="-6"/>
          <w:sz w:val="24"/>
          <w:szCs w:val="24"/>
          <w:highlight w:val="none"/>
        </w:rPr>
        <w:t>3</w:t>
      </w:r>
      <w:r>
        <w:rPr>
          <w:rFonts w:hint="eastAsia" w:ascii="宋体" w:hAnsi="宋体" w:eastAsia="宋体" w:cs="宋体"/>
          <w:bCs/>
          <w:spacing w:val="-24"/>
          <w:sz w:val="24"/>
          <w:szCs w:val="24"/>
          <w:highlight w:val="none"/>
        </w:rPr>
        <w:t xml:space="preserve"> </w:t>
      </w:r>
      <w:r>
        <w:rPr>
          <w:rFonts w:hint="eastAsia" w:ascii="宋体" w:hAnsi="宋体" w:eastAsia="宋体" w:cs="宋体"/>
          <w:bCs/>
          <w:spacing w:val="-6"/>
          <w:sz w:val="24"/>
          <w:szCs w:val="24"/>
          <w:highlight w:val="none"/>
        </w:rPr>
        <w:t>．响应性评审环节</w:t>
      </w:r>
      <w:r>
        <w:rPr>
          <w:sz w:val="24"/>
          <w:szCs w:val="24"/>
          <w:highlight w:val="none"/>
        </w:rPr>
        <w:tab/>
      </w:r>
      <w:r>
        <w:rPr>
          <w:sz w:val="24"/>
          <w:szCs w:val="24"/>
          <w:highlight w:val="none"/>
        </w:rPr>
        <w:fldChar w:fldCharType="begin"/>
      </w:r>
      <w:r>
        <w:rPr>
          <w:sz w:val="24"/>
          <w:szCs w:val="24"/>
          <w:highlight w:val="none"/>
        </w:rPr>
        <w:instrText xml:space="preserve"> PAGEREF _Toc19828 \h </w:instrText>
      </w:r>
      <w:r>
        <w:rPr>
          <w:sz w:val="24"/>
          <w:szCs w:val="24"/>
          <w:highlight w:val="none"/>
        </w:rPr>
        <w:fldChar w:fldCharType="separate"/>
      </w:r>
      <w:r>
        <w:rPr>
          <w:sz w:val="24"/>
          <w:szCs w:val="24"/>
          <w:highlight w:val="none"/>
        </w:rPr>
        <w:t>39</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16972F3E">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_Toc1458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rPr>
        <w:t>4</w:t>
      </w:r>
      <w:r>
        <w:rPr>
          <w:rFonts w:hint="eastAsia" w:ascii="宋体" w:hAnsi="宋体" w:eastAsia="宋体" w:cs="宋体"/>
          <w:bCs/>
          <w:spacing w:val="-29"/>
          <w:sz w:val="24"/>
          <w:szCs w:val="24"/>
          <w:highlight w:val="none"/>
        </w:rPr>
        <w:t xml:space="preserve"> </w:t>
      </w:r>
      <w:r>
        <w:rPr>
          <w:rFonts w:hint="eastAsia" w:ascii="宋体" w:hAnsi="宋体" w:eastAsia="宋体" w:cs="宋体"/>
          <w:bCs/>
          <w:spacing w:val="-11"/>
          <w:sz w:val="24"/>
          <w:szCs w:val="24"/>
          <w:highlight w:val="none"/>
        </w:rPr>
        <w:t>．其他</w:t>
      </w:r>
      <w:r>
        <w:rPr>
          <w:sz w:val="24"/>
          <w:szCs w:val="24"/>
          <w:highlight w:val="none"/>
        </w:rPr>
        <w:tab/>
      </w:r>
      <w:r>
        <w:rPr>
          <w:sz w:val="24"/>
          <w:szCs w:val="24"/>
          <w:highlight w:val="none"/>
        </w:rPr>
        <w:fldChar w:fldCharType="begin"/>
      </w:r>
      <w:r>
        <w:rPr>
          <w:sz w:val="24"/>
          <w:szCs w:val="24"/>
          <w:highlight w:val="none"/>
        </w:rPr>
        <w:instrText xml:space="preserve"> PAGEREF _Toc1458 \h </w:instrText>
      </w:r>
      <w:r>
        <w:rPr>
          <w:sz w:val="24"/>
          <w:szCs w:val="24"/>
          <w:highlight w:val="none"/>
        </w:rPr>
        <w:fldChar w:fldCharType="separate"/>
      </w:r>
      <w:r>
        <w:rPr>
          <w:sz w:val="24"/>
          <w:szCs w:val="24"/>
          <w:highlight w:val="none"/>
        </w:rPr>
        <w:t>40</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35354E14">
      <w:pPr>
        <w:pStyle w:val="10"/>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_Toc22243 </w:instrText>
      </w:r>
      <w:r>
        <w:rPr>
          <w:rFonts w:hint="eastAsia" w:ascii="宋体" w:hAnsi="宋体" w:eastAsia="宋体" w:cs="宋体"/>
          <w:sz w:val="24"/>
          <w:szCs w:val="24"/>
          <w:highlight w:val="none"/>
        </w:rPr>
        <w:fldChar w:fldCharType="separate"/>
      </w:r>
      <w:r>
        <w:rPr>
          <w:rFonts w:hint="eastAsia" w:ascii="宋体" w:hAnsi="宋体" w:eastAsia="宋体" w:cs="宋体"/>
          <w:bCs/>
          <w:spacing w:val="-3"/>
          <w:sz w:val="24"/>
          <w:szCs w:val="24"/>
          <w:highlight w:val="none"/>
        </w:rPr>
        <w:t>第</w:t>
      </w:r>
      <w:r>
        <w:rPr>
          <w:rFonts w:hint="eastAsia" w:ascii="宋体" w:hAnsi="宋体" w:eastAsia="宋体" w:cs="宋体"/>
          <w:bCs/>
          <w:spacing w:val="-3"/>
          <w:sz w:val="24"/>
          <w:szCs w:val="24"/>
          <w:highlight w:val="none"/>
          <w:lang w:val="en-US" w:eastAsia="zh-CN"/>
        </w:rPr>
        <w:t>五</w:t>
      </w:r>
      <w:r>
        <w:rPr>
          <w:rFonts w:hint="eastAsia" w:ascii="宋体" w:hAnsi="宋体" w:eastAsia="宋体" w:cs="宋体"/>
          <w:bCs/>
          <w:spacing w:val="-3"/>
          <w:sz w:val="24"/>
          <w:szCs w:val="24"/>
          <w:highlight w:val="none"/>
        </w:rPr>
        <w:t>节</w:t>
      </w:r>
      <w:r>
        <w:rPr>
          <w:rFonts w:hint="eastAsia" w:ascii="宋体" w:hAnsi="宋体" w:eastAsia="宋体" w:cs="宋体"/>
          <w:spacing w:val="-3"/>
          <w:sz w:val="24"/>
          <w:szCs w:val="24"/>
          <w:highlight w:val="none"/>
        </w:rPr>
        <w:t xml:space="preserve"> </w:t>
      </w:r>
      <w:r>
        <w:rPr>
          <w:rFonts w:hint="eastAsia" w:ascii="宋体" w:hAnsi="宋体" w:eastAsia="宋体" w:cs="宋体"/>
          <w:bCs/>
          <w:spacing w:val="-3"/>
          <w:sz w:val="24"/>
          <w:szCs w:val="24"/>
          <w:highlight w:val="none"/>
        </w:rPr>
        <w:t>定标规定及细则（本项目采用票决数量法定标）</w:t>
      </w:r>
      <w:r>
        <w:rPr>
          <w:sz w:val="24"/>
          <w:szCs w:val="24"/>
          <w:highlight w:val="none"/>
        </w:rPr>
        <w:tab/>
      </w:r>
      <w:r>
        <w:rPr>
          <w:sz w:val="24"/>
          <w:szCs w:val="24"/>
          <w:highlight w:val="none"/>
        </w:rPr>
        <w:fldChar w:fldCharType="begin"/>
      </w:r>
      <w:r>
        <w:rPr>
          <w:sz w:val="24"/>
          <w:szCs w:val="24"/>
          <w:highlight w:val="none"/>
        </w:rPr>
        <w:instrText xml:space="preserve"> PAGEREF _Toc22243 \h </w:instrText>
      </w:r>
      <w:r>
        <w:rPr>
          <w:sz w:val="24"/>
          <w:szCs w:val="24"/>
          <w:highlight w:val="none"/>
        </w:rPr>
        <w:fldChar w:fldCharType="separate"/>
      </w:r>
      <w:r>
        <w:rPr>
          <w:sz w:val="24"/>
          <w:szCs w:val="24"/>
          <w:highlight w:val="none"/>
        </w:rPr>
        <w:t>41</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72AC5C81">
      <w:pPr>
        <w:pStyle w:val="10"/>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_Toc4926 </w:instrText>
      </w:r>
      <w:r>
        <w:rPr>
          <w:rFonts w:hint="eastAsia" w:ascii="宋体" w:hAnsi="宋体" w:eastAsia="宋体" w:cs="宋体"/>
          <w:sz w:val="24"/>
          <w:szCs w:val="24"/>
          <w:highlight w:val="none"/>
        </w:rPr>
        <w:fldChar w:fldCharType="separate"/>
      </w:r>
      <w:r>
        <w:rPr>
          <w:rFonts w:hint="eastAsia" w:ascii="宋体" w:hAnsi="宋体" w:eastAsia="宋体" w:cs="宋体"/>
          <w:bCs/>
          <w:spacing w:val="-3"/>
          <w:sz w:val="24"/>
          <w:szCs w:val="24"/>
          <w:highlight w:val="none"/>
        </w:rPr>
        <w:t>第</w:t>
      </w:r>
      <w:r>
        <w:rPr>
          <w:rFonts w:hint="eastAsia" w:ascii="宋体" w:hAnsi="宋体" w:eastAsia="宋体" w:cs="宋体"/>
          <w:bCs/>
          <w:spacing w:val="-3"/>
          <w:sz w:val="24"/>
          <w:szCs w:val="24"/>
          <w:highlight w:val="none"/>
          <w:lang w:val="en-US" w:eastAsia="zh-CN"/>
        </w:rPr>
        <w:t>六</w:t>
      </w:r>
      <w:r>
        <w:rPr>
          <w:rFonts w:hint="eastAsia" w:ascii="宋体" w:hAnsi="宋体" w:eastAsia="宋体" w:cs="宋体"/>
          <w:bCs/>
          <w:spacing w:val="-3"/>
          <w:sz w:val="24"/>
          <w:szCs w:val="24"/>
          <w:highlight w:val="none"/>
        </w:rPr>
        <w:t>节 中标确认</w:t>
      </w:r>
      <w:r>
        <w:rPr>
          <w:sz w:val="24"/>
          <w:szCs w:val="24"/>
          <w:highlight w:val="none"/>
        </w:rPr>
        <w:tab/>
      </w:r>
      <w:r>
        <w:rPr>
          <w:sz w:val="24"/>
          <w:szCs w:val="24"/>
          <w:highlight w:val="none"/>
        </w:rPr>
        <w:fldChar w:fldCharType="begin"/>
      </w:r>
      <w:r>
        <w:rPr>
          <w:sz w:val="24"/>
          <w:szCs w:val="24"/>
          <w:highlight w:val="none"/>
        </w:rPr>
        <w:instrText xml:space="preserve"> PAGEREF _Toc4926 \h </w:instrText>
      </w:r>
      <w:r>
        <w:rPr>
          <w:sz w:val="24"/>
          <w:szCs w:val="24"/>
          <w:highlight w:val="none"/>
        </w:rPr>
        <w:fldChar w:fldCharType="separate"/>
      </w:r>
      <w:r>
        <w:rPr>
          <w:sz w:val="24"/>
          <w:szCs w:val="24"/>
          <w:highlight w:val="none"/>
        </w:rPr>
        <w:t>44</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5E46E0E0">
      <w:pPr>
        <w:pStyle w:val="9"/>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_Toc13655 </w:instrText>
      </w:r>
      <w:r>
        <w:rPr>
          <w:rFonts w:hint="eastAsia" w:ascii="宋体" w:hAnsi="宋体" w:eastAsia="宋体" w:cs="宋体"/>
          <w:sz w:val="24"/>
          <w:szCs w:val="24"/>
          <w:highlight w:val="none"/>
        </w:rPr>
        <w:fldChar w:fldCharType="separate"/>
      </w:r>
      <w:r>
        <w:rPr>
          <w:rFonts w:hint="eastAsia" w:ascii="宋体" w:hAnsi="宋体" w:eastAsia="宋体" w:cs="宋体"/>
          <w:bCs/>
          <w:spacing w:val="-7"/>
          <w:sz w:val="24"/>
          <w:szCs w:val="24"/>
          <w:highlight w:val="none"/>
        </w:rPr>
        <w:t>第二章</w:t>
      </w:r>
      <w:r>
        <w:rPr>
          <w:rFonts w:hint="eastAsia" w:ascii="宋体" w:hAnsi="宋体" w:eastAsia="宋体" w:cs="宋体"/>
          <w:spacing w:val="32"/>
          <w:sz w:val="24"/>
          <w:szCs w:val="24"/>
          <w:highlight w:val="none"/>
        </w:rPr>
        <w:t xml:space="preserve"> </w:t>
      </w:r>
      <w:r>
        <w:rPr>
          <w:rFonts w:hint="eastAsia" w:ascii="宋体" w:hAnsi="宋体" w:eastAsia="宋体" w:cs="宋体"/>
          <w:bCs/>
          <w:spacing w:val="-7"/>
          <w:sz w:val="24"/>
          <w:szCs w:val="24"/>
          <w:highlight w:val="none"/>
        </w:rPr>
        <w:t>中标人须知</w:t>
      </w:r>
      <w:r>
        <w:rPr>
          <w:sz w:val="24"/>
          <w:szCs w:val="24"/>
          <w:highlight w:val="none"/>
        </w:rPr>
        <w:tab/>
      </w:r>
      <w:r>
        <w:rPr>
          <w:sz w:val="24"/>
          <w:szCs w:val="24"/>
          <w:highlight w:val="none"/>
        </w:rPr>
        <w:fldChar w:fldCharType="begin"/>
      </w:r>
      <w:r>
        <w:rPr>
          <w:sz w:val="24"/>
          <w:szCs w:val="24"/>
          <w:highlight w:val="none"/>
        </w:rPr>
        <w:instrText xml:space="preserve"> PAGEREF _Toc13655 \h </w:instrText>
      </w:r>
      <w:r>
        <w:rPr>
          <w:sz w:val="24"/>
          <w:szCs w:val="24"/>
          <w:highlight w:val="none"/>
        </w:rPr>
        <w:fldChar w:fldCharType="separate"/>
      </w:r>
      <w:r>
        <w:rPr>
          <w:sz w:val="24"/>
          <w:szCs w:val="24"/>
          <w:highlight w:val="none"/>
        </w:rPr>
        <w:t>46</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68B1A00D">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_Toc21697 </w:instrText>
      </w:r>
      <w:r>
        <w:rPr>
          <w:rFonts w:hint="eastAsia" w:ascii="宋体" w:hAnsi="宋体" w:eastAsia="宋体" w:cs="宋体"/>
          <w:sz w:val="24"/>
          <w:szCs w:val="24"/>
          <w:highlight w:val="none"/>
        </w:rPr>
        <w:fldChar w:fldCharType="separate"/>
      </w:r>
      <w:r>
        <w:rPr>
          <w:rFonts w:hint="eastAsia" w:ascii="宋体" w:hAnsi="宋体" w:eastAsia="宋体" w:cs="宋体"/>
          <w:bCs/>
          <w:spacing w:val="-9"/>
          <w:sz w:val="24"/>
          <w:szCs w:val="24"/>
          <w:highlight w:val="none"/>
        </w:rPr>
        <w:t>1</w:t>
      </w:r>
      <w:r>
        <w:rPr>
          <w:rFonts w:hint="eastAsia" w:ascii="宋体" w:hAnsi="宋体" w:eastAsia="宋体" w:cs="宋体"/>
          <w:bCs/>
          <w:spacing w:val="-25"/>
          <w:sz w:val="24"/>
          <w:szCs w:val="24"/>
          <w:highlight w:val="none"/>
        </w:rPr>
        <w:t xml:space="preserve"> </w:t>
      </w:r>
      <w:r>
        <w:rPr>
          <w:rFonts w:hint="eastAsia" w:ascii="宋体" w:hAnsi="宋体" w:eastAsia="宋体" w:cs="宋体"/>
          <w:bCs/>
          <w:spacing w:val="-9"/>
          <w:sz w:val="24"/>
          <w:szCs w:val="24"/>
          <w:highlight w:val="none"/>
        </w:rPr>
        <w:t>．中标通知书</w:t>
      </w:r>
      <w:r>
        <w:rPr>
          <w:sz w:val="24"/>
          <w:szCs w:val="24"/>
          <w:highlight w:val="none"/>
        </w:rPr>
        <w:tab/>
      </w:r>
      <w:r>
        <w:rPr>
          <w:sz w:val="24"/>
          <w:szCs w:val="24"/>
          <w:highlight w:val="none"/>
        </w:rPr>
        <w:fldChar w:fldCharType="begin"/>
      </w:r>
      <w:r>
        <w:rPr>
          <w:sz w:val="24"/>
          <w:szCs w:val="24"/>
          <w:highlight w:val="none"/>
        </w:rPr>
        <w:instrText xml:space="preserve"> PAGEREF _Toc21697 \h </w:instrText>
      </w:r>
      <w:r>
        <w:rPr>
          <w:sz w:val="24"/>
          <w:szCs w:val="24"/>
          <w:highlight w:val="none"/>
        </w:rPr>
        <w:fldChar w:fldCharType="separate"/>
      </w:r>
      <w:r>
        <w:rPr>
          <w:sz w:val="24"/>
          <w:szCs w:val="24"/>
          <w:highlight w:val="none"/>
        </w:rPr>
        <w:t>46</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504134A8">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_Toc979 </w:instrText>
      </w:r>
      <w:r>
        <w:rPr>
          <w:rFonts w:hint="eastAsia" w:ascii="宋体" w:hAnsi="宋体" w:eastAsia="宋体" w:cs="宋体"/>
          <w:sz w:val="24"/>
          <w:szCs w:val="24"/>
          <w:highlight w:val="none"/>
        </w:rPr>
        <w:fldChar w:fldCharType="separate"/>
      </w:r>
      <w:r>
        <w:rPr>
          <w:rFonts w:hint="eastAsia" w:ascii="宋体" w:hAnsi="宋体" w:eastAsia="宋体" w:cs="宋体"/>
          <w:bCs/>
          <w:spacing w:val="-7"/>
          <w:sz w:val="24"/>
          <w:szCs w:val="24"/>
          <w:highlight w:val="none"/>
        </w:rPr>
        <w:t>2</w:t>
      </w:r>
      <w:r>
        <w:rPr>
          <w:rFonts w:hint="eastAsia" w:ascii="宋体" w:hAnsi="宋体" w:eastAsia="宋体" w:cs="宋体"/>
          <w:bCs/>
          <w:spacing w:val="-24"/>
          <w:sz w:val="24"/>
          <w:szCs w:val="24"/>
          <w:highlight w:val="none"/>
        </w:rPr>
        <w:t xml:space="preserve"> </w:t>
      </w:r>
      <w:r>
        <w:rPr>
          <w:rFonts w:hint="eastAsia" w:ascii="宋体" w:hAnsi="宋体" w:eastAsia="宋体" w:cs="宋体"/>
          <w:bCs/>
          <w:spacing w:val="-7"/>
          <w:sz w:val="24"/>
          <w:szCs w:val="24"/>
          <w:highlight w:val="none"/>
        </w:rPr>
        <w:t>．中标结果公示</w:t>
      </w:r>
      <w:r>
        <w:rPr>
          <w:sz w:val="24"/>
          <w:szCs w:val="24"/>
          <w:highlight w:val="none"/>
        </w:rPr>
        <w:tab/>
      </w:r>
      <w:r>
        <w:rPr>
          <w:sz w:val="24"/>
          <w:szCs w:val="24"/>
          <w:highlight w:val="none"/>
        </w:rPr>
        <w:fldChar w:fldCharType="begin"/>
      </w:r>
      <w:r>
        <w:rPr>
          <w:sz w:val="24"/>
          <w:szCs w:val="24"/>
          <w:highlight w:val="none"/>
        </w:rPr>
        <w:instrText xml:space="preserve"> PAGEREF _Toc979 \h </w:instrText>
      </w:r>
      <w:r>
        <w:rPr>
          <w:sz w:val="24"/>
          <w:szCs w:val="24"/>
          <w:highlight w:val="none"/>
        </w:rPr>
        <w:fldChar w:fldCharType="separate"/>
      </w:r>
      <w:r>
        <w:rPr>
          <w:sz w:val="24"/>
          <w:szCs w:val="24"/>
          <w:highlight w:val="none"/>
        </w:rPr>
        <w:t>46</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04FE0B95">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_Toc13145 </w:instrText>
      </w:r>
      <w:r>
        <w:rPr>
          <w:rFonts w:hint="eastAsia" w:ascii="宋体" w:hAnsi="宋体" w:eastAsia="宋体" w:cs="宋体"/>
          <w:sz w:val="24"/>
          <w:szCs w:val="24"/>
          <w:highlight w:val="none"/>
        </w:rPr>
        <w:fldChar w:fldCharType="separate"/>
      </w:r>
      <w:r>
        <w:rPr>
          <w:rFonts w:hint="eastAsia" w:ascii="宋体" w:hAnsi="宋体" w:eastAsia="宋体" w:cs="宋体"/>
          <w:bCs/>
          <w:spacing w:val="-8"/>
          <w:sz w:val="24"/>
          <w:szCs w:val="24"/>
          <w:highlight w:val="none"/>
        </w:rPr>
        <w:t>3</w:t>
      </w:r>
      <w:r>
        <w:rPr>
          <w:rFonts w:hint="eastAsia" w:ascii="宋体" w:hAnsi="宋体" w:eastAsia="宋体" w:cs="宋体"/>
          <w:bCs/>
          <w:spacing w:val="-25"/>
          <w:sz w:val="24"/>
          <w:szCs w:val="24"/>
          <w:highlight w:val="none"/>
        </w:rPr>
        <w:t xml:space="preserve"> </w:t>
      </w:r>
      <w:r>
        <w:rPr>
          <w:rFonts w:hint="eastAsia" w:ascii="宋体" w:hAnsi="宋体" w:eastAsia="宋体" w:cs="宋体"/>
          <w:bCs/>
          <w:spacing w:val="-8"/>
          <w:sz w:val="24"/>
          <w:szCs w:val="24"/>
          <w:highlight w:val="none"/>
        </w:rPr>
        <w:t>．履约保证</w:t>
      </w:r>
      <w:r>
        <w:rPr>
          <w:sz w:val="24"/>
          <w:szCs w:val="24"/>
          <w:highlight w:val="none"/>
        </w:rPr>
        <w:tab/>
      </w:r>
      <w:r>
        <w:rPr>
          <w:sz w:val="24"/>
          <w:szCs w:val="24"/>
          <w:highlight w:val="none"/>
        </w:rPr>
        <w:fldChar w:fldCharType="begin"/>
      </w:r>
      <w:r>
        <w:rPr>
          <w:sz w:val="24"/>
          <w:szCs w:val="24"/>
          <w:highlight w:val="none"/>
        </w:rPr>
        <w:instrText xml:space="preserve"> PAGEREF _Toc13145 \h </w:instrText>
      </w:r>
      <w:r>
        <w:rPr>
          <w:sz w:val="24"/>
          <w:szCs w:val="24"/>
          <w:highlight w:val="none"/>
        </w:rPr>
        <w:fldChar w:fldCharType="separate"/>
      </w:r>
      <w:r>
        <w:rPr>
          <w:sz w:val="24"/>
          <w:szCs w:val="24"/>
          <w:highlight w:val="none"/>
        </w:rPr>
        <w:t>46</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30A90044">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_Toc133 </w:instrText>
      </w:r>
      <w:r>
        <w:rPr>
          <w:rFonts w:hint="eastAsia" w:ascii="宋体" w:hAnsi="宋体" w:eastAsia="宋体" w:cs="宋体"/>
          <w:sz w:val="24"/>
          <w:szCs w:val="24"/>
          <w:highlight w:val="none"/>
        </w:rPr>
        <w:fldChar w:fldCharType="separate"/>
      </w:r>
      <w:r>
        <w:rPr>
          <w:rFonts w:hint="eastAsia" w:ascii="宋体" w:hAnsi="宋体" w:eastAsia="宋体" w:cs="宋体"/>
          <w:bCs/>
          <w:spacing w:val="-8"/>
          <w:sz w:val="24"/>
          <w:szCs w:val="24"/>
          <w:highlight w:val="none"/>
        </w:rPr>
        <w:t>4</w:t>
      </w:r>
      <w:r>
        <w:rPr>
          <w:rFonts w:hint="eastAsia" w:ascii="宋体" w:hAnsi="宋体" w:eastAsia="宋体" w:cs="宋体"/>
          <w:bCs/>
          <w:spacing w:val="-27"/>
          <w:sz w:val="24"/>
          <w:szCs w:val="24"/>
          <w:highlight w:val="none"/>
        </w:rPr>
        <w:t xml:space="preserve"> </w:t>
      </w:r>
      <w:r>
        <w:rPr>
          <w:rFonts w:hint="eastAsia" w:ascii="宋体" w:hAnsi="宋体" w:eastAsia="宋体" w:cs="宋体"/>
          <w:bCs/>
          <w:spacing w:val="-8"/>
          <w:sz w:val="24"/>
          <w:szCs w:val="24"/>
          <w:highlight w:val="none"/>
        </w:rPr>
        <w:t>．合同订立</w:t>
      </w:r>
      <w:r>
        <w:rPr>
          <w:sz w:val="24"/>
          <w:szCs w:val="24"/>
          <w:highlight w:val="none"/>
        </w:rPr>
        <w:tab/>
      </w:r>
      <w:r>
        <w:rPr>
          <w:sz w:val="24"/>
          <w:szCs w:val="24"/>
          <w:highlight w:val="none"/>
        </w:rPr>
        <w:fldChar w:fldCharType="begin"/>
      </w:r>
      <w:r>
        <w:rPr>
          <w:sz w:val="24"/>
          <w:szCs w:val="24"/>
          <w:highlight w:val="none"/>
        </w:rPr>
        <w:instrText xml:space="preserve"> PAGEREF _Toc133 \h </w:instrText>
      </w:r>
      <w:r>
        <w:rPr>
          <w:sz w:val="24"/>
          <w:szCs w:val="24"/>
          <w:highlight w:val="none"/>
        </w:rPr>
        <w:fldChar w:fldCharType="separate"/>
      </w:r>
      <w:r>
        <w:rPr>
          <w:sz w:val="24"/>
          <w:szCs w:val="24"/>
          <w:highlight w:val="none"/>
        </w:rPr>
        <w:t>47</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1F48F344">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_Toc4089 </w:instrText>
      </w:r>
      <w:r>
        <w:rPr>
          <w:rFonts w:hint="eastAsia" w:ascii="宋体" w:hAnsi="宋体" w:eastAsia="宋体" w:cs="宋体"/>
          <w:sz w:val="24"/>
          <w:szCs w:val="24"/>
          <w:highlight w:val="none"/>
        </w:rPr>
        <w:fldChar w:fldCharType="separate"/>
      </w:r>
      <w:r>
        <w:rPr>
          <w:rFonts w:hint="eastAsia" w:ascii="宋体" w:hAnsi="宋体" w:eastAsia="宋体" w:cs="宋体"/>
          <w:bCs/>
          <w:spacing w:val="-6"/>
          <w:sz w:val="24"/>
          <w:szCs w:val="24"/>
          <w:highlight w:val="none"/>
        </w:rPr>
        <w:t>5</w:t>
      </w:r>
      <w:r>
        <w:rPr>
          <w:rFonts w:hint="eastAsia" w:ascii="宋体" w:hAnsi="宋体" w:eastAsia="宋体" w:cs="宋体"/>
          <w:bCs/>
          <w:spacing w:val="-29"/>
          <w:sz w:val="24"/>
          <w:szCs w:val="24"/>
          <w:highlight w:val="none"/>
        </w:rPr>
        <w:t xml:space="preserve"> </w:t>
      </w:r>
      <w:r>
        <w:rPr>
          <w:rFonts w:hint="eastAsia" w:ascii="宋体" w:hAnsi="宋体" w:eastAsia="宋体" w:cs="宋体"/>
          <w:bCs/>
          <w:spacing w:val="-6"/>
          <w:sz w:val="24"/>
          <w:szCs w:val="24"/>
          <w:highlight w:val="none"/>
        </w:rPr>
        <w:t>．放弃中标的处理</w:t>
      </w:r>
      <w:r>
        <w:rPr>
          <w:sz w:val="24"/>
          <w:szCs w:val="24"/>
          <w:highlight w:val="none"/>
        </w:rPr>
        <w:tab/>
      </w:r>
      <w:r>
        <w:rPr>
          <w:sz w:val="24"/>
          <w:szCs w:val="24"/>
          <w:highlight w:val="none"/>
        </w:rPr>
        <w:fldChar w:fldCharType="begin"/>
      </w:r>
      <w:r>
        <w:rPr>
          <w:sz w:val="24"/>
          <w:szCs w:val="24"/>
          <w:highlight w:val="none"/>
        </w:rPr>
        <w:instrText xml:space="preserve"> PAGEREF _Toc4089 \h </w:instrText>
      </w:r>
      <w:r>
        <w:rPr>
          <w:sz w:val="24"/>
          <w:szCs w:val="24"/>
          <w:highlight w:val="none"/>
        </w:rPr>
        <w:fldChar w:fldCharType="separate"/>
      </w:r>
      <w:r>
        <w:rPr>
          <w:sz w:val="24"/>
          <w:szCs w:val="24"/>
          <w:highlight w:val="none"/>
        </w:rPr>
        <w:t>48</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35DBD987">
      <w:pPr>
        <w:pStyle w:val="9"/>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_Toc7715 </w:instrText>
      </w:r>
      <w:r>
        <w:rPr>
          <w:rFonts w:hint="eastAsia" w:ascii="宋体" w:hAnsi="宋体" w:eastAsia="宋体" w:cs="宋体"/>
          <w:sz w:val="24"/>
          <w:szCs w:val="24"/>
          <w:highlight w:val="none"/>
        </w:rPr>
        <w:fldChar w:fldCharType="separate"/>
      </w:r>
      <w:r>
        <w:rPr>
          <w:rFonts w:hint="eastAsia" w:ascii="宋体" w:hAnsi="宋体" w:eastAsia="宋体" w:cs="宋体"/>
          <w:bCs/>
          <w:spacing w:val="-3"/>
          <w:sz w:val="24"/>
          <w:szCs w:val="24"/>
          <w:highlight w:val="none"/>
        </w:rPr>
        <w:t>第三章</w:t>
      </w:r>
      <w:r>
        <w:rPr>
          <w:rFonts w:hint="eastAsia" w:ascii="宋体" w:hAnsi="宋体" w:eastAsia="宋体" w:cs="宋体"/>
          <w:spacing w:val="-3"/>
          <w:sz w:val="24"/>
          <w:szCs w:val="24"/>
          <w:highlight w:val="none"/>
        </w:rPr>
        <w:t xml:space="preserve"> </w:t>
      </w:r>
      <w:r>
        <w:rPr>
          <w:rFonts w:hint="eastAsia" w:ascii="宋体" w:hAnsi="宋体" w:eastAsia="宋体" w:cs="宋体"/>
          <w:bCs/>
          <w:spacing w:val="-3"/>
          <w:sz w:val="24"/>
          <w:szCs w:val="24"/>
          <w:highlight w:val="none"/>
        </w:rPr>
        <w:t>拟签订合同的主要条款</w:t>
      </w:r>
      <w:r>
        <w:rPr>
          <w:sz w:val="24"/>
          <w:szCs w:val="24"/>
          <w:highlight w:val="none"/>
        </w:rPr>
        <w:tab/>
      </w:r>
      <w:r>
        <w:rPr>
          <w:sz w:val="24"/>
          <w:szCs w:val="24"/>
          <w:highlight w:val="none"/>
        </w:rPr>
        <w:fldChar w:fldCharType="begin"/>
      </w:r>
      <w:r>
        <w:rPr>
          <w:sz w:val="24"/>
          <w:szCs w:val="24"/>
          <w:highlight w:val="none"/>
        </w:rPr>
        <w:instrText xml:space="preserve"> PAGEREF _Toc7715 \h </w:instrText>
      </w:r>
      <w:r>
        <w:rPr>
          <w:sz w:val="24"/>
          <w:szCs w:val="24"/>
          <w:highlight w:val="none"/>
        </w:rPr>
        <w:fldChar w:fldCharType="separate"/>
      </w:r>
      <w:r>
        <w:rPr>
          <w:sz w:val="24"/>
          <w:szCs w:val="24"/>
          <w:highlight w:val="none"/>
        </w:rPr>
        <w:t>49</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0BE2FC71">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_Toc6603 </w:instrText>
      </w:r>
      <w:r>
        <w:rPr>
          <w:rFonts w:hint="eastAsia" w:ascii="宋体" w:hAnsi="宋体" w:eastAsia="宋体" w:cs="宋体"/>
          <w:sz w:val="24"/>
          <w:szCs w:val="24"/>
          <w:highlight w:val="none"/>
        </w:rPr>
        <w:fldChar w:fldCharType="separate"/>
      </w:r>
      <w:r>
        <w:rPr>
          <w:rFonts w:hint="eastAsia" w:ascii="宋体" w:hAnsi="宋体" w:eastAsia="宋体" w:cs="宋体"/>
          <w:bCs/>
          <w:spacing w:val="-8"/>
          <w:sz w:val="24"/>
          <w:szCs w:val="24"/>
          <w:highlight w:val="none"/>
        </w:rPr>
        <w:t>1</w:t>
      </w:r>
      <w:r>
        <w:rPr>
          <w:rFonts w:hint="eastAsia" w:ascii="宋体" w:hAnsi="宋体" w:eastAsia="宋体" w:cs="宋体"/>
          <w:bCs/>
          <w:spacing w:val="-26"/>
          <w:sz w:val="24"/>
          <w:szCs w:val="24"/>
          <w:highlight w:val="none"/>
        </w:rPr>
        <w:t xml:space="preserve"> </w:t>
      </w:r>
      <w:r>
        <w:rPr>
          <w:rFonts w:hint="eastAsia" w:ascii="宋体" w:hAnsi="宋体" w:eastAsia="宋体" w:cs="宋体"/>
          <w:bCs/>
          <w:spacing w:val="-8"/>
          <w:sz w:val="24"/>
          <w:szCs w:val="24"/>
          <w:highlight w:val="none"/>
        </w:rPr>
        <w:t>．工程承包方式</w:t>
      </w:r>
      <w:r>
        <w:rPr>
          <w:sz w:val="24"/>
          <w:szCs w:val="24"/>
          <w:highlight w:val="none"/>
        </w:rPr>
        <w:tab/>
      </w:r>
      <w:r>
        <w:rPr>
          <w:sz w:val="24"/>
          <w:szCs w:val="24"/>
          <w:highlight w:val="none"/>
        </w:rPr>
        <w:fldChar w:fldCharType="begin"/>
      </w:r>
      <w:r>
        <w:rPr>
          <w:sz w:val="24"/>
          <w:szCs w:val="24"/>
          <w:highlight w:val="none"/>
        </w:rPr>
        <w:instrText xml:space="preserve"> PAGEREF _Toc6603 \h </w:instrText>
      </w:r>
      <w:r>
        <w:rPr>
          <w:sz w:val="24"/>
          <w:szCs w:val="24"/>
          <w:highlight w:val="none"/>
        </w:rPr>
        <w:fldChar w:fldCharType="separate"/>
      </w:r>
      <w:r>
        <w:rPr>
          <w:sz w:val="24"/>
          <w:szCs w:val="24"/>
          <w:highlight w:val="none"/>
        </w:rPr>
        <w:t>49</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7CD3982B">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_Toc24910 </w:instrText>
      </w:r>
      <w:r>
        <w:rPr>
          <w:rFonts w:hint="eastAsia" w:ascii="宋体" w:hAnsi="宋体" w:eastAsia="宋体" w:cs="宋体"/>
          <w:sz w:val="24"/>
          <w:szCs w:val="24"/>
          <w:highlight w:val="none"/>
        </w:rPr>
        <w:fldChar w:fldCharType="separate"/>
      </w:r>
      <w:r>
        <w:rPr>
          <w:rFonts w:hint="eastAsia" w:ascii="宋体" w:hAnsi="宋体" w:eastAsia="宋体" w:cs="宋体"/>
          <w:bCs/>
          <w:spacing w:val="-7"/>
          <w:sz w:val="24"/>
          <w:szCs w:val="24"/>
          <w:highlight w:val="none"/>
        </w:rPr>
        <w:t>2</w:t>
      </w:r>
      <w:r>
        <w:rPr>
          <w:rFonts w:hint="eastAsia" w:ascii="宋体" w:hAnsi="宋体" w:eastAsia="宋体" w:cs="宋体"/>
          <w:bCs/>
          <w:spacing w:val="-24"/>
          <w:sz w:val="24"/>
          <w:szCs w:val="24"/>
          <w:highlight w:val="none"/>
        </w:rPr>
        <w:t xml:space="preserve"> </w:t>
      </w:r>
      <w:r>
        <w:rPr>
          <w:rFonts w:hint="eastAsia" w:ascii="宋体" w:hAnsi="宋体" w:eastAsia="宋体" w:cs="宋体"/>
          <w:bCs/>
          <w:spacing w:val="-7"/>
          <w:sz w:val="24"/>
          <w:szCs w:val="24"/>
          <w:highlight w:val="none"/>
        </w:rPr>
        <w:t>．工程结算原则</w:t>
      </w:r>
      <w:r>
        <w:rPr>
          <w:sz w:val="24"/>
          <w:szCs w:val="24"/>
          <w:highlight w:val="none"/>
        </w:rPr>
        <w:tab/>
      </w:r>
      <w:r>
        <w:rPr>
          <w:sz w:val="24"/>
          <w:szCs w:val="24"/>
          <w:highlight w:val="none"/>
        </w:rPr>
        <w:fldChar w:fldCharType="begin"/>
      </w:r>
      <w:r>
        <w:rPr>
          <w:sz w:val="24"/>
          <w:szCs w:val="24"/>
          <w:highlight w:val="none"/>
        </w:rPr>
        <w:instrText xml:space="preserve"> PAGEREF _Toc24910 \h </w:instrText>
      </w:r>
      <w:r>
        <w:rPr>
          <w:sz w:val="24"/>
          <w:szCs w:val="24"/>
          <w:highlight w:val="none"/>
        </w:rPr>
        <w:fldChar w:fldCharType="separate"/>
      </w:r>
      <w:r>
        <w:rPr>
          <w:sz w:val="24"/>
          <w:szCs w:val="24"/>
          <w:highlight w:val="none"/>
        </w:rPr>
        <w:t>49</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2BAFD596">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_Toc5247 </w:instrText>
      </w:r>
      <w:r>
        <w:rPr>
          <w:rFonts w:hint="eastAsia" w:ascii="宋体" w:hAnsi="宋体" w:eastAsia="宋体" w:cs="宋体"/>
          <w:sz w:val="24"/>
          <w:szCs w:val="24"/>
          <w:highlight w:val="none"/>
        </w:rPr>
        <w:fldChar w:fldCharType="separate"/>
      </w:r>
      <w:r>
        <w:rPr>
          <w:rFonts w:hint="eastAsia" w:ascii="宋体" w:hAnsi="宋体" w:eastAsia="宋体" w:cs="宋体"/>
          <w:bCs/>
          <w:sz w:val="24"/>
          <w:szCs w:val="24"/>
          <w:highlight w:val="none"/>
        </w:rPr>
        <w:t>3. 工程付款办法</w:t>
      </w:r>
      <w:r>
        <w:rPr>
          <w:sz w:val="24"/>
          <w:szCs w:val="24"/>
          <w:highlight w:val="none"/>
        </w:rPr>
        <w:tab/>
      </w:r>
      <w:r>
        <w:rPr>
          <w:sz w:val="24"/>
          <w:szCs w:val="24"/>
          <w:highlight w:val="none"/>
        </w:rPr>
        <w:fldChar w:fldCharType="begin"/>
      </w:r>
      <w:r>
        <w:rPr>
          <w:sz w:val="24"/>
          <w:szCs w:val="24"/>
          <w:highlight w:val="none"/>
        </w:rPr>
        <w:instrText xml:space="preserve"> PAGEREF _Toc5247 \h </w:instrText>
      </w:r>
      <w:r>
        <w:rPr>
          <w:sz w:val="24"/>
          <w:szCs w:val="24"/>
          <w:highlight w:val="none"/>
        </w:rPr>
        <w:fldChar w:fldCharType="separate"/>
      </w:r>
      <w:r>
        <w:rPr>
          <w:sz w:val="24"/>
          <w:szCs w:val="24"/>
          <w:highlight w:val="none"/>
        </w:rPr>
        <w:t>55</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1E1CFE8F">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_Toc29229 </w:instrText>
      </w:r>
      <w:r>
        <w:rPr>
          <w:rFonts w:hint="eastAsia" w:ascii="宋体" w:hAnsi="宋体" w:eastAsia="宋体" w:cs="宋体"/>
          <w:sz w:val="24"/>
          <w:szCs w:val="24"/>
          <w:highlight w:val="none"/>
        </w:rPr>
        <w:fldChar w:fldCharType="separate"/>
      </w:r>
      <w:r>
        <w:rPr>
          <w:rFonts w:hint="eastAsia" w:ascii="宋体" w:hAnsi="宋体" w:eastAsia="宋体" w:cs="宋体"/>
          <w:bCs/>
          <w:spacing w:val="-7"/>
          <w:sz w:val="24"/>
          <w:szCs w:val="24"/>
          <w:highlight w:val="none"/>
        </w:rPr>
        <w:t>4</w:t>
      </w:r>
      <w:r>
        <w:rPr>
          <w:rFonts w:hint="eastAsia" w:ascii="宋体" w:hAnsi="宋体" w:eastAsia="宋体" w:cs="宋体"/>
          <w:bCs/>
          <w:spacing w:val="-25"/>
          <w:sz w:val="24"/>
          <w:szCs w:val="24"/>
          <w:highlight w:val="none"/>
        </w:rPr>
        <w:t xml:space="preserve"> </w:t>
      </w:r>
      <w:r>
        <w:rPr>
          <w:rFonts w:hint="eastAsia" w:ascii="宋体" w:hAnsi="宋体" w:eastAsia="宋体" w:cs="宋体"/>
          <w:bCs/>
          <w:spacing w:val="-7"/>
          <w:sz w:val="24"/>
          <w:szCs w:val="24"/>
          <w:highlight w:val="none"/>
        </w:rPr>
        <w:t>．其他专用合同条款</w:t>
      </w:r>
      <w:r>
        <w:rPr>
          <w:sz w:val="24"/>
          <w:szCs w:val="24"/>
          <w:highlight w:val="none"/>
        </w:rPr>
        <w:tab/>
      </w:r>
      <w:r>
        <w:rPr>
          <w:sz w:val="24"/>
          <w:szCs w:val="24"/>
          <w:highlight w:val="none"/>
        </w:rPr>
        <w:fldChar w:fldCharType="begin"/>
      </w:r>
      <w:r>
        <w:rPr>
          <w:sz w:val="24"/>
          <w:szCs w:val="24"/>
          <w:highlight w:val="none"/>
        </w:rPr>
        <w:instrText xml:space="preserve"> PAGEREF _Toc29229 \h </w:instrText>
      </w:r>
      <w:r>
        <w:rPr>
          <w:sz w:val="24"/>
          <w:szCs w:val="24"/>
          <w:highlight w:val="none"/>
        </w:rPr>
        <w:fldChar w:fldCharType="separate"/>
      </w:r>
      <w:r>
        <w:rPr>
          <w:sz w:val="24"/>
          <w:szCs w:val="24"/>
          <w:highlight w:val="none"/>
        </w:rPr>
        <w:t>56</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013FEDCD">
      <w:pPr>
        <w:pStyle w:val="9"/>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_Toc30225 </w:instrText>
      </w:r>
      <w:r>
        <w:rPr>
          <w:rFonts w:hint="eastAsia" w:ascii="宋体" w:hAnsi="宋体" w:eastAsia="宋体" w:cs="宋体"/>
          <w:sz w:val="24"/>
          <w:szCs w:val="24"/>
          <w:highlight w:val="none"/>
        </w:rPr>
        <w:fldChar w:fldCharType="separate"/>
      </w:r>
      <w:r>
        <w:rPr>
          <w:rFonts w:hint="eastAsia" w:ascii="宋体" w:hAnsi="宋体" w:eastAsia="宋体" w:cs="宋体"/>
          <w:bCs/>
          <w:spacing w:val="-3"/>
          <w:sz w:val="24"/>
          <w:szCs w:val="24"/>
          <w:highlight w:val="none"/>
        </w:rPr>
        <w:t>第四章</w:t>
      </w:r>
      <w:r>
        <w:rPr>
          <w:rFonts w:hint="eastAsia" w:ascii="宋体" w:hAnsi="宋体" w:eastAsia="宋体" w:cs="宋体"/>
          <w:spacing w:val="-3"/>
          <w:sz w:val="24"/>
          <w:szCs w:val="24"/>
          <w:highlight w:val="none"/>
        </w:rPr>
        <w:t xml:space="preserve"> </w:t>
      </w:r>
      <w:r>
        <w:rPr>
          <w:rFonts w:hint="eastAsia" w:ascii="宋体" w:hAnsi="宋体" w:eastAsia="宋体" w:cs="宋体"/>
          <w:bCs/>
          <w:spacing w:val="-3"/>
          <w:sz w:val="24"/>
          <w:szCs w:val="24"/>
          <w:highlight w:val="none"/>
        </w:rPr>
        <w:t>技术要求</w:t>
      </w:r>
      <w:r>
        <w:rPr>
          <w:sz w:val="24"/>
          <w:szCs w:val="24"/>
          <w:highlight w:val="none"/>
        </w:rPr>
        <w:tab/>
      </w:r>
      <w:r>
        <w:rPr>
          <w:sz w:val="24"/>
          <w:szCs w:val="24"/>
          <w:highlight w:val="none"/>
        </w:rPr>
        <w:fldChar w:fldCharType="begin"/>
      </w:r>
      <w:r>
        <w:rPr>
          <w:sz w:val="24"/>
          <w:szCs w:val="24"/>
          <w:highlight w:val="none"/>
        </w:rPr>
        <w:instrText xml:space="preserve"> PAGEREF _Toc30225 \h </w:instrText>
      </w:r>
      <w:r>
        <w:rPr>
          <w:sz w:val="24"/>
          <w:szCs w:val="24"/>
          <w:highlight w:val="none"/>
        </w:rPr>
        <w:fldChar w:fldCharType="separate"/>
      </w:r>
      <w:r>
        <w:rPr>
          <w:sz w:val="24"/>
          <w:szCs w:val="24"/>
          <w:highlight w:val="none"/>
        </w:rPr>
        <w:t>64</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7E6C3CEA">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_Toc19340 </w:instrText>
      </w:r>
      <w:r>
        <w:rPr>
          <w:rFonts w:hint="eastAsia" w:ascii="宋体" w:hAnsi="宋体" w:eastAsia="宋体" w:cs="宋体"/>
          <w:sz w:val="24"/>
          <w:szCs w:val="24"/>
          <w:highlight w:val="none"/>
        </w:rPr>
        <w:fldChar w:fldCharType="separate"/>
      </w:r>
      <w:r>
        <w:rPr>
          <w:rFonts w:hint="eastAsia" w:ascii="宋体" w:hAnsi="宋体" w:eastAsia="宋体" w:cs="宋体"/>
          <w:bCs/>
          <w:spacing w:val="-6"/>
          <w:sz w:val="24"/>
          <w:szCs w:val="24"/>
          <w:highlight w:val="none"/>
        </w:rPr>
        <w:t>1</w:t>
      </w:r>
      <w:r>
        <w:rPr>
          <w:rFonts w:hint="eastAsia" w:ascii="宋体" w:hAnsi="宋体" w:eastAsia="宋体" w:cs="宋体"/>
          <w:bCs/>
          <w:spacing w:val="-23"/>
          <w:sz w:val="24"/>
          <w:szCs w:val="24"/>
          <w:highlight w:val="none"/>
        </w:rPr>
        <w:t xml:space="preserve"> </w:t>
      </w:r>
      <w:r>
        <w:rPr>
          <w:rFonts w:hint="eastAsia" w:ascii="宋体" w:hAnsi="宋体" w:eastAsia="宋体" w:cs="宋体"/>
          <w:bCs/>
          <w:spacing w:val="-6"/>
          <w:sz w:val="24"/>
          <w:szCs w:val="24"/>
          <w:highlight w:val="none"/>
        </w:rPr>
        <w:t>．</w:t>
      </w:r>
      <w:r>
        <w:rPr>
          <w:rFonts w:hint="eastAsia" w:ascii="宋体" w:hAnsi="宋体" w:eastAsia="宋体" w:cs="宋体"/>
          <w:bCs/>
          <w:spacing w:val="-1"/>
          <w:sz w:val="24"/>
          <w:szCs w:val="24"/>
          <w:highlight w:val="none"/>
        </w:rPr>
        <w:t>房屋建筑工程建设项目</w:t>
      </w:r>
      <w:r>
        <w:rPr>
          <w:sz w:val="24"/>
          <w:szCs w:val="24"/>
          <w:highlight w:val="none"/>
        </w:rPr>
        <w:tab/>
      </w:r>
      <w:r>
        <w:rPr>
          <w:sz w:val="24"/>
          <w:szCs w:val="24"/>
          <w:highlight w:val="none"/>
        </w:rPr>
        <w:fldChar w:fldCharType="begin"/>
      </w:r>
      <w:r>
        <w:rPr>
          <w:sz w:val="24"/>
          <w:szCs w:val="24"/>
          <w:highlight w:val="none"/>
        </w:rPr>
        <w:instrText xml:space="preserve"> PAGEREF _Toc19340 \h </w:instrText>
      </w:r>
      <w:r>
        <w:rPr>
          <w:sz w:val="24"/>
          <w:szCs w:val="24"/>
          <w:highlight w:val="none"/>
        </w:rPr>
        <w:fldChar w:fldCharType="separate"/>
      </w:r>
      <w:r>
        <w:rPr>
          <w:sz w:val="24"/>
          <w:szCs w:val="24"/>
          <w:highlight w:val="none"/>
        </w:rPr>
        <w:t>64</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437607A4">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_Toc16340 </w:instrText>
      </w:r>
      <w:r>
        <w:rPr>
          <w:rFonts w:hint="eastAsia" w:ascii="宋体" w:hAnsi="宋体" w:eastAsia="宋体" w:cs="宋体"/>
          <w:sz w:val="24"/>
          <w:szCs w:val="24"/>
          <w:highlight w:val="none"/>
        </w:rPr>
        <w:fldChar w:fldCharType="separate"/>
      </w:r>
      <w:r>
        <w:rPr>
          <w:rFonts w:hint="eastAsia" w:ascii="宋体" w:hAnsi="宋体" w:eastAsia="宋体" w:cs="宋体"/>
          <w:bCs/>
          <w:spacing w:val="-5"/>
          <w:sz w:val="24"/>
          <w:szCs w:val="24"/>
          <w:highlight w:val="none"/>
        </w:rPr>
        <w:t>2</w:t>
      </w:r>
      <w:r>
        <w:rPr>
          <w:rFonts w:hint="eastAsia" w:ascii="宋体" w:hAnsi="宋体" w:eastAsia="宋体" w:cs="宋体"/>
          <w:bCs/>
          <w:spacing w:val="-18"/>
          <w:sz w:val="24"/>
          <w:szCs w:val="24"/>
          <w:highlight w:val="none"/>
        </w:rPr>
        <w:t xml:space="preserve"> </w:t>
      </w:r>
      <w:r>
        <w:rPr>
          <w:rFonts w:hint="eastAsia" w:ascii="宋体" w:hAnsi="宋体" w:eastAsia="宋体" w:cs="宋体"/>
          <w:bCs/>
          <w:spacing w:val="-5"/>
          <w:sz w:val="24"/>
          <w:szCs w:val="24"/>
          <w:highlight w:val="none"/>
        </w:rPr>
        <w:t>．市政基础设施工程建设项目</w:t>
      </w:r>
      <w:r>
        <w:rPr>
          <w:sz w:val="24"/>
          <w:szCs w:val="24"/>
          <w:highlight w:val="none"/>
        </w:rPr>
        <w:tab/>
      </w:r>
      <w:r>
        <w:rPr>
          <w:sz w:val="24"/>
          <w:szCs w:val="24"/>
          <w:highlight w:val="none"/>
        </w:rPr>
        <w:fldChar w:fldCharType="begin"/>
      </w:r>
      <w:r>
        <w:rPr>
          <w:sz w:val="24"/>
          <w:szCs w:val="24"/>
          <w:highlight w:val="none"/>
        </w:rPr>
        <w:instrText xml:space="preserve"> PAGEREF _Toc16340 \h </w:instrText>
      </w:r>
      <w:r>
        <w:rPr>
          <w:sz w:val="24"/>
          <w:szCs w:val="24"/>
          <w:highlight w:val="none"/>
        </w:rPr>
        <w:fldChar w:fldCharType="separate"/>
      </w:r>
      <w:r>
        <w:rPr>
          <w:sz w:val="24"/>
          <w:szCs w:val="24"/>
          <w:highlight w:val="none"/>
        </w:rPr>
        <w:t>64</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08A29D98">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_Toc31813 </w:instrText>
      </w:r>
      <w:r>
        <w:rPr>
          <w:rFonts w:hint="eastAsia" w:ascii="宋体" w:hAnsi="宋体" w:eastAsia="宋体" w:cs="宋体"/>
          <w:sz w:val="24"/>
          <w:szCs w:val="24"/>
          <w:highlight w:val="none"/>
        </w:rPr>
        <w:fldChar w:fldCharType="separate"/>
      </w:r>
      <w:r>
        <w:rPr>
          <w:rFonts w:hint="eastAsia" w:ascii="宋体" w:hAnsi="宋体" w:eastAsia="宋体" w:cs="宋体"/>
          <w:bCs/>
          <w:spacing w:val="-8"/>
          <w:sz w:val="24"/>
          <w:szCs w:val="24"/>
          <w:highlight w:val="none"/>
        </w:rPr>
        <w:t>3</w:t>
      </w:r>
      <w:r>
        <w:rPr>
          <w:rFonts w:hint="eastAsia" w:ascii="宋体" w:hAnsi="宋体" w:eastAsia="宋体" w:cs="宋体"/>
          <w:bCs/>
          <w:spacing w:val="-25"/>
          <w:sz w:val="24"/>
          <w:szCs w:val="24"/>
          <w:highlight w:val="none"/>
        </w:rPr>
        <w:t xml:space="preserve"> </w:t>
      </w:r>
      <w:r>
        <w:rPr>
          <w:rFonts w:hint="eastAsia" w:ascii="宋体" w:hAnsi="宋体" w:eastAsia="宋体" w:cs="宋体"/>
          <w:bCs/>
          <w:spacing w:val="-8"/>
          <w:sz w:val="24"/>
          <w:szCs w:val="24"/>
          <w:highlight w:val="none"/>
        </w:rPr>
        <w:t>．备查要求</w:t>
      </w:r>
      <w:r>
        <w:rPr>
          <w:sz w:val="24"/>
          <w:szCs w:val="24"/>
          <w:highlight w:val="none"/>
        </w:rPr>
        <w:tab/>
      </w:r>
      <w:r>
        <w:rPr>
          <w:sz w:val="24"/>
          <w:szCs w:val="24"/>
          <w:highlight w:val="none"/>
        </w:rPr>
        <w:fldChar w:fldCharType="begin"/>
      </w:r>
      <w:r>
        <w:rPr>
          <w:sz w:val="24"/>
          <w:szCs w:val="24"/>
          <w:highlight w:val="none"/>
        </w:rPr>
        <w:instrText xml:space="preserve"> PAGEREF _Toc31813 \h </w:instrText>
      </w:r>
      <w:r>
        <w:rPr>
          <w:sz w:val="24"/>
          <w:szCs w:val="24"/>
          <w:highlight w:val="none"/>
        </w:rPr>
        <w:fldChar w:fldCharType="separate"/>
      </w:r>
      <w:r>
        <w:rPr>
          <w:sz w:val="24"/>
          <w:szCs w:val="24"/>
          <w:highlight w:val="none"/>
        </w:rPr>
        <w:t>65</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55F70DBB">
      <w:pPr>
        <w:pStyle w:val="9"/>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_Toc21699 </w:instrText>
      </w:r>
      <w:r>
        <w:rPr>
          <w:rFonts w:hint="eastAsia" w:ascii="宋体" w:hAnsi="宋体" w:eastAsia="宋体" w:cs="宋体"/>
          <w:sz w:val="24"/>
          <w:szCs w:val="24"/>
          <w:highlight w:val="none"/>
        </w:rPr>
        <w:fldChar w:fldCharType="separate"/>
      </w:r>
      <w:r>
        <w:rPr>
          <w:rFonts w:hint="eastAsia" w:ascii="宋体" w:hAnsi="宋体" w:eastAsia="宋体" w:cs="宋体"/>
          <w:bCs/>
          <w:spacing w:val="-5"/>
          <w:sz w:val="24"/>
          <w:szCs w:val="24"/>
          <w:highlight w:val="none"/>
        </w:rPr>
        <w:t>第五章</w:t>
      </w:r>
      <w:r>
        <w:rPr>
          <w:rFonts w:hint="eastAsia" w:ascii="宋体" w:hAnsi="宋体" w:eastAsia="宋体" w:cs="宋体"/>
          <w:spacing w:val="33"/>
          <w:sz w:val="24"/>
          <w:szCs w:val="24"/>
          <w:highlight w:val="none"/>
        </w:rPr>
        <w:t xml:space="preserve"> </w:t>
      </w:r>
      <w:r>
        <w:rPr>
          <w:rFonts w:hint="eastAsia" w:ascii="宋体" w:hAnsi="宋体" w:eastAsia="宋体" w:cs="宋体"/>
          <w:bCs/>
          <w:spacing w:val="-5"/>
          <w:sz w:val="24"/>
          <w:szCs w:val="24"/>
          <w:highlight w:val="none"/>
        </w:rPr>
        <w:t>图纸和招标工程量清单</w:t>
      </w:r>
      <w:r>
        <w:rPr>
          <w:sz w:val="24"/>
          <w:szCs w:val="24"/>
          <w:highlight w:val="none"/>
        </w:rPr>
        <w:tab/>
      </w:r>
      <w:r>
        <w:rPr>
          <w:sz w:val="24"/>
          <w:szCs w:val="24"/>
          <w:highlight w:val="none"/>
        </w:rPr>
        <w:fldChar w:fldCharType="begin"/>
      </w:r>
      <w:r>
        <w:rPr>
          <w:sz w:val="24"/>
          <w:szCs w:val="24"/>
          <w:highlight w:val="none"/>
        </w:rPr>
        <w:instrText xml:space="preserve"> PAGEREF _Toc21699 \h </w:instrText>
      </w:r>
      <w:r>
        <w:rPr>
          <w:sz w:val="24"/>
          <w:szCs w:val="24"/>
          <w:highlight w:val="none"/>
        </w:rPr>
        <w:fldChar w:fldCharType="separate"/>
      </w:r>
      <w:r>
        <w:rPr>
          <w:sz w:val="24"/>
          <w:szCs w:val="24"/>
          <w:highlight w:val="none"/>
        </w:rPr>
        <w:t>66</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3DD6788F">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_Toc21706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4"/>
          <w:sz w:val="24"/>
          <w:szCs w:val="24"/>
          <w:highlight w:val="none"/>
        </w:rPr>
        <w:t>1</w:t>
      </w:r>
      <w:r>
        <w:rPr>
          <w:rFonts w:hint="eastAsia" w:ascii="宋体" w:hAnsi="宋体" w:eastAsia="宋体" w:cs="宋体"/>
          <w:bCs/>
          <w:spacing w:val="-27"/>
          <w:sz w:val="24"/>
          <w:szCs w:val="24"/>
          <w:highlight w:val="none"/>
        </w:rPr>
        <w:t xml:space="preserve"> </w:t>
      </w:r>
      <w:r>
        <w:rPr>
          <w:rFonts w:hint="eastAsia" w:ascii="宋体" w:hAnsi="宋体" w:eastAsia="宋体" w:cs="宋体"/>
          <w:bCs/>
          <w:spacing w:val="-14"/>
          <w:sz w:val="24"/>
          <w:szCs w:val="24"/>
          <w:highlight w:val="none"/>
        </w:rPr>
        <w:t>．图纸</w:t>
      </w:r>
      <w:r>
        <w:rPr>
          <w:sz w:val="24"/>
          <w:szCs w:val="24"/>
          <w:highlight w:val="none"/>
        </w:rPr>
        <w:tab/>
      </w:r>
      <w:r>
        <w:rPr>
          <w:sz w:val="24"/>
          <w:szCs w:val="24"/>
          <w:highlight w:val="none"/>
        </w:rPr>
        <w:fldChar w:fldCharType="begin"/>
      </w:r>
      <w:r>
        <w:rPr>
          <w:sz w:val="24"/>
          <w:szCs w:val="24"/>
          <w:highlight w:val="none"/>
        </w:rPr>
        <w:instrText xml:space="preserve"> PAGEREF _Toc21706 \h </w:instrText>
      </w:r>
      <w:r>
        <w:rPr>
          <w:sz w:val="24"/>
          <w:szCs w:val="24"/>
          <w:highlight w:val="none"/>
        </w:rPr>
        <w:fldChar w:fldCharType="separate"/>
      </w:r>
      <w:r>
        <w:rPr>
          <w:sz w:val="24"/>
          <w:szCs w:val="24"/>
          <w:highlight w:val="none"/>
        </w:rPr>
        <w:t>66</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03CF21CB">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_Toc24419 </w:instrText>
      </w:r>
      <w:r>
        <w:rPr>
          <w:rFonts w:hint="eastAsia" w:ascii="宋体" w:hAnsi="宋体" w:eastAsia="宋体" w:cs="宋体"/>
          <w:sz w:val="24"/>
          <w:szCs w:val="24"/>
          <w:highlight w:val="none"/>
        </w:rPr>
        <w:fldChar w:fldCharType="separate"/>
      </w:r>
      <w:r>
        <w:rPr>
          <w:rFonts w:hint="eastAsia" w:ascii="宋体" w:hAnsi="宋体" w:eastAsia="宋体" w:cs="宋体"/>
          <w:bCs/>
          <w:spacing w:val="-6"/>
          <w:sz w:val="24"/>
          <w:szCs w:val="24"/>
          <w:highlight w:val="none"/>
        </w:rPr>
        <w:t>2</w:t>
      </w:r>
      <w:r>
        <w:rPr>
          <w:rFonts w:hint="eastAsia" w:ascii="宋体" w:hAnsi="宋体" w:eastAsia="宋体" w:cs="宋体"/>
          <w:bCs/>
          <w:spacing w:val="-26"/>
          <w:sz w:val="24"/>
          <w:szCs w:val="24"/>
          <w:highlight w:val="none"/>
        </w:rPr>
        <w:t xml:space="preserve"> </w:t>
      </w:r>
      <w:r>
        <w:rPr>
          <w:rFonts w:hint="eastAsia" w:ascii="宋体" w:hAnsi="宋体" w:eastAsia="宋体" w:cs="宋体"/>
          <w:bCs/>
          <w:spacing w:val="-6"/>
          <w:sz w:val="24"/>
          <w:szCs w:val="24"/>
          <w:highlight w:val="none"/>
        </w:rPr>
        <w:t>．招标工程量清单</w:t>
      </w:r>
      <w:r>
        <w:rPr>
          <w:sz w:val="24"/>
          <w:szCs w:val="24"/>
          <w:highlight w:val="none"/>
        </w:rPr>
        <w:tab/>
      </w:r>
      <w:r>
        <w:rPr>
          <w:sz w:val="24"/>
          <w:szCs w:val="24"/>
          <w:highlight w:val="none"/>
        </w:rPr>
        <w:fldChar w:fldCharType="begin"/>
      </w:r>
      <w:r>
        <w:rPr>
          <w:sz w:val="24"/>
          <w:szCs w:val="24"/>
          <w:highlight w:val="none"/>
        </w:rPr>
        <w:instrText xml:space="preserve"> PAGEREF _Toc24419 \h </w:instrText>
      </w:r>
      <w:r>
        <w:rPr>
          <w:sz w:val="24"/>
          <w:szCs w:val="24"/>
          <w:highlight w:val="none"/>
        </w:rPr>
        <w:fldChar w:fldCharType="separate"/>
      </w:r>
      <w:r>
        <w:rPr>
          <w:sz w:val="24"/>
          <w:szCs w:val="24"/>
          <w:highlight w:val="none"/>
        </w:rPr>
        <w:t>66</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04E0BD2F">
      <w:pPr>
        <w:pStyle w:val="9"/>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_Toc27130 </w:instrText>
      </w:r>
      <w:r>
        <w:rPr>
          <w:rFonts w:hint="eastAsia" w:ascii="宋体" w:hAnsi="宋体" w:eastAsia="宋体" w:cs="宋体"/>
          <w:sz w:val="24"/>
          <w:szCs w:val="24"/>
          <w:highlight w:val="none"/>
        </w:rPr>
        <w:fldChar w:fldCharType="separate"/>
      </w:r>
      <w:r>
        <w:rPr>
          <w:rFonts w:hint="eastAsia" w:ascii="宋体" w:hAnsi="宋体" w:eastAsia="宋体" w:cs="宋体"/>
          <w:bCs/>
          <w:spacing w:val="-3"/>
          <w:sz w:val="24"/>
          <w:szCs w:val="24"/>
          <w:highlight w:val="none"/>
        </w:rPr>
        <w:t>第六章</w:t>
      </w:r>
      <w:r>
        <w:rPr>
          <w:rFonts w:hint="eastAsia" w:ascii="宋体" w:hAnsi="宋体" w:eastAsia="宋体" w:cs="宋体"/>
          <w:spacing w:val="-3"/>
          <w:sz w:val="24"/>
          <w:szCs w:val="24"/>
          <w:highlight w:val="none"/>
        </w:rPr>
        <w:t xml:space="preserve"> </w:t>
      </w:r>
      <w:r>
        <w:rPr>
          <w:rFonts w:hint="eastAsia" w:ascii="宋体" w:hAnsi="宋体" w:eastAsia="宋体" w:cs="宋体"/>
          <w:bCs/>
          <w:spacing w:val="-3"/>
          <w:sz w:val="24"/>
          <w:szCs w:val="24"/>
          <w:highlight w:val="none"/>
        </w:rPr>
        <w:t>投标文件格式</w:t>
      </w:r>
      <w:r>
        <w:rPr>
          <w:sz w:val="24"/>
          <w:szCs w:val="24"/>
          <w:highlight w:val="none"/>
        </w:rPr>
        <w:tab/>
      </w:r>
      <w:r>
        <w:rPr>
          <w:sz w:val="24"/>
          <w:szCs w:val="24"/>
          <w:highlight w:val="none"/>
        </w:rPr>
        <w:fldChar w:fldCharType="begin"/>
      </w:r>
      <w:r>
        <w:rPr>
          <w:sz w:val="24"/>
          <w:szCs w:val="24"/>
          <w:highlight w:val="none"/>
        </w:rPr>
        <w:instrText xml:space="preserve"> PAGEREF _Toc27130 \h </w:instrText>
      </w:r>
      <w:r>
        <w:rPr>
          <w:sz w:val="24"/>
          <w:szCs w:val="24"/>
          <w:highlight w:val="none"/>
        </w:rPr>
        <w:fldChar w:fldCharType="separate"/>
      </w:r>
      <w:r>
        <w:rPr>
          <w:sz w:val="24"/>
          <w:szCs w:val="24"/>
          <w:highlight w:val="none"/>
        </w:rPr>
        <w:t>67</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06025A8F">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_Toc11203 </w:instrText>
      </w:r>
      <w:r>
        <w:rPr>
          <w:rFonts w:hint="eastAsia" w:ascii="宋体" w:hAnsi="宋体" w:eastAsia="宋体" w:cs="宋体"/>
          <w:sz w:val="24"/>
          <w:szCs w:val="24"/>
          <w:highlight w:val="none"/>
        </w:rPr>
        <w:fldChar w:fldCharType="separate"/>
      </w:r>
      <w:r>
        <w:rPr>
          <w:rFonts w:hint="eastAsia" w:ascii="宋体" w:hAnsi="宋体" w:eastAsia="宋体" w:cs="宋体"/>
          <w:bCs/>
          <w:spacing w:val="-4"/>
          <w:sz w:val="24"/>
          <w:szCs w:val="24"/>
          <w:highlight w:val="none"/>
        </w:rPr>
        <w:t>格式一</w:t>
      </w:r>
      <w:r>
        <w:rPr>
          <w:rFonts w:hint="eastAsia" w:ascii="宋体" w:hAnsi="宋体" w:eastAsia="宋体" w:cs="宋体"/>
          <w:spacing w:val="-4"/>
          <w:sz w:val="24"/>
          <w:szCs w:val="24"/>
          <w:highlight w:val="none"/>
        </w:rPr>
        <w:t xml:space="preserve"> </w:t>
      </w:r>
      <w:r>
        <w:rPr>
          <w:rFonts w:hint="eastAsia" w:ascii="宋体" w:hAnsi="宋体" w:eastAsia="宋体" w:cs="宋体"/>
          <w:bCs/>
          <w:spacing w:val="-4"/>
          <w:sz w:val="24"/>
          <w:szCs w:val="24"/>
          <w:highlight w:val="none"/>
        </w:rPr>
        <w:t>封面</w:t>
      </w:r>
      <w:r>
        <w:rPr>
          <w:sz w:val="24"/>
          <w:szCs w:val="24"/>
          <w:highlight w:val="none"/>
        </w:rPr>
        <w:tab/>
      </w:r>
      <w:r>
        <w:rPr>
          <w:sz w:val="24"/>
          <w:szCs w:val="24"/>
          <w:highlight w:val="none"/>
        </w:rPr>
        <w:fldChar w:fldCharType="begin"/>
      </w:r>
      <w:r>
        <w:rPr>
          <w:sz w:val="24"/>
          <w:szCs w:val="24"/>
          <w:highlight w:val="none"/>
        </w:rPr>
        <w:instrText xml:space="preserve"> PAGEREF _Toc11203 \h </w:instrText>
      </w:r>
      <w:r>
        <w:rPr>
          <w:sz w:val="24"/>
          <w:szCs w:val="24"/>
          <w:highlight w:val="none"/>
        </w:rPr>
        <w:fldChar w:fldCharType="separate"/>
      </w:r>
      <w:r>
        <w:rPr>
          <w:sz w:val="24"/>
          <w:szCs w:val="24"/>
          <w:highlight w:val="none"/>
        </w:rPr>
        <w:t>67</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239B5A9A">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_Toc24492 </w:instrText>
      </w:r>
      <w:r>
        <w:rPr>
          <w:rFonts w:hint="eastAsia" w:ascii="宋体" w:hAnsi="宋体" w:eastAsia="宋体" w:cs="宋体"/>
          <w:sz w:val="24"/>
          <w:szCs w:val="24"/>
          <w:highlight w:val="none"/>
        </w:rPr>
        <w:fldChar w:fldCharType="separate"/>
      </w:r>
      <w:r>
        <w:rPr>
          <w:rFonts w:hint="eastAsia" w:ascii="宋体" w:hAnsi="宋体" w:eastAsia="宋体" w:cs="宋体"/>
          <w:bCs/>
          <w:spacing w:val="-4"/>
          <w:sz w:val="24"/>
          <w:szCs w:val="24"/>
          <w:highlight w:val="none"/>
        </w:rPr>
        <w:t>格式二 投标函</w:t>
      </w:r>
      <w:r>
        <w:rPr>
          <w:sz w:val="24"/>
          <w:szCs w:val="24"/>
          <w:highlight w:val="none"/>
        </w:rPr>
        <w:tab/>
      </w:r>
      <w:r>
        <w:rPr>
          <w:sz w:val="24"/>
          <w:szCs w:val="24"/>
          <w:highlight w:val="none"/>
        </w:rPr>
        <w:fldChar w:fldCharType="begin"/>
      </w:r>
      <w:r>
        <w:rPr>
          <w:sz w:val="24"/>
          <w:szCs w:val="24"/>
          <w:highlight w:val="none"/>
        </w:rPr>
        <w:instrText xml:space="preserve"> PAGEREF _Toc24492 \h </w:instrText>
      </w:r>
      <w:r>
        <w:rPr>
          <w:sz w:val="24"/>
          <w:szCs w:val="24"/>
          <w:highlight w:val="none"/>
        </w:rPr>
        <w:fldChar w:fldCharType="separate"/>
      </w:r>
      <w:r>
        <w:rPr>
          <w:sz w:val="24"/>
          <w:szCs w:val="24"/>
          <w:highlight w:val="none"/>
        </w:rPr>
        <w:t>68</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6CADD78B">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_Toc15958 </w:instrText>
      </w:r>
      <w:r>
        <w:rPr>
          <w:rFonts w:hint="eastAsia" w:ascii="宋体" w:hAnsi="宋体" w:eastAsia="宋体" w:cs="宋体"/>
          <w:sz w:val="24"/>
          <w:szCs w:val="24"/>
          <w:highlight w:val="none"/>
        </w:rPr>
        <w:fldChar w:fldCharType="separate"/>
      </w:r>
      <w:r>
        <w:rPr>
          <w:rFonts w:hint="eastAsia" w:ascii="宋体" w:hAnsi="宋体" w:eastAsia="宋体" w:cs="宋体"/>
          <w:bCs/>
          <w:spacing w:val="-4"/>
          <w:sz w:val="24"/>
          <w:szCs w:val="24"/>
          <w:highlight w:val="none"/>
        </w:rPr>
        <w:t>格式三 各项承诺一览表</w:t>
      </w:r>
      <w:r>
        <w:rPr>
          <w:sz w:val="24"/>
          <w:szCs w:val="24"/>
          <w:highlight w:val="none"/>
        </w:rPr>
        <w:tab/>
      </w:r>
      <w:r>
        <w:rPr>
          <w:sz w:val="24"/>
          <w:szCs w:val="24"/>
          <w:highlight w:val="none"/>
        </w:rPr>
        <w:fldChar w:fldCharType="begin"/>
      </w:r>
      <w:r>
        <w:rPr>
          <w:sz w:val="24"/>
          <w:szCs w:val="24"/>
          <w:highlight w:val="none"/>
        </w:rPr>
        <w:instrText xml:space="preserve"> PAGEREF _Toc15958 \h </w:instrText>
      </w:r>
      <w:r>
        <w:rPr>
          <w:sz w:val="24"/>
          <w:szCs w:val="24"/>
          <w:highlight w:val="none"/>
        </w:rPr>
        <w:fldChar w:fldCharType="separate"/>
      </w:r>
      <w:r>
        <w:rPr>
          <w:sz w:val="24"/>
          <w:szCs w:val="24"/>
          <w:highlight w:val="none"/>
        </w:rPr>
        <w:t>69</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3558C449">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_Toc16537 </w:instrText>
      </w:r>
      <w:r>
        <w:rPr>
          <w:rFonts w:hint="eastAsia" w:ascii="宋体" w:hAnsi="宋体" w:eastAsia="宋体" w:cs="宋体"/>
          <w:sz w:val="24"/>
          <w:szCs w:val="24"/>
          <w:highlight w:val="none"/>
        </w:rPr>
        <w:fldChar w:fldCharType="separate"/>
      </w:r>
      <w:r>
        <w:rPr>
          <w:rFonts w:hint="eastAsia" w:ascii="宋体" w:hAnsi="宋体" w:eastAsia="宋体" w:cs="宋体"/>
          <w:bCs/>
          <w:spacing w:val="-4"/>
          <w:sz w:val="24"/>
          <w:szCs w:val="24"/>
          <w:highlight w:val="none"/>
        </w:rPr>
        <w:t>格式四 授权委托书</w:t>
      </w:r>
      <w:r>
        <w:rPr>
          <w:sz w:val="24"/>
          <w:szCs w:val="24"/>
          <w:highlight w:val="none"/>
        </w:rPr>
        <w:tab/>
      </w:r>
      <w:r>
        <w:rPr>
          <w:sz w:val="24"/>
          <w:szCs w:val="24"/>
          <w:highlight w:val="none"/>
        </w:rPr>
        <w:fldChar w:fldCharType="begin"/>
      </w:r>
      <w:r>
        <w:rPr>
          <w:sz w:val="24"/>
          <w:szCs w:val="24"/>
          <w:highlight w:val="none"/>
        </w:rPr>
        <w:instrText xml:space="preserve"> PAGEREF _Toc16537 \h </w:instrText>
      </w:r>
      <w:r>
        <w:rPr>
          <w:sz w:val="24"/>
          <w:szCs w:val="24"/>
          <w:highlight w:val="none"/>
        </w:rPr>
        <w:fldChar w:fldCharType="separate"/>
      </w:r>
      <w:r>
        <w:rPr>
          <w:sz w:val="24"/>
          <w:szCs w:val="24"/>
          <w:highlight w:val="none"/>
        </w:rPr>
        <w:t>71</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2CFB5262">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_Toc30394 </w:instrText>
      </w:r>
      <w:r>
        <w:rPr>
          <w:rFonts w:hint="eastAsia" w:ascii="宋体" w:hAnsi="宋体" w:eastAsia="宋体" w:cs="宋体"/>
          <w:sz w:val="24"/>
          <w:szCs w:val="24"/>
          <w:highlight w:val="none"/>
        </w:rPr>
        <w:fldChar w:fldCharType="separate"/>
      </w:r>
      <w:r>
        <w:rPr>
          <w:rFonts w:hint="eastAsia" w:ascii="宋体" w:hAnsi="宋体" w:eastAsia="宋体" w:cs="宋体"/>
          <w:bCs/>
          <w:spacing w:val="-4"/>
          <w:sz w:val="24"/>
          <w:szCs w:val="24"/>
          <w:highlight w:val="none"/>
        </w:rPr>
        <w:t>格式五 法定代表人身份证明</w:t>
      </w:r>
      <w:r>
        <w:rPr>
          <w:sz w:val="24"/>
          <w:szCs w:val="24"/>
          <w:highlight w:val="none"/>
        </w:rPr>
        <w:tab/>
      </w:r>
      <w:r>
        <w:rPr>
          <w:sz w:val="24"/>
          <w:szCs w:val="24"/>
          <w:highlight w:val="none"/>
        </w:rPr>
        <w:fldChar w:fldCharType="begin"/>
      </w:r>
      <w:r>
        <w:rPr>
          <w:sz w:val="24"/>
          <w:szCs w:val="24"/>
          <w:highlight w:val="none"/>
        </w:rPr>
        <w:instrText xml:space="preserve"> PAGEREF _Toc30394 \h </w:instrText>
      </w:r>
      <w:r>
        <w:rPr>
          <w:sz w:val="24"/>
          <w:szCs w:val="24"/>
          <w:highlight w:val="none"/>
        </w:rPr>
        <w:fldChar w:fldCharType="separate"/>
      </w:r>
      <w:r>
        <w:rPr>
          <w:sz w:val="24"/>
          <w:szCs w:val="24"/>
          <w:highlight w:val="none"/>
        </w:rPr>
        <w:t>72</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31353593">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_Toc5771 </w:instrText>
      </w:r>
      <w:r>
        <w:rPr>
          <w:rFonts w:hint="eastAsia" w:ascii="宋体" w:hAnsi="宋体" w:eastAsia="宋体" w:cs="宋体"/>
          <w:sz w:val="24"/>
          <w:szCs w:val="24"/>
          <w:highlight w:val="none"/>
        </w:rPr>
        <w:fldChar w:fldCharType="separate"/>
      </w:r>
      <w:r>
        <w:rPr>
          <w:rFonts w:hint="eastAsia" w:ascii="宋体" w:hAnsi="宋体" w:eastAsia="宋体" w:cs="宋体"/>
          <w:bCs/>
          <w:spacing w:val="-4"/>
          <w:sz w:val="24"/>
          <w:szCs w:val="24"/>
          <w:highlight w:val="none"/>
        </w:rPr>
        <w:t>格式六 联合体协议书</w:t>
      </w:r>
      <w:r>
        <w:rPr>
          <w:sz w:val="24"/>
          <w:szCs w:val="24"/>
          <w:highlight w:val="none"/>
        </w:rPr>
        <w:tab/>
      </w:r>
      <w:r>
        <w:rPr>
          <w:sz w:val="24"/>
          <w:szCs w:val="24"/>
          <w:highlight w:val="none"/>
        </w:rPr>
        <w:fldChar w:fldCharType="begin"/>
      </w:r>
      <w:r>
        <w:rPr>
          <w:sz w:val="24"/>
          <w:szCs w:val="24"/>
          <w:highlight w:val="none"/>
        </w:rPr>
        <w:instrText xml:space="preserve"> PAGEREF _Toc5771 \h </w:instrText>
      </w:r>
      <w:r>
        <w:rPr>
          <w:sz w:val="24"/>
          <w:szCs w:val="24"/>
          <w:highlight w:val="none"/>
        </w:rPr>
        <w:fldChar w:fldCharType="separate"/>
      </w:r>
      <w:r>
        <w:rPr>
          <w:sz w:val="24"/>
          <w:szCs w:val="24"/>
          <w:highlight w:val="none"/>
        </w:rPr>
        <w:t>73</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54236CB1">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_Toc17838 </w:instrText>
      </w:r>
      <w:r>
        <w:rPr>
          <w:rFonts w:hint="eastAsia" w:ascii="宋体" w:hAnsi="宋体" w:eastAsia="宋体" w:cs="宋体"/>
          <w:sz w:val="24"/>
          <w:szCs w:val="24"/>
          <w:highlight w:val="none"/>
        </w:rPr>
        <w:fldChar w:fldCharType="separate"/>
      </w:r>
      <w:r>
        <w:rPr>
          <w:rFonts w:hint="eastAsia" w:ascii="宋体" w:hAnsi="宋体" w:eastAsia="宋体" w:cs="宋体"/>
          <w:bCs/>
          <w:spacing w:val="-4"/>
          <w:sz w:val="24"/>
          <w:szCs w:val="24"/>
          <w:highlight w:val="none"/>
        </w:rPr>
        <w:t>格式七 投标人基本情况表</w:t>
      </w:r>
      <w:r>
        <w:rPr>
          <w:sz w:val="24"/>
          <w:szCs w:val="24"/>
          <w:highlight w:val="none"/>
        </w:rPr>
        <w:tab/>
      </w:r>
      <w:r>
        <w:rPr>
          <w:sz w:val="24"/>
          <w:szCs w:val="24"/>
          <w:highlight w:val="none"/>
        </w:rPr>
        <w:fldChar w:fldCharType="begin"/>
      </w:r>
      <w:r>
        <w:rPr>
          <w:sz w:val="24"/>
          <w:szCs w:val="24"/>
          <w:highlight w:val="none"/>
        </w:rPr>
        <w:instrText xml:space="preserve"> PAGEREF _Toc17838 \h </w:instrText>
      </w:r>
      <w:r>
        <w:rPr>
          <w:sz w:val="24"/>
          <w:szCs w:val="24"/>
          <w:highlight w:val="none"/>
        </w:rPr>
        <w:fldChar w:fldCharType="separate"/>
      </w:r>
      <w:r>
        <w:rPr>
          <w:sz w:val="24"/>
          <w:szCs w:val="24"/>
          <w:highlight w:val="none"/>
        </w:rPr>
        <w:t>74</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1C1E61C5">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_Toc19699 </w:instrText>
      </w:r>
      <w:r>
        <w:rPr>
          <w:rFonts w:hint="eastAsia" w:ascii="宋体" w:hAnsi="宋体" w:eastAsia="宋体" w:cs="宋体"/>
          <w:sz w:val="24"/>
          <w:szCs w:val="24"/>
          <w:highlight w:val="none"/>
        </w:rPr>
        <w:fldChar w:fldCharType="separate"/>
      </w:r>
      <w:r>
        <w:rPr>
          <w:rFonts w:hint="eastAsia" w:ascii="宋体" w:hAnsi="宋体" w:eastAsia="宋体" w:cs="宋体"/>
          <w:bCs/>
          <w:spacing w:val="-4"/>
          <w:sz w:val="24"/>
          <w:szCs w:val="24"/>
          <w:highlight w:val="none"/>
        </w:rPr>
        <w:t>格式八 项目经理简历表</w:t>
      </w:r>
      <w:r>
        <w:rPr>
          <w:sz w:val="24"/>
          <w:szCs w:val="24"/>
          <w:highlight w:val="none"/>
        </w:rPr>
        <w:tab/>
      </w:r>
      <w:r>
        <w:rPr>
          <w:sz w:val="24"/>
          <w:szCs w:val="24"/>
          <w:highlight w:val="none"/>
        </w:rPr>
        <w:fldChar w:fldCharType="begin"/>
      </w:r>
      <w:r>
        <w:rPr>
          <w:sz w:val="24"/>
          <w:szCs w:val="24"/>
          <w:highlight w:val="none"/>
        </w:rPr>
        <w:instrText xml:space="preserve"> PAGEREF _Toc19699 \h </w:instrText>
      </w:r>
      <w:r>
        <w:rPr>
          <w:sz w:val="24"/>
          <w:szCs w:val="24"/>
          <w:highlight w:val="none"/>
        </w:rPr>
        <w:fldChar w:fldCharType="separate"/>
      </w:r>
      <w:r>
        <w:rPr>
          <w:sz w:val="24"/>
          <w:szCs w:val="24"/>
          <w:highlight w:val="none"/>
        </w:rPr>
        <w:t>75</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5F78039F">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_Toc30661 </w:instrText>
      </w:r>
      <w:r>
        <w:rPr>
          <w:rFonts w:hint="eastAsia" w:ascii="宋体" w:hAnsi="宋体" w:eastAsia="宋体" w:cs="宋体"/>
          <w:sz w:val="24"/>
          <w:szCs w:val="24"/>
          <w:highlight w:val="none"/>
        </w:rPr>
        <w:fldChar w:fldCharType="separate"/>
      </w:r>
      <w:r>
        <w:rPr>
          <w:rFonts w:hint="eastAsia" w:ascii="宋体" w:hAnsi="宋体" w:eastAsia="宋体" w:cs="宋体"/>
          <w:bCs/>
          <w:spacing w:val="-4"/>
          <w:sz w:val="24"/>
          <w:szCs w:val="24"/>
          <w:highlight w:val="none"/>
        </w:rPr>
        <w:t>格式九 项目经理任职声明</w:t>
      </w:r>
      <w:r>
        <w:rPr>
          <w:sz w:val="24"/>
          <w:szCs w:val="24"/>
          <w:highlight w:val="none"/>
        </w:rPr>
        <w:tab/>
      </w:r>
      <w:r>
        <w:rPr>
          <w:sz w:val="24"/>
          <w:szCs w:val="24"/>
          <w:highlight w:val="none"/>
        </w:rPr>
        <w:fldChar w:fldCharType="begin"/>
      </w:r>
      <w:r>
        <w:rPr>
          <w:sz w:val="24"/>
          <w:szCs w:val="24"/>
          <w:highlight w:val="none"/>
        </w:rPr>
        <w:instrText xml:space="preserve"> PAGEREF _Toc30661 \h </w:instrText>
      </w:r>
      <w:r>
        <w:rPr>
          <w:sz w:val="24"/>
          <w:szCs w:val="24"/>
          <w:highlight w:val="none"/>
        </w:rPr>
        <w:fldChar w:fldCharType="separate"/>
      </w:r>
      <w:r>
        <w:rPr>
          <w:sz w:val="24"/>
          <w:szCs w:val="24"/>
          <w:highlight w:val="none"/>
        </w:rPr>
        <w:t>76</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22DBA081">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_Toc31071 </w:instrText>
      </w:r>
      <w:r>
        <w:rPr>
          <w:rFonts w:hint="eastAsia" w:ascii="宋体" w:hAnsi="宋体" w:eastAsia="宋体" w:cs="宋体"/>
          <w:sz w:val="24"/>
          <w:szCs w:val="24"/>
          <w:highlight w:val="none"/>
        </w:rPr>
        <w:fldChar w:fldCharType="separate"/>
      </w:r>
      <w:r>
        <w:rPr>
          <w:rFonts w:hint="eastAsia" w:ascii="宋体" w:hAnsi="宋体" w:eastAsia="宋体" w:cs="宋体"/>
          <w:bCs/>
          <w:spacing w:val="-4"/>
          <w:sz w:val="24"/>
          <w:szCs w:val="24"/>
          <w:highlight w:val="none"/>
        </w:rPr>
        <w:t>格式十 项目技术负责人简历表</w:t>
      </w:r>
      <w:r>
        <w:rPr>
          <w:sz w:val="24"/>
          <w:szCs w:val="24"/>
          <w:highlight w:val="none"/>
        </w:rPr>
        <w:tab/>
      </w:r>
      <w:r>
        <w:rPr>
          <w:sz w:val="24"/>
          <w:szCs w:val="24"/>
          <w:highlight w:val="none"/>
        </w:rPr>
        <w:fldChar w:fldCharType="begin"/>
      </w:r>
      <w:r>
        <w:rPr>
          <w:sz w:val="24"/>
          <w:szCs w:val="24"/>
          <w:highlight w:val="none"/>
        </w:rPr>
        <w:instrText xml:space="preserve"> PAGEREF _Toc31071 \h </w:instrText>
      </w:r>
      <w:r>
        <w:rPr>
          <w:sz w:val="24"/>
          <w:szCs w:val="24"/>
          <w:highlight w:val="none"/>
        </w:rPr>
        <w:fldChar w:fldCharType="separate"/>
      </w:r>
      <w:r>
        <w:rPr>
          <w:sz w:val="24"/>
          <w:szCs w:val="24"/>
          <w:highlight w:val="none"/>
        </w:rPr>
        <w:t>77</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5EECC155">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_Toc25235 </w:instrText>
      </w:r>
      <w:r>
        <w:rPr>
          <w:rFonts w:hint="eastAsia" w:ascii="宋体" w:hAnsi="宋体" w:eastAsia="宋体" w:cs="宋体"/>
          <w:sz w:val="24"/>
          <w:szCs w:val="24"/>
          <w:highlight w:val="none"/>
        </w:rPr>
        <w:fldChar w:fldCharType="separate"/>
      </w:r>
      <w:r>
        <w:rPr>
          <w:rFonts w:hint="eastAsia" w:ascii="宋体" w:hAnsi="宋体" w:eastAsia="宋体" w:cs="宋体"/>
          <w:bCs/>
          <w:spacing w:val="-4"/>
          <w:sz w:val="24"/>
          <w:szCs w:val="24"/>
          <w:highlight w:val="none"/>
        </w:rPr>
        <w:t>格式十一 项目管理机构组成表</w:t>
      </w:r>
      <w:r>
        <w:rPr>
          <w:sz w:val="24"/>
          <w:szCs w:val="24"/>
          <w:highlight w:val="none"/>
        </w:rPr>
        <w:tab/>
      </w:r>
      <w:r>
        <w:rPr>
          <w:sz w:val="24"/>
          <w:szCs w:val="24"/>
          <w:highlight w:val="none"/>
        </w:rPr>
        <w:fldChar w:fldCharType="begin"/>
      </w:r>
      <w:r>
        <w:rPr>
          <w:sz w:val="24"/>
          <w:szCs w:val="24"/>
          <w:highlight w:val="none"/>
        </w:rPr>
        <w:instrText xml:space="preserve"> PAGEREF _Toc25235 \h </w:instrText>
      </w:r>
      <w:r>
        <w:rPr>
          <w:sz w:val="24"/>
          <w:szCs w:val="24"/>
          <w:highlight w:val="none"/>
        </w:rPr>
        <w:fldChar w:fldCharType="separate"/>
      </w:r>
      <w:r>
        <w:rPr>
          <w:sz w:val="24"/>
          <w:szCs w:val="24"/>
          <w:highlight w:val="none"/>
        </w:rPr>
        <w:t>78</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22F8F691">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_Toc16480 </w:instrText>
      </w:r>
      <w:r>
        <w:rPr>
          <w:rFonts w:hint="eastAsia" w:ascii="宋体" w:hAnsi="宋体" w:eastAsia="宋体" w:cs="宋体"/>
          <w:sz w:val="24"/>
          <w:szCs w:val="24"/>
          <w:highlight w:val="none"/>
        </w:rPr>
        <w:fldChar w:fldCharType="separate"/>
      </w:r>
      <w:r>
        <w:rPr>
          <w:rFonts w:hint="eastAsia" w:ascii="宋体" w:hAnsi="宋体" w:eastAsia="宋体" w:cs="宋体"/>
          <w:bCs/>
          <w:spacing w:val="-4"/>
          <w:sz w:val="24"/>
          <w:szCs w:val="24"/>
          <w:highlight w:val="none"/>
        </w:rPr>
        <w:t>格式十二 建造师查询页（有效期+建造师签字）</w:t>
      </w:r>
      <w:r>
        <w:rPr>
          <w:sz w:val="24"/>
          <w:szCs w:val="24"/>
          <w:highlight w:val="none"/>
        </w:rPr>
        <w:tab/>
      </w:r>
      <w:r>
        <w:rPr>
          <w:sz w:val="24"/>
          <w:szCs w:val="24"/>
          <w:highlight w:val="none"/>
        </w:rPr>
        <w:fldChar w:fldCharType="begin"/>
      </w:r>
      <w:r>
        <w:rPr>
          <w:sz w:val="24"/>
          <w:szCs w:val="24"/>
          <w:highlight w:val="none"/>
        </w:rPr>
        <w:instrText xml:space="preserve"> PAGEREF _Toc16480 \h </w:instrText>
      </w:r>
      <w:r>
        <w:rPr>
          <w:sz w:val="24"/>
          <w:szCs w:val="24"/>
          <w:highlight w:val="none"/>
        </w:rPr>
        <w:fldChar w:fldCharType="separate"/>
      </w:r>
      <w:r>
        <w:rPr>
          <w:sz w:val="24"/>
          <w:szCs w:val="24"/>
          <w:highlight w:val="none"/>
        </w:rPr>
        <w:t>79</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3777ED22">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_Toc28779 </w:instrText>
      </w:r>
      <w:r>
        <w:rPr>
          <w:rFonts w:hint="eastAsia" w:ascii="宋体" w:hAnsi="宋体" w:eastAsia="宋体" w:cs="宋体"/>
          <w:sz w:val="24"/>
          <w:szCs w:val="24"/>
          <w:highlight w:val="none"/>
        </w:rPr>
        <w:fldChar w:fldCharType="separate"/>
      </w:r>
      <w:r>
        <w:rPr>
          <w:rFonts w:hint="eastAsia" w:ascii="宋体" w:hAnsi="宋体" w:eastAsia="宋体" w:cs="宋体"/>
          <w:bCs/>
          <w:spacing w:val="-4"/>
          <w:sz w:val="24"/>
          <w:szCs w:val="24"/>
          <w:highlight w:val="none"/>
        </w:rPr>
        <w:t>格式十三：</w:t>
      </w:r>
      <w:r>
        <w:rPr>
          <w:rFonts w:hint="eastAsia" w:ascii="宋体" w:hAnsi="宋体" w:eastAsia="宋体" w:cs="宋体"/>
          <w:bCs/>
          <w:spacing w:val="7"/>
          <w:sz w:val="24"/>
          <w:szCs w:val="24"/>
          <w:highlight w:val="none"/>
        </w:rPr>
        <w:t>危险性较大的分部分项工程清单及超过一定规模的危险性较大的</w:t>
      </w:r>
      <w:r>
        <w:rPr>
          <w:rFonts w:hint="eastAsia" w:ascii="宋体" w:hAnsi="宋体" w:eastAsia="宋体" w:cs="宋体"/>
          <w:bCs/>
          <w:spacing w:val="5"/>
          <w:sz w:val="24"/>
          <w:szCs w:val="24"/>
          <w:highlight w:val="none"/>
        </w:rPr>
        <w:t>分部分项工程清单</w:t>
      </w:r>
      <w:r>
        <w:rPr>
          <w:sz w:val="24"/>
          <w:szCs w:val="24"/>
          <w:highlight w:val="none"/>
        </w:rPr>
        <w:tab/>
      </w:r>
      <w:r>
        <w:rPr>
          <w:sz w:val="24"/>
          <w:szCs w:val="24"/>
          <w:highlight w:val="none"/>
        </w:rPr>
        <w:fldChar w:fldCharType="begin"/>
      </w:r>
      <w:r>
        <w:rPr>
          <w:sz w:val="24"/>
          <w:szCs w:val="24"/>
          <w:highlight w:val="none"/>
        </w:rPr>
        <w:instrText xml:space="preserve"> PAGEREF _Toc28779 \h </w:instrText>
      </w:r>
      <w:r>
        <w:rPr>
          <w:sz w:val="24"/>
          <w:szCs w:val="24"/>
          <w:highlight w:val="none"/>
        </w:rPr>
        <w:fldChar w:fldCharType="separate"/>
      </w:r>
      <w:r>
        <w:rPr>
          <w:sz w:val="24"/>
          <w:szCs w:val="24"/>
          <w:highlight w:val="none"/>
        </w:rPr>
        <w:t>81</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0F2B0A9A">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_Toc738 </w:instrText>
      </w:r>
      <w:r>
        <w:rPr>
          <w:rFonts w:hint="eastAsia" w:ascii="宋体" w:hAnsi="宋体" w:eastAsia="宋体" w:cs="宋体"/>
          <w:sz w:val="24"/>
          <w:szCs w:val="24"/>
          <w:highlight w:val="none"/>
        </w:rPr>
        <w:fldChar w:fldCharType="separate"/>
      </w:r>
      <w:r>
        <w:rPr>
          <w:rFonts w:hint="eastAsia" w:ascii="宋体" w:hAnsi="宋体" w:eastAsia="宋体" w:cs="宋体"/>
          <w:bCs/>
          <w:spacing w:val="-4"/>
          <w:sz w:val="24"/>
          <w:szCs w:val="24"/>
          <w:highlight w:val="none"/>
        </w:rPr>
        <w:t>格式十四</w:t>
      </w:r>
      <w:r>
        <w:rPr>
          <w:rFonts w:hint="eastAsia" w:ascii="宋体" w:hAnsi="宋体" w:eastAsia="宋体" w:cs="宋体"/>
          <w:bCs/>
          <w:spacing w:val="-4"/>
          <w:sz w:val="24"/>
          <w:szCs w:val="24"/>
          <w:highlight w:val="none"/>
          <w:lang w:val="en-US" w:eastAsia="zh-CN"/>
        </w:rPr>
        <w:t xml:space="preserve">  </w:t>
      </w:r>
      <w:r>
        <w:rPr>
          <w:rFonts w:hint="eastAsia" w:ascii="宋体" w:hAnsi="宋体" w:eastAsia="宋体" w:cs="宋体"/>
          <w:bCs/>
          <w:spacing w:val="4"/>
          <w:position w:val="3"/>
          <w:sz w:val="24"/>
          <w:szCs w:val="24"/>
          <w:highlight w:val="none"/>
        </w:rPr>
        <w:t>投标保证金信用承诺函</w:t>
      </w:r>
      <w:r>
        <w:rPr>
          <w:sz w:val="24"/>
          <w:szCs w:val="24"/>
          <w:highlight w:val="none"/>
        </w:rPr>
        <w:tab/>
      </w:r>
      <w:r>
        <w:rPr>
          <w:sz w:val="24"/>
          <w:szCs w:val="24"/>
          <w:highlight w:val="none"/>
        </w:rPr>
        <w:fldChar w:fldCharType="begin"/>
      </w:r>
      <w:r>
        <w:rPr>
          <w:sz w:val="24"/>
          <w:szCs w:val="24"/>
          <w:highlight w:val="none"/>
        </w:rPr>
        <w:instrText xml:space="preserve"> PAGEREF _Toc738 \h </w:instrText>
      </w:r>
      <w:r>
        <w:rPr>
          <w:sz w:val="24"/>
          <w:szCs w:val="24"/>
          <w:highlight w:val="none"/>
        </w:rPr>
        <w:fldChar w:fldCharType="separate"/>
      </w:r>
      <w:r>
        <w:rPr>
          <w:sz w:val="24"/>
          <w:szCs w:val="24"/>
          <w:highlight w:val="none"/>
        </w:rPr>
        <w:t>86</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423AC7AB">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_Toc9960 </w:instrText>
      </w:r>
      <w:r>
        <w:rPr>
          <w:rFonts w:hint="eastAsia" w:ascii="宋体" w:hAnsi="宋体" w:eastAsia="宋体" w:cs="宋体"/>
          <w:sz w:val="24"/>
          <w:szCs w:val="24"/>
          <w:highlight w:val="none"/>
        </w:rPr>
        <w:fldChar w:fldCharType="separate"/>
      </w:r>
      <w:r>
        <w:rPr>
          <w:rFonts w:hint="eastAsia" w:ascii="宋体" w:hAnsi="宋体" w:eastAsia="宋体" w:cs="宋体"/>
          <w:bCs/>
          <w:spacing w:val="-4"/>
          <w:sz w:val="24"/>
          <w:szCs w:val="24"/>
          <w:highlight w:val="none"/>
        </w:rPr>
        <w:t>格式十</w:t>
      </w:r>
      <w:r>
        <w:rPr>
          <w:rFonts w:hint="eastAsia" w:ascii="宋体" w:hAnsi="宋体" w:eastAsia="宋体" w:cs="宋体"/>
          <w:bCs/>
          <w:spacing w:val="-4"/>
          <w:sz w:val="24"/>
          <w:szCs w:val="24"/>
          <w:highlight w:val="none"/>
          <w:lang w:eastAsia="zh-CN"/>
        </w:rPr>
        <w:t>五</w:t>
      </w:r>
      <w:r>
        <w:rPr>
          <w:rFonts w:hint="eastAsia" w:ascii="宋体" w:hAnsi="宋体" w:eastAsia="宋体" w:cs="宋体"/>
          <w:bCs/>
          <w:spacing w:val="-4"/>
          <w:sz w:val="24"/>
          <w:szCs w:val="24"/>
          <w:highlight w:val="none"/>
        </w:rPr>
        <w:t xml:space="preserve">  原件一览表</w:t>
      </w:r>
      <w:r>
        <w:rPr>
          <w:sz w:val="24"/>
          <w:szCs w:val="24"/>
          <w:highlight w:val="none"/>
        </w:rPr>
        <w:tab/>
      </w:r>
      <w:r>
        <w:rPr>
          <w:sz w:val="24"/>
          <w:szCs w:val="24"/>
          <w:highlight w:val="none"/>
        </w:rPr>
        <w:fldChar w:fldCharType="begin"/>
      </w:r>
      <w:r>
        <w:rPr>
          <w:sz w:val="24"/>
          <w:szCs w:val="24"/>
          <w:highlight w:val="none"/>
        </w:rPr>
        <w:instrText xml:space="preserve"> PAGEREF _Toc9960 \h </w:instrText>
      </w:r>
      <w:r>
        <w:rPr>
          <w:sz w:val="24"/>
          <w:szCs w:val="24"/>
          <w:highlight w:val="none"/>
        </w:rPr>
        <w:fldChar w:fldCharType="separate"/>
      </w:r>
      <w:r>
        <w:rPr>
          <w:sz w:val="24"/>
          <w:szCs w:val="24"/>
          <w:highlight w:val="none"/>
        </w:rPr>
        <w:t>87</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076A7CCA">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rFonts w:hint="eastAsia" w:ascii="宋体" w:hAnsi="宋体" w:eastAsia="宋体" w:cs="宋体"/>
          <w:bCs/>
          <w:spacing w:val="-4"/>
          <w:sz w:val="24"/>
          <w:szCs w:val="24"/>
          <w:highlight w:val="none"/>
        </w:rPr>
      </w:pPr>
      <w:r>
        <w:rPr>
          <w:rFonts w:hint="eastAsia" w:ascii="宋体" w:hAnsi="宋体" w:eastAsia="宋体" w:cs="宋体"/>
          <w:bCs/>
          <w:spacing w:val="-4"/>
          <w:sz w:val="24"/>
          <w:szCs w:val="24"/>
          <w:highlight w:val="none"/>
        </w:rPr>
        <w:fldChar w:fldCharType="begin"/>
      </w:r>
      <w:r>
        <w:rPr>
          <w:rFonts w:hint="eastAsia" w:ascii="宋体" w:hAnsi="宋体" w:eastAsia="宋体" w:cs="宋体"/>
          <w:bCs/>
          <w:spacing w:val="-4"/>
          <w:sz w:val="24"/>
          <w:szCs w:val="24"/>
          <w:highlight w:val="none"/>
        </w:rPr>
        <w:instrText xml:space="preserve"> HYPERLINK \l _Toc7940 </w:instrText>
      </w:r>
      <w:r>
        <w:rPr>
          <w:rFonts w:hint="eastAsia" w:ascii="宋体" w:hAnsi="宋体" w:eastAsia="宋体" w:cs="宋体"/>
          <w:bCs/>
          <w:spacing w:val="-4"/>
          <w:sz w:val="24"/>
          <w:szCs w:val="24"/>
          <w:highlight w:val="none"/>
        </w:rPr>
        <w:fldChar w:fldCharType="separate"/>
      </w:r>
      <w:r>
        <w:rPr>
          <w:rFonts w:hint="eastAsia" w:ascii="宋体" w:hAnsi="宋体" w:eastAsia="宋体" w:cs="宋体"/>
          <w:bCs/>
          <w:spacing w:val="-4"/>
          <w:sz w:val="24"/>
          <w:szCs w:val="24"/>
          <w:highlight w:val="none"/>
          <w:lang w:val="en-US" w:eastAsia="zh-CN"/>
        </w:rPr>
        <w:t>格式十六 助力项目承诺书</w:t>
      </w:r>
      <w:r>
        <w:rPr>
          <w:rFonts w:hint="eastAsia" w:ascii="宋体" w:hAnsi="宋体" w:eastAsia="宋体" w:cs="宋体"/>
          <w:bCs/>
          <w:spacing w:val="-4"/>
          <w:sz w:val="24"/>
          <w:szCs w:val="24"/>
          <w:highlight w:val="none"/>
        </w:rPr>
        <w:tab/>
      </w:r>
      <w:r>
        <w:rPr>
          <w:rFonts w:hint="eastAsia" w:ascii="宋体" w:hAnsi="宋体" w:eastAsia="宋体" w:cs="宋体"/>
          <w:bCs/>
          <w:spacing w:val="-4"/>
          <w:sz w:val="24"/>
          <w:szCs w:val="24"/>
          <w:highlight w:val="none"/>
        </w:rPr>
        <w:fldChar w:fldCharType="begin"/>
      </w:r>
      <w:r>
        <w:rPr>
          <w:rFonts w:hint="eastAsia" w:ascii="宋体" w:hAnsi="宋体" w:eastAsia="宋体" w:cs="宋体"/>
          <w:bCs/>
          <w:spacing w:val="-4"/>
          <w:sz w:val="24"/>
          <w:szCs w:val="24"/>
          <w:highlight w:val="none"/>
        </w:rPr>
        <w:instrText xml:space="preserve"> PAGEREF _Toc7940 \h </w:instrText>
      </w:r>
      <w:r>
        <w:rPr>
          <w:rFonts w:hint="eastAsia" w:ascii="宋体" w:hAnsi="宋体" w:eastAsia="宋体" w:cs="宋体"/>
          <w:bCs/>
          <w:spacing w:val="-4"/>
          <w:sz w:val="24"/>
          <w:szCs w:val="24"/>
          <w:highlight w:val="none"/>
        </w:rPr>
        <w:fldChar w:fldCharType="separate"/>
      </w:r>
      <w:r>
        <w:rPr>
          <w:rFonts w:hint="eastAsia" w:ascii="宋体" w:hAnsi="宋体" w:eastAsia="宋体" w:cs="宋体"/>
          <w:bCs/>
          <w:spacing w:val="-4"/>
          <w:sz w:val="24"/>
          <w:szCs w:val="24"/>
          <w:highlight w:val="none"/>
        </w:rPr>
        <w:t>88</w:t>
      </w:r>
      <w:r>
        <w:rPr>
          <w:rFonts w:hint="eastAsia" w:ascii="宋体" w:hAnsi="宋体" w:eastAsia="宋体" w:cs="宋体"/>
          <w:bCs/>
          <w:spacing w:val="-4"/>
          <w:sz w:val="24"/>
          <w:szCs w:val="24"/>
          <w:highlight w:val="none"/>
        </w:rPr>
        <w:fldChar w:fldCharType="end"/>
      </w:r>
      <w:r>
        <w:rPr>
          <w:rFonts w:hint="eastAsia" w:ascii="宋体" w:hAnsi="宋体" w:eastAsia="宋体" w:cs="宋体"/>
          <w:bCs/>
          <w:spacing w:val="-4"/>
          <w:sz w:val="24"/>
          <w:szCs w:val="24"/>
          <w:highlight w:val="none"/>
        </w:rPr>
        <w:fldChar w:fldCharType="end"/>
      </w:r>
    </w:p>
    <w:p w14:paraId="336785D8">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bCs/>
          <w:spacing w:val="-4"/>
          <w:sz w:val="24"/>
          <w:szCs w:val="24"/>
          <w:highlight w:val="none"/>
        </w:rPr>
        <w:fldChar w:fldCharType="begin"/>
      </w:r>
      <w:r>
        <w:rPr>
          <w:rFonts w:hint="eastAsia" w:ascii="宋体" w:hAnsi="宋体" w:eastAsia="宋体" w:cs="宋体"/>
          <w:bCs/>
          <w:spacing w:val="-4"/>
          <w:sz w:val="24"/>
          <w:szCs w:val="24"/>
          <w:highlight w:val="none"/>
        </w:rPr>
        <w:instrText xml:space="preserve"> HYPERLINK \l _Toc26323 </w:instrText>
      </w:r>
      <w:r>
        <w:rPr>
          <w:rFonts w:hint="eastAsia" w:ascii="宋体" w:hAnsi="宋体" w:eastAsia="宋体" w:cs="宋体"/>
          <w:bCs/>
          <w:spacing w:val="-4"/>
          <w:sz w:val="24"/>
          <w:szCs w:val="24"/>
          <w:highlight w:val="none"/>
        </w:rPr>
        <w:fldChar w:fldCharType="separate"/>
      </w:r>
      <w:r>
        <w:rPr>
          <w:rFonts w:hint="eastAsia" w:ascii="宋体" w:hAnsi="宋体" w:eastAsia="宋体" w:cs="宋体"/>
          <w:bCs/>
          <w:spacing w:val="-4"/>
          <w:sz w:val="24"/>
          <w:szCs w:val="24"/>
          <w:highlight w:val="none"/>
          <w:lang w:eastAsia="zh-CN"/>
        </w:rPr>
        <w:t>格式十</w:t>
      </w:r>
      <w:r>
        <w:rPr>
          <w:rFonts w:hint="eastAsia" w:ascii="宋体" w:hAnsi="宋体" w:eastAsia="宋体" w:cs="宋体"/>
          <w:bCs/>
          <w:spacing w:val="-4"/>
          <w:sz w:val="24"/>
          <w:szCs w:val="24"/>
          <w:highlight w:val="none"/>
          <w:lang w:val="en-US" w:eastAsia="zh-CN"/>
        </w:rPr>
        <w:t>七 定标因素评审资料</w:t>
      </w:r>
      <w:r>
        <w:rPr>
          <w:rFonts w:hint="eastAsia" w:ascii="宋体" w:hAnsi="宋体" w:eastAsia="宋体" w:cs="宋体"/>
          <w:bCs/>
          <w:spacing w:val="-4"/>
          <w:sz w:val="24"/>
          <w:szCs w:val="24"/>
          <w:highlight w:val="none"/>
        </w:rPr>
        <w:tab/>
      </w:r>
      <w:r>
        <w:rPr>
          <w:rFonts w:hint="eastAsia" w:ascii="宋体" w:hAnsi="宋体" w:eastAsia="宋体" w:cs="宋体"/>
          <w:bCs/>
          <w:spacing w:val="-4"/>
          <w:sz w:val="24"/>
          <w:szCs w:val="24"/>
          <w:highlight w:val="none"/>
        </w:rPr>
        <w:fldChar w:fldCharType="begin"/>
      </w:r>
      <w:r>
        <w:rPr>
          <w:rFonts w:hint="eastAsia" w:ascii="宋体" w:hAnsi="宋体" w:eastAsia="宋体" w:cs="宋体"/>
          <w:bCs/>
          <w:spacing w:val="-4"/>
          <w:sz w:val="24"/>
          <w:szCs w:val="24"/>
          <w:highlight w:val="none"/>
        </w:rPr>
        <w:instrText xml:space="preserve"> PAGEREF _Toc26323 \h </w:instrText>
      </w:r>
      <w:r>
        <w:rPr>
          <w:rFonts w:hint="eastAsia" w:ascii="宋体" w:hAnsi="宋体" w:eastAsia="宋体" w:cs="宋体"/>
          <w:bCs/>
          <w:spacing w:val="-4"/>
          <w:sz w:val="24"/>
          <w:szCs w:val="24"/>
          <w:highlight w:val="none"/>
        </w:rPr>
        <w:fldChar w:fldCharType="separate"/>
      </w:r>
      <w:r>
        <w:rPr>
          <w:rFonts w:hint="eastAsia" w:ascii="宋体" w:hAnsi="宋体" w:eastAsia="宋体" w:cs="宋体"/>
          <w:bCs/>
          <w:spacing w:val="-4"/>
          <w:sz w:val="24"/>
          <w:szCs w:val="24"/>
          <w:highlight w:val="none"/>
        </w:rPr>
        <w:t>89</w:t>
      </w:r>
      <w:r>
        <w:rPr>
          <w:rFonts w:hint="eastAsia" w:ascii="宋体" w:hAnsi="宋体" w:eastAsia="宋体" w:cs="宋体"/>
          <w:bCs/>
          <w:spacing w:val="-4"/>
          <w:sz w:val="24"/>
          <w:szCs w:val="24"/>
          <w:highlight w:val="none"/>
        </w:rPr>
        <w:fldChar w:fldCharType="end"/>
      </w:r>
      <w:r>
        <w:rPr>
          <w:rFonts w:hint="eastAsia" w:ascii="宋体" w:hAnsi="宋体" w:eastAsia="宋体" w:cs="宋体"/>
          <w:bCs/>
          <w:spacing w:val="-4"/>
          <w:sz w:val="24"/>
          <w:szCs w:val="24"/>
          <w:highlight w:val="none"/>
        </w:rPr>
        <w:fldChar w:fldCharType="end"/>
      </w:r>
    </w:p>
    <w:p w14:paraId="620D3556">
      <w:pPr>
        <w:pStyle w:val="10"/>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_Toc10482 </w:instrText>
      </w:r>
      <w:r>
        <w:rPr>
          <w:rFonts w:hint="eastAsia" w:ascii="宋体" w:hAnsi="宋体" w:eastAsia="宋体" w:cs="宋体"/>
          <w:sz w:val="24"/>
          <w:szCs w:val="24"/>
          <w:highlight w:val="none"/>
        </w:rPr>
        <w:fldChar w:fldCharType="separate"/>
      </w:r>
      <w:r>
        <w:rPr>
          <w:rFonts w:hint="eastAsia" w:ascii="宋体" w:hAnsi="宋体" w:eastAsia="宋体" w:cs="宋体"/>
          <w:bCs/>
          <w:spacing w:val="-3"/>
          <w:sz w:val="24"/>
          <w:szCs w:val="24"/>
          <w:highlight w:val="none"/>
        </w:rPr>
        <w:t>第七章</w:t>
      </w:r>
      <w:r>
        <w:rPr>
          <w:rFonts w:hint="eastAsia" w:ascii="宋体" w:hAnsi="宋体" w:eastAsia="宋体" w:cs="宋体"/>
          <w:spacing w:val="-3"/>
          <w:sz w:val="24"/>
          <w:szCs w:val="24"/>
          <w:highlight w:val="none"/>
        </w:rPr>
        <w:t xml:space="preserve"> </w:t>
      </w:r>
      <w:r>
        <w:rPr>
          <w:rFonts w:hint="eastAsia" w:ascii="宋体" w:hAnsi="宋体" w:eastAsia="宋体" w:cs="宋体"/>
          <w:bCs/>
          <w:spacing w:val="-3"/>
          <w:sz w:val="24"/>
          <w:szCs w:val="24"/>
          <w:highlight w:val="none"/>
        </w:rPr>
        <w:t>建设工程施工合同</w:t>
      </w:r>
      <w:r>
        <w:rPr>
          <w:sz w:val="24"/>
          <w:szCs w:val="24"/>
          <w:highlight w:val="none"/>
        </w:rPr>
        <w:tab/>
      </w:r>
      <w:r>
        <w:rPr>
          <w:sz w:val="24"/>
          <w:szCs w:val="24"/>
          <w:highlight w:val="none"/>
        </w:rPr>
        <w:fldChar w:fldCharType="begin"/>
      </w:r>
      <w:r>
        <w:rPr>
          <w:sz w:val="24"/>
          <w:szCs w:val="24"/>
          <w:highlight w:val="none"/>
        </w:rPr>
        <w:instrText xml:space="preserve"> PAGEREF _Toc10482 \h </w:instrText>
      </w:r>
      <w:r>
        <w:rPr>
          <w:sz w:val="24"/>
          <w:szCs w:val="24"/>
          <w:highlight w:val="none"/>
        </w:rPr>
        <w:fldChar w:fldCharType="separate"/>
      </w:r>
      <w:r>
        <w:rPr>
          <w:sz w:val="24"/>
          <w:szCs w:val="24"/>
          <w:highlight w:val="none"/>
        </w:rPr>
        <w:t>90</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07B91383">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color w:val="auto"/>
          <w:sz w:val="24"/>
          <w:szCs w:val="24"/>
          <w:highlight w:val="none"/>
        </w:rPr>
        <w:sectPr>
          <w:headerReference r:id="rId4" w:type="default"/>
          <w:footerReference r:id="rId5" w:type="default"/>
          <w:pgSz w:w="11906" w:h="16839"/>
          <w:pgMar w:top="1440" w:right="1080" w:bottom="1440" w:left="1080" w:header="1200" w:footer="0" w:gutter="0"/>
          <w:pgBorders>
            <w:top w:val="none" w:sz="0" w:space="0"/>
            <w:left w:val="none" w:sz="0" w:space="0"/>
            <w:bottom w:val="none" w:sz="0" w:space="0"/>
            <w:right w:val="none" w:sz="0" w:space="0"/>
          </w:pgBorders>
          <w:pgNumType w:start="1"/>
          <w:cols w:space="720" w:num="1"/>
        </w:sectPr>
      </w:pPr>
      <w:r>
        <w:rPr>
          <w:rFonts w:hint="eastAsia" w:ascii="宋体" w:hAnsi="宋体" w:eastAsia="宋体" w:cs="宋体"/>
          <w:color w:val="auto"/>
          <w:sz w:val="24"/>
          <w:szCs w:val="24"/>
          <w:highlight w:val="none"/>
        </w:rPr>
        <w:fldChar w:fldCharType="end"/>
      </w:r>
    </w:p>
    <w:p w14:paraId="6FAD710A">
      <w:pPr>
        <w:pStyle w:val="5"/>
        <w:spacing w:line="272" w:lineRule="auto"/>
        <w:rPr>
          <w:rFonts w:hint="eastAsia" w:ascii="宋体" w:hAnsi="宋体" w:eastAsia="宋体" w:cs="宋体"/>
          <w:color w:val="auto"/>
          <w:highlight w:val="none"/>
        </w:rPr>
      </w:pPr>
    </w:p>
    <w:p w14:paraId="41787C92">
      <w:pPr>
        <w:spacing w:before="78" w:line="219" w:lineRule="auto"/>
        <w:ind w:left="3416"/>
        <w:outlineLvl w:val="0"/>
        <w:rPr>
          <w:rFonts w:hint="eastAsia" w:ascii="宋体" w:hAnsi="宋体" w:eastAsia="宋体" w:cs="宋体"/>
          <w:color w:val="auto"/>
          <w:sz w:val="24"/>
          <w:szCs w:val="24"/>
          <w:highlight w:val="none"/>
        </w:rPr>
      </w:pPr>
      <w:bookmarkStart w:id="0" w:name="bookmark1"/>
      <w:bookmarkEnd w:id="0"/>
      <w:bookmarkStart w:id="1" w:name="_Toc30584"/>
      <w:r>
        <w:rPr>
          <w:rFonts w:hint="eastAsia" w:ascii="宋体" w:hAnsi="宋体" w:eastAsia="宋体" w:cs="宋体"/>
          <w:b/>
          <w:bCs/>
          <w:color w:val="auto"/>
          <w:spacing w:val="-3"/>
          <w:sz w:val="24"/>
          <w:szCs w:val="24"/>
          <w:highlight w:val="none"/>
        </w:rPr>
        <w:t>第一章</w:t>
      </w:r>
      <w:r>
        <w:rPr>
          <w:rFonts w:hint="eastAsia" w:ascii="宋体" w:hAnsi="宋体" w:eastAsia="宋体" w:cs="宋体"/>
          <w:color w:val="auto"/>
          <w:spacing w:val="-3"/>
          <w:sz w:val="24"/>
          <w:szCs w:val="24"/>
          <w:highlight w:val="none"/>
        </w:rPr>
        <w:t xml:space="preserve"> </w:t>
      </w:r>
      <w:r>
        <w:rPr>
          <w:rFonts w:hint="eastAsia" w:ascii="宋体" w:hAnsi="宋体" w:eastAsia="宋体" w:cs="宋体"/>
          <w:b/>
          <w:bCs/>
          <w:color w:val="auto"/>
          <w:spacing w:val="-3"/>
          <w:sz w:val="24"/>
          <w:szCs w:val="24"/>
          <w:highlight w:val="none"/>
        </w:rPr>
        <w:t>投标人须知</w:t>
      </w:r>
      <w:bookmarkEnd w:id="1"/>
    </w:p>
    <w:p w14:paraId="225EA8A0">
      <w:pPr>
        <w:spacing w:before="156" w:line="219" w:lineRule="auto"/>
        <w:ind w:left="17"/>
        <w:outlineLvl w:val="1"/>
        <w:rPr>
          <w:rFonts w:hint="eastAsia" w:ascii="宋体" w:hAnsi="宋体" w:eastAsia="宋体" w:cs="宋体"/>
          <w:color w:val="auto"/>
          <w:sz w:val="15"/>
          <w:szCs w:val="15"/>
          <w:highlight w:val="none"/>
        </w:rPr>
      </w:pPr>
      <w:bookmarkStart w:id="2" w:name="bookmark3"/>
      <w:bookmarkEnd w:id="2"/>
      <w:bookmarkStart w:id="3" w:name="_Toc1079"/>
      <w:r>
        <w:rPr>
          <w:rFonts w:hint="eastAsia" w:ascii="宋体" w:hAnsi="宋体" w:eastAsia="宋体" w:cs="宋体"/>
          <w:b/>
          <w:bCs/>
          <w:color w:val="auto"/>
          <w:spacing w:val="-3"/>
          <w:sz w:val="24"/>
          <w:szCs w:val="24"/>
          <w:highlight w:val="none"/>
        </w:rPr>
        <w:t>第一节</w:t>
      </w:r>
      <w:r>
        <w:rPr>
          <w:rFonts w:hint="eastAsia" w:ascii="宋体" w:hAnsi="宋体" w:eastAsia="宋体" w:cs="宋体"/>
          <w:color w:val="auto"/>
          <w:spacing w:val="-3"/>
          <w:sz w:val="24"/>
          <w:szCs w:val="24"/>
          <w:highlight w:val="none"/>
        </w:rPr>
        <w:t xml:space="preserve"> </w:t>
      </w:r>
      <w:r>
        <w:rPr>
          <w:rFonts w:hint="eastAsia" w:ascii="宋体" w:hAnsi="宋体" w:eastAsia="宋体" w:cs="宋体"/>
          <w:b/>
          <w:bCs/>
          <w:color w:val="auto"/>
          <w:spacing w:val="-3"/>
          <w:sz w:val="24"/>
          <w:szCs w:val="24"/>
          <w:highlight w:val="none"/>
        </w:rPr>
        <w:t>投标人须知前附表</w:t>
      </w:r>
      <w:bookmarkEnd w:id="3"/>
    </w:p>
    <w:p w14:paraId="7D4C9041">
      <w:pPr>
        <w:spacing w:before="25"/>
        <w:rPr>
          <w:rFonts w:hint="eastAsia" w:ascii="宋体" w:hAnsi="宋体" w:eastAsia="宋体" w:cs="宋体"/>
          <w:color w:val="auto"/>
          <w:highlight w:val="none"/>
        </w:rPr>
      </w:pPr>
    </w:p>
    <w:tbl>
      <w:tblPr>
        <w:tblStyle w:val="14"/>
        <w:tblW w:w="9986"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82"/>
        <w:gridCol w:w="1860"/>
        <w:gridCol w:w="7544"/>
      </w:tblGrid>
      <w:tr w14:paraId="45388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8" w:hRule="atLeast"/>
        </w:trPr>
        <w:tc>
          <w:tcPr>
            <w:tcW w:w="582" w:type="dxa"/>
            <w:vAlign w:val="top"/>
          </w:tcPr>
          <w:p w14:paraId="6E71DC35">
            <w:pPr>
              <w:spacing w:before="203" w:line="209" w:lineRule="auto"/>
              <w:ind w:left="0" w:leftChars="0" w:firstLine="0" w:firstLineChars="0"/>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序号</w:t>
            </w:r>
          </w:p>
        </w:tc>
        <w:tc>
          <w:tcPr>
            <w:tcW w:w="1860" w:type="dxa"/>
            <w:vAlign w:val="center"/>
          </w:tcPr>
          <w:p w14:paraId="4C2E1B8B">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内容</w:t>
            </w:r>
          </w:p>
        </w:tc>
        <w:tc>
          <w:tcPr>
            <w:tcW w:w="7544" w:type="dxa"/>
            <w:vAlign w:val="center"/>
          </w:tcPr>
          <w:p w14:paraId="5AEE0820">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说明与要求</w:t>
            </w:r>
          </w:p>
        </w:tc>
      </w:tr>
      <w:tr w14:paraId="33E38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4" w:hRule="atLeast"/>
        </w:trPr>
        <w:tc>
          <w:tcPr>
            <w:tcW w:w="582" w:type="dxa"/>
            <w:vAlign w:val="center"/>
          </w:tcPr>
          <w:p w14:paraId="3743D7C8">
            <w:pPr>
              <w:spacing w:before="223" w:line="195" w:lineRule="auto"/>
              <w:jc w:val="center"/>
              <w:rPr>
                <w:rFonts w:hint="eastAsia" w:asciiTheme="minorEastAsia" w:hAnsiTheme="minorEastAsia" w:eastAsiaTheme="minorEastAsia" w:cstheme="minorEastAsia"/>
                <w:color w:val="auto"/>
                <w:sz w:val="21"/>
                <w:szCs w:val="21"/>
                <w:highlight w:val="none"/>
              </w:rPr>
            </w:pPr>
            <w:bookmarkStart w:id="4" w:name="OLE_LINK2" w:colFirst="2" w:colLast="2"/>
            <w:r>
              <w:rPr>
                <w:rFonts w:hint="eastAsia" w:asciiTheme="minorEastAsia" w:hAnsiTheme="minorEastAsia" w:eastAsiaTheme="minorEastAsia" w:cstheme="minorEastAsia"/>
                <w:color w:val="auto"/>
                <w:sz w:val="21"/>
                <w:szCs w:val="21"/>
                <w:highlight w:val="none"/>
              </w:rPr>
              <w:t>1</w:t>
            </w:r>
          </w:p>
        </w:tc>
        <w:tc>
          <w:tcPr>
            <w:tcW w:w="1860" w:type="dxa"/>
            <w:vAlign w:val="center"/>
          </w:tcPr>
          <w:p w14:paraId="2DAD04FB">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项目名称</w:t>
            </w:r>
          </w:p>
        </w:tc>
        <w:tc>
          <w:tcPr>
            <w:tcW w:w="7544" w:type="dxa"/>
            <w:vAlign w:val="center"/>
          </w:tcPr>
          <w:p w14:paraId="495090BD">
            <w:pPr>
              <w:pageBreakBefore w:val="0"/>
              <w:widowControl w:val="0"/>
              <w:kinsoku/>
              <w:wordWrap w:val="0"/>
              <w:overflowPunct/>
              <w:topLinePunct w:val="0"/>
              <w:autoSpaceDE/>
              <w:autoSpaceDN/>
              <w:bidi w:val="0"/>
              <w:adjustRightInd w:val="0"/>
              <w:snapToGrid w:val="0"/>
              <w:spacing w:line="400" w:lineRule="exact"/>
              <w:jc w:val="both"/>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仁化产业转移工业园区基础建设(二期)-仁化县产业转移工业园区标准厂房建设项目(六期)之周田片区XZD-2地块7号和8号厂房改造项目施工</w:t>
            </w:r>
          </w:p>
        </w:tc>
      </w:tr>
      <w:tr w14:paraId="443D2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8" w:hRule="atLeast"/>
        </w:trPr>
        <w:tc>
          <w:tcPr>
            <w:tcW w:w="582" w:type="dxa"/>
            <w:vAlign w:val="center"/>
          </w:tcPr>
          <w:p w14:paraId="6B02EA2B">
            <w:pPr>
              <w:spacing w:before="222" w:line="195"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w:t>
            </w:r>
          </w:p>
        </w:tc>
        <w:tc>
          <w:tcPr>
            <w:tcW w:w="1860" w:type="dxa"/>
            <w:vAlign w:val="center"/>
          </w:tcPr>
          <w:p w14:paraId="4498F624">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项目业主</w:t>
            </w:r>
          </w:p>
        </w:tc>
        <w:tc>
          <w:tcPr>
            <w:tcW w:w="7544" w:type="dxa"/>
            <w:vAlign w:val="center"/>
          </w:tcPr>
          <w:p w14:paraId="0533DE12">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仁化县丹霞旅游经济开发试验区管理委员会</w:t>
            </w:r>
          </w:p>
        </w:tc>
      </w:tr>
      <w:tr w14:paraId="5E88E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5" w:hRule="atLeast"/>
        </w:trPr>
        <w:tc>
          <w:tcPr>
            <w:tcW w:w="582" w:type="dxa"/>
            <w:vAlign w:val="center"/>
          </w:tcPr>
          <w:p w14:paraId="3A5F6D9F">
            <w:pPr>
              <w:spacing w:before="58" w:line="195"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w:t>
            </w:r>
          </w:p>
        </w:tc>
        <w:tc>
          <w:tcPr>
            <w:tcW w:w="1860" w:type="dxa"/>
            <w:vAlign w:val="center"/>
          </w:tcPr>
          <w:p w14:paraId="157B5048">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项目批准部门及项目批准文号</w:t>
            </w:r>
          </w:p>
        </w:tc>
        <w:tc>
          <w:tcPr>
            <w:tcW w:w="7544" w:type="dxa"/>
            <w:vAlign w:val="center"/>
          </w:tcPr>
          <w:p w14:paraId="2C0F6B52">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仁化县发展和改革局、仁化县发展改革和政务数据局</w:t>
            </w:r>
          </w:p>
          <w:p w14:paraId="667F29C4">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仁发改投审〔2022〕84号、仁发改和政数投审〔2026〕39号</w:t>
            </w:r>
          </w:p>
        </w:tc>
      </w:tr>
      <w:tr w14:paraId="2C58B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1" w:hRule="atLeast"/>
        </w:trPr>
        <w:tc>
          <w:tcPr>
            <w:tcW w:w="582" w:type="dxa"/>
            <w:vAlign w:val="center"/>
          </w:tcPr>
          <w:p w14:paraId="7E34B725">
            <w:pPr>
              <w:spacing w:before="225" w:line="195"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1"/>
                <w:sz w:val="21"/>
                <w:szCs w:val="21"/>
                <w:highlight w:val="none"/>
              </w:rPr>
              <w:t>4</w:t>
            </w:r>
          </w:p>
        </w:tc>
        <w:tc>
          <w:tcPr>
            <w:tcW w:w="1860" w:type="dxa"/>
            <w:vAlign w:val="center"/>
          </w:tcPr>
          <w:p w14:paraId="1DD2D51F">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建设地点</w:t>
            </w:r>
          </w:p>
        </w:tc>
        <w:tc>
          <w:tcPr>
            <w:tcW w:w="7544" w:type="dxa"/>
            <w:tcMar>
              <w:top w:w="0" w:type="dxa"/>
              <w:left w:w="0" w:type="dxa"/>
              <w:bottom w:w="0" w:type="dxa"/>
              <w:right w:w="0" w:type="dxa"/>
            </w:tcMar>
            <w:vAlign w:val="center"/>
          </w:tcPr>
          <w:p w14:paraId="35204136">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default" w:asciiTheme="minorEastAsia" w:hAnsiTheme="minorEastAsia" w:eastAsiaTheme="minorEastAsia" w:cstheme="minorEastAsia"/>
                <w:snapToGrid w:val="0"/>
                <w:color w:val="auto"/>
                <w:kern w:val="0"/>
                <w:sz w:val="21"/>
                <w:szCs w:val="21"/>
                <w:highlight w:val="none"/>
                <w:lang w:val="en-US" w:eastAsia="zh-CN"/>
              </w:rPr>
            </w:pPr>
            <w:r>
              <w:rPr>
                <w:rFonts w:hint="eastAsia" w:hAnsi="宋体" w:eastAsia="宋体" w:cs="Calibri"/>
                <w:bCs/>
                <w:color w:val="auto"/>
                <w:sz w:val="21"/>
                <w:szCs w:val="21"/>
                <w:highlight w:val="none"/>
                <w:lang w:val="en-US" w:eastAsia="zh-CN"/>
              </w:rPr>
              <w:t>韶关仁化产业园区</w:t>
            </w:r>
          </w:p>
        </w:tc>
      </w:tr>
      <w:tr w14:paraId="565EE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3" w:hRule="atLeast"/>
        </w:trPr>
        <w:tc>
          <w:tcPr>
            <w:tcW w:w="582" w:type="dxa"/>
            <w:vAlign w:val="center"/>
          </w:tcPr>
          <w:p w14:paraId="318E89F5">
            <w:pPr>
              <w:spacing w:before="226" w:line="192"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w:t>
            </w:r>
          </w:p>
        </w:tc>
        <w:tc>
          <w:tcPr>
            <w:tcW w:w="1860" w:type="dxa"/>
            <w:vAlign w:val="center"/>
          </w:tcPr>
          <w:p w14:paraId="66CCEB4B">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项目代码</w:t>
            </w:r>
          </w:p>
        </w:tc>
        <w:tc>
          <w:tcPr>
            <w:tcW w:w="7544" w:type="dxa"/>
            <w:vAlign w:val="center"/>
          </w:tcPr>
          <w:p w14:paraId="44492172">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宋体" w:hAnsi="宋体" w:eastAsia="宋体" w:cs="Calibri"/>
                <w:bCs/>
                <w:color w:val="auto"/>
                <w:sz w:val="21"/>
                <w:szCs w:val="21"/>
                <w:highlight w:val="none"/>
                <w:lang w:eastAsia="zh-CN"/>
              </w:rPr>
              <w:t>2208-440224-04-01-823973</w:t>
            </w:r>
          </w:p>
        </w:tc>
      </w:tr>
      <w:tr w14:paraId="1E524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1" w:hRule="atLeast"/>
        </w:trPr>
        <w:tc>
          <w:tcPr>
            <w:tcW w:w="582" w:type="dxa"/>
            <w:vAlign w:val="center"/>
          </w:tcPr>
          <w:p w14:paraId="6D804121">
            <w:pPr>
              <w:spacing w:before="58" w:line="195"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6</w:t>
            </w:r>
          </w:p>
        </w:tc>
        <w:tc>
          <w:tcPr>
            <w:tcW w:w="1860" w:type="dxa"/>
            <w:vAlign w:val="center"/>
          </w:tcPr>
          <w:p w14:paraId="5A6B5685">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资金来源及落实情况</w:t>
            </w:r>
          </w:p>
        </w:tc>
        <w:tc>
          <w:tcPr>
            <w:tcW w:w="7544" w:type="dxa"/>
            <w:vAlign w:val="center"/>
          </w:tcPr>
          <w:p w14:paraId="440E9E3D">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上级资金和县级财政资金安排解决，100%</w:t>
            </w:r>
          </w:p>
        </w:tc>
      </w:tr>
      <w:tr w14:paraId="5766F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6" w:hRule="atLeast"/>
        </w:trPr>
        <w:tc>
          <w:tcPr>
            <w:tcW w:w="582" w:type="dxa"/>
            <w:vAlign w:val="center"/>
          </w:tcPr>
          <w:p w14:paraId="400528AE">
            <w:pPr>
              <w:spacing w:before="228" w:line="192"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7</w:t>
            </w:r>
          </w:p>
        </w:tc>
        <w:tc>
          <w:tcPr>
            <w:tcW w:w="1860" w:type="dxa"/>
            <w:vAlign w:val="center"/>
          </w:tcPr>
          <w:p w14:paraId="3CAF0EEB">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招标人</w:t>
            </w:r>
          </w:p>
        </w:tc>
        <w:tc>
          <w:tcPr>
            <w:tcW w:w="7544" w:type="dxa"/>
            <w:vAlign w:val="center"/>
          </w:tcPr>
          <w:p w14:paraId="5B71CC74">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仁化县丹霞旅游经济开发试验区管理委员会</w:t>
            </w:r>
          </w:p>
        </w:tc>
      </w:tr>
      <w:tr w14:paraId="60887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5" w:hRule="atLeast"/>
        </w:trPr>
        <w:tc>
          <w:tcPr>
            <w:tcW w:w="582" w:type="dxa"/>
            <w:vAlign w:val="center"/>
          </w:tcPr>
          <w:p w14:paraId="44304D14">
            <w:pPr>
              <w:spacing w:before="224" w:line="195"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8</w:t>
            </w:r>
          </w:p>
        </w:tc>
        <w:tc>
          <w:tcPr>
            <w:tcW w:w="1860" w:type="dxa"/>
            <w:vAlign w:val="center"/>
          </w:tcPr>
          <w:p w14:paraId="31C26FCB">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招标代理机构</w:t>
            </w:r>
          </w:p>
        </w:tc>
        <w:tc>
          <w:tcPr>
            <w:tcW w:w="7544" w:type="dxa"/>
            <w:vAlign w:val="center"/>
          </w:tcPr>
          <w:p w14:paraId="4E3C0A99">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广东爱科工程咨询管理有限公司</w:t>
            </w:r>
          </w:p>
        </w:tc>
      </w:tr>
      <w:tr w14:paraId="07494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1" w:hRule="atLeast"/>
        </w:trPr>
        <w:tc>
          <w:tcPr>
            <w:tcW w:w="582" w:type="dxa"/>
            <w:vAlign w:val="center"/>
          </w:tcPr>
          <w:p w14:paraId="5A5AC857">
            <w:pPr>
              <w:spacing w:before="225" w:line="195"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9</w:t>
            </w:r>
          </w:p>
        </w:tc>
        <w:tc>
          <w:tcPr>
            <w:tcW w:w="1860" w:type="dxa"/>
            <w:vAlign w:val="center"/>
          </w:tcPr>
          <w:p w14:paraId="11B17F78">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设计单位</w:t>
            </w:r>
          </w:p>
        </w:tc>
        <w:tc>
          <w:tcPr>
            <w:tcW w:w="7544" w:type="dxa"/>
            <w:vAlign w:val="center"/>
          </w:tcPr>
          <w:p w14:paraId="2E0AD384">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default"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国昇设计有限责任公司</w:t>
            </w:r>
          </w:p>
        </w:tc>
      </w:tr>
      <w:bookmarkEnd w:id="4"/>
      <w:tr w14:paraId="231FD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6" w:hRule="atLeast"/>
        </w:trPr>
        <w:tc>
          <w:tcPr>
            <w:tcW w:w="582" w:type="dxa"/>
            <w:vAlign w:val="center"/>
          </w:tcPr>
          <w:p w14:paraId="1D58DA3A">
            <w:pPr>
              <w:spacing w:before="245" w:line="195"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8"/>
                <w:sz w:val="21"/>
                <w:szCs w:val="21"/>
                <w:highlight w:val="none"/>
              </w:rPr>
              <w:t>10</w:t>
            </w:r>
          </w:p>
        </w:tc>
        <w:tc>
          <w:tcPr>
            <w:tcW w:w="1860" w:type="dxa"/>
            <w:vAlign w:val="center"/>
          </w:tcPr>
          <w:p w14:paraId="1DD07B75">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造价咨询单位</w:t>
            </w:r>
          </w:p>
        </w:tc>
        <w:tc>
          <w:tcPr>
            <w:tcW w:w="7544" w:type="dxa"/>
            <w:vAlign w:val="center"/>
          </w:tcPr>
          <w:p w14:paraId="7A3C8AC4">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eastAsia="zh-CN"/>
              </w:rPr>
              <w:t>□非全过程造价咨询</w:t>
            </w:r>
            <w:r>
              <w:rPr>
                <w:rFonts w:hint="eastAsia" w:asciiTheme="minorEastAsia" w:hAnsiTheme="minorEastAsia" w:eastAsiaTheme="minorEastAsia" w:cstheme="minorEastAsia"/>
                <w:snapToGrid w:val="0"/>
                <w:color w:val="auto"/>
                <w:kern w:val="0"/>
                <w:sz w:val="21"/>
                <w:szCs w:val="21"/>
                <w:highlight w:val="none"/>
                <w:lang w:val="en-US" w:eastAsia="zh-CN"/>
              </w:rPr>
              <w:t xml:space="preserve">  </w:t>
            </w:r>
            <w:r>
              <w:rPr>
                <w:rFonts w:hint="eastAsia" w:asciiTheme="minorEastAsia" w:hAnsiTheme="minorEastAsia" w:eastAsiaTheme="minorEastAsia" w:cstheme="minorEastAsia"/>
                <w:snapToGrid w:val="0"/>
                <w:color w:val="auto"/>
                <w:kern w:val="0"/>
                <w:sz w:val="21"/>
                <w:szCs w:val="21"/>
                <w:highlight w:val="none"/>
                <w:lang w:eastAsia="zh-CN"/>
              </w:rPr>
              <w:t>☑全过程造价咨询</w:t>
            </w:r>
            <w:r>
              <w:rPr>
                <w:rFonts w:hint="eastAsia" w:asciiTheme="minorEastAsia" w:hAnsiTheme="minorEastAsia" w:eastAsiaTheme="minorEastAsia" w:cstheme="minorEastAsia"/>
                <w:snapToGrid w:val="0"/>
                <w:color w:val="auto"/>
                <w:kern w:val="0"/>
                <w:sz w:val="21"/>
                <w:szCs w:val="21"/>
                <w:highlight w:val="none"/>
                <w:lang w:val="en-US" w:eastAsia="zh-CN"/>
              </w:rPr>
              <w:t xml:space="preserve">  </w:t>
            </w:r>
          </w:p>
        </w:tc>
      </w:tr>
      <w:tr w14:paraId="1B423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8" w:hRule="atLeast"/>
        </w:trPr>
        <w:tc>
          <w:tcPr>
            <w:tcW w:w="582" w:type="dxa"/>
            <w:vAlign w:val="center"/>
          </w:tcPr>
          <w:p w14:paraId="5392F3A2">
            <w:pPr>
              <w:spacing w:before="242" w:line="195"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8"/>
                <w:sz w:val="21"/>
                <w:szCs w:val="21"/>
                <w:highlight w:val="none"/>
              </w:rPr>
              <w:t>11</w:t>
            </w:r>
          </w:p>
        </w:tc>
        <w:tc>
          <w:tcPr>
            <w:tcW w:w="1860" w:type="dxa"/>
            <w:vAlign w:val="center"/>
          </w:tcPr>
          <w:p w14:paraId="12C094CC">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监理单位</w:t>
            </w:r>
          </w:p>
        </w:tc>
        <w:tc>
          <w:tcPr>
            <w:tcW w:w="7544" w:type="dxa"/>
            <w:vAlign w:val="center"/>
          </w:tcPr>
          <w:p w14:paraId="03F5A6DB">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☑已确定监理单位</w:t>
            </w:r>
            <w:r>
              <w:rPr>
                <w:rFonts w:hint="eastAsia" w:asciiTheme="minorEastAsia" w:hAnsiTheme="minorEastAsia" w:eastAsiaTheme="minorEastAsia" w:cstheme="minorEastAsia"/>
                <w:snapToGrid w:val="0"/>
                <w:color w:val="auto"/>
                <w:kern w:val="0"/>
                <w:sz w:val="21"/>
                <w:szCs w:val="21"/>
                <w:highlight w:val="none"/>
                <w:lang w:val="en-US" w:eastAsia="zh-CN"/>
              </w:rPr>
              <w:t xml:space="preserve">   </w:t>
            </w:r>
            <w:r>
              <w:rPr>
                <w:rFonts w:hint="eastAsia" w:asciiTheme="minorEastAsia" w:hAnsiTheme="minorEastAsia" w:eastAsiaTheme="minorEastAsia" w:cstheme="minorEastAsia"/>
                <w:snapToGrid w:val="0"/>
                <w:color w:val="auto"/>
                <w:kern w:val="0"/>
                <w:sz w:val="21"/>
                <w:szCs w:val="21"/>
                <w:highlight w:val="none"/>
                <w:lang w:eastAsia="zh-CN"/>
              </w:rPr>
              <w:t>□未确定监理单位</w:t>
            </w:r>
          </w:p>
        </w:tc>
      </w:tr>
      <w:tr w14:paraId="2402B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582" w:type="dxa"/>
            <w:vAlign w:val="center"/>
          </w:tcPr>
          <w:p w14:paraId="1515EDE6">
            <w:pPr>
              <w:spacing w:before="58" w:line="195"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8"/>
                <w:sz w:val="21"/>
                <w:szCs w:val="21"/>
                <w:highlight w:val="none"/>
                <w:lang w:eastAsia="zh-CN"/>
              </w:rPr>
              <w:t>1</w:t>
            </w:r>
            <w:r>
              <w:rPr>
                <w:rFonts w:hint="eastAsia" w:asciiTheme="minorEastAsia" w:hAnsiTheme="minorEastAsia" w:eastAsiaTheme="minorEastAsia" w:cstheme="minorEastAsia"/>
                <w:color w:val="auto"/>
                <w:spacing w:val="-8"/>
                <w:sz w:val="21"/>
                <w:szCs w:val="21"/>
                <w:highlight w:val="none"/>
              </w:rPr>
              <w:t>2</w:t>
            </w:r>
          </w:p>
        </w:tc>
        <w:tc>
          <w:tcPr>
            <w:tcW w:w="1860" w:type="dxa"/>
            <w:vAlign w:val="center"/>
          </w:tcPr>
          <w:p w14:paraId="3DF6750B">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建设内容和规模</w:t>
            </w:r>
          </w:p>
        </w:tc>
        <w:tc>
          <w:tcPr>
            <w:tcW w:w="7544" w:type="dxa"/>
            <w:vAlign w:val="center"/>
          </w:tcPr>
          <w:p w14:paraId="52FBCEAB">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eastAsia="zh-CN"/>
              </w:rPr>
              <w:t>□建设规模：</w:t>
            </w:r>
            <w:r>
              <w:rPr>
                <w:rFonts w:hint="eastAsia" w:asciiTheme="minorEastAsia" w:hAnsiTheme="minorEastAsia" w:eastAsiaTheme="minorEastAsia" w:cstheme="minorEastAsia"/>
                <w:snapToGrid w:val="0"/>
                <w:color w:val="auto"/>
                <w:kern w:val="0"/>
                <w:sz w:val="21"/>
                <w:szCs w:val="21"/>
                <w:highlight w:val="none"/>
                <w:lang w:val="en-US" w:eastAsia="zh-CN"/>
              </w:rPr>
              <w:t>/</w:t>
            </w:r>
          </w:p>
          <w:p w14:paraId="33FB4650">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default"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eastAsia="zh-CN"/>
              </w:rPr>
              <w:t>☑建设内容：修建室外给排水、室外强弱电、室外高低压配电；室外地面硬化约10745m²、新建挡土墙约200m、新建钢筋混凝土初雨池1个、原有消防水池、水泵房装饰及设备安装等，改造厂房两栋，建筑面积约4050m²，</w:t>
            </w:r>
            <w:r>
              <w:rPr>
                <w:rFonts w:hint="eastAsia" w:asciiTheme="minorEastAsia" w:hAnsiTheme="minorEastAsia" w:eastAsiaTheme="minorEastAsia" w:cstheme="minorEastAsia"/>
                <w:snapToGrid w:val="0"/>
                <w:color w:val="auto"/>
                <w:kern w:val="0"/>
                <w:sz w:val="21"/>
                <w:szCs w:val="21"/>
                <w:highlight w:val="none"/>
                <w:lang w:val="en-US" w:eastAsia="zh-CN"/>
              </w:rPr>
              <w:t>具体实施以施工图纸为准。</w:t>
            </w:r>
          </w:p>
        </w:tc>
      </w:tr>
      <w:tr w14:paraId="304F5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40" w:hRule="atLeast"/>
        </w:trPr>
        <w:tc>
          <w:tcPr>
            <w:tcW w:w="582" w:type="dxa"/>
            <w:vAlign w:val="center"/>
          </w:tcPr>
          <w:p w14:paraId="5D9D5ABA">
            <w:pPr>
              <w:spacing w:before="57" w:line="195"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8"/>
                <w:sz w:val="21"/>
                <w:szCs w:val="21"/>
                <w:highlight w:val="none"/>
              </w:rPr>
              <w:t>13</w:t>
            </w:r>
          </w:p>
        </w:tc>
        <w:tc>
          <w:tcPr>
            <w:tcW w:w="1860" w:type="dxa"/>
            <w:vAlign w:val="center"/>
          </w:tcPr>
          <w:p w14:paraId="280E5560">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项目总投资</w:t>
            </w:r>
          </w:p>
        </w:tc>
        <w:tc>
          <w:tcPr>
            <w:tcW w:w="7544" w:type="dxa"/>
            <w:vAlign w:val="center"/>
          </w:tcPr>
          <w:p w14:paraId="0C56FDED">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default"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项目概算总投资1998.54万元，其中工程费用1783.01万元，工程建设其他费用205.59万元，预备费用9.94万元。</w:t>
            </w:r>
          </w:p>
        </w:tc>
      </w:tr>
      <w:tr w14:paraId="6B2CE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6" w:hRule="atLeast"/>
        </w:trPr>
        <w:tc>
          <w:tcPr>
            <w:tcW w:w="582" w:type="dxa"/>
            <w:vAlign w:val="center"/>
          </w:tcPr>
          <w:p w14:paraId="798375C9">
            <w:pPr>
              <w:spacing w:before="58" w:line="195"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8"/>
                <w:sz w:val="21"/>
                <w:szCs w:val="21"/>
                <w:highlight w:val="none"/>
              </w:rPr>
              <w:t>14</w:t>
            </w:r>
          </w:p>
        </w:tc>
        <w:tc>
          <w:tcPr>
            <w:tcW w:w="1860" w:type="dxa"/>
            <w:vAlign w:val="center"/>
          </w:tcPr>
          <w:p w14:paraId="2A6F4982">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招标范围</w:t>
            </w:r>
          </w:p>
        </w:tc>
        <w:tc>
          <w:tcPr>
            <w:tcW w:w="7544" w:type="dxa"/>
            <w:vAlign w:val="center"/>
          </w:tcPr>
          <w:p w14:paraId="3DE01C1F">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按审查合格的施工图纸及工程量清单内容施工。</w:t>
            </w:r>
          </w:p>
        </w:tc>
      </w:tr>
      <w:tr w14:paraId="13F3C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0" w:hRule="atLeast"/>
        </w:trPr>
        <w:tc>
          <w:tcPr>
            <w:tcW w:w="582" w:type="dxa"/>
            <w:vAlign w:val="center"/>
          </w:tcPr>
          <w:p w14:paraId="6EED9D8B">
            <w:pPr>
              <w:spacing w:before="58" w:line="195"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8"/>
                <w:sz w:val="21"/>
                <w:szCs w:val="21"/>
                <w:highlight w:val="none"/>
              </w:rPr>
              <w:t>15</w:t>
            </w:r>
          </w:p>
        </w:tc>
        <w:tc>
          <w:tcPr>
            <w:tcW w:w="1860" w:type="dxa"/>
            <w:vAlign w:val="center"/>
          </w:tcPr>
          <w:p w14:paraId="5CD69A5F">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标段划分</w:t>
            </w:r>
          </w:p>
        </w:tc>
        <w:tc>
          <w:tcPr>
            <w:tcW w:w="7544" w:type="dxa"/>
            <w:vAlign w:val="center"/>
          </w:tcPr>
          <w:p w14:paraId="71E5B427">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 xml:space="preserve">本招标项目不划分标段。 </w:t>
            </w:r>
          </w:p>
        </w:tc>
      </w:tr>
      <w:tr w14:paraId="25035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85" w:hRule="atLeast"/>
        </w:trPr>
        <w:tc>
          <w:tcPr>
            <w:tcW w:w="582" w:type="dxa"/>
            <w:vAlign w:val="center"/>
          </w:tcPr>
          <w:p w14:paraId="650937A5">
            <w:pPr>
              <w:spacing w:before="57" w:line="195" w:lineRule="auto"/>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pacing w:val="-8"/>
                <w:sz w:val="21"/>
                <w:szCs w:val="21"/>
                <w:highlight w:val="none"/>
              </w:rPr>
              <w:t>16</w:t>
            </w:r>
          </w:p>
        </w:tc>
        <w:tc>
          <w:tcPr>
            <w:tcW w:w="1860" w:type="dxa"/>
            <w:vAlign w:val="center"/>
          </w:tcPr>
          <w:p w14:paraId="00B1E991">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工期</w:t>
            </w:r>
          </w:p>
        </w:tc>
        <w:tc>
          <w:tcPr>
            <w:tcW w:w="7544" w:type="dxa"/>
            <w:vAlign w:val="top"/>
          </w:tcPr>
          <w:p w14:paraId="7C99F2ED">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本招标项目招标工期为</w:t>
            </w:r>
            <w:r>
              <w:rPr>
                <w:rFonts w:hint="eastAsia" w:asciiTheme="minorEastAsia" w:hAnsiTheme="minorEastAsia" w:eastAsiaTheme="minorEastAsia" w:cstheme="minorEastAsia"/>
                <w:snapToGrid w:val="0"/>
                <w:color w:val="auto"/>
                <w:kern w:val="0"/>
                <w:sz w:val="21"/>
                <w:szCs w:val="21"/>
                <w:highlight w:val="none"/>
                <w:lang w:val="en-US" w:eastAsia="zh-CN"/>
              </w:rPr>
              <w:t>120个日历天</w:t>
            </w:r>
            <w:r>
              <w:rPr>
                <w:rFonts w:hint="eastAsia" w:asciiTheme="minorEastAsia" w:hAnsiTheme="minorEastAsia" w:eastAsiaTheme="minorEastAsia" w:cstheme="minorEastAsia"/>
                <w:snapToGrid w:val="0"/>
                <w:color w:val="auto"/>
                <w:kern w:val="0"/>
                <w:sz w:val="21"/>
                <w:szCs w:val="21"/>
                <w:highlight w:val="none"/>
                <w:lang w:eastAsia="zh-CN"/>
              </w:rPr>
              <w:t>。具体如下：</w:t>
            </w:r>
          </w:p>
          <w:p w14:paraId="72F86379">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☑总工期：</w:t>
            </w:r>
            <w:r>
              <w:rPr>
                <w:rFonts w:hint="eastAsia" w:asciiTheme="minorEastAsia" w:hAnsiTheme="minorEastAsia" w:eastAsiaTheme="minorEastAsia" w:cstheme="minorEastAsia"/>
                <w:snapToGrid w:val="0"/>
                <w:color w:val="auto"/>
                <w:kern w:val="0"/>
                <w:sz w:val="21"/>
                <w:szCs w:val="21"/>
                <w:highlight w:val="none"/>
                <w:lang w:val="en-US" w:eastAsia="zh-CN"/>
              </w:rPr>
              <w:t>120</w:t>
            </w:r>
            <w:r>
              <w:rPr>
                <w:rFonts w:hint="eastAsia" w:asciiTheme="minorEastAsia" w:hAnsiTheme="minorEastAsia" w:eastAsiaTheme="minorEastAsia" w:cstheme="minorEastAsia"/>
                <w:snapToGrid w:val="0"/>
                <w:color w:val="auto"/>
                <w:kern w:val="0"/>
                <w:sz w:val="21"/>
                <w:szCs w:val="21"/>
                <w:highlight w:val="none"/>
                <w:lang w:eastAsia="zh-CN"/>
              </w:rPr>
              <w:t>天 （日历天）。</w:t>
            </w:r>
          </w:p>
          <w:p w14:paraId="4845D3F6">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□计划开工日期：</w:t>
            </w:r>
            <w:r>
              <w:rPr>
                <w:rFonts w:hint="eastAsia" w:asciiTheme="minorEastAsia" w:hAnsiTheme="minorEastAsia" w:eastAsiaTheme="minorEastAsia" w:cstheme="minorEastAsia"/>
                <w:snapToGrid w:val="0"/>
                <w:color w:val="auto"/>
                <w:kern w:val="0"/>
                <w:sz w:val="21"/>
                <w:szCs w:val="21"/>
                <w:highlight w:val="none"/>
                <w:lang w:val="en-US" w:eastAsia="zh-CN"/>
              </w:rPr>
              <w:t xml:space="preserve">    </w:t>
            </w:r>
            <w:r>
              <w:rPr>
                <w:rFonts w:hint="eastAsia" w:asciiTheme="minorEastAsia" w:hAnsiTheme="minorEastAsia" w:eastAsiaTheme="minorEastAsia" w:cstheme="minorEastAsia"/>
                <w:snapToGrid w:val="0"/>
                <w:color w:val="auto"/>
                <w:kern w:val="0"/>
                <w:sz w:val="21"/>
                <w:szCs w:val="21"/>
                <w:highlight w:val="none"/>
                <w:lang w:eastAsia="zh-CN"/>
              </w:rPr>
              <w:t>年</w:t>
            </w:r>
            <w:r>
              <w:rPr>
                <w:rFonts w:hint="eastAsia" w:asciiTheme="minorEastAsia" w:hAnsiTheme="minorEastAsia" w:eastAsiaTheme="minorEastAsia" w:cstheme="minorEastAsia"/>
                <w:snapToGrid w:val="0"/>
                <w:color w:val="auto"/>
                <w:kern w:val="0"/>
                <w:sz w:val="21"/>
                <w:szCs w:val="21"/>
                <w:highlight w:val="none"/>
                <w:lang w:val="en-US" w:eastAsia="zh-CN"/>
              </w:rPr>
              <w:t xml:space="preserve">   </w:t>
            </w:r>
            <w:r>
              <w:rPr>
                <w:rFonts w:hint="eastAsia" w:asciiTheme="minorEastAsia" w:hAnsiTheme="minorEastAsia" w:eastAsiaTheme="minorEastAsia" w:cstheme="minorEastAsia"/>
                <w:snapToGrid w:val="0"/>
                <w:color w:val="auto"/>
                <w:kern w:val="0"/>
                <w:sz w:val="21"/>
                <w:szCs w:val="21"/>
                <w:highlight w:val="none"/>
                <w:lang w:eastAsia="zh-CN"/>
              </w:rPr>
              <w:t>月</w:t>
            </w:r>
            <w:r>
              <w:rPr>
                <w:rFonts w:hint="eastAsia" w:asciiTheme="minorEastAsia" w:hAnsiTheme="minorEastAsia" w:eastAsiaTheme="minorEastAsia" w:cstheme="minorEastAsia"/>
                <w:snapToGrid w:val="0"/>
                <w:color w:val="auto"/>
                <w:kern w:val="0"/>
                <w:sz w:val="21"/>
                <w:szCs w:val="21"/>
                <w:highlight w:val="none"/>
                <w:lang w:val="en-US" w:eastAsia="zh-CN"/>
              </w:rPr>
              <w:t xml:space="preserve">   </w:t>
            </w:r>
            <w:r>
              <w:rPr>
                <w:rFonts w:hint="eastAsia" w:asciiTheme="minorEastAsia" w:hAnsiTheme="minorEastAsia" w:eastAsiaTheme="minorEastAsia" w:cstheme="minorEastAsia"/>
                <w:snapToGrid w:val="0"/>
                <w:color w:val="auto"/>
                <w:kern w:val="0"/>
                <w:sz w:val="21"/>
                <w:szCs w:val="21"/>
                <w:highlight w:val="none"/>
                <w:lang w:eastAsia="zh-CN"/>
              </w:rPr>
              <w:t>日（具体开工日期以合同为准）</w:t>
            </w:r>
          </w:p>
          <w:p w14:paraId="3EF82EA2">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□计划竣工日期：</w:t>
            </w:r>
            <w:r>
              <w:rPr>
                <w:rFonts w:hint="eastAsia" w:asciiTheme="minorEastAsia" w:hAnsiTheme="minorEastAsia" w:eastAsiaTheme="minorEastAsia" w:cstheme="minorEastAsia"/>
                <w:snapToGrid w:val="0"/>
                <w:color w:val="auto"/>
                <w:kern w:val="0"/>
                <w:sz w:val="21"/>
                <w:szCs w:val="21"/>
                <w:highlight w:val="none"/>
                <w:lang w:val="en-US" w:eastAsia="zh-CN"/>
              </w:rPr>
              <w:t xml:space="preserve">    </w:t>
            </w:r>
            <w:r>
              <w:rPr>
                <w:rFonts w:hint="eastAsia" w:asciiTheme="minorEastAsia" w:hAnsiTheme="minorEastAsia" w:eastAsiaTheme="minorEastAsia" w:cstheme="minorEastAsia"/>
                <w:snapToGrid w:val="0"/>
                <w:color w:val="auto"/>
                <w:kern w:val="0"/>
                <w:sz w:val="21"/>
                <w:szCs w:val="21"/>
                <w:highlight w:val="none"/>
                <w:lang w:eastAsia="zh-CN"/>
              </w:rPr>
              <w:t>年</w:t>
            </w:r>
            <w:r>
              <w:rPr>
                <w:rFonts w:hint="eastAsia" w:asciiTheme="minorEastAsia" w:hAnsiTheme="minorEastAsia" w:eastAsiaTheme="minorEastAsia" w:cstheme="minorEastAsia"/>
                <w:snapToGrid w:val="0"/>
                <w:color w:val="auto"/>
                <w:kern w:val="0"/>
                <w:sz w:val="21"/>
                <w:szCs w:val="21"/>
                <w:highlight w:val="none"/>
                <w:lang w:val="en-US" w:eastAsia="zh-CN"/>
              </w:rPr>
              <w:t xml:space="preserve">   </w:t>
            </w:r>
            <w:r>
              <w:rPr>
                <w:rFonts w:hint="eastAsia" w:asciiTheme="minorEastAsia" w:hAnsiTheme="minorEastAsia" w:eastAsiaTheme="minorEastAsia" w:cstheme="minorEastAsia"/>
                <w:snapToGrid w:val="0"/>
                <w:color w:val="auto"/>
                <w:kern w:val="0"/>
                <w:sz w:val="21"/>
                <w:szCs w:val="21"/>
                <w:highlight w:val="none"/>
                <w:lang w:eastAsia="zh-CN"/>
              </w:rPr>
              <w:t>月</w:t>
            </w:r>
            <w:r>
              <w:rPr>
                <w:rFonts w:hint="eastAsia" w:asciiTheme="minorEastAsia" w:hAnsiTheme="minorEastAsia" w:eastAsiaTheme="minorEastAsia" w:cstheme="minorEastAsia"/>
                <w:snapToGrid w:val="0"/>
                <w:color w:val="auto"/>
                <w:kern w:val="0"/>
                <w:sz w:val="21"/>
                <w:szCs w:val="21"/>
                <w:highlight w:val="none"/>
                <w:lang w:val="en-US" w:eastAsia="zh-CN"/>
              </w:rPr>
              <w:t xml:space="preserve">   </w:t>
            </w:r>
            <w:r>
              <w:rPr>
                <w:rFonts w:hint="eastAsia" w:asciiTheme="minorEastAsia" w:hAnsiTheme="minorEastAsia" w:eastAsiaTheme="minorEastAsia" w:cstheme="minorEastAsia"/>
                <w:snapToGrid w:val="0"/>
                <w:color w:val="auto"/>
                <w:kern w:val="0"/>
                <w:sz w:val="21"/>
                <w:szCs w:val="21"/>
                <w:highlight w:val="none"/>
                <w:lang w:eastAsia="zh-CN"/>
              </w:rPr>
              <w:t>日</w:t>
            </w:r>
          </w:p>
          <w:p w14:paraId="00A01DB6">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 xml:space="preserve">□除上述总工期外，发包人还要求以下阶段工期：        </w:t>
            </w:r>
          </w:p>
        </w:tc>
      </w:tr>
      <w:tr w14:paraId="7F94B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90" w:hRule="atLeast"/>
        </w:trPr>
        <w:tc>
          <w:tcPr>
            <w:tcW w:w="582" w:type="dxa"/>
            <w:vAlign w:val="center"/>
          </w:tcPr>
          <w:p w14:paraId="47B272B4">
            <w:pPr>
              <w:spacing w:before="57" w:line="195"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8"/>
                <w:sz w:val="21"/>
                <w:szCs w:val="21"/>
                <w:highlight w:val="none"/>
              </w:rPr>
              <w:t>17</w:t>
            </w:r>
          </w:p>
        </w:tc>
        <w:tc>
          <w:tcPr>
            <w:tcW w:w="1860" w:type="dxa"/>
            <w:vAlign w:val="center"/>
          </w:tcPr>
          <w:p w14:paraId="29B95E6E">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质量标准</w:t>
            </w:r>
          </w:p>
        </w:tc>
        <w:tc>
          <w:tcPr>
            <w:tcW w:w="7544" w:type="dxa"/>
            <w:vAlign w:val="top"/>
          </w:tcPr>
          <w:p w14:paraId="586BE7A6">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☑质量目标：</w:t>
            </w:r>
            <w:r>
              <w:rPr>
                <w:rFonts w:hint="eastAsia" w:asciiTheme="minorEastAsia" w:hAnsiTheme="minorEastAsia" w:eastAsiaTheme="minorEastAsia" w:cstheme="minorEastAsia"/>
                <w:snapToGrid w:val="0"/>
                <w:color w:val="auto"/>
                <w:kern w:val="0"/>
                <w:sz w:val="21"/>
                <w:szCs w:val="21"/>
                <w:highlight w:val="none"/>
                <w:u w:val="single"/>
                <w:lang w:eastAsia="zh-CN"/>
              </w:rPr>
              <w:t>合格</w:t>
            </w:r>
          </w:p>
          <w:p w14:paraId="5B397B79">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☑质量标准：</w:t>
            </w:r>
            <w:r>
              <w:rPr>
                <w:rFonts w:hint="eastAsia" w:ascii="宋体" w:hAnsi="宋体" w:eastAsia="宋体" w:cs="宋体"/>
                <w:snapToGrid w:val="0"/>
                <w:color w:val="auto"/>
                <w:kern w:val="0"/>
                <w:sz w:val="22"/>
                <w:szCs w:val="22"/>
                <w:highlight w:val="none"/>
                <w:lang w:val="en-US" w:eastAsia="zh-CN"/>
              </w:rPr>
              <w:t xml:space="preserve"> 达到《建筑工程施工质量验收统一标准》(GB50300-2013)并且合格。</w:t>
            </w:r>
          </w:p>
          <w:p w14:paraId="054D070F">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□优质工程要求：</w:t>
            </w:r>
            <w:r>
              <w:rPr>
                <w:rFonts w:hint="eastAsia" w:asciiTheme="minorEastAsia" w:hAnsiTheme="minorEastAsia" w:eastAsiaTheme="minorEastAsia" w:cstheme="minorEastAsia"/>
                <w:snapToGrid w:val="0"/>
                <w:color w:val="auto"/>
                <w:kern w:val="0"/>
                <w:sz w:val="21"/>
                <w:szCs w:val="21"/>
                <w:highlight w:val="none"/>
                <w:u w:val="single"/>
                <w:lang w:eastAsia="zh-CN"/>
              </w:rPr>
              <w:t>无</w:t>
            </w:r>
            <w:r>
              <w:rPr>
                <w:rFonts w:hint="eastAsia" w:asciiTheme="minorEastAsia" w:hAnsiTheme="minorEastAsia" w:eastAsiaTheme="minorEastAsia" w:cstheme="minorEastAsia"/>
                <w:snapToGrid w:val="0"/>
                <w:color w:val="auto"/>
                <w:kern w:val="0"/>
                <w:sz w:val="21"/>
                <w:szCs w:val="21"/>
                <w:highlight w:val="none"/>
                <w:lang w:eastAsia="zh-CN"/>
              </w:rPr>
              <w:t>....</w:t>
            </w:r>
          </w:p>
          <w:p w14:paraId="6B00BF14">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eastAsia="zh-CN"/>
              </w:rPr>
              <w:t>工程优质费：☑无</w:t>
            </w:r>
            <w:r>
              <w:rPr>
                <w:rFonts w:hint="eastAsia" w:asciiTheme="minorEastAsia" w:hAnsiTheme="minorEastAsia" w:eastAsiaTheme="minorEastAsia" w:cstheme="minorEastAsia"/>
                <w:snapToGrid w:val="0"/>
                <w:color w:val="auto"/>
                <w:kern w:val="0"/>
                <w:sz w:val="21"/>
                <w:szCs w:val="21"/>
                <w:highlight w:val="none"/>
                <w:lang w:val="en-US" w:eastAsia="zh-CN"/>
              </w:rPr>
              <w:t xml:space="preserve"> </w:t>
            </w:r>
            <w:r>
              <w:rPr>
                <w:rFonts w:hint="eastAsia" w:asciiTheme="minorEastAsia" w:hAnsiTheme="minorEastAsia" w:eastAsiaTheme="minorEastAsia" w:cstheme="minorEastAsia"/>
                <w:snapToGrid w:val="0"/>
                <w:color w:val="auto"/>
                <w:kern w:val="0"/>
                <w:sz w:val="21"/>
                <w:szCs w:val="21"/>
                <w:highlight w:val="none"/>
                <w:lang w:eastAsia="zh-CN"/>
              </w:rPr>
              <w:t>□有：</w:t>
            </w:r>
            <w:r>
              <w:rPr>
                <w:rFonts w:hint="eastAsia" w:asciiTheme="minorEastAsia" w:hAnsiTheme="minorEastAsia" w:eastAsiaTheme="minorEastAsia" w:cstheme="minorEastAsia"/>
                <w:snapToGrid w:val="0"/>
                <w:color w:val="auto"/>
                <w:kern w:val="0"/>
                <w:sz w:val="21"/>
                <w:szCs w:val="21"/>
                <w:highlight w:val="none"/>
                <w:lang w:val="en-US" w:eastAsia="zh-CN"/>
              </w:rPr>
              <w:t>/</w:t>
            </w:r>
          </w:p>
        </w:tc>
      </w:tr>
      <w:tr w14:paraId="27686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63" w:hRule="atLeast"/>
        </w:trPr>
        <w:tc>
          <w:tcPr>
            <w:tcW w:w="582" w:type="dxa"/>
            <w:vMerge w:val="restart"/>
            <w:vAlign w:val="center"/>
          </w:tcPr>
          <w:p w14:paraId="4BC67C17">
            <w:pPr>
              <w:spacing w:before="57" w:line="195"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8"/>
                <w:sz w:val="21"/>
                <w:szCs w:val="21"/>
                <w:highlight w:val="none"/>
              </w:rPr>
              <w:t>18</w:t>
            </w:r>
          </w:p>
        </w:tc>
        <w:tc>
          <w:tcPr>
            <w:tcW w:w="1860" w:type="dxa"/>
            <w:vMerge w:val="restart"/>
            <w:vAlign w:val="center"/>
          </w:tcPr>
          <w:p w14:paraId="7C8582BA">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合同类型</w:t>
            </w:r>
          </w:p>
        </w:tc>
        <w:tc>
          <w:tcPr>
            <w:tcW w:w="7544" w:type="dxa"/>
            <w:vAlign w:val="top"/>
          </w:tcPr>
          <w:p w14:paraId="32295EBF">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☑单价合同：发承包双方约定以工程量清单及其综合单价进行合同价款计算、调整和确认的建设工程施工合同。</w:t>
            </w:r>
          </w:p>
          <w:p w14:paraId="2158BF31">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注：实行工程量清单计价的工程，应采用单价合同方式，即合同中的工程量清单项目综合单价在合同约定的条件内固定不变（不正常报价除外，这部分按招标文件、合同约定的原则调整综合单价），超过合同约定条件时，依据合同约定进行调整；工程量清单项目及工程量依据承包人实际完成且应予计量的工程量确定。</w:t>
            </w:r>
          </w:p>
        </w:tc>
      </w:tr>
      <w:tr w14:paraId="219FD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8" w:hRule="atLeast"/>
        </w:trPr>
        <w:tc>
          <w:tcPr>
            <w:tcW w:w="582" w:type="dxa"/>
            <w:vMerge w:val="continue"/>
            <w:vAlign w:val="center"/>
          </w:tcPr>
          <w:p w14:paraId="2941AE80">
            <w:pPr>
              <w:spacing w:before="57" w:line="195" w:lineRule="auto"/>
              <w:jc w:val="center"/>
              <w:rPr>
                <w:rFonts w:hint="eastAsia" w:asciiTheme="minorEastAsia" w:hAnsiTheme="minorEastAsia" w:eastAsiaTheme="minorEastAsia" w:cstheme="minorEastAsia"/>
                <w:color w:val="auto"/>
                <w:spacing w:val="-8"/>
                <w:sz w:val="21"/>
                <w:szCs w:val="21"/>
                <w:highlight w:val="none"/>
              </w:rPr>
            </w:pPr>
          </w:p>
        </w:tc>
        <w:tc>
          <w:tcPr>
            <w:tcW w:w="1860" w:type="dxa"/>
            <w:vMerge w:val="continue"/>
            <w:vAlign w:val="center"/>
          </w:tcPr>
          <w:p w14:paraId="035DBDEF">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p>
        </w:tc>
        <w:tc>
          <w:tcPr>
            <w:tcW w:w="7544" w:type="dxa"/>
            <w:vAlign w:val="top"/>
          </w:tcPr>
          <w:p w14:paraId="7E667DD2">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 xml:space="preserve">□总价合同：发承包双方约定以施工图及其预算和有关条件进行合同价款计算、调整和确认的建设工程施工合同。 </w:t>
            </w:r>
          </w:p>
          <w:p w14:paraId="29EEDD8A">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注：总价合同是以施工图纸、规范为基础，在工程任务内容明确、发包人的要求条件清楚、计价依据和要求确定的条件下，发承包双方依据承包人编制的施工图预算商谈确定合同价款。当合同约定工程施工内容和有关条件不发生变化时，发包人付给承包人的工程价款总额保持不变。当工程施工内容和有关条件发生变化时，发承包双方根据变化情况和合同约定仅调整发生变化部分的工程价款，且对工程量变化引起的合同价款调整应遵循现行建设工程工程量清单计价规范原则。</w:t>
            </w:r>
          </w:p>
        </w:tc>
      </w:tr>
      <w:tr w14:paraId="0E6B3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2" w:hRule="atLeast"/>
        </w:trPr>
        <w:tc>
          <w:tcPr>
            <w:tcW w:w="582" w:type="dxa"/>
            <w:vAlign w:val="center"/>
          </w:tcPr>
          <w:p w14:paraId="5972A2CD">
            <w:pPr>
              <w:spacing w:before="19"/>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8"/>
                <w:sz w:val="21"/>
                <w:szCs w:val="21"/>
                <w:highlight w:val="none"/>
              </w:rPr>
              <w:t>19</w:t>
            </w:r>
          </w:p>
        </w:tc>
        <w:tc>
          <w:tcPr>
            <w:tcW w:w="1860" w:type="dxa"/>
            <w:vAlign w:val="center"/>
          </w:tcPr>
          <w:p w14:paraId="2898AA7D">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房屋建筑工程绿色建筑标准</w:t>
            </w:r>
          </w:p>
        </w:tc>
        <w:tc>
          <w:tcPr>
            <w:tcW w:w="7544" w:type="dxa"/>
            <w:vAlign w:val="center"/>
          </w:tcPr>
          <w:p w14:paraId="43CBE360">
            <w:pPr>
              <w:pageBreakBefore w:val="0"/>
              <w:widowControl w:val="0"/>
              <w:kinsoku/>
              <w:wordWrap w:val="0"/>
              <w:overflowPunct/>
              <w:topLinePunct w:val="0"/>
              <w:autoSpaceDE/>
              <w:autoSpaceDN/>
              <w:bidi w:val="0"/>
              <w:adjustRightInd w:val="0"/>
              <w:snapToGrid w:val="0"/>
              <w:spacing w:line="400" w:lineRule="exact"/>
              <w:ind w:firstLine="210" w:firstLineChars="100"/>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本招标项目</w:t>
            </w:r>
            <w:r>
              <w:rPr>
                <w:rFonts w:hint="eastAsia" w:asciiTheme="minorEastAsia" w:hAnsiTheme="minorEastAsia" w:eastAsiaTheme="minorEastAsia" w:cstheme="minorEastAsia"/>
                <w:snapToGrid w:val="0"/>
                <w:color w:val="auto"/>
                <w:kern w:val="0"/>
                <w:sz w:val="21"/>
                <w:szCs w:val="21"/>
                <w:highlight w:val="none"/>
                <w:u w:val="single"/>
                <w:lang w:val="en-US" w:eastAsia="zh-CN"/>
              </w:rPr>
              <w:t>不</w:t>
            </w:r>
            <w:r>
              <w:rPr>
                <w:rFonts w:hint="eastAsia" w:asciiTheme="minorEastAsia" w:hAnsiTheme="minorEastAsia" w:eastAsiaTheme="minorEastAsia" w:cstheme="minorEastAsia"/>
                <w:snapToGrid w:val="0"/>
                <w:color w:val="auto"/>
                <w:kern w:val="0"/>
                <w:sz w:val="21"/>
                <w:szCs w:val="21"/>
                <w:highlight w:val="none"/>
                <w:lang w:eastAsia="zh-CN"/>
              </w:rPr>
              <w:t>纳入绿色建设实施范围。</w:t>
            </w:r>
          </w:p>
        </w:tc>
      </w:tr>
      <w:tr w14:paraId="76353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0" w:hRule="atLeast"/>
        </w:trPr>
        <w:tc>
          <w:tcPr>
            <w:tcW w:w="582" w:type="dxa"/>
            <w:vAlign w:val="center"/>
          </w:tcPr>
          <w:p w14:paraId="73257DF0">
            <w:pPr>
              <w:spacing w:before="58" w:line="195"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3"/>
                <w:sz w:val="21"/>
                <w:szCs w:val="21"/>
                <w:highlight w:val="none"/>
              </w:rPr>
              <w:t>19.</w:t>
            </w:r>
            <w:r>
              <w:rPr>
                <w:rFonts w:hint="eastAsia" w:asciiTheme="minorEastAsia" w:hAnsiTheme="minorEastAsia" w:eastAsiaTheme="minorEastAsia" w:cstheme="minorEastAsia"/>
                <w:color w:val="auto"/>
                <w:spacing w:val="-26"/>
                <w:sz w:val="21"/>
                <w:szCs w:val="21"/>
                <w:highlight w:val="none"/>
              </w:rPr>
              <w:t xml:space="preserve"> </w:t>
            </w:r>
            <w:r>
              <w:rPr>
                <w:rFonts w:hint="eastAsia" w:asciiTheme="minorEastAsia" w:hAnsiTheme="minorEastAsia" w:eastAsiaTheme="minorEastAsia" w:cstheme="minorEastAsia"/>
                <w:color w:val="auto"/>
                <w:spacing w:val="-3"/>
                <w:sz w:val="21"/>
                <w:szCs w:val="21"/>
                <w:highlight w:val="none"/>
              </w:rPr>
              <w:t>1</w:t>
            </w:r>
          </w:p>
        </w:tc>
        <w:tc>
          <w:tcPr>
            <w:tcW w:w="1860" w:type="dxa"/>
            <w:vAlign w:val="center"/>
          </w:tcPr>
          <w:p w14:paraId="25980190">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装配式建筑标准</w:t>
            </w:r>
          </w:p>
        </w:tc>
        <w:tc>
          <w:tcPr>
            <w:tcW w:w="7544" w:type="dxa"/>
            <w:vAlign w:val="center"/>
          </w:tcPr>
          <w:p w14:paraId="654C85A5">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本招标项目</w:t>
            </w:r>
            <w:r>
              <w:rPr>
                <w:rFonts w:hint="eastAsia" w:asciiTheme="minorEastAsia" w:hAnsiTheme="minorEastAsia" w:eastAsiaTheme="minorEastAsia" w:cstheme="minorEastAsia"/>
                <w:snapToGrid w:val="0"/>
                <w:color w:val="auto"/>
                <w:kern w:val="0"/>
                <w:sz w:val="21"/>
                <w:szCs w:val="21"/>
                <w:highlight w:val="none"/>
                <w:u w:val="single"/>
                <w:lang w:val="en-US" w:eastAsia="zh-CN"/>
              </w:rPr>
              <w:t>不</w:t>
            </w:r>
            <w:r>
              <w:rPr>
                <w:rFonts w:hint="eastAsia" w:asciiTheme="minorEastAsia" w:hAnsiTheme="minorEastAsia" w:eastAsiaTheme="minorEastAsia" w:cstheme="minorEastAsia"/>
                <w:snapToGrid w:val="0"/>
                <w:color w:val="auto"/>
                <w:kern w:val="0"/>
                <w:sz w:val="21"/>
                <w:szCs w:val="21"/>
                <w:highlight w:val="none"/>
                <w:lang w:eastAsia="zh-CN"/>
              </w:rPr>
              <w:t>纳入装配式建造建设实施范围。</w:t>
            </w:r>
          </w:p>
        </w:tc>
      </w:tr>
      <w:tr w14:paraId="5ABB3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582" w:type="dxa"/>
            <w:vAlign w:val="center"/>
          </w:tcPr>
          <w:p w14:paraId="6F56262D">
            <w:pPr>
              <w:spacing w:before="69" w:line="188"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3"/>
                <w:sz w:val="21"/>
                <w:szCs w:val="21"/>
                <w:highlight w:val="none"/>
              </w:rPr>
              <w:t>20</w:t>
            </w:r>
          </w:p>
        </w:tc>
        <w:tc>
          <w:tcPr>
            <w:tcW w:w="1860" w:type="dxa"/>
            <w:vAlign w:val="center"/>
          </w:tcPr>
          <w:p w14:paraId="7A9699B3">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发包人提供材料和工程设备</w:t>
            </w:r>
          </w:p>
        </w:tc>
        <w:tc>
          <w:tcPr>
            <w:tcW w:w="7544" w:type="dxa"/>
            <w:vAlign w:val="center"/>
          </w:tcPr>
          <w:p w14:paraId="041C9A4A">
            <w:pPr>
              <w:pageBreakBefore w:val="0"/>
              <w:widowControl w:val="0"/>
              <w:kinsoku/>
              <w:wordWrap w:val="0"/>
              <w:overflowPunct/>
              <w:topLinePunct w:val="0"/>
              <w:autoSpaceDE/>
              <w:autoSpaceDN/>
              <w:bidi w:val="0"/>
              <w:adjustRightInd w:val="0"/>
              <w:snapToGrid w:val="0"/>
              <w:spacing w:line="400" w:lineRule="exact"/>
              <w:ind w:firstLine="210" w:firstLineChars="100"/>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发包人提供材料和工程设备： ☑无     □有：</w:t>
            </w:r>
          </w:p>
        </w:tc>
      </w:tr>
      <w:tr w14:paraId="09BD7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55" w:hRule="atLeast"/>
        </w:trPr>
        <w:tc>
          <w:tcPr>
            <w:tcW w:w="582" w:type="dxa"/>
            <w:vAlign w:val="center"/>
          </w:tcPr>
          <w:p w14:paraId="2A7C3934">
            <w:pPr>
              <w:spacing w:before="69" w:line="188"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3"/>
                <w:sz w:val="21"/>
                <w:szCs w:val="21"/>
                <w:highlight w:val="none"/>
              </w:rPr>
              <w:t>21</w:t>
            </w:r>
          </w:p>
        </w:tc>
        <w:tc>
          <w:tcPr>
            <w:tcW w:w="1860" w:type="dxa"/>
            <w:vAlign w:val="center"/>
          </w:tcPr>
          <w:p w14:paraId="2B19F4DA">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承包人提供材料和工程设备</w:t>
            </w:r>
          </w:p>
        </w:tc>
        <w:tc>
          <w:tcPr>
            <w:tcW w:w="7544" w:type="dxa"/>
            <w:vAlign w:val="top"/>
          </w:tcPr>
          <w:p w14:paraId="25B336F4">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除招标文件约定的发包人提供的甲供材料外，合同工程所需的材料和工程设备应由承包人负责采购、运输和保管，并对其采购的材料和工程设备提供质量证明文件，满足合同约定的质量标准。若承包人提供的材料和工程设备没有合格证明材料或经检测不符合合同约定 的质量标准，应立即更换，由此增加的费用和（或）工期延误由承包人承担。对发包人要求检测承包人己具有合格证明的材料、工程设备，但经检测证明该项材料、工程设备符合合同约定的质量标准的，发包人应承担由此增加的费用和（或）工期延误，并向承包人支付合理利润。</w:t>
            </w:r>
          </w:p>
          <w:p w14:paraId="11881E83">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□其它说明：鼓励承包人积极采购环保产品进行施工。</w:t>
            </w:r>
          </w:p>
        </w:tc>
      </w:tr>
      <w:tr w14:paraId="4B494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80" w:hRule="atLeast"/>
        </w:trPr>
        <w:tc>
          <w:tcPr>
            <w:tcW w:w="582" w:type="dxa"/>
            <w:vAlign w:val="center"/>
          </w:tcPr>
          <w:p w14:paraId="5BDE6007">
            <w:pPr>
              <w:spacing w:before="69" w:line="188"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3"/>
                <w:sz w:val="21"/>
                <w:szCs w:val="21"/>
                <w:highlight w:val="none"/>
              </w:rPr>
              <w:t>22</w:t>
            </w:r>
          </w:p>
        </w:tc>
        <w:tc>
          <w:tcPr>
            <w:tcW w:w="1860" w:type="dxa"/>
            <w:vAlign w:val="center"/>
          </w:tcPr>
          <w:p w14:paraId="079BF0EA">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最高投标限价</w:t>
            </w:r>
          </w:p>
        </w:tc>
        <w:tc>
          <w:tcPr>
            <w:tcW w:w="7544" w:type="dxa"/>
            <w:vAlign w:val="center"/>
          </w:tcPr>
          <w:p w14:paraId="00DC73E7">
            <w:pPr>
              <w:pageBreakBefore w:val="0"/>
              <w:widowControl w:val="0"/>
              <w:kinsoku/>
              <w:wordWrap w:val="0"/>
              <w:overflowPunct/>
              <w:topLinePunct w:val="0"/>
              <w:autoSpaceDE/>
              <w:autoSpaceDN/>
              <w:bidi w:val="0"/>
              <w:adjustRightInd w:val="0"/>
              <w:snapToGrid w:val="0"/>
              <w:spacing w:line="400" w:lineRule="exact"/>
              <w:ind w:left="0" w:leftChars="0" w:firstLine="401" w:firstLineChars="1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本项目最高投标限价、工程量清单、图纸最终以补充公告形式在开标前15天另行发布于相关网站，各投标人可在全国公共资源交易平台（广东省·韶关市）（https://ygp.gdzwfw.gov.cn/ggzy-portal/#/440200/index）自行下载。</w:t>
            </w:r>
          </w:p>
        </w:tc>
      </w:tr>
      <w:tr w14:paraId="4E4F5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82" w:hRule="atLeast"/>
        </w:trPr>
        <w:tc>
          <w:tcPr>
            <w:tcW w:w="582" w:type="dxa"/>
            <w:vAlign w:val="center"/>
          </w:tcPr>
          <w:p w14:paraId="3E0E6845">
            <w:pPr>
              <w:spacing w:before="69" w:line="188"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3"/>
                <w:sz w:val="21"/>
                <w:szCs w:val="21"/>
                <w:highlight w:val="none"/>
              </w:rPr>
              <w:t>23</w:t>
            </w:r>
          </w:p>
        </w:tc>
        <w:tc>
          <w:tcPr>
            <w:tcW w:w="1860" w:type="dxa"/>
            <w:vAlign w:val="center"/>
          </w:tcPr>
          <w:p w14:paraId="0D0D0A18">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投标人的投标报价</w:t>
            </w:r>
          </w:p>
        </w:tc>
        <w:tc>
          <w:tcPr>
            <w:tcW w:w="7544" w:type="dxa"/>
            <w:vAlign w:val="center"/>
          </w:tcPr>
          <w:p w14:paraId="7133753C">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人投标时响应招标文件要求所报出的对已标价工程量清单汇总后标明的总价。投标人在投标报价填写的工程量清单的项目编码、项目名称、项目特征、计量单位、工程数量必须与招标人招标文件中提供的一致，投标价不能低于工程成本、高于最高投标限价。</w:t>
            </w:r>
          </w:p>
          <w:p w14:paraId="01DD1AEE">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投标报价方式： ☑工程量清单报</w:t>
            </w:r>
          </w:p>
        </w:tc>
      </w:tr>
      <w:tr w14:paraId="664FC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582" w:type="dxa"/>
            <w:vAlign w:val="center"/>
          </w:tcPr>
          <w:p w14:paraId="2B41BF8F">
            <w:pPr>
              <w:spacing w:before="69" w:line="188"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3"/>
                <w:sz w:val="21"/>
                <w:szCs w:val="21"/>
                <w:highlight w:val="none"/>
              </w:rPr>
              <w:t>24</w:t>
            </w:r>
          </w:p>
        </w:tc>
        <w:tc>
          <w:tcPr>
            <w:tcW w:w="1860" w:type="dxa"/>
            <w:vAlign w:val="center"/>
          </w:tcPr>
          <w:p w14:paraId="1820F47A">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投标报价风险</w:t>
            </w:r>
          </w:p>
        </w:tc>
        <w:tc>
          <w:tcPr>
            <w:tcW w:w="7544" w:type="dxa"/>
            <w:vAlign w:val="center"/>
          </w:tcPr>
          <w:p w14:paraId="2E356AE8">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☑投标人依据招标文件约定自行考虑风险因素，一旦中标，投标报价（合同价）除合同另有约定外将不因市场变化而调整。</w:t>
            </w:r>
          </w:p>
          <w:p w14:paraId="0602711F">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☑投标报价中应包括工程量清单项目所发生的人工费、材料费、机具费、管理费、利润、措施项目费、其它项目费、税金、暂列金额、暂估价以及所有风险、责任等各项费用。</w:t>
            </w:r>
          </w:p>
          <w:p w14:paraId="6588B200">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☑人工费、材料费、机具费、管理费、利润、措施项目费（不含</w:t>
            </w:r>
            <w:r>
              <w:rPr>
                <w:rFonts w:hint="eastAsia" w:asciiTheme="minorEastAsia" w:hAnsiTheme="minorEastAsia" w:eastAsiaTheme="minorEastAsia" w:cstheme="minorEastAsia"/>
                <w:snapToGrid w:val="0"/>
                <w:color w:val="auto"/>
                <w:kern w:val="0"/>
                <w:sz w:val="21"/>
                <w:szCs w:val="21"/>
                <w:highlight w:val="none"/>
                <w:lang w:val="en-US" w:eastAsia="zh-CN"/>
              </w:rPr>
              <w:t>安全生产措施费</w:t>
            </w:r>
            <w:r>
              <w:rPr>
                <w:rFonts w:hint="eastAsia" w:asciiTheme="minorEastAsia" w:hAnsiTheme="minorEastAsia" w:eastAsiaTheme="minorEastAsia" w:cstheme="minorEastAsia"/>
                <w:snapToGrid w:val="0"/>
                <w:color w:val="auto"/>
                <w:kern w:val="0"/>
                <w:sz w:val="21"/>
                <w:szCs w:val="21"/>
                <w:highlight w:val="none"/>
                <w:lang w:eastAsia="zh-CN"/>
              </w:rPr>
              <w:t>）投标人漏报或不报，招标人视为有关费用已包括在工程量清单项目的其它单价及合价中不予另外增加。</w:t>
            </w:r>
          </w:p>
          <w:p w14:paraId="648E63A9">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b/>
                <w:bCs/>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w:t>
            </w:r>
            <w:r>
              <w:rPr>
                <w:rFonts w:hint="eastAsia" w:asciiTheme="minorEastAsia" w:hAnsiTheme="minorEastAsia" w:eastAsiaTheme="minorEastAsia" w:cstheme="minorEastAsia"/>
                <w:b/>
                <w:bCs/>
                <w:snapToGrid w:val="0"/>
                <w:color w:val="auto"/>
                <w:kern w:val="0"/>
                <w:sz w:val="21"/>
                <w:szCs w:val="21"/>
                <w:highlight w:val="none"/>
                <w:lang w:eastAsia="zh-CN"/>
              </w:rPr>
              <w:t>措施项目中的安全生产措施应单独列项，费用不可竞争，且应符合《企业安全生产费用提取和使用管理办法》（财资〔2022〕136号）及我省有关文件规定。</w:t>
            </w:r>
          </w:p>
          <w:p w14:paraId="7D8A46B4">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☑投标人应按照招标文件提供的工程量清单逐项填写单价和合价，投标人未填写的项目，招标人将视为此项费用已包括在工程量清单项目的其它单价及合价中不予另外增加。</w:t>
            </w:r>
          </w:p>
          <w:p w14:paraId="58860A49">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☑投标人应按《建设工程工程量清单计价标准》（GB/T 50500-2024）规定的费率对预算包干费进行报价，若招标工程量清单明确说明不计算预算包干费或另外确定预算包干费费率的，则按招标工程量清单报价，若投标人不按规定报价的，则中标后无条件接受招标人对投标报价的调整。</w:t>
            </w:r>
          </w:p>
          <w:p w14:paraId="1EFA5244">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☑招标人向投标人提供的有关施工现场资料及数据，是招标人现有的能使投标人利用的资料，招标人对投标人据此作出的推论及理解概不负责。</w:t>
            </w:r>
          </w:p>
          <w:p w14:paraId="4E438C37">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人应依据招标人提供的所有资料和自己对现场查勘来编制投标文件，并对招标人提供的所有资料的理解、推断和应用负责。在投标人提交其投标文件之前，视为已经考虑了现场及其周围环境的影响，中标后，不得以不完全了解现场情况为理由提出追加款项或者延长工期等索赔的要求。</w:t>
            </w:r>
          </w:p>
          <w:p w14:paraId="3893664C">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☑错漏项的认定。中标人已标价工程量清单中，任一清单项目未填报价格或价格为零的，招标人将视为此项费用已包括在工程量清单项目的其它单价及合价中不予另外增加。</w:t>
            </w:r>
          </w:p>
        </w:tc>
      </w:tr>
      <w:tr w14:paraId="66E56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2" w:hRule="atLeast"/>
        </w:trPr>
        <w:tc>
          <w:tcPr>
            <w:tcW w:w="582" w:type="dxa"/>
            <w:vAlign w:val="center"/>
          </w:tcPr>
          <w:p w14:paraId="6414FDC8">
            <w:pPr>
              <w:spacing w:before="284" w:line="188"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3"/>
                <w:sz w:val="21"/>
                <w:szCs w:val="21"/>
                <w:highlight w:val="none"/>
              </w:rPr>
              <w:t>25</w:t>
            </w:r>
          </w:p>
        </w:tc>
        <w:tc>
          <w:tcPr>
            <w:tcW w:w="1860" w:type="dxa"/>
            <w:vAlign w:val="center"/>
          </w:tcPr>
          <w:p w14:paraId="4C71A8E1">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投标费用</w:t>
            </w:r>
          </w:p>
        </w:tc>
        <w:tc>
          <w:tcPr>
            <w:tcW w:w="7544" w:type="dxa"/>
            <w:vAlign w:val="center"/>
          </w:tcPr>
          <w:p w14:paraId="225B857F">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投标人自行承担编制与递交投标文件的一切费用。</w:t>
            </w:r>
          </w:p>
        </w:tc>
      </w:tr>
      <w:tr w14:paraId="68738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2" w:hRule="atLeast"/>
        </w:trPr>
        <w:tc>
          <w:tcPr>
            <w:tcW w:w="582" w:type="dxa"/>
            <w:vAlign w:val="center"/>
          </w:tcPr>
          <w:p w14:paraId="3F9BB325">
            <w:pPr>
              <w:spacing w:before="284" w:line="188" w:lineRule="auto"/>
              <w:jc w:val="center"/>
              <w:rPr>
                <w:rFonts w:hint="default" w:asciiTheme="minorEastAsia" w:hAnsiTheme="minorEastAsia" w:eastAsiaTheme="minorEastAsia" w:cstheme="minorEastAsia"/>
                <w:color w:val="auto"/>
                <w:spacing w:val="-3"/>
                <w:sz w:val="21"/>
                <w:szCs w:val="21"/>
                <w:highlight w:val="none"/>
                <w:lang w:val="en-US" w:eastAsia="zh-CN"/>
              </w:rPr>
            </w:pPr>
            <w:r>
              <w:rPr>
                <w:rFonts w:hint="eastAsia" w:asciiTheme="minorEastAsia" w:hAnsiTheme="minorEastAsia" w:eastAsiaTheme="minorEastAsia" w:cstheme="minorEastAsia"/>
                <w:color w:val="auto"/>
                <w:spacing w:val="-3"/>
                <w:sz w:val="21"/>
                <w:szCs w:val="21"/>
                <w:highlight w:val="none"/>
                <w:lang w:val="en-US" w:eastAsia="zh-CN"/>
              </w:rPr>
              <w:t>26</w:t>
            </w:r>
          </w:p>
        </w:tc>
        <w:tc>
          <w:tcPr>
            <w:tcW w:w="1860" w:type="dxa"/>
            <w:vAlign w:val="center"/>
          </w:tcPr>
          <w:p w14:paraId="2F647BDB">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成本警示价</w:t>
            </w:r>
          </w:p>
        </w:tc>
        <w:tc>
          <w:tcPr>
            <w:tcW w:w="7544" w:type="dxa"/>
            <w:vAlign w:val="center"/>
          </w:tcPr>
          <w:p w14:paraId="2CB7F0A5">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投标报价要求：</w:t>
            </w:r>
          </w:p>
          <w:p w14:paraId="444583B0">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⑴投标人的投标报价不得高于招标人设置的最高投标限价，否则作无效投标处理；</w:t>
            </w:r>
          </w:p>
          <w:p w14:paraId="2B757D30">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⑵投标人的投标报价如低于招标项目的成本警示价的，需提供成本分析资料等报价依据。（成本警示价＝最高投标限价×85%）</w:t>
            </w:r>
          </w:p>
        </w:tc>
      </w:tr>
      <w:tr w14:paraId="5FFFB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8" w:hRule="atLeast"/>
        </w:trPr>
        <w:tc>
          <w:tcPr>
            <w:tcW w:w="582" w:type="dxa"/>
            <w:vAlign w:val="center"/>
          </w:tcPr>
          <w:p w14:paraId="7A4811E9">
            <w:pPr>
              <w:spacing w:before="69" w:line="188" w:lineRule="auto"/>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pacing w:val="-3"/>
                <w:sz w:val="21"/>
                <w:szCs w:val="21"/>
                <w:highlight w:val="none"/>
              </w:rPr>
              <w:t>2</w:t>
            </w:r>
            <w:r>
              <w:rPr>
                <w:rFonts w:hint="eastAsia" w:asciiTheme="minorEastAsia" w:hAnsiTheme="minorEastAsia" w:eastAsiaTheme="minorEastAsia" w:cstheme="minorEastAsia"/>
                <w:color w:val="auto"/>
                <w:spacing w:val="-3"/>
                <w:sz w:val="21"/>
                <w:szCs w:val="21"/>
                <w:highlight w:val="none"/>
                <w:lang w:val="en-US" w:eastAsia="zh-CN"/>
              </w:rPr>
              <w:t>7</w:t>
            </w:r>
          </w:p>
        </w:tc>
        <w:tc>
          <w:tcPr>
            <w:tcW w:w="1860" w:type="dxa"/>
            <w:vAlign w:val="center"/>
          </w:tcPr>
          <w:p w14:paraId="0786E8BE">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投标人资格要求</w:t>
            </w:r>
          </w:p>
        </w:tc>
        <w:tc>
          <w:tcPr>
            <w:tcW w:w="7544" w:type="dxa"/>
            <w:vAlign w:val="center"/>
          </w:tcPr>
          <w:p w14:paraId="1F0406C4">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1.本次招标不接受联合体投标。</w:t>
            </w:r>
          </w:p>
          <w:p w14:paraId="249C9AEA">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2．资质要求</w:t>
            </w:r>
          </w:p>
          <w:p w14:paraId="64899B78">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2.1 投标人须具备独立法人资格，按国家法律经营。</w:t>
            </w:r>
          </w:p>
          <w:p w14:paraId="710042AB">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2.2 投标人须持有建设行政主管部门颁发的企业资质证书及安全生产许可证。</w:t>
            </w:r>
          </w:p>
          <w:p w14:paraId="42052BA0">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2.3 投标人须具备以下资质：</w:t>
            </w:r>
            <w:r>
              <w:rPr>
                <w:rFonts w:hint="eastAsia" w:asciiTheme="minorEastAsia" w:hAnsiTheme="minorEastAsia" w:eastAsiaTheme="minorEastAsia" w:cstheme="minorEastAsia"/>
                <w:snapToGrid w:val="0"/>
                <w:color w:val="auto"/>
                <w:kern w:val="0"/>
                <w:sz w:val="21"/>
                <w:szCs w:val="21"/>
                <w:highlight w:val="none"/>
                <w:u w:val="single"/>
                <w:lang w:eastAsia="zh-CN"/>
              </w:rPr>
              <w:t>须持有建设行政主管部门颁发的建筑工程施工总承包三级以上（含三级）资质证书</w:t>
            </w:r>
            <w:r>
              <w:rPr>
                <w:rFonts w:hint="eastAsia" w:asciiTheme="minorEastAsia" w:hAnsiTheme="minorEastAsia" w:eastAsiaTheme="minorEastAsia" w:cstheme="minorEastAsia"/>
                <w:snapToGrid w:val="0"/>
                <w:color w:val="auto"/>
                <w:kern w:val="0"/>
                <w:sz w:val="21"/>
                <w:szCs w:val="21"/>
                <w:highlight w:val="none"/>
                <w:lang w:eastAsia="zh-CN"/>
              </w:rPr>
              <w:t>。</w:t>
            </w:r>
          </w:p>
          <w:p w14:paraId="60E86E35">
            <w:pPr>
              <w:pageBreakBefore w:val="0"/>
              <w:widowControl w:val="0"/>
              <w:kinsoku/>
              <w:wordWrap w:val="0"/>
              <w:overflowPunct/>
              <w:topLinePunct w:val="0"/>
              <w:autoSpaceDE/>
              <w:autoSpaceDN/>
              <w:bidi w:val="0"/>
              <w:adjustRightInd w:val="0"/>
              <w:snapToGrid w:val="0"/>
              <w:spacing w:line="400" w:lineRule="exact"/>
              <w:ind w:left="0" w:leftChars="0" w:right="5" w:righ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 xml:space="preserve">2.4 </w:t>
            </w:r>
            <w:r>
              <w:rPr>
                <w:rFonts w:hint="eastAsia" w:asciiTheme="minorEastAsia" w:hAnsiTheme="minorEastAsia" w:eastAsiaTheme="minorEastAsia" w:cstheme="minorEastAsia"/>
                <w:snapToGrid w:val="0"/>
                <w:color w:val="auto"/>
                <w:kern w:val="0"/>
                <w:sz w:val="21"/>
                <w:szCs w:val="21"/>
                <w:highlight w:val="none"/>
                <w:lang w:val="en-US" w:eastAsia="zh-CN"/>
              </w:rPr>
              <w:t>根据有关文件精神，投标人的企业相关证书到期的，均按该证书的发证机构相关行业主管部门最新文件执行（如自动顺延或推迟办理延期业务的通知），投标人必须将相关文件附在该证书后面中，证明在开标日继续有效。</w:t>
            </w:r>
          </w:p>
          <w:p w14:paraId="0C01C18D">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3．相关人员要求</w:t>
            </w:r>
          </w:p>
          <w:p w14:paraId="6FC83032">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 xml:space="preserve">3.1  </w:t>
            </w:r>
            <w:r>
              <w:rPr>
                <w:rFonts w:hint="eastAsia" w:asciiTheme="minorEastAsia" w:hAnsiTheme="minorEastAsia" w:eastAsiaTheme="minorEastAsia" w:cstheme="minorEastAsia"/>
                <w:snapToGrid w:val="0"/>
                <w:color w:val="auto"/>
                <w:kern w:val="0"/>
                <w:sz w:val="21"/>
                <w:szCs w:val="21"/>
                <w:highlight w:val="none"/>
                <w:lang w:val="en-US" w:eastAsia="zh-CN"/>
              </w:rPr>
              <w:t>拟派项目经理为</w:t>
            </w:r>
            <w:r>
              <w:rPr>
                <w:rFonts w:hint="eastAsia" w:asciiTheme="minorEastAsia" w:hAnsiTheme="minorEastAsia" w:eastAsiaTheme="minorEastAsia" w:cstheme="minorEastAsia"/>
                <w:snapToGrid w:val="0"/>
                <w:color w:val="auto"/>
                <w:kern w:val="0"/>
                <w:sz w:val="21"/>
                <w:szCs w:val="21"/>
                <w:highlight w:val="none"/>
                <w:u w:val="single"/>
                <w:lang w:val="en-US" w:eastAsia="zh-CN"/>
              </w:rPr>
              <w:t xml:space="preserve"> 建筑工程 </w:t>
            </w:r>
            <w:r>
              <w:rPr>
                <w:rFonts w:hint="eastAsia" w:asciiTheme="minorEastAsia" w:hAnsiTheme="minorEastAsia" w:eastAsiaTheme="minorEastAsia" w:cstheme="minorEastAsia"/>
                <w:snapToGrid w:val="0"/>
                <w:color w:val="auto"/>
                <w:kern w:val="0"/>
                <w:sz w:val="21"/>
                <w:szCs w:val="21"/>
                <w:highlight w:val="none"/>
                <w:lang w:val="en-US" w:eastAsia="zh-CN"/>
              </w:rPr>
              <w:t>专业一级或二级注册建造师，应持有住建部门印发的在使用有效期内的有效电子注册证书（根据广东省住房和城乡建设厅（粤建市函〔2023〕469 号）文件精神，二级注册建造师可随注册企业在全国范围内执业）。同时均须具备有效安全生产考核合格证明（B 证），且未担任其他在施（包括已中标未开工、已开工未竣工）建设工程项目的项目经理</w:t>
            </w:r>
            <w:r>
              <w:rPr>
                <w:rFonts w:hint="eastAsia" w:asciiTheme="minorEastAsia" w:hAnsiTheme="minorEastAsia" w:eastAsiaTheme="minorEastAsia" w:cstheme="minorEastAsia"/>
                <w:snapToGrid w:val="0"/>
                <w:color w:val="auto"/>
                <w:kern w:val="0"/>
                <w:sz w:val="21"/>
                <w:szCs w:val="21"/>
                <w:highlight w:val="none"/>
                <w:lang w:eastAsia="zh-CN"/>
              </w:rPr>
              <w:t>。</w:t>
            </w:r>
          </w:p>
          <w:p w14:paraId="60D9B5CF">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3.2 拟派项目技术负责人须具备</w:t>
            </w:r>
            <w:r>
              <w:rPr>
                <w:rFonts w:hint="eastAsia" w:asciiTheme="minorEastAsia" w:hAnsiTheme="minorEastAsia" w:eastAsiaTheme="minorEastAsia" w:cstheme="minorEastAsia"/>
                <w:snapToGrid w:val="0"/>
                <w:color w:val="auto"/>
                <w:kern w:val="0"/>
                <w:sz w:val="21"/>
                <w:szCs w:val="21"/>
                <w:highlight w:val="none"/>
                <w:u w:val="single"/>
                <w:lang w:val="en-US" w:eastAsia="zh-CN"/>
              </w:rPr>
              <w:t>建筑</w:t>
            </w:r>
            <w:r>
              <w:rPr>
                <w:rFonts w:hint="eastAsia" w:asciiTheme="minorEastAsia" w:hAnsiTheme="minorEastAsia" w:eastAsiaTheme="minorEastAsia" w:cstheme="minorEastAsia"/>
                <w:snapToGrid w:val="0"/>
                <w:color w:val="auto"/>
                <w:kern w:val="0"/>
                <w:sz w:val="21"/>
                <w:szCs w:val="21"/>
                <w:highlight w:val="none"/>
                <w:u w:val="single"/>
                <w:lang w:eastAsia="zh-CN"/>
              </w:rPr>
              <w:t>工程</w:t>
            </w:r>
            <w:r>
              <w:rPr>
                <w:rFonts w:hint="eastAsia" w:asciiTheme="minorEastAsia" w:hAnsiTheme="minorEastAsia" w:eastAsiaTheme="minorEastAsia" w:cstheme="minorEastAsia"/>
                <w:snapToGrid w:val="0"/>
                <w:color w:val="auto"/>
                <w:kern w:val="0"/>
                <w:sz w:val="21"/>
                <w:szCs w:val="21"/>
                <w:highlight w:val="none"/>
                <w:u w:val="none"/>
                <w:lang w:val="en-US" w:eastAsia="zh-CN"/>
              </w:rPr>
              <w:t>类</w:t>
            </w:r>
            <w:r>
              <w:rPr>
                <w:rFonts w:hint="eastAsia" w:asciiTheme="minorEastAsia" w:hAnsiTheme="minorEastAsia" w:eastAsiaTheme="minorEastAsia" w:cstheme="minorEastAsia"/>
                <w:snapToGrid w:val="0"/>
                <w:color w:val="auto"/>
                <w:kern w:val="0"/>
                <w:sz w:val="21"/>
                <w:szCs w:val="21"/>
                <w:highlight w:val="none"/>
                <w:lang w:eastAsia="zh-CN"/>
              </w:rPr>
              <w:t>相关专业</w:t>
            </w:r>
            <w:r>
              <w:rPr>
                <w:rFonts w:hint="eastAsia" w:asciiTheme="minorEastAsia" w:hAnsiTheme="minorEastAsia" w:eastAsiaTheme="minorEastAsia" w:cstheme="minorEastAsia"/>
                <w:snapToGrid w:val="0"/>
                <w:color w:val="auto"/>
                <w:kern w:val="0"/>
                <w:sz w:val="21"/>
                <w:szCs w:val="21"/>
                <w:highlight w:val="none"/>
                <w:lang w:val="en-US" w:eastAsia="zh-CN"/>
              </w:rPr>
              <w:t>中</w:t>
            </w:r>
            <w:r>
              <w:rPr>
                <w:rFonts w:hint="eastAsia" w:asciiTheme="minorEastAsia" w:hAnsiTheme="minorEastAsia" w:eastAsiaTheme="minorEastAsia" w:cstheme="minorEastAsia"/>
                <w:snapToGrid w:val="0"/>
                <w:color w:val="auto"/>
                <w:kern w:val="0"/>
                <w:sz w:val="21"/>
                <w:szCs w:val="21"/>
                <w:highlight w:val="none"/>
                <w:lang w:eastAsia="zh-CN"/>
              </w:rPr>
              <w:t>级以上（含</w:t>
            </w:r>
            <w:r>
              <w:rPr>
                <w:rFonts w:hint="eastAsia" w:asciiTheme="minorEastAsia" w:hAnsiTheme="minorEastAsia" w:eastAsiaTheme="minorEastAsia" w:cstheme="minorEastAsia"/>
                <w:snapToGrid w:val="0"/>
                <w:color w:val="auto"/>
                <w:kern w:val="0"/>
                <w:sz w:val="21"/>
                <w:szCs w:val="21"/>
                <w:highlight w:val="none"/>
                <w:lang w:val="en-US" w:eastAsia="zh-CN"/>
              </w:rPr>
              <w:t>中</w:t>
            </w:r>
            <w:r>
              <w:rPr>
                <w:rFonts w:hint="eastAsia" w:asciiTheme="minorEastAsia" w:hAnsiTheme="minorEastAsia" w:eastAsiaTheme="minorEastAsia" w:cstheme="minorEastAsia"/>
                <w:snapToGrid w:val="0"/>
                <w:color w:val="auto"/>
                <w:kern w:val="0"/>
                <w:sz w:val="21"/>
                <w:szCs w:val="21"/>
                <w:highlight w:val="none"/>
                <w:lang w:eastAsia="zh-CN"/>
              </w:rPr>
              <w:t>级）技术职称。</w:t>
            </w:r>
          </w:p>
          <w:p w14:paraId="2030FE52">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 xml:space="preserve">3.3 投标人拟派专职安全生产管理人员须具备有效安全生产考核合格证明（C证，安全生产考核合格证书或“广东省建筑施工企业管理人员安全生产考核系统”考核合格信息打印页），且不少于 </w:t>
            </w:r>
            <w:r>
              <w:rPr>
                <w:rFonts w:hint="eastAsia" w:asciiTheme="minorEastAsia" w:hAnsiTheme="minorEastAsia" w:eastAsiaTheme="minorEastAsia" w:cstheme="minorEastAsia"/>
                <w:snapToGrid w:val="0"/>
                <w:color w:val="auto"/>
                <w:kern w:val="0"/>
                <w:sz w:val="21"/>
                <w:szCs w:val="21"/>
                <w:highlight w:val="none"/>
                <w:lang w:val="en-US" w:eastAsia="zh-CN"/>
              </w:rPr>
              <w:t>1</w:t>
            </w:r>
            <w:r>
              <w:rPr>
                <w:rFonts w:hint="eastAsia" w:asciiTheme="minorEastAsia" w:hAnsiTheme="minorEastAsia" w:eastAsiaTheme="minorEastAsia" w:cstheme="minorEastAsia"/>
                <w:snapToGrid w:val="0"/>
                <w:color w:val="auto"/>
                <w:kern w:val="0"/>
                <w:sz w:val="21"/>
                <w:szCs w:val="21"/>
                <w:highlight w:val="none"/>
                <w:lang w:eastAsia="zh-CN"/>
              </w:rPr>
              <w:t xml:space="preserve"> 人。</w:t>
            </w:r>
          </w:p>
          <w:p w14:paraId="21CFF584">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3.4 投标人（包括组成联合体的所有成员单位）与其拟派往本项目管理机构的所有人员之间必须具备合法、唯一的劳动聘用关系。拟派人员中具备注册执业资格的，其注册单位须与投标人保持一致（提供社保缴纳证明或劳动合同）。</w:t>
            </w:r>
          </w:p>
          <w:p w14:paraId="4626643C">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4 ．禁止投标条款：</w:t>
            </w:r>
          </w:p>
          <w:p w14:paraId="74FC1505">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4.1  投标人不得存在下列情形之一：</w:t>
            </w:r>
          </w:p>
          <w:p w14:paraId="6B9ABBEB">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（1）为招标人不具有独立法人资格的附属机构（单位）；</w:t>
            </w:r>
          </w:p>
          <w:p w14:paraId="633C9F80">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（2）为本招标项目前期准备提供设计或咨询服务的；</w:t>
            </w:r>
          </w:p>
          <w:p w14:paraId="7070AC11">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（3）与本招标项目的其他投标人为同一个单位负责人；</w:t>
            </w:r>
          </w:p>
          <w:p w14:paraId="49F4C832">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（4）与本招标项目的其他投标人存在控股、管理关系；</w:t>
            </w:r>
          </w:p>
          <w:p w14:paraId="29D809CB">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（5）为本招标项目的监理人；</w:t>
            </w:r>
          </w:p>
          <w:p w14:paraId="040C32BC">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（6）为本招标项目的代建人；</w:t>
            </w:r>
          </w:p>
          <w:p w14:paraId="249688B3">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（7）为本招标项目的招标代理机构；</w:t>
            </w:r>
          </w:p>
          <w:p w14:paraId="0D904BC3">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（8）与本招标项目的监理人或代建人或招标代理机构同为一个法定代表人；</w:t>
            </w:r>
          </w:p>
          <w:p w14:paraId="2A031264">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（9）与本招标项目的监理人或代建人或招标代理机构存在控股或参股关系；</w:t>
            </w:r>
          </w:p>
          <w:p w14:paraId="4426A53B">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（10）与本招标项目的监理人或代建人或招标代理机构存在相互任职或工作关系；</w:t>
            </w:r>
          </w:p>
          <w:p w14:paraId="033E4C88">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（11）被依法暂停或者取消投标资格；</w:t>
            </w:r>
          </w:p>
          <w:p w14:paraId="56D9D605">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（12）被责令停产停业、暂扣或者吊销许可证、暂扣或者吊销执照；</w:t>
            </w:r>
          </w:p>
          <w:p w14:paraId="1992EDFC">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（13）进入清算程序，或被宣告破产，或其他丧失履约能力的情形；</w:t>
            </w:r>
          </w:p>
          <w:p w14:paraId="56C62149">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（14）在最近三年内发生重大工程质量或安全问题（以相关行业 主管部门的行政处罚决定或司法机关出具的有关法律文书为准）；</w:t>
            </w:r>
          </w:p>
          <w:p w14:paraId="5C943DD5">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（15）被“信用中国 ”网站（https://www.creditchina.gov.cn）发布的《法人和非法人组织公共信用信息报告》列为严重失信主体名单的。</w:t>
            </w:r>
          </w:p>
          <w:p w14:paraId="51742BA2">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4.2  招标人拒绝以下名单中的单位参加本次投标：</w:t>
            </w:r>
          </w:p>
          <w:tbl>
            <w:tblPr>
              <w:tblStyle w:val="14"/>
              <w:tblW w:w="7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4"/>
              <w:gridCol w:w="3429"/>
              <w:gridCol w:w="2964"/>
            </w:tblGrid>
            <w:tr w14:paraId="118EC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674" w:type="dxa"/>
                  <w:vAlign w:val="center"/>
                </w:tcPr>
                <w:p w14:paraId="6CBCE8F7">
                  <w:pPr>
                    <w:pageBreakBefore w:val="0"/>
                    <w:widowControl w:val="0"/>
                    <w:kinsoku/>
                    <w:wordWrap w:val="0"/>
                    <w:overflowPunct/>
                    <w:topLinePunct w:val="0"/>
                    <w:autoSpaceDE/>
                    <w:autoSpaceDN/>
                    <w:bidi w:val="0"/>
                    <w:adjustRightInd w:val="0"/>
                    <w:snapToGrid w:val="0"/>
                    <w:spacing w:line="400" w:lineRule="exact"/>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序号</w:t>
                  </w:r>
                </w:p>
              </w:tc>
              <w:tc>
                <w:tcPr>
                  <w:tcW w:w="3429" w:type="dxa"/>
                  <w:vAlign w:val="center"/>
                </w:tcPr>
                <w:p w14:paraId="68D924EE">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单位名称</w:t>
                  </w:r>
                </w:p>
              </w:tc>
              <w:tc>
                <w:tcPr>
                  <w:tcW w:w="2964" w:type="dxa"/>
                  <w:vAlign w:val="center"/>
                </w:tcPr>
                <w:p w14:paraId="1ED3D5D0">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拒绝原因</w:t>
                  </w:r>
                </w:p>
              </w:tc>
            </w:tr>
            <w:tr w14:paraId="0248B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674" w:type="dxa"/>
                  <w:vAlign w:val="center"/>
                </w:tcPr>
                <w:p w14:paraId="222835B7">
                  <w:pPr>
                    <w:pStyle w:val="22"/>
                    <w:wordWrap w:val="0"/>
                    <w:adjustRightInd w:val="0"/>
                    <w:snapToGrid w:val="0"/>
                    <w:spacing w:line="340" w:lineRule="exact"/>
                    <w:jc w:val="center"/>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宋体" w:hAnsi="宋体" w:eastAsia="宋体" w:cs="宋体"/>
                      <w:snapToGrid w:val="0"/>
                      <w:color w:val="auto"/>
                      <w:kern w:val="0"/>
                      <w:sz w:val="21"/>
                      <w:szCs w:val="21"/>
                      <w:highlight w:val="none"/>
                    </w:rPr>
                    <w:t>1</w:t>
                  </w:r>
                </w:p>
              </w:tc>
              <w:tc>
                <w:tcPr>
                  <w:tcW w:w="3429" w:type="dxa"/>
                  <w:vAlign w:val="center"/>
                </w:tcPr>
                <w:p w14:paraId="3C439119">
                  <w:pPr>
                    <w:pStyle w:val="22"/>
                    <w:wordWrap w:val="0"/>
                    <w:adjustRightInd w:val="0"/>
                    <w:snapToGrid w:val="0"/>
                    <w:spacing w:line="340" w:lineRule="exact"/>
                    <w:jc w:val="left"/>
                    <w:rPr>
                      <w:rFonts w:hint="eastAsia" w:ascii="宋体" w:hAnsi="宋体" w:eastAsia="宋体" w:cs="宋体"/>
                      <w:color w:val="auto"/>
                      <w:sz w:val="21"/>
                      <w:szCs w:val="21"/>
                      <w:highlight w:val="none"/>
                      <w:lang w:val="en-US" w:eastAsia="zh-CN"/>
                    </w:rPr>
                  </w:pPr>
                  <w:r>
                    <w:rPr>
                      <w:rFonts w:hint="eastAsia" w:ascii="宋体" w:hAnsi="宋体" w:eastAsia="宋体" w:cs="宋体"/>
                      <w:snapToGrid w:val="0"/>
                      <w:color w:val="auto"/>
                      <w:kern w:val="0"/>
                      <w:sz w:val="21"/>
                      <w:szCs w:val="21"/>
                      <w:highlight w:val="none"/>
                      <w:lang w:eastAsia="zh-CN"/>
                    </w:rPr>
                    <w:t>仁化县丹霞旅游经济开发试验区管理委员会</w:t>
                  </w:r>
                </w:p>
              </w:tc>
              <w:tc>
                <w:tcPr>
                  <w:tcW w:w="2964" w:type="dxa"/>
                  <w:vAlign w:val="center"/>
                </w:tcPr>
                <w:p w14:paraId="49CCDC7E">
                  <w:pPr>
                    <w:pStyle w:val="22"/>
                    <w:wordWrap w:val="0"/>
                    <w:adjustRightInd w:val="0"/>
                    <w:snapToGrid w:val="0"/>
                    <w:spacing w:line="340" w:lineRule="exact"/>
                    <w:jc w:val="left"/>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rPr>
                    <w:t>为本招标项目的招标人</w:t>
                  </w:r>
                </w:p>
              </w:tc>
            </w:tr>
            <w:tr w14:paraId="538AA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674" w:type="dxa"/>
                  <w:vAlign w:val="center"/>
                </w:tcPr>
                <w:p w14:paraId="2BC09F4D">
                  <w:pPr>
                    <w:pStyle w:val="22"/>
                    <w:wordWrap w:val="0"/>
                    <w:adjustRightInd w:val="0"/>
                    <w:snapToGrid w:val="0"/>
                    <w:spacing w:line="340" w:lineRule="exact"/>
                    <w:jc w:val="center"/>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rPr>
                    <w:t>2</w:t>
                  </w:r>
                </w:p>
              </w:tc>
              <w:tc>
                <w:tcPr>
                  <w:tcW w:w="3429" w:type="dxa"/>
                  <w:vAlign w:val="center"/>
                </w:tcPr>
                <w:p w14:paraId="2B44927A">
                  <w:pPr>
                    <w:pStyle w:val="22"/>
                    <w:wordWrap w:val="0"/>
                    <w:adjustRightInd w:val="0"/>
                    <w:snapToGrid w:val="0"/>
                    <w:spacing w:line="340" w:lineRule="exact"/>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广东爱科工程咨询管理有限公司</w:t>
                  </w:r>
                </w:p>
              </w:tc>
              <w:tc>
                <w:tcPr>
                  <w:tcW w:w="2964" w:type="dxa"/>
                  <w:vAlign w:val="center"/>
                </w:tcPr>
                <w:p w14:paraId="2A87CD39">
                  <w:pPr>
                    <w:pStyle w:val="22"/>
                    <w:wordWrap w:val="0"/>
                    <w:adjustRightInd w:val="0"/>
                    <w:snapToGrid w:val="0"/>
                    <w:spacing w:line="340" w:lineRule="exact"/>
                    <w:jc w:val="left"/>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rPr>
                    <w:t>为本招标项目的招标代理机构</w:t>
                  </w:r>
                </w:p>
              </w:tc>
            </w:tr>
            <w:tr w14:paraId="79F3C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674" w:type="dxa"/>
                  <w:vAlign w:val="center"/>
                </w:tcPr>
                <w:p w14:paraId="053DDA25">
                  <w:pPr>
                    <w:pStyle w:val="22"/>
                    <w:wordWrap w:val="0"/>
                    <w:adjustRightInd w:val="0"/>
                    <w:snapToGrid w:val="0"/>
                    <w:spacing w:line="340" w:lineRule="exact"/>
                    <w:jc w:val="center"/>
                    <w:rPr>
                      <w:rFonts w:hint="eastAsia" w:ascii="宋体" w:hAnsi="宋体" w:eastAsia="宋体" w:cs="宋体"/>
                      <w:snapToGrid w:val="0"/>
                      <w:color w:val="auto"/>
                      <w:kern w:val="0"/>
                      <w:sz w:val="21"/>
                      <w:szCs w:val="21"/>
                      <w:highlight w:val="none"/>
                      <w:lang w:val="en-US" w:eastAsia="zh-CN"/>
                    </w:rPr>
                  </w:pPr>
                  <w:r>
                    <w:rPr>
                      <w:rFonts w:hint="eastAsia" w:ascii="宋体" w:hAnsi="宋体" w:cs="宋体"/>
                      <w:snapToGrid w:val="0"/>
                      <w:color w:val="auto"/>
                      <w:kern w:val="0"/>
                      <w:sz w:val="21"/>
                      <w:szCs w:val="21"/>
                      <w:highlight w:val="none"/>
                      <w:lang w:val="en-US" w:eastAsia="zh-CN"/>
                    </w:rPr>
                    <w:t>3</w:t>
                  </w:r>
                </w:p>
              </w:tc>
              <w:tc>
                <w:tcPr>
                  <w:tcW w:w="3429" w:type="dxa"/>
                  <w:vAlign w:val="center"/>
                </w:tcPr>
                <w:p w14:paraId="39E4800A">
                  <w:pPr>
                    <w:pStyle w:val="22"/>
                    <w:wordWrap w:val="0"/>
                    <w:adjustRightInd w:val="0"/>
                    <w:snapToGrid w:val="0"/>
                    <w:spacing w:line="340" w:lineRule="exact"/>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国昇设计有限责任公司</w:t>
                  </w:r>
                </w:p>
              </w:tc>
              <w:tc>
                <w:tcPr>
                  <w:tcW w:w="2964" w:type="dxa"/>
                  <w:vAlign w:val="center"/>
                </w:tcPr>
                <w:p w14:paraId="74FCA806">
                  <w:pPr>
                    <w:pStyle w:val="22"/>
                    <w:wordWrap w:val="0"/>
                    <w:adjustRightInd w:val="0"/>
                    <w:snapToGrid w:val="0"/>
                    <w:spacing w:line="340" w:lineRule="exact"/>
                    <w:jc w:val="left"/>
                    <w:rPr>
                      <w:rFonts w:hint="default"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rPr>
                    <w:t>为本招标项目的</w:t>
                  </w:r>
                  <w:r>
                    <w:rPr>
                      <w:rFonts w:hint="eastAsia" w:ascii="宋体" w:hAnsi="宋体" w:cs="宋体"/>
                      <w:snapToGrid w:val="0"/>
                      <w:color w:val="auto"/>
                      <w:kern w:val="0"/>
                      <w:sz w:val="21"/>
                      <w:szCs w:val="21"/>
                      <w:highlight w:val="none"/>
                      <w:lang w:val="en-US" w:eastAsia="zh-CN"/>
                    </w:rPr>
                    <w:t>设计单位</w:t>
                  </w:r>
                </w:p>
              </w:tc>
            </w:tr>
            <w:tr w14:paraId="32A24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674" w:type="dxa"/>
                  <w:vAlign w:val="center"/>
                </w:tcPr>
                <w:p w14:paraId="7CFF47E7">
                  <w:pPr>
                    <w:pStyle w:val="22"/>
                    <w:wordWrap w:val="0"/>
                    <w:adjustRightInd w:val="0"/>
                    <w:snapToGrid w:val="0"/>
                    <w:spacing w:line="340" w:lineRule="exact"/>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4</w:t>
                  </w:r>
                </w:p>
              </w:tc>
              <w:tc>
                <w:tcPr>
                  <w:tcW w:w="3429" w:type="dxa"/>
                  <w:vAlign w:val="center"/>
                </w:tcPr>
                <w:p w14:paraId="5FA8F57D">
                  <w:pPr>
                    <w:pStyle w:val="22"/>
                    <w:wordWrap w:val="0"/>
                    <w:adjustRightInd w:val="0"/>
                    <w:snapToGrid w:val="0"/>
                    <w:spacing w:line="340" w:lineRule="exact"/>
                    <w:jc w:val="left"/>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中核大地生态科技有限公司</w:t>
                  </w:r>
                </w:p>
              </w:tc>
              <w:tc>
                <w:tcPr>
                  <w:tcW w:w="2964" w:type="dxa"/>
                  <w:vAlign w:val="center"/>
                </w:tcPr>
                <w:p w14:paraId="161974BB">
                  <w:pPr>
                    <w:pStyle w:val="22"/>
                    <w:wordWrap w:val="0"/>
                    <w:adjustRightInd w:val="0"/>
                    <w:snapToGrid w:val="0"/>
                    <w:spacing w:line="340" w:lineRule="exact"/>
                    <w:jc w:val="left"/>
                    <w:rPr>
                      <w:rFonts w:hint="default" w:ascii="宋体" w:hAnsi="宋体" w:eastAsia="宋体" w:cs="宋体"/>
                      <w:color w:val="auto"/>
                      <w:sz w:val="21"/>
                      <w:szCs w:val="21"/>
                      <w:highlight w:val="none"/>
                      <w:lang w:val="en-US" w:eastAsia="zh-CN"/>
                    </w:rPr>
                  </w:pPr>
                  <w:r>
                    <w:rPr>
                      <w:rFonts w:hint="eastAsia" w:ascii="宋体" w:hAnsi="宋体" w:eastAsia="宋体" w:cs="宋体"/>
                      <w:snapToGrid w:val="0"/>
                      <w:color w:val="auto"/>
                      <w:kern w:val="0"/>
                      <w:sz w:val="21"/>
                      <w:szCs w:val="21"/>
                      <w:highlight w:val="none"/>
                    </w:rPr>
                    <w:t>为本招标项目的</w:t>
                  </w:r>
                  <w:r>
                    <w:rPr>
                      <w:rFonts w:hint="eastAsia" w:ascii="宋体" w:hAnsi="宋体" w:eastAsia="宋体" w:cs="宋体"/>
                      <w:snapToGrid w:val="0"/>
                      <w:color w:val="auto"/>
                      <w:kern w:val="0"/>
                      <w:sz w:val="21"/>
                      <w:szCs w:val="21"/>
                      <w:highlight w:val="none"/>
                      <w:lang w:val="en-US" w:eastAsia="zh-CN"/>
                    </w:rPr>
                    <w:t>勘察单位</w:t>
                  </w:r>
                </w:p>
              </w:tc>
            </w:tr>
            <w:tr w14:paraId="6A83A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674" w:type="dxa"/>
                  <w:vAlign w:val="center"/>
                </w:tcPr>
                <w:p w14:paraId="466A3BD2">
                  <w:pPr>
                    <w:pStyle w:val="22"/>
                    <w:wordWrap w:val="0"/>
                    <w:adjustRightInd w:val="0"/>
                    <w:snapToGrid w:val="0"/>
                    <w:spacing w:line="340" w:lineRule="exact"/>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5</w:t>
                  </w:r>
                </w:p>
              </w:tc>
              <w:tc>
                <w:tcPr>
                  <w:tcW w:w="3429" w:type="dxa"/>
                  <w:vAlign w:val="center"/>
                </w:tcPr>
                <w:p w14:paraId="2968592A">
                  <w:pPr>
                    <w:pStyle w:val="22"/>
                    <w:wordWrap w:val="0"/>
                    <w:adjustRightInd w:val="0"/>
                    <w:snapToGrid w:val="0"/>
                    <w:spacing w:line="340" w:lineRule="exact"/>
                    <w:jc w:val="left"/>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广东省城规建设监理有限公司</w:t>
                  </w:r>
                </w:p>
              </w:tc>
              <w:tc>
                <w:tcPr>
                  <w:tcW w:w="2964" w:type="dxa"/>
                  <w:vAlign w:val="center"/>
                </w:tcPr>
                <w:p w14:paraId="6A434B70">
                  <w:pPr>
                    <w:pStyle w:val="22"/>
                    <w:wordWrap w:val="0"/>
                    <w:adjustRightInd w:val="0"/>
                    <w:snapToGrid w:val="0"/>
                    <w:spacing w:line="340" w:lineRule="exact"/>
                    <w:jc w:val="left"/>
                    <w:rPr>
                      <w:rFonts w:hint="default" w:ascii="宋体" w:hAnsi="宋体" w:eastAsia="宋体" w:cs="宋体"/>
                      <w:snapToGrid w:val="0"/>
                      <w:color w:val="auto"/>
                      <w:kern w:val="0"/>
                      <w:sz w:val="21"/>
                      <w:szCs w:val="21"/>
                      <w:highlight w:val="none"/>
                      <w:lang w:val="en-US" w:eastAsia="zh-CN"/>
                    </w:rPr>
                  </w:pPr>
                  <w:r>
                    <w:rPr>
                      <w:rFonts w:hint="eastAsia" w:ascii="宋体" w:hAnsi="宋体" w:cs="宋体"/>
                      <w:snapToGrid w:val="0"/>
                      <w:color w:val="auto"/>
                      <w:kern w:val="0"/>
                      <w:sz w:val="21"/>
                      <w:szCs w:val="21"/>
                      <w:highlight w:val="none"/>
                      <w:lang w:val="en-US" w:eastAsia="zh-CN"/>
                    </w:rPr>
                    <w:t>为本招标项目的监理单位</w:t>
                  </w:r>
                </w:p>
              </w:tc>
            </w:tr>
            <w:tr w14:paraId="571C3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674" w:type="dxa"/>
                  <w:vAlign w:val="center"/>
                </w:tcPr>
                <w:p w14:paraId="4B24B6F7">
                  <w:pPr>
                    <w:pStyle w:val="22"/>
                    <w:wordWrap w:val="0"/>
                    <w:adjustRightInd w:val="0"/>
                    <w:snapToGrid w:val="0"/>
                    <w:spacing w:line="340" w:lineRule="exact"/>
                    <w:jc w:val="center"/>
                    <w:rPr>
                      <w:rFonts w:hint="default"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6</w:t>
                  </w:r>
                </w:p>
              </w:tc>
              <w:tc>
                <w:tcPr>
                  <w:tcW w:w="3429" w:type="dxa"/>
                  <w:vAlign w:val="center"/>
                </w:tcPr>
                <w:p w14:paraId="27BF11F0">
                  <w:pPr>
                    <w:pStyle w:val="22"/>
                    <w:wordWrap w:val="0"/>
                    <w:adjustRightInd w:val="0"/>
                    <w:snapToGrid w:val="0"/>
                    <w:spacing w:line="340" w:lineRule="exact"/>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广东加达工程咨询有限公司</w:t>
                  </w:r>
                </w:p>
              </w:tc>
              <w:tc>
                <w:tcPr>
                  <w:tcW w:w="2964" w:type="dxa"/>
                  <w:vAlign w:val="center"/>
                </w:tcPr>
                <w:p w14:paraId="4A836E5E">
                  <w:pPr>
                    <w:pStyle w:val="22"/>
                    <w:wordWrap w:val="0"/>
                    <w:adjustRightInd w:val="0"/>
                    <w:snapToGrid w:val="0"/>
                    <w:spacing w:line="340" w:lineRule="exact"/>
                    <w:jc w:val="left"/>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宋体" w:hAnsi="宋体" w:cs="宋体"/>
                      <w:snapToGrid w:val="0"/>
                      <w:color w:val="auto"/>
                      <w:kern w:val="0"/>
                      <w:sz w:val="21"/>
                      <w:szCs w:val="21"/>
                      <w:highlight w:val="none"/>
                      <w:lang w:eastAsia="zh-CN"/>
                    </w:rPr>
                    <w:t>为本招标项目的全过程造价咨询单位</w:t>
                  </w:r>
                </w:p>
              </w:tc>
            </w:tr>
            <w:tr w14:paraId="4C6A4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674" w:type="dxa"/>
                  <w:vAlign w:val="center"/>
                </w:tcPr>
                <w:p w14:paraId="146DB4DA">
                  <w:pPr>
                    <w:pStyle w:val="22"/>
                    <w:wordWrap w:val="0"/>
                    <w:adjustRightInd w:val="0"/>
                    <w:snapToGrid w:val="0"/>
                    <w:spacing w:line="340" w:lineRule="exact"/>
                    <w:jc w:val="center"/>
                    <w:rPr>
                      <w:rFonts w:hint="default"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7</w:t>
                  </w:r>
                </w:p>
              </w:tc>
              <w:tc>
                <w:tcPr>
                  <w:tcW w:w="3429" w:type="dxa"/>
                  <w:vAlign w:val="center"/>
                </w:tcPr>
                <w:p w14:paraId="46B59ACC">
                  <w:pPr>
                    <w:wordWrap w:val="0"/>
                    <w:adjustRightInd w:val="0"/>
                    <w:snapToGrid w:val="0"/>
                    <w:spacing w:line="240" w:lineRule="auto"/>
                    <w:jc w:val="left"/>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宋体" w:hAnsi="宋体" w:eastAsia="宋体" w:cs="宋体"/>
                      <w:color w:val="auto"/>
                      <w:sz w:val="21"/>
                      <w:szCs w:val="21"/>
                      <w:highlight w:val="none"/>
                      <w:lang w:eastAsia="zh-CN"/>
                    </w:rPr>
                    <w:t>仁化县住房和城乡建设管理局</w:t>
                  </w:r>
                </w:p>
              </w:tc>
              <w:tc>
                <w:tcPr>
                  <w:tcW w:w="2964" w:type="dxa"/>
                  <w:vAlign w:val="center"/>
                </w:tcPr>
                <w:p w14:paraId="02023FA8">
                  <w:pPr>
                    <w:wordWrap w:val="0"/>
                    <w:adjustRightInd w:val="0"/>
                    <w:snapToGrid w:val="0"/>
                    <w:spacing w:line="240" w:lineRule="auto"/>
                    <w:jc w:val="left"/>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为本招标项目的监督单位</w:t>
                  </w:r>
                </w:p>
              </w:tc>
            </w:tr>
          </w:tbl>
          <w:p w14:paraId="4842427C">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5 ．其他要求</w:t>
            </w:r>
          </w:p>
          <w:p w14:paraId="1C70EAFF">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省外企业及其拟派往本项目管理机构的所有人员均须按照《广东省住房和城乡建设厅关于取消省外建筑企业和人员进粤信息备案有关工作的通知》（粤建市﹝2015 ﹞52 号）规定在“进粤企业和人员诚信信息登记平台”录入相关信息并通过数据规范检查。</w:t>
            </w:r>
          </w:p>
        </w:tc>
      </w:tr>
      <w:tr w14:paraId="4DA7A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6" w:hRule="atLeast"/>
        </w:trPr>
        <w:tc>
          <w:tcPr>
            <w:tcW w:w="582" w:type="dxa"/>
            <w:vAlign w:val="center"/>
          </w:tcPr>
          <w:p w14:paraId="6C795553">
            <w:pPr>
              <w:spacing w:before="19"/>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pacing w:val="-3"/>
                <w:sz w:val="21"/>
                <w:szCs w:val="21"/>
                <w:highlight w:val="none"/>
              </w:rPr>
              <w:t>2</w:t>
            </w:r>
            <w:r>
              <w:rPr>
                <w:rFonts w:hint="eastAsia" w:asciiTheme="minorEastAsia" w:hAnsiTheme="minorEastAsia" w:eastAsiaTheme="minorEastAsia" w:cstheme="minorEastAsia"/>
                <w:color w:val="auto"/>
                <w:spacing w:val="-3"/>
                <w:sz w:val="21"/>
                <w:szCs w:val="21"/>
                <w:highlight w:val="none"/>
                <w:lang w:val="en-US" w:eastAsia="zh-CN"/>
              </w:rPr>
              <w:t>8</w:t>
            </w:r>
          </w:p>
        </w:tc>
        <w:tc>
          <w:tcPr>
            <w:tcW w:w="1860" w:type="dxa"/>
            <w:vAlign w:val="center"/>
          </w:tcPr>
          <w:p w14:paraId="315C6AC5">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投标有效期</w:t>
            </w:r>
          </w:p>
        </w:tc>
        <w:tc>
          <w:tcPr>
            <w:tcW w:w="7544" w:type="dxa"/>
            <w:vAlign w:val="center"/>
          </w:tcPr>
          <w:p w14:paraId="10AD7497">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本次招标的投标有效期为</w:t>
            </w:r>
            <w:r>
              <w:rPr>
                <w:rFonts w:hint="eastAsia" w:asciiTheme="minorEastAsia" w:hAnsiTheme="minorEastAsia" w:eastAsiaTheme="minorEastAsia" w:cstheme="minorEastAsia"/>
                <w:snapToGrid w:val="0"/>
                <w:color w:val="auto"/>
                <w:kern w:val="0"/>
                <w:sz w:val="21"/>
                <w:szCs w:val="21"/>
                <w:highlight w:val="none"/>
                <w:u w:val="single"/>
                <w:lang w:eastAsia="zh-CN"/>
              </w:rPr>
              <w:t>90</w:t>
            </w:r>
            <w:r>
              <w:rPr>
                <w:rFonts w:hint="eastAsia" w:asciiTheme="minorEastAsia" w:hAnsiTheme="minorEastAsia" w:eastAsiaTheme="minorEastAsia" w:cstheme="minorEastAsia"/>
                <w:snapToGrid w:val="0"/>
                <w:color w:val="auto"/>
                <w:kern w:val="0"/>
                <w:sz w:val="21"/>
                <w:szCs w:val="21"/>
                <w:highlight w:val="none"/>
                <w:lang w:eastAsia="zh-CN"/>
              </w:rPr>
              <w:t xml:space="preserve"> 个日历天。</w:t>
            </w:r>
          </w:p>
        </w:tc>
      </w:tr>
      <w:tr w14:paraId="0581D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0" w:hRule="atLeast"/>
        </w:trPr>
        <w:tc>
          <w:tcPr>
            <w:tcW w:w="582" w:type="dxa"/>
            <w:vAlign w:val="center"/>
          </w:tcPr>
          <w:p w14:paraId="7E0149C9">
            <w:pPr>
              <w:spacing w:before="69" w:line="188" w:lineRule="auto"/>
              <w:ind w:left="205"/>
              <w:jc w:val="both"/>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pacing w:val="-3"/>
                <w:sz w:val="21"/>
                <w:szCs w:val="21"/>
                <w:highlight w:val="none"/>
                <w:lang w:val="en-US" w:eastAsia="zh-CN"/>
              </w:rPr>
              <w:t>29</w:t>
            </w:r>
          </w:p>
        </w:tc>
        <w:tc>
          <w:tcPr>
            <w:tcW w:w="1860" w:type="dxa"/>
            <w:vAlign w:val="center"/>
          </w:tcPr>
          <w:p w14:paraId="21626DA8">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投标文件组成</w:t>
            </w:r>
          </w:p>
        </w:tc>
        <w:tc>
          <w:tcPr>
            <w:tcW w:w="7544" w:type="dxa"/>
            <w:vAlign w:val="center"/>
          </w:tcPr>
          <w:p w14:paraId="0891F660">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投标文件包括商务标书、经济标书、施工组织设计</w:t>
            </w:r>
            <w:r>
              <w:rPr>
                <w:rFonts w:hint="eastAsia" w:asciiTheme="minorEastAsia" w:hAnsiTheme="minorEastAsia" w:eastAsiaTheme="minorEastAsia" w:cstheme="minorEastAsia"/>
                <w:snapToGrid w:val="0"/>
                <w:color w:val="auto"/>
                <w:kern w:val="0"/>
                <w:sz w:val="21"/>
                <w:szCs w:val="21"/>
                <w:highlight w:val="none"/>
                <w:lang w:val="en-US" w:eastAsia="zh-CN"/>
              </w:rPr>
              <w:t>和</w:t>
            </w:r>
            <w:r>
              <w:rPr>
                <w:rFonts w:hint="eastAsia" w:asciiTheme="minorEastAsia" w:hAnsiTheme="minorEastAsia" w:eastAsiaTheme="minorEastAsia" w:cstheme="minorEastAsia"/>
                <w:snapToGrid w:val="0"/>
                <w:color w:val="auto"/>
                <w:kern w:val="0"/>
                <w:sz w:val="21"/>
                <w:szCs w:val="21"/>
                <w:highlight w:val="none"/>
                <w:lang w:eastAsia="zh-CN"/>
              </w:rPr>
              <w:t>定标文件四个分册。</w:t>
            </w:r>
          </w:p>
        </w:tc>
      </w:tr>
      <w:tr w14:paraId="69F1D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0" w:hRule="atLeast"/>
        </w:trPr>
        <w:tc>
          <w:tcPr>
            <w:tcW w:w="582" w:type="dxa"/>
            <w:vAlign w:val="center"/>
          </w:tcPr>
          <w:p w14:paraId="080D10B9">
            <w:pPr>
              <w:spacing w:before="69" w:line="188" w:lineRule="auto"/>
              <w:ind w:left="205"/>
              <w:jc w:val="both"/>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pacing w:val="-3"/>
                <w:sz w:val="21"/>
                <w:szCs w:val="21"/>
                <w:highlight w:val="none"/>
                <w:lang w:val="en-US" w:eastAsia="zh-CN"/>
              </w:rPr>
              <w:t>30</w:t>
            </w:r>
          </w:p>
        </w:tc>
        <w:tc>
          <w:tcPr>
            <w:tcW w:w="1860" w:type="dxa"/>
            <w:vAlign w:val="center"/>
          </w:tcPr>
          <w:p w14:paraId="60E20252">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施工组织设计评审方式</w:t>
            </w:r>
          </w:p>
        </w:tc>
        <w:tc>
          <w:tcPr>
            <w:tcW w:w="7544" w:type="dxa"/>
            <w:vAlign w:val="center"/>
          </w:tcPr>
          <w:p w14:paraId="044BE8C7">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本次招标施工组织设计 不采用 “暗标 ”方式进行评审。</w:t>
            </w:r>
          </w:p>
        </w:tc>
      </w:tr>
      <w:tr w14:paraId="1418B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28" w:hRule="atLeast"/>
        </w:trPr>
        <w:tc>
          <w:tcPr>
            <w:tcW w:w="582" w:type="dxa"/>
            <w:vAlign w:val="center"/>
          </w:tcPr>
          <w:p w14:paraId="2A7F5E06">
            <w:pPr>
              <w:spacing w:before="69" w:line="188" w:lineRule="auto"/>
              <w:ind w:left="209"/>
              <w:jc w:val="both"/>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pacing w:val="-5"/>
                <w:sz w:val="21"/>
                <w:szCs w:val="21"/>
                <w:highlight w:val="none"/>
              </w:rPr>
              <w:t>3</w:t>
            </w:r>
            <w:r>
              <w:rPr>
                <w:rFonts w:hint="eastAsia" w:asciiTheme="minorEastAsia" w:hAnsiTheme="minorEastAsia" w:eastAsiaTheme="minorEastAsia" w:cstheme="minorEastAsia"/>
                <w:color w:val="auto"/>
                <w:spacing w:val="-5"/>
                <w:sz w:val="21"/>
                <w:szCs w:val="21"/>
                <w:highlight w:val="none"/>
                <w:lang w:val="en-US" w:eastAsia="zh-CN"/>
              </w:rPr>
              <w:t>1</w:t>
            </w:r>
          </w:p>
        </w:tc>
        <w:tc>
          <w:tcPr>
            <w:tcW w:w="1860" w:type="dxa"/>
            <w:vAlign w:val="center"/>
          </w:tcPr>
          <w:p w14:paraId="01061539">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评标委员会</w:t>
            </w:r>
          </w:p>
        </w:tc>
        <w:tc>
          <w:tcPr>
            <w:tcW w:w="7544" w:type="dxa"/>
            <w:vAlign w:val="top"/>
          </w:tcPr>
          <w:p w14:paraId="1DF9186C">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评标委员会由 5 人组成，其中招标人代表 0 人，专家 5 人。专家从广东省综合评标评审专家库（韶关区域）中随机抽取，其中技术类专家 3 人，经济类专家 2 人。</w:t>
            </w:r>
          </w:p>
        </w:tc>
      </w:tr>
      <w:tr w14:paraId="76C08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28" w:hRule="atLeast"/>
        </w:trPr>
        <w:tc>
          <w:tcPr>
            <w:tcW w:w="582" w:type="dxa"/>
            <w:vAlign w:val="center"/>
          </w:tcPr>
          <w:p w14:paraId="2AD4F28B">
            <w:pPr>
              <w:spacing w:before="69" w:line="188" w:lineRule="auto"/>
              <w:ind w:left="209"/>
              <w:jc w:val="both"/>
              <w:rPr>
                <w:rFonts w:hint="default" w:asciiTheme="minorEastAsia" w:hAnsiTheme="minorEastAsia" w:eastAsiaTheme="minorEastAsia" w:cstheme="minorEastAsia"/>
                <w:color w:val="auto"/>
                <w:spacing w:val="-5"/>
                <w:sz w:val="21"/>
                <w:szCs w:val="21"/>
                <w:highlight w:val="none"/>
                <w:lang w:val="en-US" w:eastAsia="zh-CN"/>
              </w:rPr>
            </w:pPr>
            <w:r>
              <w:rPr>
                <w:rFonts w:hint="eastAsia" w:asciiTheme="minorEastAsia" w:hAnsiTheme="minorEastAsia" w:eastAsiaTheme="minorEastAsia" w:cstheme="minorEastAsia"/>
                <w:color w:val="auto"/>
                <w:spacing w:val="-5"/>
                <w:sz w:val="21"/>
                <w:szCs w:val="21"/>
                <w:highlight w:val="none"/>
                <w:lang w:val="en-US" w:eastAsia="zh-CN"/>
              </w:rPr>
              <w:t>32</w:t>
            </w:r>
          </w:p>
        </w:tc>
        <w:tc>
          <w:tcPr>
            <w:tcW w:w="1860" w:type="dxa"/>
            <w:vAlign w:val="center"/>
          </w:tcPr>
          <w:p w14:paraId="36288FE7">
            <w:pPr>
              <w:keepNext w:val="0"/>
              <w:keepLines w:val="0"/>
              <w:pageBreakBefore w:val="0"/>
              <w:widowControl w:val="0"/>
              <w:kinsoku/>
              <w:wordWrap w:val="0"/>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宋体" w:hAnsi="宋体" w:eastAsia="宋体" w:cs="宋体"/>
                <w:color w:val="auto"/>
                <w:sz w:val="21"/>
                <w:szCs w:val="21"/>
                <w:highlight w:val="none"/>
                <w:lang w:eastAsia="zh-CN"/>
              </w:rPr>
              <w:t>定</w:t>
            </w:r>
            <w:r>
              <w:rPr>
                <w:rFonts w:hint="eastAsia" w:ascii="宋体" w:hAnsi="宋体" w:eastAsia="宋体" w:cs="宋体"/>
                <w:color w:val="auto"/>
                <w:sz w:val="21"/>
                <w:szCs w:val="21"/>
                <w:highlight w:val="none"/>
              </w:rPr>
              <w:t>标委员会</w:t>
            </w:r>
          </w:p>
        </w:tc>
        <w:tc>
          <w:tcPr>
            <w:tcW w:w="7544" w:type="dxa"/>
            <w:vAlign w:val="center"/>
          </w:tcPr>
          <w:p w14:paraId="625D2317">
            <w:pPr>
              <w:keepNext w:val="0"/>
              <w:keepLines w:val="0"/>
              <w:pageBreakBefore w:val="0"/>
              <w:widowControl w:val="0"/>
              <w:suppressLineNumbers w:val="0"/>
              <w:kinsoku/>
              <w:wordWrap/>
              <w:overflowPunct/>
              <w:topLinePunct w:val="0"/>
              <w:autoSpaceDE/>
              <w:autoSpaceDN/>
              <w:bidi w:val="0"/>
              <w:adjustRightInd/>
              <w:snapToGrid/>
              <w:spacing w:line="400" w:lineRule="exact"/>
              <w:ind w:left="105" w:leftChars="50" w:right="105" w:rightChars="50"/>
              <w:jc w:val="left"/>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宋体" w:hAnsi="宋体" w:eastAsia="宋体" w:cs="宋体"/>
                <w:color w:val="auto"/>
                <w:sz w:val="21"/>
                <w:szCs w:val="21"/>
                <w:highlight w:val="none"/>
                <w:u w:val="none"/>
                <w:lang w:val="en-US" w:eastAsia="zh-CN"/>
              </w:rPr>
              <w:t>本</w:t>
            </w:r>
            <w:r>
              <w:rPr>
                <w:rFonts w:hint="eastAsia" w:ascii="宋体" w:hAnsi="宋体" w:eastAsia="宋体" w:cs="宋体"/>
                <w:color w:val="auto"/>
                <w:sz w:val="21"/>
                <w:szCs w:val="21"/>
                <w:highlight w:val="none"/>
                <w:u w:val="none"/>
                <w:lang w:eastAsia="zh-CN"/>
              </w:rPr>
              <w:t>项目</w:t>
            </w:r>
            <w:r>
              <w:rPr>
                <w:rFonts w:hint="eastAsia" w:ascii="宋体" w:hAnsi="宋体" w:eastAsia="宋体" w:cs="宋体"/>
                <w:color w:val="auto"/>
                <w:sz w:val="21"/>
                <w:szCs w:val="21"/>
                <w:highlight w:val="none"/>
                <w:u w:val="none"/>
              </w:rPr>
              <w:t>定标委员会</w:t>
            </w:r>
            <w:r>
              <w:rPr>
                <w:rFonts w:hint="eastAsia" w:ascii="宋体" w:hAnsi="宋体" w:eastAsia="宋体" w:cs="宋体"/>
                <w:color w:val="auto"/>
                <w:sz w:val="21"/>
                <w:szCs w:val="21"/>
                <w:highlight w:val="none"/>
                <w:u w:val="none"/>
                <w:lang w:eastAsia="zh-CN"/>
              </w:rPr>
              <w:t>组成人</w:t>
            </w:r>
            <w:r>
              <w:rPr>
                <w:rFonts w:hint="eastAsia" w:ascii="宋体" w:hAnsi="宋体" w:eastAsia="宋体" w:cs="宋体"/>
                <w:color w:val="auto"/>
                <w:sz w:val="21"/>
                <w:szCs w:val="21"/>
                <w:highlight w:val="none"/>
                <w:u w:val="none"/>
              </w:rPr>
              <w:t>员为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7 </w:t>
            </w:r>
            <w:r>
              <w:rPr>
                <w:rFonts w:hint="eastAsia" w:ascii="宋体" w:hAnsi="宋体" w:eastAsia="宋体" w:cs="宋体"/>
                <w:color w:val="auto"/>
                <w:sz w:val="21"/>
                <w:szCs w:val="21"/>
                <w:highlight w:val="none"/>
              </w:rPr>
              <w:t>人</w:t>
            </w:r>
            <w:r>
              <w:rPr>
                <w:rFonts w:hint="eastAsia" w:ascii="宋体" w:hAnsi="宋体" w:eastAsia="宋体" w:cs="宋体"/>
                <w:color w:val="auto"/>
                <w:sz w:val="21"/>
                <w:szCs w:val="21"/>
                <w:highlight w:val="none"/>
                <w:u w:val="none"/>
                <w:lang w:eastAsia="zh-CN"/>
              </w:rPr>
              <w:t>。</w:t>
            </w:r>
          </w:p>
        </w:tc>
      </w:tr>
      <w:tr w14:paraId="1DA87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6" w:hRule="atLeast"/>
        </w:trPr>
        <w:tc>
          <w:tcPr>
            <w:tcW w:w="582" w:type="dxa"/>
            <w:vAlign w:val="center"/>
          </w:tcPr>
          <w:p w14:paraId="58D68E09">
            <w:pPr>
              <w:spacing w:before="258" w:line="188" w:lineRule="auto"/>
              <w:ind w:left="209"/>
              <w:jc w:val="both"/>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pacing w:val="-5"/>
                <w:sz w:val="21"/>
                <w:szCs w:val="21"/>
                <w:highlight w:val="none"/>
                <w:lang w:val="en-US" w:eastAsia="zh-CN"/>
              </w:rPr>
              <w:t>33</w:t>
            </w:r>
          </w:p>
        </w:tc>
        <w:tc>
          <w:tcPr>
            <w:tcW w:w="1860" w:type="dxa"/>
            <w:vAlign w:val="center"/>
          </w:tcPr>
          <w:p w14:paraId="1729A2DF">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评标方法</w:t>
            </w:r>
          </w:p>
        </w:tc>
        <w:tc>
          <w:tcPr>
            <w:tcW w:w="7544" w:type="dxa"/>
            <w:vAlign w:val="center"/>
          </w:tcPr>
          <w:p w14:paraId="14FB030A">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 A＋B 值评标法  □经评审的最低投标价法   ☑综合评估法</w:t>
            </w:r>
          </w:p>
        </w:tc>
      </w:tr>
      <w:tr w14:paraId="3A742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6" w:hRule="atLeast"/>
        </w:trPr>
        <w:tc>
          <w:tcPr>
            <w:tcW w:w="582" w:type="dxa"/>
            <w:vAlign w:val="center"/>
          </w:tcPr>
          <w:p w14:paraId="06AF2062">
            <w:pPr>
              <w:spacing w:before="258" w:line="188" w:lineRule="auto"/>
              <w:ind w:left="209"/>
              <w:jc w:val="both"/>
              <w:rPr>
                <w:rFonts w:hint="default" w:asciiTheme="minorEastAsia" w:hAnsiTheme="minorEastAsia" w:eastAsiaTheme="minorEastAsia" w:cstheme="minorEastAsia"/>
                <w:color w:val="auto"/>
                <w:spacing w:val="-5"/>
                <w:sz w:val="21"/>
                <w:szCs w:val="21"/>
                <w:highlight w:val="none"/>
                <w:lang w:val="en-US" w:eastAsia="zh-CN"/>
              </w:rPr>
            </w:pPr>
            <w:r>
              <w:rPr>
                <w:rFonts w:hint="eastAsia" w:asciiTheme="minorEastAsia" w:hAnsiTheme="minorEastAsia" w:eastAsiaTheme="minorEastAsia" w:cstheme="minorEastAsia"/>
                <w:color w:val="auto"/>
                <w:spacing w:val="-5"/>
                <w:sz w:val="21"/>
                <w:szCs w:val="21"/>
                <w:highlight w:val="none"/>
                <w:lang w:val="en-US" w:eastAsia="zh-CN"/>
              </w:rPr>
              <w:t>34</w:t>
            </w:r>
          </w:p>
        </w:tc>
        <w:tc>
          <w:tcPr>
            <w:tcW w:w="1860" w:type="dxa"/>
            <w:vAlign w:val="center"/>
          </w:tcPr>
          <w:p w14:paraId="065EB7B0">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宋体" w:hAnsi="宋体" w:eastAsia="宋体" w:cs="宋体"/>
                <w:snapToGrid w:val="0"/>
                <w:color w:val="auto"/>
                <w:kern w:val="0"/>
                <w:sz w:val="21"/>
                <w:szCs w:val="21"/>
                <w:highlight w:val="none"/>
              </w:rPr>
              <w:t>投标文件编制</w:t>
            </w:r>
            <w:r>
              <w:rPr>
                <w:rFonts w:hint="eastAsia" w:ascii="宋体" w:hAnsi="宋体" w:eastAsia="宋体" w:cs="宋体"/>
                <w:snapToGrid w:val="0"/>
                <w:color w:val="auto"/>
                <w:kern w:val="0"/>
                <w:sz w:val="21"/>
                <w:szCs w:val="21"/>
                <w:highlight w:val="none"/>
                <w:lang w:eastAsia="zh-CN"/>
              </w:rPr>
              <w:t>及</w:t>
            </w:r>
            <w:r>
              <w:rPr>
                <w:rFonts w:hint="eastAsia" w:ascii="宋体" w:hAnsi="宋体" w:eastAsia="宋体" w:cs="宋体"/>
                <w:snapToGrid w:val="0"/>
                <w:color w:val="auto"/>
                <w:kern w:val="0"/>
                <w:sz w:val="21"/>
                <w:szCs w:val="21"/>
                <w:highlight w:val="none"/>
              </w:rPr>
              <w:t>份数要求</w:t>
            </w:r>
          </w:p>
        </w:tc>
        <w:tc>
          <w:tcPr>
            <w:tcW w:w="7544" w:type="dxa"/>
            <w:vAlign w:val="center"/>
          </w:tcPr>
          <w:p w14:paraId="66F22651">
            <w:pPr>
              <w:keepNext w:val="0"/>
              <w:keepLines w:val="0"/>
              <w:pageBreakBefore w:val="0"/>
              <w:widowControl/>
              <w:suppressLineNumbers w:val="0"/>
              <w:shd w:val="clear" w:color="auto" w:fill="auto"/>
              <w:overflowPunct/>
              <w:topLinePunct w:val="0"/>
              <w:bidi w:val="0"/>
              <w:spacing w:line="360" w:lineRule="auto"/>
              <w:ind w:firstLine="210" w:firstLineChars="100"/>
              <w:jc w:val="left"/>
              <w:textAlignment w:val="center"/>
              <w:rPr>
                <w:rFonts w:hint="eastAsia" w:ascii="宋体" w:hAnsi="宋体" w:eastAsia="宋体" w:cs="宋体"/>
                <w:bCs/>
                <w:snapToGrid w:val="0"/>
                <w:color w:val="auto"/>
                <w:kern w:val="0"/>
                <w:sz w:val="21"/>
                <w:szCs w:val="21"/>
                <w:highlight w:val="none"/>
                <w:lang w:val="en-US" w:eastAsia="zh-CN"/>
              </w:rPr>
            </w:pPr>
            <w:r>
              <w:rPr>
                <w:rFonts w:hint="eastAsia" w:ascii="宋体" w:hAnsi="宋体" w:eastAsia="宋体" w:cs="宋体"/>
                <w:bCs/>
                <w:snapToGrid w:val="0"/>
                <w:color w:val="auto"/>
                <w:kern w:val="0"/>
                <w:sz w:val="21"/>
                <w:szCs w:val="21"/>
                <w:highlight w:val="none"/>
                <w:lang w:val="en-US" w:eastAsia="zh-CN"/>
              </w:rPr>
              <w:t>投标人须上传（递交）投标文件：</w:t>
            </w:r>
          </w:p>
          <w:p w14:paraId="563C340A">
            <w:pPr>
              <w:keepNext w:val="0"/>
              <w:keepLines w:val="0"/>
              <w:pageBreakBefore w:val="0"/>
              <w:widowControl/>
              <w:suppressLineNumbers w:val="0"/>
              <w:shd w:val="clear" w:color="auto" w:fill="auto"/>
              <w:overflowPunct/>
              <w:topLinePunct w:val="0"/>
              <w:bidi w:val="0"/>
              <w:spacing w:line="360" w:lineRule="auto"/>
              <w:ind w:firstLine="210" w:firstLineChars="100"/>
              <w:jc w:val="left"/>
              <w:textAlignment w:val="center"/>
              <w:rPr>
                <w:rFonts w:hint="eastAsia" w:ascii="宋体" w:hAnsi="宋体" w:eastAsia="宋体" w:cs="宋体"/>
                <w:bCs/>
                <w:snapToGrid w:val="0"/>
                <w:color w:val="auto"/>
                <w:kern w:val="0"/>
                <w:sz w:val="21"/>
                <w:szCs w:val="21"/>
                <w:highlight w:val="none"/>
                <w:lang w:val="en-US" w:eastAsia="zh-CN"/>
              </w:rPr>
            </w:pPr>
            <w:r>
              <w:rPr>
                <w:rFonts w:hint="eastAsia" w:ascii="宋体" w:hAnsi="宋体" w:eastAsia="宋体" w:cs="宋体"/>
                <w:bCs/>
                <w:snapToGrid w:val="0"/>
                <w:color w:val="auto"/>
                <w:kern w:val="0"/>
                <w:sz w:val="21"/>
                <w:szCs w:val="21"/>
                <w:highlight w:val="none"/>
                <w:lang w:val="en-US" w:eastAsia="zh-CN"/>
              </w:rPr>
              <w:t>1、电子投标文件一套：</w:t>
            </w:r>
          </w:p>
          <w:p w14:paraId="25FB02E9">
            <w:pPr>
              <w:keepNext w:val="0"/>
              <w:keepLines w:val="0"/>
              <w:pageBreakBefore w:val="0"/>
              <w:widowControl/>
              <w:suppressLineNumbers w:val="0"/>
              <w:shd w:val="clear" w:color="auto" w:fill="auto"/>
              <w:overflowPunct/>
              <w:topLinePunct w:val="0"/>
              <w:bidi w:val="0"/>
              <w:spacing w:line="360" w:lineRule="auto"/>
              <w:ind w:firstLine="420" w:firstLineChars="200"/>
              <w:jc w:val="left"/>
              <w:textAlignment w:val="center"/>
              <w:rPr>
                <w:rFonts w:hint="eastAsia" w:ascii="宋体" w:hAnsi="宋体" w:eastAsia="宋体" w:cs="宋体"/>
                <w:bCs/>
                <w:snapToGrid w:val="0"/>
                <w:color w:val="auto"/>
                <w:kern w:val="0"/>
                <w:sz w:val="21"/>
                <w:szCs w:val="21"/>
                <w:highlight w:val="none"/>
                <w:lang w:val="en-US" w:eastAsia="zh-CN"/>
              </w:rPr>
            </w:pPr>
            <w:r>
              <w:rPr>
                <w:rFonts w:hint="eastAsia" w:ascii="宋体" w:hAnsi="宋体" w:eastAsia="宋体" w:cs="宋体"/>
                <w:bCs/>
                <w:snapToGrid w:val="0"/>
                <w:color w:val="auto"/>
                <w:kern w:val="0"/>
                <w:sz w:val="21"/>
                <w:szCs w:val="21"/>
                <w:highlight w:val="none"/>
                <w:lang w:val="en-US" w:eastAsia="zh-CN"/>
              </w:rPr>
              <w:t>（1）商务标书1份；</w:t>
            </w:r>
          </w:p>
          <w:p w14:paraId="440EA8CF">
            <w:pPr>
              <w:keepNext w:val="0"/>
              <w:keepLines w:val="0"/>
              <w:pageBreakBefore w:val="0"/>
              <w:widowControl/>
              <w:suppressLineNumbers w:val="0"/>
              <w:shd w:val="clear" w:color="auto" w:fill="auto"/>
              <w:overflowPunct/>
              <w:topLinePunct w:val="0"/>
              <w:bidi w:val="0"/>
              <w:spacing w:line="360" w:lineRule="auto"/>
              <w:ind w:firstLine="420" w:firstLineChars="200"/>
              <w:jc w:val="left"/>
              <w:textAlignment w:val="center"/>
              <w:rPr>
                <w:rFonts w:hint="eastAsia" w:ascii="宋体" w:hAnsi="宋体" w:eastAsia="宋体" w:cs="宋体"/>
                <w:bCs/>
                <w:snapToGrid w:val="0"/>
                <w:color w:val="auto"/>
                <w:kern w:val="0"/>
                <w:sz w:val="21"/>
                <w:szCs w:val="21"/>
                <w:highlight w:val="none"/>
                <w:lang w:val="en-US" w:eastAsia="zh-CN"/>
              </w:rPr>
            </w:pPr>
            <w:r>
              <w:rPr>
                <w:rFonts w:hint="eastAsia" w:ascii="宋体" w:hAnsi="宋体" w:eastAsia="宋体" w:cs="宋体"/>
                <w:bCs/>
                <w:snapToGrid w:val="0"/>
                <w:color w:val="auto"/>
                <w:kern w:val="0"/>
                <w:sz w:val="21"/>
                <w:szCs w:val="21"/>
                <w:highlight w:val="none"/>
                <w:lang w:val="en-US" w:eastAsia="zh-CN"/>
              </w:rPr>
              <w:t>（2）经济标书1份；</w:t>
            </w:r>
          </w:p>
          <w:p w14:paraId="4387DA43">
            <w:pPr>
              <w:keepNext w:val="0"/>
              <w:keepLines w:val="0"/>
              <w:pageBreakBefore w:val="0"/>
              <w:widowControl/>
              <w:suppressLineNumbers w:val="0"/>
              <w:shd w:val="clear" w:color="auto" w:fill="auto"/>
              <w:overflowPunct/>
              <w:topLinePunct w:val="0"/>
              <w:bidi w:val="0"/>
              <w:spacing w:line="360" w:lineRule="auto"/>
              <w:ind w:firstLine="420" w:firstLineChars="200"/>
              <w:jc w:val="left"/>
              <w:textAlignment w:val="center"/>
              <w:rPr>
                <w:rFonts w:hint="eastAsia" w:ascii="宋体" w:hAnsi="宋体" w:eastAsia="宋体" w:cs="宋体"/>
                <w:bCs/>
                <w:snapToGrid w:val="0"/>
                <w:color w:val="auto"/>
                <w:kern w:val="0"/>
                <w:sz w:val="21"/>
                <w:szCs w:val="21"/>
                <w:highlight w:val="none"/>
                <w:lang w:val="en-US" w:eastAsia="zh-CN"/>
              </w:rPr>
            </w:pPr>
            <w:r>
              <w:rPr>
                <w:rFonts w:hint="eastAsia" w:ascii="宋体" w:hAnsi="宋体" w:eastAsia="宋体" w:cs="宋体"/>
                <w:bCs/>
                <w:snapToGrid w:val="0"/>
                <w:color w:val="auto"/>
                <w:kern w:val="0"/>
                <w:sz w:val="21"/>
                <w:szCs w:val="21"/>
                <w:highlight w:val="none"/>
                <w:lang w:val="en-US" w:eastAsia="zh-CN"/>
              </w:rPr>
              <w:t xml:space="preserve">（3）施工组织设计1份； </w:t>
            </w:r>
          </w:p>
          <w:p w14:paraId="16B57936">
            <w:pPr>
              <w:keepNext w:val="0"/>
              <w:keepLines w:val="0"/>
              <w:pageBreakBefore w:val="0"/>
              <w:widowControl/>
              <w:suppressLineNumbers w:val="0"/>
              <w:shd w:val="clear" w:color="auto" w:fill="auto"/>
              <w:overflowPunct/>
              <w:topLinePunct w:val="0"/>
              <w:bidi w:val="0"/>
              <w:spacing w:line="360" w:lineRule="auto"/>
              <w:ind w:firstLine="420" w:firstLineChars="200"/>
              <w:jc w:val="left"/>
              <w:textAlignment w:val="center"/>
              <w:rPr>
                <w:rFonts w:hint="eastAsia" w:ascii="宋体" w:hAnsi="宋体" w:eastAsia="宋体" w:cs="宋体"/>
                <w:bCs/>
                <w:snapToGrid w:val="0"/>
                <w:color w:val="auto"/>
                <w:kern w:val="0"/>
                <w:sz w:val="21"/>
                <w:szCs w:val="21"/>
                <w:highlight w:val="none"/>
                <w:lang w:val="en-US" w:eastAsia="zh-CN"/>
              </w:rPr>
            </w:pPr>
            <w:r>
              <w:rPr>
                <w:rFonts w:hint="eastAsia" w:ascii="宋体" w:hAnsi="宋体" w:eastAsia="宋体" w:cs="宋体"/>
                <w:bCs/>
                <w:snapToGrid w:val="0"/>
                <w:color w:val="auto"/>
                <w:kern w:val="0"/>
                <w:sz w:val="21"/>
                <w:szCs w:val="21"/>
                <w:highlight w:val="none"/>
                <w:lang w:val="en-US" w:eastAsia="zh-CN"/>
              </w:rPr>
              <w:t>（4）定标文件1份；</w:t>
            </w:r>
          </w:p>
          <w:p w14:paraId="168A6273">
            <w:pPr>
              <w:keepNext w:val="0"/>
              <w:keepLines w:val="0"/>
              <w:pageBreakBefore w:val="0"/>
              <w:widowControl/>
              <w:suppressLineNumbers w:val="0"/>
              <w:shd w:val="clear" w:color="auto" w:fill="auto"/>
              <w:overflowPunct/>
              <w:topLinePunct w:val="0"/>
              <w:bidi w:val="0"/>
              <w:spacing w:line="360" w:lineRule="auto"/>
              <w:ind w:firstLine="210" w:firstLineChars="100"/>
              <w:jc w:val="left"/>
              <w:textAlignment w:val="center"/>
              <w:rPr>
                <w:rFonts w:hint="eastAsia" w:ascii="宋体" w:hAnsi="宋体" w:eastAsia="宋体" w:cs="宋体"/>
                <w:bCs/>
                <w:snapToGrid w:val="0"/>
                <w:color w:val="auto"/>
                <w:kern w:val="0"/>
                <w:sz w:val="21"/>
                <w:szCs w:val="21"/>
                <w:highlight w:val="none"/>
                <w:lang w:val="en-US" w:eastAsia="zh-CN"/>
              </w:rPr>
            </w:pPr>
            <w:r>
              <w:rPr>
                <w:rFonts w:hint="eastAsia" w:ascii="宋体" w:hAnsi="宋体" w:eastAsia="宋体" w:cs="宋体"/>
                <w:bCs/>
                <w:snapToGrid w:val="0"/>
                <w:color w:val="auto"/>
                <w:kern w:val="0"/>
                <w:sz w:val="21"/>
                <w:szCs w:val="21"/>
                <w:highlight w:val="none"/>
                <w:lang w:val="en-US" w:eastAsia="zh-CN"/>
              </w:rPr>
              <w:t>2、对应评审要求的分项响应文件（如有）。</w:t>
            </w:r>
          </w:p>
          <w:p w14:paraId="7FA3B351">
            <w:pPr>
              <w:keepNext w:val="0"/>
              <w:keepLines w:val="0"/>
              <w:pageBreakBefore w:val="0"/>
              <w:widowControl/>
              <w:suppressLineNumbers w:val="0"/>
              <w:shd w:val="clear" w:color="auto" w:fill="auto"/>
              <w:overflowPunct/>
              <w:topLinePunct w:val="0"/>
              <w:bidi w:val="0"/>
              <w:spacing w:line="360" w:lineRule="auto"/>
              <w:ind w:firstLine="420" w:firstLineChars="200"/>
              <w:jc w:val="left"/>
              <w:textAlignment w:val="center"/>
              <w:rPr>
                <w:rFonts w:hint="eastAsia" w:ascii="宋体" w:hAnsi="宋体" w:eastAsia="宋体" w:cs="宋体"/>
                <w:bCs/>
                <w:snapToGrid w:val="0"/>
                <w:color w:val="auto"/>
                <w:kern w:val="0"/>
                <w:sz w:val="21"/>
                <w:szCs w:val="21"/>
                <w:highlight w:val="none"/>
                <w:lang w:val="en-US" w:eastAsia="zh-CN"/>
              </w:rPr>
            </w:pPr>
            <w:r>
              <w:rPr>
                <w:rFonts w:hint="eastAsia" w:ascii="宋体" w:hAnsi="宋体" w:eastAsia="宋体" w:cs="宋体"/>
                <w:bCs/>
                <w:snapToGrid w:val="0"/>
                <w:color w:val="auto"/>
                <w:kern w:val="0"/>
                <w:sz w:val="21"/>
                <w:szCs w:val="21"/>
                <w:highlight w:val="none"/>
                <w:lang w:val="en-US" w:eastAsia="zh-CN"/>
              </w:rPr>
              <w:t>投标文件全部采用电子文档，投标文件所附证书证件均为原件扫描件，并采用单位数字证书，按招标文件要求在相应位置加盖电子印章。投标文件中需个人签字或盖章的，应加盖个人电子印章或在线下完成后扫描上传。按照交易平台关于全流程电子化项目的相关指南进行操作。详见：全国公共资源交易平台（广东省·韶关市）（https://ygp.gdzwfw.gov.cn/ggzy-portal/#/440200/index）交易指引。</w:t>
            </w:r>
          </w:p>
          <w:p w14:paraId="2F569048">
            <w:pPr>
              <w:keepNext w:val="0"/>
              <w:keepLines w:val="0"/>
              <w:pageBreakBefore w:val="0"/>
              <w:widowControl w:val="0"/>
              <w:suppressLineNumbers w:val="0"/>
              <w:kinsoku/>
              <w:wordWrap/>
              <w:overflowPunct/>
              <w:topLinePunct w:val="0"/>
              <w:autoSpaceDE/>
              <w:autoSpaceDN/>
              <w:bidi w:val="0"/>
              <w:adjustRightInd/>
              <w:snapToGrid/>
              <w:spacing w:line="360" w:lineRule="auto"/>
              <w:ind w:left="105" w:leftChars="50" w:right="105" w:rightChars="50" w:firstLine="420" w:firstLineChars="200"/>
              <w:jc w:val="left"/>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宋体" w:hAnsi="宋体" w:eastAsia="宋体" w:cs="宋体"/>
                <w:bCs/>
                <w:snapToGrid w:val="0"/>
                <w:color w:val="auto"/>
                <w:kern w:val="0"/>
                <w:sz w:val="21"/>
                <w:szCs w:val="21"/>
                <w:highlight w:val="none"/>
                <w:lang w:val="en-US" w:eastAsia="zh-CN"/>
              </w:rPr>
              <w:t>注：投标人被确定为中标人后，应从交易系统打印二套纸质投标文件（含签名盖章页），内容同电子投标文件，在签订本招标项目承包合同前分别提交给招标人和招标管理部门。（除招标文件约定外，纸质标书须与电子标书一致，不一致的以电子标书为准）。</w:t>
            </w:r>
          </w:p>
        </w:tc>
      </w:tr>
      <w:tr w14:paraId="170F8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6" w:hRule="atLeast"/>
        </w:trPr>
        <w:tc>
          <w:tcPr>
            <w:tcW w:w="582" w:type="dxa"/>
            <w:vAlign w:val="center"/>
          </w:tcPr>
          <w:p w14:paraId="2168BB35">
            <w:pPr>
              <w:spacing w:before="258" w:line="188" w:lineRule="auto"/>
              <w:ind w:left="209"/>
              <w:jc w:val="both"/>
              <w:rPr>
                <w:rFonts w:hint="default" w:asciiTheme="minorEastAsia" w:hAnsiTheme="minorEastAsia" w:eastAsiaTheme="minorEastAsia" w:cstheme="minorEastAsia"/>
                <w:color w:val="auto"/>
                <w:spacing w:val="-5"/>
                <w:sz w:val="21"/>
                <w:szCs w:val="21"/>
                <w:highlight w:val="none"/>
                <w:lang w:val="en-US" w:eastAsia="zh-CN"/>
              </w:rPr>
            </w:pPr>
            <w:r>
              <w:rPr>
                <w:rFonts w:hint="eastAsia" w:asciiTheme="minorEastAsia" w:hAnsiTheme="minorEastAsia" w:eastAsiaTheme="minorEastAsia" w:cstheme="minorEastAsia"/>
                <w:color w:val="auto"/>
                <w:spacing w:val="-5"/>
                <w:sz w:val="21"/>
                <w:szCs w:val="21"/>
                <w:highlight w:val="none"/>
                <w:lang w:val="en-US" w:eastAsia="zh-CN"/>
              </w:rPr>
              <w:t>35</w:t>
            </w:r>
          </w:p>
        </w:tc>
        <w:tc>
          <w:tcPr>
            <w:tcW w:w="1860" w:type="dxa"/>
            <w:vAlign w:val="center"/>
          </w:tcPr>
          <w:p w14:paraId="1FA89293">
            <w:pPr>
              <w:keepNext w:val="0"/>
              <w:keepLines w:val="0"/>
              <w:pageBreakBefore w:val="0"/>
              <w:widowControl w:val="0"/>
              <w:kinsoku/>
              <w:wordWrap w:val="0"/>
              <w:overflowPunct/>
              <w:topLinePunct w:val="0"/>
              <w:autoSpaceDE/>
              <w:autoSpaceDN/>
              <w:bidi w:val="0"/>
              <w:adjustRightInd/>
              <w:snapToGrid/>
              <w:spacing w:line="400" w:lineRule="exact"/>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定标办法</w:t>
            </w:r>
          </w:p>
        </w:tc>
        <w:tc>
          <w:tcPr>
            <w:tcW w:w="7544" w:type="dxa"/>
            <w:vAlign w:val="center"/>
          </w:tcPr>
          <w:p w14:paraId="07F682DE">
            <w:pPr>
              <w:keepNext w:val="0"/>
              <w:keepLines w:val="0"/>
              <w:pageBreakBefore w:val="0"/>
              <w:widowControl w:val="0"/>
              <w:suppressLineNumbers w:val="0"/>
              <w:kinsoku/>
              <w:wordWrap/>
              <w:overflowPunct/>
              <w:topLinePunct w:val="0"/>
              <w:autoSpaceDE/>
              <w:autoSpaceDN/>
              <w:bidi w:val="0"/>
              <w:adjustRightInd/>
              <w:snapToGrid/>
              <w:spacing w:line="400" w:lineRule="exact"/>
              <w:ind w:left="105" w:leftChars="50" w:right="105" w:rightChars="50"/>
              <w:jc w:val="left"/>
              <w:textAlignment w:val="auto"/>
              <w:rPr>
                <w:rFonts w:hint="eastAsia" w:ascii="宋体" w:hAnsi="宋体" w:eastAsia="宋体" w:cs="宋体"/>
                <w:bCs/>
                <w:snapToGrid w:val="0"/>
                <w:color w:val="auto"/>
                <w:kern w:val="0"/>
                <w:sz w:val="21"/>
                <w:szCs w:val="21"/>
                <w:highlight w:val="none"/>
                <w:lang w:val="en-US" w:eastAsia="zh-CN"/>
              </w:rPr>
            </w:pPr>
            <w:r>
              <w:rPr>
                <w:rFonts w:hint="eastAsia" w:ascii="宋体" w:hAnsi="宋体" w:eastAsia="宋体" w:cs="宋体"/>
                <w:bCs/>
                <w:snapToGrid w:val="0"/>
                <w:color w:val="auto"/>
                <w:kern w:val="0"/>
                <w:sz w:val="21"/>
                <w:szCs w:val="21"/>
                <w:highlight w:val="none"/>
                <w:lang w:val="en-US" w:eastAsia="zh-CN"/>
              </w:rPr>
              <w:t>采用</w:t>
            </w:r>
            <w:r>
              <w:rPr>
                <w:rFonts w:hint="eastAsia" w:ascii="宋体" w:hAnsi="宋体" w:eastAsia="宋体" w:cs="宋体"/>
                <w:b/>
                <w:bCs w:val="0"/>
                <w:snapToGrid w:val="0"/>
                <w:color w:val="auto"/>
                <w:kern w:val="0"/>
                <w:sz w:val="21"/>
                <w:szCs w:val="21"/>
                <w:highlight w:val="none"/>
                <w:lang w:val="en-US" w:eastAsia="zh-CN"/>
              </w:rPr>
              <w:t>评定分离</w:t>
            </w:r>
            <w:r>
              <w:rPr>
                <w:rFonts w:hint="eastAsia" w:ascii="宋体" w:hAnsi="宋体" w:eastAsia="宋体" w:cs="宋体"/>
                <w:bCs/>
                <w:snapToGrid w:val="0"/>
                <w:color w:val="auto"/>
                <w:kern w:val="0"/>
                <w:sz w:val="21"/>
                <w:szCs w:val="21"/>
                <w:highlight w:val="none"/>
                <w:lang w:val="en-US" w:eastAsia="zh-CN"/>
              </w:rPr>
              <w:t>的项目，应选定下列定标办法：</w:t>
            </w:r>
          </w:p>
          <w:p w14:paraId="09851633">
            <w:pPr>
              <w:keepNext w:val="0"/>
              <w:keepLines w:val="0"/>
              <w:pageBreakBefore w:val="0"/>
              <w:widowControl w:val="0"/>
              <w:suppressLineNumbers w:val="0"/>
              <w:kinsoku/>
              <w:wordWrap/>
              <w:overflowPunct/>
              <w:topLinePunct w:val="0"/>
              <w:autoSpaceDE/>
              <w:autoSpaceDN/>
              <w:bidi w:val="0"/>
              <w:adjustRightInd/>
              <w:snapToGrid/>
              <w:spacing w:line="400" w:lineRule="exact"/>
              <w:ind w:left="105" w:leftChars="50" w:right="105" w:rightChars="50"/>
              <w:jc w:val="left"/>
              <w:textAlignment w:val="auto"/>
              <w:rPr>
                <w:rFonts w:hint="eastAsia" w:ascii="宋体" w:hAnsi="宋体" w:eastAsia="宋体" w:cs="宋体"/>
                <w:bCs/>
                <w:snapToGrid w:val="0"/>
                <w:color w:val="auto"/>
                <w:kern w:val="0"/>
                <w:sz w:val="21"/>
                <w:szCs w:val="21"/>
                <w:highlight w:val="none"/>
                <w:lang w:val="en-US" w:eastAsia="zh-CN"/>
              </w:rPr>
            </w:pPr>
            <w:r>
              <w:rPr>
                <w:rFonts w:hint="eastAsia" w:ascii="宋体" w:hAnsi="宋体" w:eastAsia="宋体" w:cs="宋体"/>
                <w:bCs/>
                <w:snapToGrid w:val="0"/>
                <w:color w:val="auto"/>
                <w:kern w:val="0"/>
                <w:sz w:val="21"/>
                <w:szCs w:val="21"/>
                <w:highlight w:val="none"/>
                <w:lang w:val="en-US" w:eastAsia="zh-CN"/>
              </w:rPr>
              <w:t>☑票决数量法</w:t>
            </w:r>
          </w:p>
          <w:p w14:paraId="42DC2268">
            <w:pPr>
              <w:keepNext w:val="0"/>
              <w:keepLines w:val="0"/>
              <w:pageBreakBefore w:val="0"/>
              <w:widowControl w:val="0"/>
              <w:suppressLineNumbers w:val="0"/>
              <w:kinsoku/>
              <w:wordWrap/>
              <w:overflowPunct/>
              <w:topLinePunct w:val="0"/>
              <w:autoSpaceDE/>
              <w:autoSpaceDN/>
              <w:bidi w:val="0"/>
              <w:adjustRightInd/>
              <w:snapToGrid/>
              <w:spacing w:line="400" w:lineRule="exact"/>
              <w:ind w:left="105" w:leftChars="50" w:right="105" w:rightChars="50"/>
              <w:jc w:val="left"/>
              <w:textAlignment w:val="auto"/>
              <w:rPr>
                <w:rFonts w:hint="eastAsia" w:ascii="宋体" w:hAnsi="宋体" w:eastAsia="宋体" w:cs="宋体"/>
                <w:bCs/>
                <w:snapToGrid w:val="0"/>
                <w:color w:val="auto"/>
                <w:kern w:val="0"/>
                <w:sz w:val="21"/>
                <w:szCs w:val="21"/>
                <w:highlight w:val="none"/>
                <w:lang w:val="en-US" w:eastAsia="zh-CN"/>
              </w:rPr>
            </w:pPr>
            <w:r>
              <w:rPr>
                <w:rFonts w:hint="eastAsia" w:ascii="宋体" w:hAnsi="宋体" w:eastAsia="宋体" w:cs="宋体"/>
                <w:bCs/>
                <w:snapToGrid w:val="0"/>
                <w:color w:val="auto"/>
                <w:kern w:val="0"/>
                <w:sz w:val="21"/>
                <w:szCs w:val="21"/>
                <w:highlight w:val="none"/>
                <w:lang w:val="en-US" w:eastAsia="zh-CN"/>
              </w:rPr>
              <w:t>□票决计分法</w:t>
            </w:r>
          </w:p>
          <w:p w14:paraId="352F7AFA">
            <w:pPr>
              <w:keepNext w:val="0"/>
              <w:keepLines w:val="0"/>
              <w:pageBreakBefore w:val="0"/>
              <w:widowControl w:val="0"/>
              <w:suppressLineNumbers w:val="0"/>
              <w:kinsoku/>
              <w:wordWrap/>
              <w:overflowPunct/>
              <w:topLinePunct w:val="0"/>
              <w:autoSpaceDE/>
              <w:autoSpaceDN/>
              <w:bidi w:val="0"/>
              <w:adjustRightInd/>
              <w:snapToGrid/>
              <w:spacing w:line="400" w:lineRule="exact"/>
              <w:ind w:left="105" w:leftChars="50" w:right="105" w:rightChars="50"/>
              <w:jc w:val="left"/>
              <w:textAlignment w:val="auto"/>
              <w:rPr>
                <w:rFonts w:hint="eastAsia" w:ascii="宋体" w:hAnsi="宋体" w:eastAsia="宋体" w:cs="宋体"/>
                <w:bCs/>
                <w:snapToGrid w:val="0"/>
                <w:color w:val="auto"/>
                <w:kern w:val="0"/>
                <w:sz w:val="21"/>
                <w:szCs w:val="21"/>
                <w:highlight w:val="none"/>
                <w:lang w:val="en-US" w:eastAsia="zh-CN"/>
              </w:rPr>
            </w:pPr>
            <w:r>
              <w:rPr>
                <w:rFonts w:hint="eastAsia" w:ascii="宋体" w:hAnsi="宋体" w:eastAsia="宋体" w:cs="宋体"/>
                <w:bCs/>
                <w:snapToGrid w:val="0"/>
                <w:color w:val="auto"/>
                <w:kern w:val="0"/>
                <w:sz w:val="21"/>
                <w:szCs w:val="21"/>
                <w:highlight w:val="none"/>
                <w:lang w:val="en-US" w:eastAsia="zh-CN"/>
              </w:rPr>
              <w:t>□集体议事法</w:t>
            </w:r>
          </w:p>
          <w:p w14:paraId="345DD05E">
            <w:pPr>
              <w:keepNext w:val="0"/>
              <w:keepLines w:val="0"/>
              <w:pageBreakBefore w:val="0"/>
              <w:widowControl w:val="0"/>
              <w:suppressLineNumbers w:val="0"/>
              <w:kinsoku/>
              <w:wordWrap/>
              <w:overflowPunct/>
              <w:topLinePunct w:val="0"/>
              <w:autoSpaceDE/>
              <w:autoSpaceDN/>
              <w:bidi w:val="0"/>
              <w:adjustRightInd/>
              <w:snapToGrid/>
              <w:spacing w:line="400" w:lineRule="exact"/>
              <w:ind w:left="105" w:leftChars="50" w:right="105" w:rightChars="50"/>
              <w:jc w:val="left"/>
              <w:textAlignment w:val="auto"/>
              <w:rPr>
                <w:rFonts w:hint="eastAsia" w:ascii="宋体" w:hAnsi="宋体" w:eastAsia="宋体" w:cs="宋体"/>
                <w:bCs/>
                <w:snapToGrid w:val="0"/>
                <w:color w:val="auto"/>
                <w:kern w:val="0"/>
                <w:sz w:val="21"/>
                <w:szCs w:val="21"/>
                <w:highlight w:val="none"/>
                <w:lang w:val="en-US" w:eastAsia="zh-CN"/>
              </w:rPr>
            </w:pPr>
            <w:r>
              <w:rPr>
                <w:rFonts w:hint="eastAsia" w:ascii="宋体" w:hAnsi="宋体" w:eastAsia="宋体" w:cs="宋体"/>
                <w:bCs/>
                <w:snapToGrid w:val="0"/>
                <w:color w:val="auto"/>
                <w:kern w:val="0"/>
                <w:sz w:val="21"/>
                <w:szCs w:val="21"/>
                <w:highlight w:val="none"/>
                <w:lang w:val="en-US" w:eastAsia="zh-CN"/>
              </w:rPr>
              <w:t>□其他方法：</w:t>
            </w:r>
          </w:p>
        </w:tc>
      </w:tr>
      <w:tr w14:paraId="7640F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6" w:hRule="atLeast"/>
        </w:trPr>
        <w:tc>
          <w:tcPr>
            <w:tcW w:w="582" w:type="dxa"/>
            <w:vAlign w:val="center"/>
          </w:tcPr>
          <w:p w14:paraId="4E5940B1">
            <w:pPr>
              <w:spacing w:before="258" w:line="188" w:lineRule="auto"/>
              <w:ind w:left="209"/>
              <w:jc w:val="both"/>
              <w:rPr>
                <w:rFonts w:hint="default" w:asciiTheme="minorEastAsia" w:hAnsiTheme="minorEastAsia" w:eastAsiaTheme="minorEastAsia" w:cstheme="minorEastAsia"/>
                <w:color w:val="auto"/>
                <w:spacing w:val="-5"/>
                <w:sz w:val="21"/>
                <w:szCs w:val="21"/>
                <w:highlight w:val="none"/>
                <w:lang w:val="en-US" w:eastAsia="zh-CN"/>
              </w:rPr>
            </w:pPr>
            <w:r>
              <w:rPr>
                <w:rFonts w:hint="eastAsia" w:asciiTheme="minorEastAsia" w:hAnsiTheme="minorEastAsia" w:eastAsiaTheme="minorEastAsia" w:cstheme="minorEastAsia"/>
                <w:color w:val="auto"/>
                <w:spacing w:val="-5"/>
                <w:sz w:val="21"/>
                <w:szCs w:val="21"/>
                <w:highlight w:val="none"/>
                <w:lang w:val="en-US" w:eastAsia="zh-CN"/>
              </w:rPr>
              <w:t>36</w:t>
            </w:r>
          </w:p>
        </w:tc>
        <w:tc>
          <w:tcPr>
            <w:tcW w:w="1860" w:type="dxa"/>
            <w:vAlign w:val="center"/>
          </w:tcPr>
          <w:p w14:paraId="33814F5A">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color w:val="auto"/>
                <w:sz w:val="21"/>
                <w:szCs w:val="21"/>
                <w:highlight w:val="none"/>
              </w:rPr>
              <w:t>纳入百千万工程公益性项目</w:t>
            </w:r>
          </w:p>
        </w:tc>
        <w:tc>
          <w:tcPr>
            <w:tcW w:w="7544" w:type="dxa"/>
            <w:vAlign w:val="center"/>
          </w:tcPr>
          <w:p w14:paraId="3967C6CA">
            <w:pPr>
              <w:keepNext w:val="0"/>
              <w:keepLines w:val="0"/>
              <w:pageBreakBefore w:val="0"/>
              <w:widowControl w:val="0"/>
              <w:suppressLineNumbers w:val="0"/>
              <w:kinsoku/>
              <w:wordWrap/>
              <w:overflowPunct/>
              <w:topLinePunct w:val="0"/>
              <w:autoSpaceDE/>
              <w:autoSpaceDN/>
              <w:bidi w:val="0"/>
              <w:adjustRightInd/>
              <w:snapToGrid/>
              <w:spacing w:line="400" w:lineRule="exact"/>
              <w:ind w:left="105" w:leftChars="50" w:right="105" w:rightChars="50" w:firstLine="420" w:firstLineChars="200"/>
              <w:jc w:val="left"/>
              <w:textAlignment w:val="auto"/>
              <w:rPr>
                <w:rFonts w:hint="eastAsia" w:ascii="宋体" w:hAnsi="宋体" w:eastAsia="宋体" w:cs="宋体"/>
                <w:bCs/>
                <w:snapToGrid w:val="0"/>
                <w:color w:val="auto"/>
                <w:kern w:val="0"/>
                <w:sz w:val="21"/>
                <w:szCs w:val="21"/>
                <w:highlight w:val="none"/>
                <w:lang w:val="en-US" w:eastAsia="zh-CN"/>
              </w:rPr>
            </w:pPr>
            <w:r>
              <w:rPr>
                <w:rFonts w:hint="eastAsia" w:ascii="宋体" w:hAnsi="宋体" w:eastAsia="宋体" w:cs="宋体"/>
                <w:bCs/>
                <w:snapToGrid w:val="0"/>
                <w:color w:val="auto"/>
                <w:kern w:val="0"/>
                <w:sz w:val="21"/>
                <w:szCs w:val="21"/>
                <w:highlight w:val="none"/>
                <w:lang w:val="en-US" w:eastAsia="zh-CN"/>
              </w:rPr>
              <w:t>本次招标鼓励投标人积极响应政策号召，充分利用其人才、技术、专业、资源、资金、设备或管理优势，通过技术创新和资源优化，以投标人自愿为原则，助力百千万工程公益性项目。</w:t>
            </w:r>
          </w:p>
          <w:p w14:paraId="657FEDFF">
            <w:pPr>
              <w:keepNext w:val="0"/>
              <w:keepLines w:val="0"/>
              <w:pageBreakBefore w:val="0"/>
              <w:widowControl w:val="0"/>
              <w:suppressLineNumbers w:val="0"/>
              <w:kinsoku/>
              <w:wordWrap/>
              <w:overflowPunct/>
              <w:topLinePunct w:val="0"/>
              <w:autoSpaceDE/>
              <w:autoSpaceDN/>
              <w:bidi w:val="0"/>
              <w:adjustRightInd/>
              <w:snapToGrid/>
              <w:spacing w:line="400" w:lineRule="exact"/>
              <w:ind w:left="105" w:leftChars="50" w:right="105" w:rightChars="50" w:firstLine="420" w:firstLineChars="200"/>
              <w:jc w:val="left"/>
              <w:textAlignment w:val="auto"/>
              <w:rPr>
                <w:rFonts w:hint="eastAsia" w:ascii="宋体" w:hAnsi="宋体" w:eastAsia="宋体" w:cs="宋体"/>
                <w:bCs/>
                <w:snapToGrid w:val="0"/>
                <w:color w:val="auto"/>
                <w:kern w:val="0"/>
                <w:sz w:val="21"/>
                <w:szCs w:val="21"/>
                <w:highlight w:val="none"/>
                <w:lang w:val="en-US" w:eastAsia="zh-CN"/>
              </w:rPr>
            </w:pPr>
            <w:r>
              <w:rPr>
                <w:rFonts w:hint="eastAsia" w:ascii="宋体" w:hAnsi="宋体" w:eastAsia="宋体" w:cs="宋体"/>
                <w:bCs/>
                <w:snapToGrid w:val="0"/>
                <w:color w:val="auto"/>
                <w:kern w:val="0"/>
                <w:sz w:val="21"/>
                <w:szCs w:val="21"/>
                <w:highlight w:val="none"/>
                <w:lang w:val="en-US" w:eastAsia="zh-CN"/>
              </w:rPr>
              <w:t>投标人需提供自愿助力百千万工程公益性项目公益捐建（捐赠或配建）进度计划及保证措施；以投标人自愿为原则，按招标文件格式格式十六要求提供《助力项目承诺书》。</w:t>
            </w:r>
          </w:p>
        </w:tc>
      </w:tr>
      <w:tr w14:paraId="0A107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13" w:hRule="atLeast"/>
        </w:trPr>
        <w:tc>
          <w:tcPr>
            <w:tcW w:w="582" w:type="dxa"/>
            <w:vAlign w:val="center"/>
          </w:tcPr>
          <w:p w14:paraId="5A8F9F23">
            <w:pPr>
              <w:spacing w:before="57" w:line="195" w:lineRule="auto"/>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37</w:t>
            </w:r>
          </w:p>
        </w:tc>
        <w:tc>
          <w:tcPr>
            <w:tcW w:w="1860" w:type="dxa"/>
            <w:vAlign w:val="center"/>
          </w:tcPr>
          <w:p w14:paraId="5E4B993F">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招标文件要求提交的用于评审的证书、证件、证明原件</w:t>
            </w:r>
          </w:p>
        </w:tc>
        <w:tc>
          <w:tcPr>
            <w:tcW w:w="7544" w:type="dxa"/>
            <w:vAlign w:val="top"/>
          </w:tcPr>
          <w:p w14:paraId="11169AFE">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投标人在提交用于评审的证书、证件、证明原件的，投标人应自行将所需原件密封于文件袋（箱）中，并自行准备两张“原件一览表 ” (详见格式十五，投标人须自行填写，表格可扩展)，一张贴于文件袋（箱），一份在递交文件袋（箱）时由招标代理机构、投标人签字后交招标代理机构。招标代理机构仅代签收，不对文件袋（箱）中资料的数量、内容及真实性负责。评标结束后，招标代理机构将退回投标人的原件。若投标人未按要求提交相应证明材料原件或投标文件中证明材料的复印件与原件不一致，评审时相应证明材料不予认可。</w:t>
            </w:r>
          </w:p>
        </w:tc>
      </w:tr>
      <w:tr w14:paraId="6688F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57" w:hRule="atLeast"/>
        </w:trPr>
        <w:tc>
          <w:tcPr>
            <w:tcW w:w="582" w:type="dxa"/>
            <w:vAlign w:val="center"/>
          </w:tcPr>
          <w:p w14:paraId="6E15237F">
            <w:pPr>
              <w:spacing w:before="69" w:line="188" w:lineRule="auto"/>
              <w:ind w:left="209"/>
              <w:rPr>
                <w:rFonts w:hint="eastAsia" w:asciiTheme="minorEastAsia" w:hAnsiTheme="minorEastAsia" w:eastAsiaTheme="minorEastAsia" w:cstheme="minorEastAsia"/>
                <w:color w:val="auto"/>
                <w:spacing w:val="-5"/>
                <w:sz w:val="21"/>
                <w:szCs w:val="21"/>
                <w:highlight w:val="none"/>
                <w:lang w:eastAsia="zh-CN"/>
              </w:rPr>
            </w:pPr>
            <w:r>
              <w:rPr>
                <w:rFonts w:hint="eastAsia" w:asciiTheme="minorEastAsia" w:hAnsiTheme="minorEastAsia" w:eastAsiaTheme="minorEastAsia" w:cstheme="minorEastAsia"/>
                <w:color w:val="auto"/>
                <w:spacing w:val="-5"/>
                <w:sz w:val="21"/>
                <w:szCs w:val="21"/>
                <w:highlight w:val="none"/>
                <w:lang w:eastAsia="zh-CN"/>
              </w:rPr>
              <w:t>3</w:t>
            </w:r>
            <w:r>
              <w:rPr>
                <w:rFonts w:hint="eastAsia" w:asciiTheme="minorEastAsia" w:hAnsiTheme="minorEastAsia" w:eastAsiaTheme="minorEastAsia" w:cstheme="minorEastAsia"/>
                <w:color w:val="auto"/>
                <w:spacing w:val="-5"/>
                <w:sz w:val="21"/>
                <w:szCs w:val="21"/>
                <w:highlight w:val="none"/>
                <w:lang w:val="en-US" w:eastAsia="zh-CN"/>
              </w:rPr>
              <w:t>8</w:t>
            </w:r>
          </w:p>
        </w:tc>
        <w:tc>
          <w:tcPr>
            <w:tcW w:w="1860" w:type="dxa"/>
            <w:vAlign w:val="center"/>
          </w:tcPr>
          <w:p w14:paraId="6186C359">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招标代理费</w:t>
            </w:r>
          </w:p>
        </w:tc>
        <w:tc>
          <w:tcPr>
            <w:tcW w:w="7544" w:type="dxa"/>
            <w:vAlign w:val="center"/>
          </w:tcPr>
          <w:p w14:paraId="7ABDDE22">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本工程的招标代理费由中标人支付，该费用不再另行报价，由投标人在投标报价时综合考虑在内。中标人须向招标代理机构一次性支付（招标代理服务费：根据《招标代理服务收费管理暂行办法》（计价格[2002]1980号）计算服务费用金额，并以工程中标价来计算服务费用，落实40%下浮率，服务费用包含所有费用，具体以签订的合同为准。</w:t>
            </w:r>
          </w:p>
        </w:tc>
      </w:tr>
      <w:tr w14:paraId="7FD7F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9" w:hRule="atLeast"/>
        </w:trPr>
        <w:tc>
          <w:tcPr>
            <w:tcW w:w="582" w:type="dxa"/>
            <w:vAlign w:val="center"/>
          </w:tcPr>
          <w:p w14:paraId="37D7D386">
            <w:pPr>
              <w:spacing w:before="69" w:line="188" w:lineRule="auto"/>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pacing w:val="-5"/>
                <w:sz w:val="21"/>
                <w:szCs w:val="21"/>
                <w:highlight w:val="none"/>
              </w:rPr>
              <w:t>3</w:t>
            </w:r>
            <w:r>
              <w:rPr>
                <w:rFonts w:hint="eastAsia" w:asciiTheme="minorEastAsia" w:hAnsiTheme="minorEastAsia" w:eastAsiaTheme="minorEastAsia" w:cstheme="minorEastAsia"/>
                <w:color w:val="auto"/>
                <w:spacing w:val="-5"/>
                <w:sz w:val="21"/>
                <w:szCs w:val="21"/>
                <w:highlight w:val="none"/>
                <w:lang w:val="en-US" w:eastAsia="zh-CN"/>
              </w:rPr>
              <w:t>9</w:t>
            </w:r>
          </w:p>
        </w:tc>
        <w:tc>
          <w:tcPr>
            <w:tcW w:w="1860" w:type="dxa"/>
            <w:vAlign w:val="center"/>
          </w:tcPr>
          <w:p w14:paraId="5DBBB6F5">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招标人</w:t>
            </w:r>
          </w:p>
          <w:p w14:paraId="36239D21">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联系方式</w:t>
            </w:r>
          </w:p>
        </w:tc>
        <w:tc>
          <w:tcPr>
            <w:tcW w:w="7544" w:type="dxa"/>
            <w:vAlign w:val="center"/>
          </w:tcPr>
          <w:p w14:paraId="294DCE90">
            <w:pPr>
              <w:wordWrap w:val="0"/>
              <w:adjustRightInd w:val="0"/>
              <w:snapToGrid w:val="0"/>
              <w:spacing w:line="360" w:lineRule="exact"/>
              <w:ind w:firstLine="220" w:firstLineChars="100"/>
              <w:jc w:val="left"/>
              <w:rPr>
                <w:rFonts w:hint="eastAsia" w:ascii="宋体" w:hAnsi="宋体" w:eastAsia="宋体" w:cs="宋体"/>
                <w:snapToGrid w:val="0"/>
                <w:color w:val="auto"/>
                <w:kern w:val="0"/>
                <w:sz w:val="22"/>
                <w:szCs w:val="22"/>
                <w:highlight w:val="none"/>
                <w:lang w:eastAsia="zh-CN"/>
              </w:rPr>
            </w:pPr>
            <w:r>
              <w:rPr>
                <w:rFonts w:hint="eastAsia" w:ascii="宋体" w:hAnsi="宋体" w:eastAsia="宋体" w:cs="宋体"/>
                <w:snapToGrid w:val="0"/>
                <w:color w:val="auto"/>
                <w:kern w:val="0"/>
                <w:sz w:val="22"/>
                <w:szCs w:val="22"/>
                <w:highlight w:val="none"/>
              </w:rPr>
              <w:t>单位名称：</w:t>
            </w:r>
            <w:r>
              <w:rPr>
                <w:rFonts w:hint="eastAsia" w:ascii="宋体" w:hAnsi="宋体" w:eastAsia="宋体" w:cs="宋体"/>
                <w:snapToGrid w:val="0"/>
                <w:color w:val="auto"/>
                <w:kern w:val="0"/>
                <w:sz w:val="22"/>
                <w:szCs w:val="22"/>
                <w:highlight w:val="none"/>
                <w:lang w:eastAsia="zh-CN"/>
              </w:rPr>
              <w:t>仁化县丹霞旅游经济开发试验区管理委员会</w:t>
            </w:r>
          </w:p>
          <w:p w14:paraId="45B2C2F5">
            <w:pPr>
              <w:wordWrap w:val="0"/>
              <w:adjustRightInd w:val="0"/>
              <w:snapToGrid w:val="0"/>
              <w:spacing w:line="360" w:lineRule="exact"/>
              <w:ind w:firstLine="220" w:firstLineChars="100"/>
              <w:jc w:val="left"/>
              <w:rPr>
                <w:rFonts w:hint="eastAsia" w:ascii="宋体" w:hAnsi="宋体" w:eastAsia="宋体" w:cs="宋体"/>
                <w:snapToGrid w:val="0"/>
                <w:color w:val="auto"/>
                <w:kern w:val="0"/>
                <w:sz w:val="22"/>
                <w:szCs w:val="22"/>
                <w:highlight w:val="none"/>
                <w:lang w:eastAsia="zh-CN"/>
              </w:rPr>
            </w:pPr>
            <w:r>
              <w:rPr>
                <w:rFonts w:hint="eastAsia" w:ascii="宋体" w:hAnsi="宋体" w:eastAsia="宋体" w:cs="宋体"/>
                <w:snapToGrid w:val="0"/>
                <w:color w:val="auto"/>
                <w:kern w:val="0"/>
                <w:sz w:val="22"/>
                <w:szCs w:val="22"/>
                <w:highlight w:val="none"/>
              </w:rPr>
              <w:t>办公地址：</w:t>
            </w:r>
            <w:r>
              <w:rPr>
                <w:rFonts w:hint="eastAsia" w:ascii="宋体" w:hAnsi="宋体" w:eastAsia="宋体" w:cs="宋体"/>
                <w:snapToGrid w:val="0"/>
                <w:color w:val="auto"/>
                <w:kern w:val="0"/>
                <w:sz w:val="22"/>
                <w:szCs w:val="22"/>
                <w:highlight w:val="none"/>
                <w:lang w:eastAsia="zh-CN"/>
              </w:rPr>
              <w:t>仁化县周田镇新庄工业园</w:t>
            </w:r>
          </w:p>
          <w:p w14:paraId="5B16EB9D">
            <w:pPr>
              <w:wordWrap w:val="0"/>
              <w:adjustRightInd w:val="0"/>
              <w:snapToGrid w:val="0"/>
              <w:spacing w:line="360" w:lineRule="exact"/>
              <w:ind w:firstLine="220" w:firstLineChars="100"/>
              <w:jc w:val="left"/>
              <w:rPr>
                <w:rFonts w:hint="eastAsia" w:ascii="宋体" w:hAnsi="宋体" w:eastAsia="宋体" w:cs="宋体"/>
                <w:snapToGrid w:val="0"/>
                <w:color w:val="auto"/>
                <w:kern w:val="0"/>
                <w:sz w:val="22"/>
                <w:szCs w:val="22"/>
                <w:highlight w:val="none"/>
                <w:lang w:val="en-US" w:eastAsia="zh-CN"/>
              </w:rPr>
            </w:pPr>
            <w:r>
              <w:rPr>
                <w:rFonts w:hint="eastAsia" w:ascii="宋体" w:hAnsi="宋体" w:eastAsia="宋体" w:cs="宋体"/>
                <w:snapToGrid w:val="0"/>
                <w:color w:val="auto"/>
                <w:kern w:val="0"/>
                <w:sz w:val="22"/>
                <w:szCs w:val="22"/>
                <w:highlight w:val="none"/>
              </w:rPr>
              <w:t>联系人（部门）：</w:t>
            </w:r>
            <w:r>
              <w:rPr>
                <w:rFonts w:hint="eastAsia" w:ascii="宋体" w:hAnsi="宋体" w:eastAsia="宋体" w:cs="宋体"/>
                <w:snapToGrid w:val="0"/>
                <w:color w:val="auto"/>
                <w:kern w:val="0"/>
                <w:sz w:val="22"/>
                <w:szCs w:val="22"/>
                <w:highlight w:val="none"/>
                <w:lang w:val="en-US" w:eastAsia="zh-CN"/>
              </w:rPr>
              <w:t>黄工</w:t>
            </w:r>
          </w:p>
          <w:p w14:paraId="01E5EFA9">
            <w:pPr>
              <w:wordWrap w:val="0"/>
              <w:adjustRightInd w:val="0"/>
              <w:snapToGrid w:val="0"/>
              <w:spacing w:line="360" w:lineRule="exact"/>
              <w:ind w:firstLine="220" w:firstLineChars="100"/>
              <w:jc w:val="left"/>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宋体" w:hAnsi="宋体" w:eastAsia="宋体" w:cs="宋体"/>
                <w:snapToGrid w:val="0"/>
                <w:color w:val="auto"/>
                <w:kern w:val="0"/>
                <w:sz w:val="22"/>
                <w:szCs w:val="22"/>
                <w:highlight w:val="none"/>
              </w:rPr>
              <w:t xml:space="preserve">联系电话： </w:t>
            </w:r>
            <w:r>
              <w:rPr>
                <w:rFonts w:hint="eastAsia" w:ascii="宋体" w:hAnsi="宋体" w:eastAsia="宋体" w:cs="宋体"/>
                <w:snapToGrid w:val="0"/>
                <w:color w:val="auto"/>
                <w:kern w:val="0"/>
                <w:sz w:val="22"/>
                <w:szCs w:val="22"/>
                <w:highlight w:val="none"/>
                <w:lang w:eastAsia="zh-CN"/>
              </w:rPr>
              <w:t>0751-6422238</w:t>
            </w:r>
          </w:p>
        </w:tc>
      </w:tr>
      <w:tr w14:paraId="101C9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99" w:hRule="atLeast"/>
        </w:trPr>
        <w:tc>
          <w:tcPr>
            <w:tcW w:w="582" w:type="dxa"/>
            <w:vAlign w:val="center"/>
          </w:tcPr>
          <w:p w14:paraId="7AB56B55">
            <w:pPr>
              <w:spacing w:before="69" w:line="188" w:lineRule="auto"/>
              <w:jc w:val="center"/>
              <w:rPr>
                <w:rFonts w:hint="default" w:asciiTheme="minorEastAsia" w:hAnsiTheme="minorEastAsia" w:eastAsiaTheme="minorEastAsia" w:cstheme="minorEastAsia"/>
                <w:color w:val="auto"/>
                <w:spacing w:val="-5"/>
                <w:sz w:val="21"/>
                <w:szCs w:val="21"/>
                <w:highlight w:val="none"/>
                <w:lang w:val="en-US" w:eastAsia="zh-CN"/>
              </w:rPr>
            </w:pPr>
            <w:r>
              <w:rPr>
                <w:rFonts w:hint="eastAsia" w:asciiTheme="minorEastAsia" w:hAnsiTheme="minorEastAsia" w:eastAsiaTheme="minorEastAsia" w:cstheme="minorEastAsia"/>
                <w:color w:val="auto"/>
                <w:spacing w:val="-5"/>
                <w:sz w:val="21"/>
                <w:szCs w:val="21"/>
                <w:highlight w:val="none"/>
                <w:lang w:val="en-US" w:eastAsia="zh-CN"/>
              </w:rPr>
              <w:t>40</w:t>
            </w:r>
          </w:p>
        </w:tc>
        <w:tc>
          <w:tcPr>
            <w:tcW w:w="1860" w:type="dxa"/>
            <w:vAlign w:val="center"/>
          </w:tcPr>
          <w:p w14:paraId="57A132EA">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招标代理机构</w:t>
            </w:r>
          </w:p>
          <w:p w14:paraId="3F031D75">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联系方式</w:t>
            </w:r>
          </w:p>
        </w:tc>
        <w:tc>
          <w:tcPr>
            <w:tcW w:w="7544" w:type="dxa"/>
            <w:vAlign w:val="center"/>
          </w:tcPr>
          <w:p w14:paraId="49523478">
            <w:pPr>
              <w:wordWrap w:val="0"/>
              <w:adjustRightInd w:val="0"/>
              <w:snapToGrid w:val="0"/>
              <w:spacing w:line="360" w:lineRule="exact"/>
              <w:ind w:firstLine="220" w:firstLineChars="100"/>
              <w:jc w:val="lef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单位名称：广东爱科工程咨询管理有限公司</w:t>
            </w:r>
          </w:p>
          <w:p w14:paraId="0747FA2E">
            <w:pPr>
              <w:wordWrap w:val="0"/>
              <w:adjustRightInd w:val="0"/>
              <w:snapToGrid w:val="0"/>
              <w:spacing w:line="360" w:lineRule="exact"/>
              <w:ind w:firstLine="220" w:firstLineChars="100"/>
              <w:jc w:val="lef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办公地址：仁化县建设路52号第三层</w:t>
            </w:r>
          </w:p>
          <w:p w14:paraId="302859BB">
            <w:pPr>
              <w:wordWrap w:val="0"/>
              <w:adjustRightInd w:val="0"/>
              <w:snapToGrid w:val="0"/>
              <w:spacing w:line="360" w:lineRule="exact"/>
              <w:ind w:firstLine="220" w:firstLineChars="100"/>
              <w:jc w:val="left"/>
              <w:rPr>
                <w:rFonts w:hint="default" w:ascii="宋体" w:hAnsi="宋体" w:eastAsia="宋体" w:cs="宋体"/>
                <w:snapToGrid w:val="0"/>
                <w:color w:val="auto"/>
                <w:kern w:val="0"/>
                <w:sz w:val="22"/>
                <w:szCs w:val="22"/>
                <w:highlight w:val="none"/>
                <w:lang w:val="en-US" w:eastAsia="zh-CN"/>
              </w:rPr>
            </w:pPr>
            <w:r>
              <w:rPr>
                <w:rFonts w:hint="eastAsia" w:ascii="宋体" w:hAnsi="宋体" w:eastAsia="宋体" w:cs="宋体"/>
                <w:snapToGrid w:val="0"/>
                <w:color w:val="auto"/>
                <w:kern w:val="0"/>
                <w:sz w:val="22"/>
                <w:szCs w:val="22"/>
                <w:highlight w:val="none"/>
              </w:rPr>
              <w:t>联 系 人：温工</w:t>
            </w:r>
          </w:p>
          <w:p w14:paraId="245C4B76">
            <w:pPr>
              <w:wordWrap w:val="0"/>
              <w:adjustRightInd w:val="0"/>
              <w:snapToGrid w:val="0"/>
              <w:spacing w:line="360" w:lineRule="exact"/>
              <w:ind w:firstLine="220" w:firstLineChars="100"/>
              <w:jc w:val="left"/>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宋体" w:hAnsi="宋体" w:eastAsia="宋体" w:cs="宋体"/>
                <w:snapToGrid w:val="0"/>
                <w:color w:val="auto"/>
                <w:kern w:val="0"/>
                <w:sz w:val="22"/>
                <w:szCs w:val="22"/>
                <w:highlight w:val="none"/>
              </w:rPr>
              <w:t>电    话：13500208871</w:t>
            </w:r>
          </w:p>
        </w:tc>
      </w:tr>
      <w:tr w14:paraId="5459D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44" w:hRule="atLeast"/>
        </w:trPr>
        <w:tc>
          <w:tcPr>
            <w:tcW w:w="582" w:type="dxa"/>
            <w:vAlign w:val="center"/>
          </w:tcPr>
          <w:p w14:paraId="18F6589E">
            <w:pPr>
              <w:spacing w:before="69" w:line="188" w:lineRule="auto"/>
              <w:jc w:val="center"/>
              <w:rPr>
                <w:rFonts w:hint="default" w:asciiTheme="minorEastAsia" w:hAnsiTheme="minorEastAsia" w:eastAsiaTheme="minorEastAsia" w:cstheme="minorEastAsia"/>
                <w:color w:val="auto"/>
                <w:spacing w:val="-5"/>
                <w:sz w:val="21"/>
                <w:szCs w:val="21"/>
                <w:highlight w:val="none"/>
                <w:lang w:val="en-US" w:eastAsia="zh-CN"/>
              </w:rPr>
            </w:pPr>
            <w:r>
              <w:rPr>
                <w:rFonts w:hint="eastAsia" w:asciiTheme="minorEastAsia" w:hAnsiTheme="minorEastAsia" w:eastAsiaTheme="minorEastAsia" w:cstheme="minorEastAsia"/>
                <w:color w:val="auto"/>
                <w:spacing w:val="-5"/>
                <w:sz w:val="21"/>
                <w:szCs w:val="21"/>
                <w:highlight w:val="none"/>
                <w:lang w:val="en-US" w:eastAsia="zh-CN"/>
              </w:rPr>
              <w:t>41</w:t>
            </w:r>
          </w:p>
        </w:tc>
        <w:tc>
          <w:tcPr>
            <w:tcW w:w="1860" w:type="dxa"/>
            <w:vAlign w:val="center"/>
          </w:tcPr>
          <w:p w14:paraId="1AD5452F">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交易场所联系方式</w:t>
            </w:r>
          </w:p>
        </w:tc>
        <w:tc>
          <w:tcPr>
            <w:tcW w:w="7544" w:type="dxa"/>
            <w:vAlign w:val="center"/>
          </w:tcPr>
          <w:p w14:paraId="48075B41">
            <w:pPr>
              <w:wordWrap w:val="0"/>
              <w:adjustRightInd w:val="0"/>
              <w:snapToGrid w:val="0"/>
              <w:spacing w:line="360" w:lineRule="exact"/>
              <w:ind w:firstLine="250" w:firstLineChars="114"/>
              <w:jc w:val="lef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单位名称：韶关市公共资源交易中心</w:t>
            </w:r>
          </w:p>
          <w:p w14:paraId="533E5EA8">
            <w:pPr>
              <w:wordWrap w:val="0"/>
              <w:adjustRightInd w:val="0"/>
              <w:snapToGrid w:val="0"/>
              <w:spacing w:line="360" w:lineRule="exact"/>
              <w:ind w:firstLine="250" w:firstLineChars="114"/>
              <w:jc w:val="lef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办公地址：仁化县丹霞大道228号1</w:t>
            </w:r>
            <w:r>
              <w:rPr>
                <w:rFonts w:hint="eastAsia" w:ascii="宋体" w:hAnsi="宋体" w:eastAsia="宋体" w:cs="宋体"/>
                <w:snapToGrid w:val="0"/>
                <w:color w:val="auto"/>
                <w:kern w:val="0"/>
                <w:sz w:val="22"/>
                <w:szCs w:val="22"/>
                <w:highlight w:val="none"/>
                <w:lang w:val="en-US" w:eastAsia="zh-CN"/>
              </w:rPr>
              <w:t>2</w:t>
            </w:r>
            <w:r>
              <w:rPr>
                <w:rFonts w:hint="eastAsia" w:ascii="宋体" w:hAnsi="宋体" w:eastAsia="宋体" w:cs="宋体"/>
                <w:snapToGrid w:val="0"/>
                <w:color w:val="auto"/>
                <w:kern w:val="0"/>
                <w:sz w:val="22"/>
                <w:szCs w:val="22"/>
                <w:highlight w:val="none"/>
              </w:rPr>
              <w:t>楼韶关市公共资源交易中心仁化分中心</w:t>
            </w:r>
          </w:p>
          <w:p w14:paraId="1EFAF941">
            <w:pPr>
              <w:wordWrap w:val="0"/>
              <w:adjustRightInd w:val="0"/>
              <w:snapToGrid w:val="0"/>
              <w:spacing w:line="360" w:lineRule="exact"/>
              <w:ind w:firstLine="250" w:firstLineChars="114"/>
              <w:jc w:val="lef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联系人（部门）：工程交易部</w:t>
            </w:r>
          </w:p>
          <w:p w14:paraId="3F289E33">
            <w:pPr>
              <w:wordWrap w:val="0"/>
              <w:adjustRightInd w:val="0"/>
              <w:snapToGrid w:val="0"/>
              <w:spacing w:line="360" w:lineRule="exact"/>
              <w:ind w:firstLine="250" w:firstLineChars="114"/>
              <w:jc w:val="left"/>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宋体" w:hAnsi="宋体" w:eastAsia="宋体" w:cs="宋体"/>
                <w:snapToGrid w:val="0"/>
                <w:color w:val="auto"/>
                <w:kern w:val="0"/>
                <w:sz w:val="22"/>
                <w:szCs w:val="22"/>
                <w:highlight w:val="none"/>
              </w:rPr>
              <w:t>联系电话：0751-6354032</w:t>
            </w:r>
          </w:p>
        </w:tc>
      </w:tr>
      <w:tr w14:paraId="03DC3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14" w:hRule="atLeast"/>
        </w:trPr>
        <w:tc>
          <w:tcPr>
            <w:tcW w:w="582" w:type="dxa"/>
            <w:vAlign w:val="center"/>
          </w:tcPr>
          <w:p w14:paraId="6CED66FD">
            <w:pPr>
              <w:spacing w:before="69" w:line="188" w:lineRule="auto"/>
              <w:jc w:val="center"/>
              <w:rPr>
                <w:rFonts w:hint="default" w:asciiTheme="minorEastAsia" w:hAnsiTheme="minorEastAsia" w:eastAsiaTheme="minorEastAsia" w:cstheme="minorEastAsia"/>
                <w:color w:val="auto"/>
                <w:spacing w:val="-5"/>
                <w:sz w:val="21"/>
                <w:szCs w:val="21"/>
                <w:highlight w:val="none"/>
                <w:lang w:val="en-US" w:eastAsia="zh-CN"/>
              </w:rPr>
            </w:pPr>
            <w:r>
              <w:rPr>
                <w:rFonts w:hint="eastAsia" w:asciiTheme="minorEastAsia" w:hAnsiTheme="minorEastAsia" w:eastAsiaTheme="minorEastAsia" w:cstheme="minorEastAsia"/>
                <w:color w:val="auto"/>
                <w:spacing w:val="-5"/>
                <w:sz w:val="21"/>
                <w:szCs w:val="21"/>
                <w:highlight w:val="none"/>
                <w:lang w:val="en-US" w:eastAsia="zh-CN"/>
              </w:rPr>
              <w:t>42</w:t>
            </w:r>
          </w:p>
        </w:tc>
        <w:tc>
          <w:tcPr>
            <w:tcW w:w="1860" w:type="dxa"/>
            <w:vAlign w:val="center"/>
          </w:tcPr>
          <w:p w14:paraId="2B5659C0">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行政监督部</w:t>
            </w:r>
          </w:p>
          <w:p w14:paraId="205A3A6C">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门联系方式</w:t>
            </w:r>
          </w:p>
        </w:tc>
        <w:tc>
          <w:tcPr>
            <w:tcW w:w="7544" w:type="dxa"/>
            <w:vAlign w:val="center"/>
          </w:tcPr>
          <w:p w14:paraId="05FA39AB">
            <w:pPr>
              <w:wordWrap w:val="0"/>
              <w:adjustRightInd w:val="0"/>
              <w:snapToGrid w:val="0"/>
              <w:spacing w:line="360" w:lineRule="exact"/>
              <w:ind w:firstLine="250" w:firstLineChars="114"/>
              <w:jc w:val="lef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单位名称：仁化县住房和城乡建设管理局</w:t>
            </w:r>
          </w:p>
          <w:p w14:paraId="3BF6F686">
            <w:pPr>
              <w:wordWrap w:val="0"/>
              <w:adjustRightInd w:val="0"/>
              <w:snapToGrid w:val="0"/>
              <w:spacing w:line="360" w:lineRule="exact"/>
              <w:ind w:firstLine="250" w:firstLineChars="114"/>
              <w:jc w:val="lef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办公地址：仁化县丹霞大道228号仁化县行政服务中心6楼</w:t>
            </w:r>
          </w:p>
          <w:p w14:paraId="2D2F14F4">
            <w:pPr>
              <w:wordWrap w:val="0"/>
              <w:adjustRightInd w:val="0"/>
              <w:snapToGrid w:val="0"/>
              <w:spacing w:line="360" w:lineRule="exact"/>
              <w:ind w:firstLine="250" w:firstLineChars="114"/>
              <w:jc w:val="lef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联系人（部门）：建筑业监督管理股</w:t>
            </w:r>
          </w:p>
          <w:p w14:paraId="3C714782">
            <w:pPr>
              <w:wordWrap w:val="0"/>
              <w:adjustRightInd w:val="0"/>
              <w:snapToGrid w:val="0"/>
              <w:spacing w:line="360" w:lineRule="exact"/>
              <w:ind w:firstLine="250" w:firstLineChars="114"/>
              <w:jc w:val="left"/>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宋体" w:hAnsi="宋体" w:eastAsia="宋体" w:cs="宋体"/>
                <w:snapToGrid w:val="0"/>
                <w:color w:val="auto"/>
                <w:kern w:val="0"/>
                <w:sz w:val="22"/>
                <w:szCs w:val="22"/>
                <w:highlight w:val="none"/>
              </w:rPr>
              <w:t xml:space="preserve">联系电话：0751-6354573 </w:t>
            </w:r>
          </w:p>
        </w:tc>
      </w:tr>
    </w:tbl>
    <w:p w14:paraId="2196EE89">
      <w:pPr>
        <w:rPr>
          <w:rFonts w:hint="eastAsia" w:ascii="宋体" w:hAnsi="宋体" w:eastAsia="宋体" w:cs="宋体"/>
          <w:b/>
          <w:bCs/>
          <w:color w:val="auto"/>
          <w:spacing w:val="-3"/>
          <w:sz w:val="24"/>
          <w:szCs w:val="24"/>
          <w:highlight w:val="none"/>
        </w:rPr>
      </w:pPr>
      <w:bookmarkStart w:id="5" w:name="bookmark115"/>
      <w:bookmarkEnd w:id="5"/>
      <w:r>
        <w:rPr>
          <w:rFonts w:hint="eastAsia" w:ascii="宋体" w:hAnsi="宋体" w:eastAsia="宋体" w:cs="宋体"/>
          <w:b/>
          <w:bCs/>
          <w:color w:val="auto"/>
          <w:spacing w:val="-3"/>
          <w:sz w:val="24"/>
          <w:szCs w:val="24"/>
          <w:highlight w:val="none"/>
        </w:rPr>
        <w:br w:type="page"/>
      </w:r>
    </w:p>
    <w:p w14:paraId="2A3BA98B">
      <w:pPr>
        <w:spacing w:before="156" w:line="219" w:lineRule="auto"/>
        <w:ind w:left="17"/>
        <w:jc w:val="left"/>
        <w:outlineLvl w:val="1"/>
        <w:rPr>
          <w:rFonts w:hint="eastAsia" w:ascii="宋体" w:hAnsi="宋体" w:eastAsia="宋体" w:cs="宋体"/>
          <w:color w:val="auto"/>
          <w:highlight w:val="none"/>
        </w:rPr>
      </w:pPr>
      <w:bookmarkStart w:id="6" w:name="_Toc14297"/>
      <w:r>
        <w:rPr>
          <w:rFonts w:hint="eastAsia" w:ascii="宋体" w:hAnsi="宋体" w:eastAsia="宋体" w:cs="宋体"/>
          <w:b/>
          <w:bCs/>
          <w:color w:val="auto"/>
          <w:spacing w:val="-3"/>
          <w:sz w:val="24"/>
          <w:szCs w:val="24"/>
          <w:highlight w:val="none"/>
        </w:rPr>
        <w:t>第二节 重要事项时间地点一览表</w:t>
      </w:r>
      <w:bookmarkEnd w:id="6"/>
    </w:p>
    <w:p w14:paraId="69A179A8">
      <w:pPr>
        <w:pStyle w:val="5"/>
        <w:rPr>
          <w:rFonts w:hint="eastAsia" w:ascii="宋体" w:hAnsi="宋体" w:eastAsia="宋体" w:cs="宋体"/>
          <w:color w:val="auto"/>
          <w:highlight w:val="none"/>
        </w:rPr>
      </w:pPr>
    </w:p>
    <w:tbl>
      <w:tblPr>
        <w:tblStyle w:val="14"/>
        <w:tblW w:w="5003" w:type="pct"/>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451"/>
        <w:gridCol w:w="1402"/>
        <w:gridCol w:w="7909"/>
      </w:tblGrid>
      <w:tr w14:paraId="1FCC578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27" w:hRule="exact"/>
        </w:trPr>
        <w:tc>
          <w:tcPr>
            <w:tcW w:w="231" w:type="pct"/>
            <w:tcBorders>
              <w:top w:val="single" w:color="080000" w:sz="4" w:space="0"/>
              <w:left w:val="single" w:color="080000" w:sz="4" w:space="0"/>
              <w:bottom w:val="single" w:color="080000" w:sz="4" w:space="0"/>
              <w:right w:val="single" w:color="080000" w:sz="4" w:space="0"/>
            </w:tcBorders>
            <w:noWrap w:val="0"/>
            <w:vAlign w:val="center"/>
          </w:tcPr>
          <w:p w14:paraId="415154A6">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1</w:t>
            </w:r>
          </w:p>
        </w:tc>
        <w:tc>
          <w:tcPr>
            <w:tcW w:w="717" w:type="pct"/>
            <w:tcBorders>
              <w:top w:val="single" w:color="080000" w:sz="4" w:space="0"/>
              <w:left w:val="single" w:color="080000" w:sz="4" w:space="0"/>
              <w:bottom w:val="single" w:color="080000" w:sz="4" w:space="0"/>
              <w:right w:val="single" w:color="080000" w:sz="4" w:space="0"/>
            </w:tcBorders>
            <w:noWrap w:val="0"/>
            <w:vAlign w:val="center"/>
          </w:tcPr>
          <w:p w14:paraId="7FC0689B">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招标公告</w:t>
            </w:r>
          </w:p>
          <w:p w14:paraId="6CF9F9BC">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 xml:space="preserve">发布时间 </w:t>
            </w:r>
          </w:p>
        </w:tc>
        <w:tc>
          <w:tcPr>
            <w:tcW w:w="4050" w:type="pct"/>
            <w:tcBorders>
              <w:top w:val="single" w:color="080000" w:sz="4" w:space="0"/>
              <w:left w:val="single" w:color="080000" w:sz="4" w:space="0"/>
              <w:bottom w:val="single" w:color="080000" w:sz="4" w:space="0"/>
              <w:right w:val="single" w:color="080000" w:sz="4" w:space="0"/>
            </w:tcBorders>
            <w:noWrap w:val="0"/>
            <w:vAlign w:val="center"/>
          </w:tcPr>
          <w:p w14:paraId="71A14D70">
            <w:pPr>
              <w:pStyle w:val="22"/>
              <w:widowControl/>
              <w:snapToGrid w:val="0"/>
              <w:jc w:val="left"/>
              <w:rPr>
                <w:rFonts w:hint="eastAsia" w:ascii="宋体" w:hAnsi="宋体" w:eastAsia="宋体" w:cs="宋体"/>
                <w:snapToGrid w:val="0"/>
                <w:color w:val="000000"/>
                <w:kern w:val="0"/>
                <w:sz w:val="22"/>
                <w:szCs w:val="22"/>
                <w:highlight w:val="none"/>
                <w:lang w:eastAsia="zh-CN"/>
              </w:rPr>
            </w:pPr>
            <w:r>
              <w:rPr>
                <w:rFonts w:hint="eastAsia" w:ascii="宋体" w:hAnsi="宋体" w:cs="宋体"/>
                <w:color w:val="auto"/>
                <w:kern w:val="0"/>
                <w:sz w:val="22"/>
                <w:szCs w:val="22"/>
                <w:highlight w:val="none"/>
                <w:u w:val="single"/>
              </w:rPr>
              <w:t>202</w:t>
            </w:r>
            <w:r>
              <w:rPr>
                <w:rFonts w:hint="eastAsia" w:ascii="宋体" w:hAnsi="宋体" w:cs="宋体"/>
                <w:color w:val="auto"/>
                <w:kern w:val="0"/>
                <w:sz w:val="22"/>
                <w:szCs w:val="22"/>
                <w:highlight w:val="none"/>
                <w:u w:val="single"/>
                <w:lang w:val="en-US" w:eastAsia="zh-CN"/>
              </w:rPr>
              <w:t>6</w:t>
            </w:r>
            <w:r>
              <w:rPr>
                <w:rFonts w:hint="eastAsia" w:ascii="宋体" w:hAnsi="宋体" w:cs="宋体"/>
                <w:color w:val="auto"/>
                <w:kern w:val="0"/>
                <w:sz w:val="22"/>
                <w:szCs w:val="22"/>
                <w:highlight w:val="none"/>
              </w:rPr>
              <w:t>年</w:t>
            </w:r>
            <w:r>
              <w:rPr>
                <w:rFonts w:hint="eastAsia" w:ascii="宋体" w:hAnsi="宋体" w:cs="宋体"/>
                <w:color w:val="auto"/>
                <w:kern w:val="0"/>
                <w:sz w:val="22"/>
                <w:szCs w:val="22"/>
                <w:highlight w:val="none"/>
                <w:u w:val="single"/>
                <w:lang w:val="en-US" w:eastAsia="zh-CN"/>
              </w:rPr>
              <w:t>5</w:t>
            </w:r>
            <w:r>
              <w:rPr>
                <w:rFonts w:hint="eastAsia" w:ascii="宋体" w:hAnsi="宋体" w:cs="宋体"/>
                <w:color w:val="auto"/>
                <w:kern w:val="0"/>
                <w:sz w:val="22"/>
                <w:szCs w:val="22"/>
                <w:highlight w:val="none"/>
              </w:rPr>
              <w:t>月</w:t>
            </w:r>
            <w:r>
              <w:rPr>
                <w:rFonts w:hint="eastAsia" w:ascii="宋体" w:hAnsi="宋体" w:cs="宋体"/>
                <w:color w:val="auto"/>
                <w:kern w:val="0"/>
                <w:sz w:val="22"/>
                <w:szCs w:val="22"/>
                <w:highlight w:val="none"/>
                <w:u w:val="single"/>
                <w:lang w:val="en-US" w:eastAsia="zh-CN"/>
              </w:rPr>
              <w:t>13</w:t>
            </w:r>
            <w:r>
              <w:rPr>
                <w:rFonts w:hint="eastAsia" w:ascii="宋体" w:hAnsi="宋体" w:cs="宋体"/>
                <w:color w:val="auto"/>
                <w:kern w:val="0"/>
                <w:sz w:val="22"/>
                <w:szCs w:val="22"/>
                <w:highlight w:val="none"/>
              </w:rPr>
              <w:t>日</w:t>
            </w:r>
            <w:r>
              <w:rPr>
                <w:rFonts w:hint="eastAsia" w:ascii="宋体" w:hAnsi="宋体" w:cs="宋体"/>
                <w:color w:val="auto"/>
                <w:kern w:val="0"/>
                <w:sz w:val="22"/>
                <w:szCs w:val="22"/>
                <w:highlight w:val="none"/>
                <w:u w:val="single"/>
                <w:lang w:val="en-US" w:eastAsia="zh-CN"/>
              </w:rPr>
              <w:t>15</w:t>
            </w:r>
            <w:r>
              <w:rPr>
                <w:rFonts w:hint="eastAsia" w:ascii="宋体" w:hAnsi="宋体" w:cs="宋体"/>
                <w:color w:val="auto"/>
                <w:kern w:val="0"/>
                <w:sz w:val="22"/>
                <w:szCs w:val="22"/>
                <w:highlight w:val="none"/>
              </w:rPr>
              <w:t>时</w:t>
            </w:r>
            <w:r>
              <w:rPr>
                <w:rFonts w:hint="eastAsia" w:ascii="宋体" w:hAnsi="宋体" w:cs="宋体"/>
                <w:color w:val="auto"/>
                <w:kern w:val="0"/>
                <w:sz w:val="22"/>
                <w:szCs w:val="22"/>
                <w:highlight w:val="none"/>
                <w:u w:val="single"/>
                <w:lang w:val="en-US" w:eastAsia="zh-CN"/>
              </w:rPr>
              <w:t xml:space="preserve">00 </w:t>
            </w:r>
            <w:r>
              <w:rPr>
                <w:rFonts w:hint="eastAsia" w:ascii="宋体" w:hAnsi="宋体" w:cs="宋体"/>
                <w:color w:val="auto"/>
                <w:kern w:val="0"/>
                <w:sz w:val="22"/>
                <w:szCs w:val="22"/>
                <w:highlight w:val="none"/>
              </w:rPr>
              <w:t>分</w:t>
            </w:r>
            <w:r>
              <w:rPr>
                <w:rFonts w:hint="eastAsia" w:ascii="宋体" w:hAnsi="宋体" w:cs="宋体"/>
                <w:color w:val="auto"/>
                <w:kern w:val="0"/>
                <w:sz w:val="22"/>
                <w:szCs w:val="22"/>
                <w:highlight w:val="none"/>
                <w:lang w:val="en-US" w:eastAsia="zh-CN"/>
              </w:rPr>
              <w:t xml:space="preserve"> </w:t>
            </w:r>
          </w:p>
        </w:tc>
      </w:tr>
      <w:tr w14:paraId="19E577F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42" w:hRule="exact"/>
        </w:trPr>
        <w:tc>
          <w:tcPr>
            <w:tcW w:w="231" w:type="pct"/>
            <w:tcBorders>
              <w:top w:val="single" w:color="080000" w:sz="4" w:space="0"/>
              <w:left w:val="single" w:color="080000" w:sz="4" w:space="0"/>
              <w:bottom w:val="single" w:color="080000" w:sz="4" w:space="0"/>
              <w:right w:val="single" w:color="080000" w:sz="4" w:space="0"/>
            </w:tcBorders>
            <w:noWrap w:val="0"/>
            <w:vAlign w:val="center"/>
          </w:tcPr>
          <w:p w14:paraId="5A45AD0F">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2</w:t>
            </w:r>
          </w:p>
        </w:tc>
        <w:tc>
          <w:tcPr>
            <w:tcW w:w="717" w:type="pct"/>
            <w:tcBorders>
              <w:top w:val="single" w:color="080000" w:sz="4" w:space="0"/>
              <w:left w:val="single" w:color="080000" w:sz="4" w:space="0"/>
              <w:bottom w:val="single" w:color="080000" w:sz="4" w:space="0"/>
              <w:right w:val="single" w:color="080000" w:sz="4" w:space="0"/>
            </w:tcBorders>
            <w:noWrap w:val="0"/>
            <w:vAlign w:val="center"/>
          </w:tcPr>
          <w:p w14:paraId="251929FC">
            <w:pPr>
              <w:pStyle w:val="22"/>
              <w:wordWrap w:val="0"/>
              <w:adjustRightInd w:val="0"/>
              <w:snapToGrid w:val="0"/>
              <w:spacing w:line="360" w:lineRule="exact"/>
              <w:jc w:val="center"/>
              <w:rPr>
                <w:rFonts w:hint="default" w:ascii="宋体" w:hAnsi="宋体" w:eastAsia="宋体" w:cs="宋体"/>
                <w:snapToGrid w:val="0"/>
                <w:color w:val="000000"/>
                <w:kern w:val="0"/>
                <w:sz w:val="22"/>
                <w:szCs w:val="22"/>
                <w:highlight w:val="none"/>
                <w:lang w:val="en-US" w:eastAsia="zh-CN"/>
              </w:rPr>
            </w:pPr>
            <w:r>
              <w:rPr>
                <w:rFonts w:hint="eastAsia" w:ascii="宋体" w:hAnsi="宋体" w:cs="宋体"/>
                <w:snapToGrid w:val="0"/>
                <w:color w:val="000000"/>
                <w:kern w:val="0"/>
                <w:sz w:val="22"/>
                <w:szCs w:val="22"/>
                <w:highlight w:val="none"/>
                <w:lang w:val="en-US" w:eastAsia="zh-CN"/>
              </w:rPr>
              <w:t>获取招标文件</w:t>
            </w:r>
          </w:p>
          <w:p w14:paraId="13B17BC0">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 xml:space="preserve">截止时间 </w:t>
            </w:r>
          </w:p>
        </w:tc>
        <w:tc>
          <w:tcPr>
            <w:tcW w:w="4050" w:type="pct"/>
            <w:tcBorders>
              <w:top w:val="single" w:color="080000" w:sz="4" w:space="0"/>
              <w:left w:val="single" w:color="080000" w:sz="4" w:space="0"/>
              <w:bottom w:val="single" w:color="080000" w:sz="4" w:space="0"/>
              <w:right w:val="single" w:color="080000" w:sz="4" w:space="0"/>
            </w:tcBorders>
            <w:noWrap w:val="0"/>
            <w:vAlign w:val="center"/>
          </w:tcPr>
          <w:p w14:paraId="56576377">
            <w:pPr>
              <w:pStyle w:val="22"/>
              <w:widowControl/>
              <w:snapToGrid w:val="0"/>
              <w:jc w:val="left"/>
              <w:rPr>
                <w:rFonts w:hint="eastAsia" w:ascii="宋体" w:hAnsi="宋体" w:cs="宋体"/>
                <w:snapToGrid w:val="0"/>
                <w:color w:val="000000"/>
                <w:kern w:val="0"/>
                <w:sz w:val="22"/>
                <w:szCs w:val="22"/>
                <w:highlight w:val="none"/>
              </w:rPr>
            </w:pPr>
            <w:r>
              <w:rPr>
                <w:rFonts w:hint="eastAsia" w:ascii="宋体" w:hAnsi="宋体" w:cs="宋体"/>
                <w:color w:val="auto"/>
                <w:kern w:val="0"/>
                <w:sz w:val="22"/>
                <w:szCs w:val="22"/>
                <w:highlight w:val="none"/>
                <w:u w:val="single"/>
              </w:rPr>
              <w:t>202</w:t>
            </w:r>
            <w:r>
              <w:rPr>
                <w:rFonts w:hint="eastAsia" w:ascii="宋体" w:hAnsi="宋体" w:cs="宋体"/>
                <w:color w:val="auto"/>
                <w:kern w:val="0"/>
                <w:sz w:val="22"/>
                <w:szCs w:val="22"/>
                <w:highlight w:val="none"/>
                <w:u w:val="single"/>
                <w:lang w:val="en-US" w:eastAsia="zh-CN"/>
              </w:rPr>
              <w:t>6</w:t>
            </w:r>
            <w:r>
              <w:rPr>
                <w:rFonts w:hint="eastAsia" w:ascii="宋体" w:hAnsi="宋体" w:cs="宋体"/>
                <w:color w:val="auto"/>
                <w:kern w:val="0"/>
                <w:sz w:val="22"/>
                <w:szCs w:val="22"/>
                <w:highlight w:val="none"/>
              </w:rPr>
              <w:t>年</w:t>
            </w:r>
            <w:r>
              <w:rPr>
                <w:rFonts w:hint="eastAsia" w:ascii="宋体" w:hAnsi="宋体" w:cs="宋体"/>
                <w:color w:val="auto"/>
                <w:kern w:val="0"/>
                <w:sz w:val="22"/>
                <w:szCs w:val="22"/>
                <w:highlight w:val="none"/>
                <w:u w:val="single"/>
                <w:lang w:val="en-US" w:eastAsia="zh-CN"/>
              </w:rPr>
              <w:t>6</w:t>
            </w:r>
            <w:r>
              <w:rPr>
                <w:rFonts w:hint="eastAsia" w:ascii="宋体" w:hAnsi="宋体" w:cs="宋体"/>
                <w:color w:val="auto"/>
                <w:kern w:val="0"/>
                <w:sz w:val="22"/>
                <w:szCs w:val="22"/>
                <w:highlight w:val="none"/>
              </w:rPr>
              <w:t>月</w:t>
            </w:r>
            <w:r>
              <w:rPr>
                <w:rFonts w:hint="eastAsia" w:ascii="宋体" w:hAnsi="宋体" w:cs="宋体"/>
                <w:color w:val="auto"/>
                <w:kern w:val="0"/>
                <w:sz w:val="22"/>
                <w:szCs w:val="22"/>
                <w:highlight w:val="none"/>
                <w:u w:val="single"/>
                <w:lang w:val="en-US" w:eastAsia="zh-CN"/>
              </w:rPr>
              <w:t>4</w:t>
            </w:r>
            <w:r>
              <w:rPr>
                <w:rFonts w:hint="eastAsia" w:ascii="宋体" w:hAnsi="宋体" w:cs="宋体"/>
                <w:color w:val="auto"/>
                <w:kern w:val="0"/>
                <w:sz w:val="22"/>
                <w:szCs w:val="22"/>
                <w:highlight w:val="none"/>
              </w:rPr>
              <w:t>日</w:t>
            </w:r>
            <w:r>
              <w:rPr>
                <w:rFonts w:hint="eastAsia" w:ascii="宋体" w:hAnsi="宋体" w:cs="宋体"/>
                <w:color w:val="auto"/>
                <w:kern w:val="0"/>
                <w:sz w:val="22"/>
                <w:szCs w:val="22"/>
                <w:highlight w:val="none"/>
                <w:u w:val="single"/>
                <w:lang w:val="en-US" w:eastAsia="zh-CN"/>
              </w:rPr>
              <w:t xml:space="preserve">9 </w:t>
            </w:r>
            <w:r>
              <w:rPr>
                <w:rFonts w:hint="eastAsia" w:ascii="宋体" w:hAnsi="宋体" w:cs="宋体"/>
                <w:color w:val="auto"/>
                <w:kern w:val="0"/>
                <w:sz w:val="22"/>
                <w:szCs w:val="22"/>
                <w:highlight w:val="none"/>
              </w:rPr>
              <w:t>时</w:t>
            </w:r>
            <w:r>
              <w:rPr>
                <w:rFonts w:hint="eastAsia" w:ascii="宋体" w:hAnsi="宋体" w:cs="宋体"/>
                <w:color w:val="auto"/>
                <w:kern w:val="0"/>
                <w:sz w:val="22"/>
                <w:szCs w:val="22"/>
                <w:highlight w:val="none"/>
                <w:u w:val="single"/>
                <w:lang w:val="en-US" w:eastAsia="zh-CN"/>
              </w:rPr>
              <w:t>30</w:t>
            </w:r>
            <w:r>
              <w:rPr>
                <w:rFonts w:hint="eastAsia" w:ascii="宋体" w:hAnsi="宋体" w:cs="宋体"/>
                <w:color w:val="auto"/>
                <w:kern w:val="0"/>
                <w:sz w:val="22"/>
                <w:szCs w:val="22"/>
                <w:highlight w:val="none"/>
              </w:rPr>
              <w:t>分</w:t>
            </w:r>
            <w:r>
              <w:rPr>
                <w:rFonts w:hint="eastAsia" w:ascii="宋体" w:hAnsi="宋体" w:cs="宋体"/>
                <w:color w:val="auto"/>
                <w:kern w:val="0"/>
                <w:sz w:val="22"/>
                <w:szCs w:val="22"/>
                <w:highlight w:val="none"/>
                <w:lang w:val="en-US" w:eastAsia="zh-CN"/>
              </w:rPr>
              <w:t xml:space="preserve"> </w:t>
            </w:r>
          </w:p>
        </w:tc>
      </w:tr>
      <w:tr w14:paraId="193087D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82" w:hRule="exact"/>
        </w:trPr>
        <w:tc>
          <w:tcPr>
            <w:tcW w:w="231" w:type="pct"/>
            <w:tcBorders>
              <w:top w:val="single" w:color="080000" w:sz="4" w:space="0"/>
              <w:left w:val="single" w:color="080000" w:sz="4" w:space="0"/>
              <w:bottom w:val="single" w:color="080000" w:sz="4" w:space="0"/>
              <w:right w:val="single" w:color="080000" w:sz="4" w:space="0"/>
            </w:tcBorders>
            <w:noWrap w:val="0"/>
            <w:vAlign w:val="center"/>
          </w:tcPr>
          <w:p w14:paraId="4D32DC5D">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3</w:t>
            </w:r>
          </w:p>
        </w:tc>
        <w:tc>
          <w:tcPr>
            <w:tcW w:w="717" w:type="pct"/>
            <w:tcBorders>
              <w:top w:val="single" w:color="080000" w:sz="4" w:space="0"/>
              <w:left w:val="single" w:color="080000" w:sz="4" w:space="0"/>
              <w:bottom w:val="single" w:color="080000" w:sz="4" w:space="0"/>
              <w:right w:val="single" w:color="080000" w:sz="4" w:space="0"/>
            </w:tcBorders>
            <w:noWrap w:val="0"/>
            <w:vAlign w:val="center"/>
          </w:tcPr>
          <w:p w14:paraId="0AF3A7CB">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网上提问</w:t>
            </w:r>
          </w:p>
          <w:p w14:paraId="2BE90DC1">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 xml:space="preserve">截止时间 </w:t>
            </w:r>
          </w:p>
        </w:tc>
        <w:tc>
          <w:tcPr>
            <w:tcW w:w="4050" w:type="pct"/>
            <w:tcBorders>
              <w:top w:val="single" w:color="080000" w:sz="4" w:space="0"/>
              <w:left w:val="single" w:color="080000" w:sz="4" w:space="0"/>
              <w:bottom w:val="single" w:color="080000" w:sz="4" w:space="0"/>
              <w:right w:val="single" w:color="080000" w:sz="4" w:space="0"/>
            </w:tcBorders>
            <w:noWrap w:val="0"/>
            <w:vAlign w:val="center"/>
          </w:tcPr>
          <w:p w14:paraId="6516B27F">
            <w:pPr>
              <w:pStyle w:val="22"/>
              <w:wordWrap w:val="0"/>
              <w:adjustRightInd w:val="0"/>
              <w:snapToGrid w:val="0"/>
              <w:spacing w:line="400" w:lineRule="exact"/>
              <w:jc w:val="left"/>
              <w:rPr>
                <w:rFonts w:hint="eastAsia" w:ascii="宋体" w:hAnsi="宋体" w:cs="宋体"/>
                <w:snapToGrid w:val="0"/>
                <w:color w:val="000000"/>
                <w:kern w:val="0"/>
                <w:sz w:val="22"/>
                <w:szCs w:val="22"/>
                <w:highlight w:val="none"/>
              </w:rPr>
            </w:pPr>
            <w:r>
              <w:rPr>
                <w:rFonts w:hint="eastAsia" w:ascii="宋体" w:hAnsi="宋体" w:cs="宋体"/>
                <w:color w:val="auto"/>
                <w:kern w:val="0"/>
                <w:sz w:val="22"/>
                <w:szCs w:val="22"/>
                <w:highlight w:val="none"/>
                <w:u w:val="single"/>
              </w:rPr>
              <w:t>202</w:t>
            </w:r>
            <w:r>
              <w:rPr>
                <w:rFonts w:hint="eastAsia" w:ascii="宋体" w:hAnsi="宋体" w:cs="宋体"/>
                <w:color w:val="auto"/>
                <w:kern w:val="0"/>
                <w:sz w:val="22"/>
                <w:szCs w:val="22"/>
                <w:highlight w:val="none"/>
                <w:u w:val="single"/>
                <w:lang w:val="en-US" w:eastAsia="zh-CN"/>
              </w:rPr>
              <w:t>6</w:t>
            </w:r>
            <w:r>
              <w:rPr>
                <w:rFonts w:hint="eastAsia" w:ascii="宋体" w:hAnsi="宋体" w:cs="宋体"/>
                <w:color w:val="auto"/>
                <w:kern w:val="0"/>
                <w:sz w:val="22"/>
                <w:szCs w:val="22"/>
                <w:highlight w:val="none"/>
              </w:rPr>
              <w:t>年</w:t>
            </w:r>
            <w:r>
              <w:rPr>
                <w:rFonts w:hint="eastAsia" w:ascii="宋体" w:hAnsi="宋体" w:cs="宋体"/>
                <w:color w:val="auto"/>
                <w:kern w:val="0"/>
                <w:sz w:val="22"/>
                <w:szCs w:val="22"/>
                <w:highlight w:val="none"/>
                <w:u w:val="single"/>
                <w:lang w:val="en-US" w:eastAsia="zh-CN"/>
              </w:rPr>
              <w:t>5</w:t>
            </w:r>
            <w:r>
              <w:rPr>
                <w:rFonts w:hint="eastAsia" w:ascii="宋体" w:hAnsi="宋体" w:cs="宋体"/>
                <w:color w:val="auto"/>
                <w:kern w:val="0"/>
                <w:sz w:val="22"/>
                <w:szCs w:val="22"/>
                <w:highlight w:val="none"/>
              </w:rPr>
              <w:t>月</w:t>
            </w:r>
            <w:r>
              <w:rPr>
                <w:rFonts w:hint="eastAsia" w:ascii="宋体" w:hAnsi="宋体" w:cs="宋体"/>
                <w:color w:val="auto"/>
                <w:kern w:val="0"/>
                <w:sz w:val="22"/>
                <w:szCs w:val="22"/>
                <w:highlight w:val="none"/>
                <w:u w:val="single"/>
                <w:lang w:val="en-US" w:eastAsia="zh-CN"/>
              </w:rPr>
              <w:t>25</w:t>
            </w:r>
            <w:r>
              <w:rPr>
                <w:rFonts w:hint="eastAsia" w:ascii="宋体" w:hAnsi="宋体" w:cs="宋体"/>
                <w:color w:val="auto"/>
                <w:kern w:val="0"/>
                <w:sz w:val="22"/>
                <w:szCs w:val="22"/>
                <w:highlight w:val="none"/>
              </w:rPr>
              <w:t>日</w:t>
            </w:r>
            <w:r>
              <w:rPr>
                <w:rFonts w:hint="eastAsia" w:ascii="宋体" w:hAnsi="宋体" w:cs="宋体"/>
                <w:color w:val="auto"/>
                <w:kern w:val="0"/>
                <w:sz w:val="22"/>
                <w:szCs w:val="22"/>
                <w:highlight w:val="none"/>
                <w:u w:val="single"/>
              </w:rPr>
              <w:t xml:space="preserve"> 16 </w:t>
            </w:r>
            <w:r>
              <w:rPr>
                <w:rFonts w:hint="eastAsia" w:ascii="宋体" w:hAnsi="宋体" w:cs="宋体"/>
                <w:color w:val="auto"/>
                <w:kern w:val="0"/>
                <w:sz w:val="22"/>
                <w:szCs w:val="22"/>
                <w:highlight w:val="none"/>
              </w:rPr>
              <w:t>时</w:t>
            </w:r>
            <w:r>
              <w:rPr>
                <w:rFonts w:hint="eastAsia" w:ascii="宋体" w:hAnsi="宋体" w:cs="宋体"/>
                <w:color w:val="auto"/>
                <w:kern w:val="0"/>
                <w:sz w:val="22"/>
                <w:szCs w:val="22"/>
                <w:highlight w:val="none"/>
                <w:u w:val="single"/>
              </w:rPr>
              <w:t xml:space="preserve"> 00 </w:t>
            </w:r>
            <w:r>
              <w:rPr>
                <w:rFonts w:hint="eastAsia" w:ascii="宋体" w:hAnsi="宋体" w:cs="宋体"/>
                <w:color w:val="auto"/>
                <w:kern w:val="0"/>
                <w:sz w:val="22"/>
                <w:szCs w:val="22"/>
                <w:highlight w:val="none"/>
              </w:rPr>
              <w:t>分</w:t>
            </w:r>
          </w:p>
        </w:tc>
      </w:tr>
      <w:tr w14:paraId="01F57E3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837" w:hRule="exact"/>
        </w:trPr>
        <w:tc>
          <w:tcPr>
            <w:tcW w:w="231" w:type="pct"/>
            <w:tcBorders>
              <w:top w:val="single" w:color="080000" w:sz="4" w:space="0"/>
              <w:left w:val="single" w:color="080000" w:sz="4" w:space="0"/>
              <w:bottom w:val="single" w:color="080000" w:sz="4" w:space="0"/>
              <w:right w:val="single" w:color="080000" w:sz="4" w:space="0"/>
            </w:tcBorders>
            <w:noWrap w:val="0"/>
            <w:vAlign w:val="center"/>
          </w:tcPr>
          <w:p w14:paraId="498C0766">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4</w:t>
            </w:r>
          </w:p>
        </w:tc>
        <w:tc>
          <w:tcPr>
            <w:tcW w:w="717" w:type="pct"/>
            <w:tcBorders>
              <w:top w:val="single" w:color="080000" w:sz="4" w:space="0"/>
              <w:left w:val="single" w:color="080000" w:sz="4" w:space="0"/>
              <w:bottom w:val="single" w:color="080000" w:sz="4" w:space="0"/>
              <w:right w:val="single" w:color="080000" w:sz="4" w:space="0"/>
            </w:tcBorders>
            <w:noWrap w:val="0"/>
            <w:vAlign w:val="center"/>
          </w:tcPr>
          <w:p w14:paraId="34139913">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网上答疑</w:t>
            </w:r>
          </w:p>
          <w:p w14:paraId="70A9C70E">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时间</w:t>
            </w:r>
          </w:p>
        </w:tc>
        <w:tc>
          <w:tcPr>
            <w:tcW w:w="4050" w:type="pct"/>
            <w:tcBorders>
              <w:top w:val="single" w:color="080000" w:sz="4" w:space="0"/>
              <w:left w:val="single" w:color="080000" w:sz="4" w:space="0"/>
              <w:bottom w:val="single" w:color="080000" w:sz="4" w:space="0"/>
              <w:right w:val="single" w:color="080000" w:sz="4" w:space="0"/>
            </w:tcBorders>
            <w:noWrap w:val="0"/>
            <w:vAlign w:val="center"/>
          </w:tcPr>
          <w:p w14:paraId="39EFA0E5">
            <w:pPr>
              <w:pStyle w:val="22"/>
              <w:widowControl/>
              <w:snapToGrid w:val="0"/>
              <w:jc w:val="left"/>
              <w:rPr>
                <w:rFonts w:hint="eastAsia" w:ascii="宋体" w:hAnsi="宋体" w:cs="宋体"/>
                <w:snapToGrid w:val="0"/>
                <w:color w:val="000000"/>
                <w:kern w:val="0"/>
                <w:sz w:val="22"/>
                <w:szCs w:val="22"/>
                <w:highlight w:val="none"/>
              </w:rPr>
            </w:pPr>
            <w:r>
              <w:rPr>
                <w:rFonts w:hint="eastAsia" w:ascii="宋体" w:hAnsi="宋体" w:cs="宋体"/>
                <w:color w:val="auto"/>
                <w:kern w:val="0"/>
                <w:sz w:val="22"/>
                <w:szCs w:val="22"/>
                <w:highlight w:val="none"/>
                <w:u w:val="single"/>
              </w:rPr>
              <w:t>202</w:t>
            </w:r>
            <w:r>
              <w:rPr>
                <w:rFonts w:hint="eastAsia" w:ascii="宋体" w:hAnsi="宋体" w:cs="宋体"/>
                <w:color w:val="auto"/>
                <w:kern w:val="0"/>
                <w:sz w:val="22"/>
                <w:szCs w:val="22"/>
                <w:highlight w:val="none"/>
                <w:u w:val="single"/>
                <w:lang w:val="en-US" w:eastAsia="zh-CN"/>
              </w:rPr>
              <w:t>6</w:t>
            </w:r>
            <w:r>
              <w:rPr>
                <w:rFonts w:hint="eastAsia" w:ascii="宋体" w:hAnsi="宋体" w:cs="宋体"/>
                <w:color w:val="auto"/>
                <w:kern w:val="0"/>
                <w:sz w:val="22"/>
                <w:szCs w:val="22"/>
                <w:highlight w:val="none"/>
              </w:rPr>
              <w:t>年</w:t>
            </w:r>
            <w:r>
              <w:rPr>
                <w:rFonts w:hint="eastAsia" w:ascii="宋体" w:hAnsi="宋体" w:cs="宋体"/>
                <w:color w:val="auto"/>
                <w:kern w:val="0"/>
                <w:sz w:val="22"/>
                <w:szCs w:val="22"/>
                <w:highlight w:val="none"/>
                <w:u w:val="single"/>
                <w:lang w:val="en-US" w:eastAsia="zh-CN"/>
              </w:rPr>
              <w:t>5</w:t>
            </w:r>
            <w:r>
              <w:rPr>
                <w:rFonts w:hint="eastAsia" w:ascii="宋体" w:hAnsi="宋体" w:cs="宋体"/>
                <w:color w:val="auto"/>
                <w:kern w:val="0"/>
                <w:sz w:val="22"/>
                <w:szCs w:val="22"/>
                <w:highlight w:val="none"/>
              </w:rPr>
              <w:t>月</w:t>
            </w:r>
            <w:r>
              <w:rPr>
                <w:rFonts w:hint="eastAsia" w:ascii="宋体" w:hAnsi="宋体" w:cs="宋体"/>
                <w:color w:val="auto"/>
                <w:kern w:val="0"/>
                <w:sz w:val="22"/>
                <w:szCs w:val="22"/>
                <w:highlight w:val="none"/>
                <w:u w:val="single"/>
                <w:lang w:val="en-US" w:eastAsia="zh-CN"/>
              </w:rPr>
              <w:t>25</w:t>
            </w:r>
            <w:r>
              <w:rPr>
                <w:rFonts w:hint="eastAsia" w:ascii="宋体" w:hAnsi="宋体" w:cs="宋体"/>
                <w:color w:val="auto"/>
                <w:kern w:val="0"/>
                <w:sz w:val="22"/>
                <w:szCs w:val="22"/>
                <w:highlight w:val="none"/>
              </w:rPr>
              <w:t>日</w:t>
            </w:r>
            <w:r>
              <w:rPr>
                <w:rFonts w:hint="eastAsia" w:ascii="宋体" w:hAnsi="宋体" w:cs="宋体"/>
                <w:color w:val="auto"/>
                <w:kern w:val="0"/>
                <w:sz w:val="22"/>
                <w:szCs w:val="22"/>
                <w:highlight w:val="none"/>
                <w:u w:val="single"/>
              </w:rPr>
              <w:t xml:space="preserve"> 16 </w:t>
            </w:r>
            <w:r>
              <w:rPr>
                <w:rFonts w:hint="eastAsia" w:ascii="宋体" w:hAnsi="宋体" w:cs="宋体"/>
                <w:color w:val="auto"/>
                <w:kern w:val="0"/>
                <w:sz w:val="22"/>
                <w:szCs w:val="22"/>
                <w:highlight w:val="none"/>
              </w:rPr>
              <w:t>时</w:t>
            </w:r>
            <w:r>
              <w:rPr>
                <w:rFonts w:hint="eastAsia" w:ascii="宋体" w:hAnsi="宋体" w:cs="宋体"/>
                <w:color w:val="auto"/>
                <w:kern w:val="0"/>
                <w:sz w:val="22"/>
                <w:szCs w:val="22"/>
                <w:highlight w:val="none"/>
                <w:u w:val="single"/>
              </w:rPr>
              <w:t xml:space="preserve"> 30 </w:t>
            </w:r>
            <w:r>
              <w:rPr>
                <w:rFonts w:hint="eastAsia" w:ascii="宋体" w:hAnsi="宋体" w:cs="宋体"/>
                <w:color w:val="auto"/>
                <w:kern w:val="0"/>
                <w:sz w:val="22"/>
                <w:szCs w:val="22"/>
                <w:highlight w:val="none"/>
              </w:rPr>
              <w:t>分至</w:t>
            </w:r>
            <w:r>
              <w:rPr>
                <w:rFonts w:hint="eastAsia" w:ascii="宋体" w:hAnsi="宋体" w:cs="宋体"/>
                <w:color w:val="auto"/>
                <w:kern w:val="0"/>
                <w:sz w:val="22"/>
                <w:szCs w:val="22"/>
                <w:highlight w:val="none"/>
                <w:u w:val="single"/>
              </w:rPr>
              <w:t>202</w:t>
            </w:r>
            <w:r>
              <w:rPr>
                <w:rFonts w:hint="eastAsia" w:ascii="宋体" w:hAnsi="宋体" w:cs="宋体"/>
                <w:color w:val="auto"/>
                <w:kern w:val="0"/>
                <w:sz w:val="22"/>
                <w:szCs w:val="22"/>
                <w:highlight w:val="none"/>
                <w:u w:val="single"/>
                <w:lang w:val="en-US" w:eastAsia="zh-CN"/>
              </w:rPr>
              <w:t>6</w:t>
            </w:r>
            <w:r>
              <w:rPr>
                <w:rFonts w:hint="eastAsia" w:ascii="宋体" w:hAnsi="宋体" w:cs="宋体"/>
                <w:color w:val="auto"/>
                <w:kern w:val="0"/>
                <w:sz w:val="22"/>
                <w:szCs w:val="22"/>
                <w:highlight w:val="none"/>
              </w:rPr>
              <w:t>年</w:t>
            </w:r>
            <w:r>
              <w:rPr>
                <w:rFonts w:hint="eastAsia" w:ascii="宋体" w:hAnsi="宋体" w:cs="宋体"/>
                <w:color w:val="auto"/>
                <w:kern w:val="0"/>
                <w:sz w:val="22"/>
                <w:szCs w:val="22"/>
                <w:highlight w:val="none"/>
                <w:u w:val="single"/>
                <w:lang w:val="en-US" w:eastAsia="zh-CN"/>
              </w:rPr>
              <w:t>5</w:t>
            </w:r>
            <w:r>
              <w:rPr>
                <w:rFonts w:hint="eastAsia" w:ascii="宋体" w:hAnsi="宋体" w:cs="宋体"/>
                <w:color w:val="auto"/>
                <w:kern w:val="0"/>
                <w:sz w:val="22"/>
                <w:szCs w:val="22"/>
                <w:highlight w:val="none"/>
              </w:rPr>
              <w:t>月</w:t>
            </w:r>
            <w:r>
              <w:rPr>
                <w:rFonts w:hint="eastAsia" w:ascii="宋体" w:hAnsi="宋体" w:cs="宋体"/>
                <w:color w:val="auto"/>
                <w:kern w:val="0"/>
                <w:sz w:val="22"/>
                <w:szCs w:val="22"/>
                <w:highlight w:val="none"/>
                <w:u w:val="single"/>
                <w:lang w:val="en-US" w:eastAsia="zh-CN"/>
              </w:rPr>
              <w:t xml:space="preserve">28 </w:t>
            </w:r>
            <w:r>
              <w:rPr>
                <w:rFonts w:hint="eastAsia" w:ascii="宋体" w:hAnsi="宋体" w:cs="宋体"/>
                <w:color w:val="auto"/>
                <w:kern w:val="0"/>
                <w:sz w:val="22"/>
                <w:szCs w:val="22"/>
                <w:highlight w:val="none"/>
              </w:rPr>
              <w:t>日</w:t>
            </w:r>
            <w:r>
              <w:rPr>
                <w:rFonts w:hint="eastAsia" w:ascii="宋体" w:hAnsi="宋体" w:cs="宋体"/>
                <w:color w:val="auto"/>
                <w:kern w:val="0"/>
                <w:sz w:val="22"/>
                <w:szCs w:val="22"/>
                <w:highlight w:val="none"/>
                <w:u w:val="single"/>
              </w:rPr>
              <w:t xml:space="preserve"> 16 </w:t>
            </w:r>
            <w:r>
              <w:rPr>
                <w:rFonts w:hint="eastAsia" w:ascii="宋体" w:hAnsi="宋体" w:cs="宋体"/>
                <w:color w:val="auto"/>
                <w:kern w:val="0"/>
                <w:sz w:val="22"/>
                <w:szCs w:val="22"/>
                <w:highlight w:val="none"/>
              </w:rPr>
              <w:t>时</w:t>
            </w:r>
            <w:r>
              <w:rPr>
                <w:rFonts w:hint="eastAsia" w:ascii="宋体" w:hAnsi="宋体" w:cs="宋体"/>
                <w:color w:val="auto"/>
                <w:kern w:val="0"/>
                <w:sz w:val="22"/>
                <w:szCs w:val="22"/>
                <w:highlight w:val="none"/>
                <w:u w:val="single"/>
              </w:rPr>
              <w:t xml:space="preserve"> 00</w:t>
            </w:r>
            <w:r>
              <w:rPr>
                <w:rFonts w:hint="eastAsia" w:ascii="宋体" w:hAnsi="宋体" w:cs="宋体"/>
                <w:color w:val="auto"/>
                <w:kern w:val="0"/>
                <w:sz w:val="22"/>
                <w:szCs w:val="22"/>
                <w:highlight w:val="none"/>
              </w:rPr>
              <w:t>分</w:t>
            </w:r>
          </w:p>
        </w:tc>
      </w:tr>
      <w:tr w14:paraId="1F4DA05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246" w:hRule="exact"/>
        </w:trPr>
        <w:tc>
          <w:tcPr>
            <w:tcW w:w="231" w:type="pct"/>
            <w:tcBorders>
              <w:top w:val="single" w:color="080000" w:sz="4" w:space="0"/>
              <w:left w:val="single" w:color="080000" w:sz="4" w:space="0"/>
              <w:bottom w:val="single" w:color="080000" w:sz="4" w:space="0"/>
              <w:right w:val="single" w:color="080000" w:sz="4" w:space="0"/>
            </w:tcBorders>
            <w:noWrap w:val="0"/>
            <w:vAlign w:val="center"/>
          </w:tcPr>
          <w:p w14:paraId="1050AA6F">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5</w:t>
            </w:r>
          </w:p>
        </w:tc>
        <w:tc>
          <w:tcPr>
            <w:tcW w:w="717" w:type="pct"/>
            <w:tcBorders>
              <w:top w:val="single" w:color="080000" w:sz="4" w:space="0"/>
              <w:left w:val="single" w:color="080000" w:sz="4" w:space="0"/>
              <w:bottom w:val="single" w:color="080000" w:sz="4" w:space="0"/>
              <w:right w:val="single" w:color="080000" w:sz="4" w:space="0"/>
            </w:tcBorders>
            <w:noWrap w:val="0"/>
            <w:vAlign w:val="center"/>
          </w:tcPr>
          <w:p w14:paraId="50B31F86">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投标保证缴</w:t>
            </w:r>
          </w:p>
          <w:p w14:paraId="249647CA">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纳截止时间</w:t>
            </w:r>
          </w:p>
        </w:tc>
        <w:tc>
          <w:tcPr>
            <w:tcW w:w="4050" w:type="pct"/>
            <w:tcBorders>
              <w:top w:val="single" w:color="080000" w:sz="4" w:space="0"/>
              <w:left w:val="single" w:color="080000" w:sz="4" w:space="0"/>
              <w:bottom w:val="single" w:color="080000" w:sz="4" w:space="0"/>
              <w:right w:val="single" w:color="080000" w:sz="4" w:space="0"/>
            </w:tcBorders>
            <w:noWrap w:val="0"/>
            <w:vAlign w:val="center"/>
          </w:tcPr>
          <w:p w14:paraId="00544092">
            <w:pPr>
              <w:pStyle w:val="22"/>
              <w:widowControl/>
              <w:snapToGrid w:val="0"/>
              <w:jc w:val="left"/>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投标保证金到账截止时间：</w:t>
            </w:r>
            <w:r>
              <w:rPr>
                <w:rFonts w:hint="eastAsia" w:ascii="宋体" w:hAnsi="宋体" w:cs="宋体"/>
                <w:color w:val="auto"/>
                <w:kern w:val="0"/>
                <w:sz w:val="22"/>
                <w:szCs w:val="22"/>
                <w:highlight w:val="none"/>
                <w:u w:val="single"/>
              </w:rPr>
              <w:t>202</w:t>
            </w:r>
            <w:r>
              <w:rPr>
                <w:rFonts w:hint="eastAsia" w:ascii="宋体" w:hAnsi="宋体" w:cs="宋体"/>
                <w:color w:val="auto"/>
                <w:kern w:val="0"/>
                <w:sz w:val="22"/>
                <w:szCs w:val="22"/>
                <w:highlight w:val="none"/>
                <w:u w:val="single"/>
                <w:lang w:val="en-US" w:eastAsia="zh-CN"/>
              </w:rPr>
              <w:t>6</w:t>
            </w:r>
            <w:r>
              <w:rPr>
                <w:rFonts w:hint="eastAsia" w:ascii="宋体" w:hAnsi="宋体" w:cs="宋体"/>
                <w:color w:val="auto"/>
                <w:kern w:val="0"/>
                <w:sz w:val="22"/>
                <w:szCs w:val="22"/>
                <w:highlight w:val="none"/>
              </w:rPr>
              <w:t>年</w:t>
            </w:r>
            <w:r>
              <w:rPr>
                <w:rFonts w:hint="eastAsia" w:ascii="宋体" w:hAnsi="宋体" w:cs="宋体"/>
                <w:color w:val="auto"/>
                <w:kern w:val="0"/>
                <w:sz w:val="22"/>
                <w:szCs w:val="22"/>
                <w:highlight w:val="none"/>
                <w:u w:val="single"/>
                <w:lang w:val="en-US" w:eastAsia="zh-CN"/>
              </w:rPr>
              <w:t>6</w:t>
            </w:r>
            <w:r>
              <w:rPr>
                <w:rFonts w:hint="eastAsia" w:ascii="宋体" w:hAnsi="宋体" w:cs="宋体"/>
                <w:color w:val="auto"/>
                <w:kern w:val="0"/>
                <w:sz w:val="22"/>
                <w:szCs w:val="22"/>
                <w:highlight w:val="none"/>
              </w:rPr>
              <w:t>月</w:t>
            </w:r>
            <w:r>
              <w:rPr>
                <w:rFonts w:hint="eastAsia" w:ascii="宋体" w:hAnsi="宋体" w:cs="宋体"/>
                <w:color w:val="auto"/>
                <w:kern w:val="0"/>
                <w:sz w:val="22"/>
                <w:szCs w:val="22"/>
                <w:highlight w:val="none"/>
                <w:u w:val="single"/>
                <w:lang w:val="en-US" w:eastAsia="zh-CN"/>
              </w:rPr>
              <w:t>3</w:t>
            </w:r>
            <w:r>
              <w:rPr>
                <w:rFonts w:hint="eastAsia" w:ascii="宋体" w:hAnsi="宋体" w:cs="宋体"/>
                <w:color w:val="auto"/>
                <w:kern w:val="0"/>
                <w:sz w:val="22"/>
                <w:szCs w:val="22"/>
                <w:highlight w:val="none"/>
              </w:rPr>
              <w:t>日</w:t>
            </w:r>
            <w:r>
              <w:rPr>
                <w:rFonts w:hint="eastAsia" w:ascii="宋体" w:hAnsi="宋体" w:cs="宋体"/>
                <w:color w:val="auto"/>
                <w:kern w:val="0"/>
                <w:sz w:val="22"/>
                <w:szCs w:val="22"/>
                <w:highlight w:val="none"/>
                <w:u w:val="single"/>
                <w:lang w:val="en-US" w:eastAsia="zh-CN"/>
              </w:rPr>
              <w:t xml:space="preserve">9 </w:t>
            </w:r>
            <w:r>
              <w:rPr>
                <w:rFonts w:hint="eastAsia" w:ascii="宋体" w:hAnsi="宋体" w:cs="宋体"/>
                <w:color w:val="auto"/>
                <w:kern w:val="0"/>
                <w:sz w:val="22"/>
                <w:szCs w:val="22"/>
                <w:highlight w:val="none"/>
              </w:rPr>
              <w:t>时</w:t>
            </w:r>
            <w:r>
              <w:rPr>
                <w:rFonts w:hint="eastAsia" w:ascii="宋体" w:hAnsi="宋体" w:cs="宋体"/>
                <w:color w:val="auto"/>
                <w:kern w:val="0"/>
                <w:sz w:val="22"/>
                <w:szCs w:val="22"/>
                <w:highlight w:val="none"/>
                <w:u w:val="single"/>
                <w:lang w:val="en-US" w:eastAsia="zh-CN"/>
              </w:rPr>
              <w:t>30</w:t>
            </w:r>
            <w:r>
              <w:rPr>
                <w:rFonts w:hint="eastAsia" w:ascii="宋体" w:hAnsi="宋体" w:cs="宋体"/>
                <w:color w:val="auto"/>
                <w:kern w:val="0"/>
                <w:sz w:val="22"/>
                <w:szCs w:val="22"/>
                <w:highlight w:val="none"/>
              </w:rPr>
              <w:t>分</w:t>
            </w:r>
            <w:r>
              <w:rPr>
                <w:rFonts w:hint="eastAsia" w:ascii="宋体" w:hAnsi="宋体" w:cs="宋体"/>
                <w:color w:val="auto"/>
                <w:kern w:val="0"/>
                <w:sz w:val="22"/>
                <w:szCs w:val="22"/>
                <w:highlight w:val="none"/>
                <w:lang w:val="en-US" w:eastAsia="zh-CN"/>
              </w:rPr>
              <w:t xml:space="preserve"> </w:t>
            </w:r>
            <w:r>
              <w:rPr>
                <w:rFonts w:hint="eastAsia" w:ascii="宋体" w:hAnsi="宋体" w:cs="宋体"/>
                <w:color w:val="auto"/>
                <w:kern w:val="0"/>
                <w:sz w:val="22"/>
                <w:szCs w:val="22"/>
                <w:highlight w:val="none"/>
              </w:rPr>
              <w:t>；</w:t>
            </w:r>
          </w:p>
          <w:p w14:paraId="534D20EF">
            <w:pPr>
              <w:pStyle w:val="22"/>
              <w:widowControl/>
              <w:snapToGrid w:val="0"/>
              <w:jc w:val="left"/>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投标保证担保上传截止时间：</w:t>
            </w:r>
            <w:r>
              <w:rPr>
                <w:rFonts w:hint="eastAsia" w:ascii="宋体" w:hAnsi="宋体" w:cs="宋体"/>
                <w:color w:val="auto"/>
                <w:kern w:val="0"/>
                <w:sz w:val="22"/>
                <w:szCs w:val="22"/>
                <w:highlight w:val="none"/>
                <w:u w:val="single"/>
              </w:rPr>
              <w:t>202</w:t>
            </w:r>
            <w:r>
              <w:rPr>
                <w:rFonts w:hint="eastAsia" w:ascii="宋体" w:hAnsi="宋体" w:cs="宋体"/>
                <w:color w:val="auto"/>
                <w:kern w:val="0"/>
                <w:sz w:val="22"/>
                <w:szCs w:val="22"/>
                <w:highlight w:val="none"/>
                <w:u w:val="single"/>
                <w:lang w:val="en-US" w:eastAsia="zh-CN"/>
              </w:rPr>
              <w:t>6</w:t>
            </w:r>
            <w:r>
              <w:rPr>
                <w:rFonts w:hint="eastAsia" w:ascii="宋体" w:hAnsi="宋体" w:cs="宋体"/>
                <w:color w:val="auto"/>
                <w:kern w:val="0"/>
                <w:sz w:val="22"/>
                <w:szCs w:val="22"/>
                <w:highlight w:val="none"/>
              </w:rPr>
              <w:t>年</w:t>
            </w:r>
            <w:r>
              <w:rPr>
                <w:rFonts w:hint="eastAsia" w:ascii="宋体" w:hAnsi="宋体" w:cs="宋体"/>
                <w:color w:val="auto"/>
                <w:kern w:val="0"/>
                <w:sz w:val="22"/>
                <w:szCs w:val="22"/>
                <w:highlight w:val="none"/>
                <w:u w:val="single"/>
                <w:lang w:val="en-US" w:eastAsia="zh-CN"/>
              </w:rPr>
              <w:t>6</w:t>
            </w:r>
            <w:r>
              <w:rPr>
                <w:rFonts w:hint="eastAsia" w:ascii="宋体" w:hAnsi="宋体" w:cs="宋体"/>
                <w:color w:val="auto"/>
                <w:kern w:val="0"/>
                <w:sz w:val="22"/>
                <w:szCs w:val="22"/>
                <w:highlight w:val="none"/>
              </w:rPr>
              <w:t>月</w:t>
            </w:r>
            <w:r>
              <w:rPr>
                <w:rFonts w:hint="eastAsia" w:ascii="宋体" w:hAnsi="宋体" w:cs="宋体"/>
                <w:color w:val="auto"/>
                <w:kern w:val="0"/>
                <w:sz w:val="22"/>
                <w:szCs w:val="22"/>
                <w:highlight w:val="none"/>
                <w:u w:val="single"/>
                <w:lang w:val="en-US" w:eastAsia="zh-CN"/>
              </w:rPr>
              <w:t>3</w:t>
            </w:r>
            <w:r>
              <w:rPr>
                <w:rFonts w:hint="eastAsia" w:ascii="宋体" w:hAnsi="宋体" w:cs="宋体"/>
                <w:color w:val="auto"/>
                <w:kern w:val="0"/>
                <w:sz w:val="22"/>
                <w:szCs w:val="22"/>
                <w:highlight w:val="none"/>
              </w:rPr>
              <w:t>日</w:t>
            </w:r>
            <w:r>
              <w:rPr>
                <w:rFonts w:hint="eastAsia" w:ascii="宋体" w:hAnsi="宋体" w:cs="宋体"/>
                <w:color w:val="auto"/>
                <w:kern w:val="0"/>
                <w:sz w:val="22"/>
                <w:szCs w:val="22"/>
                <w:highlight w:val="none"/>
                <w:u w:val="single"/>
                <w:lang w:val="en-US" w:eastAsia="zh-CN"/>
              </w:rPr>
              <w:t xml:space="preserve">9 </w:t>
            </w:r>
            <w:r>
              <w:rPr>
                <w:rFonts w:hint="eastAsia" w:ascii="宋体" w:hAnsi="宋体" w:cs="宋体"/>
                <w:color w:val="auto"/>
                <w:kern w:val="0"/>
                <w:sz w:val="22"/>
                <w:szCs w:val="22"/>
                <w:highlight w:val="none"/>
              </w:rPr>
              <w:t>时</w:t>
            </w:r>
            <w:r>
              <w:rPr>
                <w:rFonts w:hint="eastAsia" w:ascii="宋体" w:hAnsi="宋体" w:cs="宋体"/>
                <w:color w:val="auto"/>
                <w:kern w:val="0"/>
                <w:sz w:val="22"/>
                <w:szCs w:val="22"/>
                <w:highlight w:val="none"/>
                <w:u w:val="single"/>
                <w:lang w:val="en-US" w:eastAsia="zh-CN"/>
              </w:rPr>
              <w:t>30</w:t>
            </w:r>
            <w:r>
              <w:rPr>
                <w:rFonts w:hint="eastAsia" w:ascii="宋体" w:hAnsi="宋体" w:cs="宋体"/>
                <w:color w:val="auto"/>
                <w:kern w:val="0"/>
                <w:sz w:val="22"/>
                <w:szCs w:val="22"/>
                <w:highlight w:val="none"/>
              </w:rPr>
              <w:t>分</w:t>
            </w:r>
            <w:r>
              <w:rPr>
                <w:rFonts w:hint="eastAsia" w:ascii="宋体" w:hAnsi="宋体" w:cs="宋体"/>
                <w:color w:val="auto"/>
                <w:kern w:val="0"/>
                <w:sz w:val="22"/>
                <w:szCs w:val="22"/>
                <w:highlight w:val="none"/>
                <w:lang w:val="en-US" w:eastAsia="zh-CN"/>
              </w:rPr>
              <w:t xml:space="preserve"> </w:t>
            </w:r>
            <w:r>
              <w:rPr>
                <w:rFonts w:hint="eastAsia" w:ascii="宋体" w:hAnsi="宋体" w:cs="宋体"/>
                <w:color w:val="auto"/>
                <w:kern w:val="0"/>
                <w:sz w:val="22"/>
                <w:szCs w:val="22"/>
                <w:highlight w:val="none"/>
              </w:rPr>
              <w:t>；</w:t>
            </w:r>
          </w:p>
          <w:p w14:paraId="086C2F12">
            <w:pPr>
              <w:pStyle w:val="22"/>
              <w:widowControl/>
              <w:snapToGrid w:val="0"/>
              <w:jc w:val="left"/>
              <w:rPr>
                <w:rFonts w:hint="eastAsia" w:ascii="宋体" w:hAnsi="宋体" w:cs="宋体"/>
                <w:snapToGrid w:val="0"/>
                <w:color w:val="000000"/>
                <w:kern w:val="0"/>
                <w:sz w:val="22"/>
                <w:szCs w:val="22"/>
                <w:highlight w:val="none"/>
              </w:rPr>
            </w:pPr>
            <w:r>
              <w:rPr>
                <w:rFonts w:hint="eastAsia" w:ascii="宋体" w:hAnsi="宋体" w:cs="宋体"/>
                <w:color w:val="auto"/>
                <w:kern w:val="0"/>
                <w:sz w:val="22"/>
                <w:szCs w:val="22"/>
                <w:highlight w:val="none"/>
              </w:rPr>
              <w:t>投标保证保险投保截止时间：</w:t>
            </w:r>
            <w:r>
              <w:rPr>
                <w:rFonts w:hint="eastAsia" w:ascii="宋体" w:hAnsi="宋体" w:cs="宋体"/>
                <w:color w:val="auto"/>
                <w:kern w:val="0"/>
                <w:sz w:val="22"/>
                <w:szCs w:val="22"/>
                <w:highlight w:val="none"/>
                <w:u w:val="single"/>
              </w:rPr>
              <w:t>202</w:t>
            </w:r>
            <w:r>
              <w:rPr>
                <w:rFonts w:hint="eastAsia" w:ascii="宋体" w:hAnsi="宋体" w:cs="宋体"/>
                <w:color w:val="auto"/>
                <w:kern w:val="0"/>
                <w:sz w:val="22"/>
                <w:szCs w:val="22"/>
                <w:highlight w:val="none"/>
                <w:u w:val="single"/>
                <w:lang w:val="en-US" w:eastAsia="zh-CN"/>
              </w:rPr>
              <w:t>6</w:t>
            </w:r>
            <w:r>
              <w:rPr>
                <w:rFonts w:hint="eastAsia" w:ascii="宋体" w:hAnsi="宋体" w:cs="宋体"/>
                <w:color w:val="auto"/>
                <w:kern w:val="0"/>
                <w:sz w:val="22"/>
                <w:szCs w:val="22"/>
                <w:highlight w:val="none"/>
              </w:rPr>
              <w:t>年</w:t>
            </w:r>
            <w:r>
              <w:rPr>
                <w:rFonts w:hint="eastAsia" w:ascii="宋体" w:hAnsi="宋体" w:cs="宋体"/>
                <w:color w:val="auto"/>
                <w:kern w:val="0"/>
                <w:sz w:val="22"/>
                <w:szCs w:val="22"/>
                <w:highlight w:val="none"/>
                <w:u w:val="single"/>
                <w:lang w:val="en-US" w:eastAsia="zh-CN"/>
              </w:rPr>
              <w:t>6</w:t>
            </w:r>
            <w:r>
              <w:rPr>
                <w:rFonts w:hint="eastAsia" w:ascii="宋体" w:hAnsi="宋体" w:cs="宋体"/>
                <w:color w:val="auto"/>
                <w:kern w:val="0"/>
                <w:sz w:val="22"/>
                <w:szCs w:val="22"/>
                <w:highlight w:val="none"/>
              </w:rPr>
              <w:t>月</w:t>
            </w:r>
            <w:r>
              <w:rPr>
                <w:rFonts w:hint="eastAsia" w:ascii="宋体" w:hAnsi="宋体" w:cs="宋体"/>
                <w:color w:val="auto"/>
                <w:kern w:val="0"/>
                <w:sz w:val="22"/>
                <w:szCs w:val="22"/>
                <w:highlight w:val="none"/>
                <w:u w:val="single"/>
                <w:lang w:val="en-US" w:eastAsia="zh-CN"/>
              </w:rPr>
              <w:t>3</w:t>
            </w:r>
            <w:r>
              <w:rPr>
                <w:rFonts w:hint="eastAsia" w:ascii="宋体" w:hAnsi="宋体" w:cs="宋体"/>
                <w:color w:val="auto"/>
                <w:kern w:val="0"/>
                <w:sz w:val="22"/>
                <w:szCs w:val="22"/>
                <w:highlight w:val="none"/>
              </w:rPr>
              <w:t>日</w:t>
            </w:r>
            <w:r>
              <w:rPr>
                <w:rFonts w:hint="eastAsia" w:ascii="宋体" w:hAnsi="宋体" w:cs="宋体"/>
                <w:color w:val="auto"/>
                <w:kern w:val="0"/>
                <w:sz w:val="22"/>
                <w:szCs w:val="22"/>
                <w:highlight w:val="none"/>
                <w:u w:val="single"/>
                <w:lang w:val="en-US" w:eastAsia="zh-CN"/>
              </w:rPr>
              <w:t xml:space="preserve">9 </w:t>
            </w:r>
            <w:r>
              <w:rPr>
                <w:rFonts w:hint="eastAsia" w:ascii="宋体" w:hAnsi="宋体" w:cs="宋体"/>
                <w:color w:val="auto"/>
                <w:kern w:val="0"/>
                <w:sz w:val="22"/>
                <w:szCs w:val="22"/>
                <w:highlight w:val="none"/>
              </w:rPr>
              <w:t>时</w:t>
            </w:r>
            <w:r>
              <w:rPr>
                <w:rFonts w:hint="eastAsia" w:ascii="宋体" w:hAnsi="宋体" w:cs="宋体"/>
                <w:color w:val="auto"/>
                <w:kern w:val="0"/>
                <w:sz w:val="22"/>
                <w:szCs w:val="22"/>
                <w:highlight w:val="none"/>
                <w:u w:val="single"/>
                <w:lang w:val="en-US" w:eastAsia="zh-CN"/>
              </w:rPr>
              <w:t>30</w:t>
            </w:r>
            <w:r>
              <w:rPr>
                <w:rFonts w:hint="eastAsia" w:ascii="宋体" w:hAnsi="宋体" w:cs="宋体"/>
                <w:color w:val="auto"/>
                <w:kern w:val="0"/>
                <w:sz w:val="22"/>
                <w:szCs w:val="22"/>
                <w:highlight w:val="none"/>
              </w:rPr>
              <w:t>分</w:t>
            </w:r>
            <w:r>
              <w:rPr>
                <w:rFonts w:hint="eastAsia" w:ascii="宋体" w:hAnsi="宋体" w:cs="宋体"/>
                <w:color w:val="auto"/>
                <w:kern w:val="0"/>
                <w:sz w:val="22"/>
                <w:szCs w:val="22"/>
                <w:highlight w:val="none"/>
                <w:lang w:val="en-US" w:eastAsia="zh-CN"/>
              </w:rPr>
              <w:t xml:space="preserve"> </w:t>
            </w:r>
            <w:r>
              <w:rPr>
                <w:rFonts w:hint="eastAsia" w:ascii="宋体" w:hAnsi="宋体" w:cs="宋体"/>
                <w:color w:val="auto"/>
                <w:kern w:val="0"/>
                <w:sz w:val="22"/>
                <w:szCs w:val="22"/>
                <w:highlight w:val="none"/>
              </w:rPr>
              <w:t>。</w:t>
            </w:r>
          </w:p>
        </w:tc>
      </w:tr>
      <w:tr w14:paraId="5CEC71A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12" w:hRule="exact"/>
        </w:trPr>
        <w:tc>
          <w:tcPr>
            <w:tcW w:w="231" w:type="pct"/>
            <w:tcBorders>
              <w:top w:val="single" w:color="080000" w:sz="4" w:space="0"/>
              <w:left w:val="single" w:color="080000" w:sz="4" w:space="0"/>
              <w:bottom w:val="single" w:color="080000" w:sz="4" w:space="0"/>
              <w:right w:val="single" w:color="080000" w:sz="4" w:space="0"/>
            </w:tcBorders>
            <w:noWrap w:val="0"/>
            <w:vAlign w:val="center"/>
          </w:tcPr>
          <w:p w14:paraId="213E411F">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6</w:t>
            </w:r>
          </w:p>
        </w:tc>
        <w:tc>
          <w:tcPr>
            <w:tcW w:w="717" w:type="pct"/>
            <w:tcBorders>
              <w:top w:val="single" w:color="080000" w:sz="4" w:space="0"/>
              <w:left w:val="single" w:color="080000" w:sz="4" w:space="0"/>
              <w:bottom w:val="single" w:color="080000" w:sz="4" w:space="0"/>
              <w:right w:val="single" w:color="080000" w:sz="4" w:space="0"/>
            </w:tcBorders>
            <w:noWrap w:val="0"/>
            <w:vAlign w:val="center"/>
          </w:tcPr>
          <w:p w14:paraId="67DAD104">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电子投标</w:t>
            </w:r>
          </w:p>
          <w:p w14:paraId="3E473E72">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 xml:space="preserve">截止时间 </w:t>
            </w:r>
          </w:p>
        </w:tc>
        <w:tc>
          <w:tcPr>
            <w:tcW w:w="4050" w:type="pct"/>
            <w:tcBorders>
              <w:top w:val="single" w:color="080000" w:sz="4" w:space="0"/>
              <w:left w:val="single" w:color="080000" w:sz="4" w:space="0"/>
              <w:bottom w:val="single" w:color="080000" w:sz="4" w:space="0"/>
              <w:right w:val="single" w:color="080000" w:sz="4" w:space="0"/>
            </w:tcBorders>
            <w:noWrap w:val="0"/>
            <w:vAlign w:val="center"/>
          </w:tcPr>
          <w:p w14:paraId="2EF7FFA6">
            <w:pPr>
              <w:pStyle w:val="22"/>
              <w:widowControl/>
              <w:snapToGrid w:val="0"/>
              <w:jc w:val="left"/>
              <w:rPr>
                <w:rFonts w:hint="eastAsia" w:ascii="宋体" w:hAnsi="宋体" w:cs="宋体"/>
                <w:snapToGrid w:val="0"/>
                <w:color w:val="000000"/>
                <w:kern w:val="0"/>
                <w:sz w:val="22"/>
                <w:szCs w:val="22"/>
                <w:highlight w:val="none"/>
              </w:rPr>
            </w:pPr>
            <w:r>
              <w:rPr>
                <w:rFonts w:hint="eastAsia" w:ascii="宋体" w:hAnsi="宋体" w:cs="宋体"/>
                <w:color w:val="auto"/>
                <w:kern w:val="0"/>
                <w:sz w:val="22"/>
                <w:szCs w:val="22"/>
                <w:highlight w:val="none"/>
                <w:u w:val="single"/>
              </w:rPr>
              <w:t>202</w:t>
            </w:r>
            <w:r>
              <w:rPr>
                <w:rFonts w:hint="eastAsia" w:ascii="宋体" w:hAnsi="宋体" w:cs="宋体"/>
                <w:color w:val="auto"/>
                <w:kern w:val="0"/>
                <w:sz w:val="22"/>
                <w:szCs w:val="22"/>
                <w:highlight w:val="none"/>
                <w:u w:val="single"/>
                <w:lang w:val="en-US" w:eastAsia="zh-CN"/>
              </w:rPr>
              <w:t>6</w:t>
            </w:r>
            <w:r>
              <w:rPr>
                <w:rFonts w:hint="eastAsia" w:ascii="宋体" w:hAnsi="宋体" w:cs="宋体"/>
                <w:color w:val="auto"/>
                <w:kern w:val="0"/>
                <w:sz w:val="22"/>
                <w:szCs w:val="22"/>
                <w:highlight w:val="none"/>
              </w:rPr>
              <w:t>年</w:t>
            </w:r>
            <w:r>
              <w:rPr>
                <w:rFonts w:hint="eastAsia" w:ascii="宋体" w:hAnsi="宋体" w:cs="宋体"/>
                <w:color w:val="auto"/>
                <w:kern w:val="0"/>
                <w:sz w:val="22"/>
                <w:szCs w:val="22"/>
                <w:highlight w:val="none"/>
                <w:u w:val="single"/>
                <w:lang w:val="en-US" w:eastAsia="zh-CN"/>
              </w:rPr>
              <w:t>6</w:t>
            </w:r>
            <w:r>
              <w:rPr>
                <w:rFonts w:hint="eastAsia" w:ascii="宋体" w:hAnsi="宋体" w:cs="宋体"/>
                <w:color w:val="auto"/>
                <w:kern w:val="0"/>
                <w:sz w:val="22"/>
                <w:szCs w:val="22"/>
                <w:highlight w:val="none"/>
              </w:rPr>
              <w:t>月</w:t>
            </w:r>
            <w:r>
              <w:rPr>
                <w:rFonts w:hint="eastAsia" w:ascii="宋体" w:hAnsi="宋体" w:cs="宋体"/>
                <w:color w:val="auto"/>
                <w:kern w:val="0"/>
                <w:sz w:val="22"/>
                <w:szCs w:val="22"/>
                <w:highlight w:val="none"/>
                <w:u w:val="single"/>
                <w:lang w:val="en-US" w:eastAsia="zh-CN"/>
              </w:rPr>
              <w:t>4</w:t>
            </w:r>
            <w:r>
              <w:rPr>
                <w:rFonts w:hint="eastAsia" w:ascii="宋体" w:hAnsi="宋体" w:cs="宋体"/>
                <w:color w:val="auto"/>
                <w:kern w:val="0"/>
                <w:sz w:val="22"/>
                <w:szCs w:val="22"/>
                <w:highlight w:val="none"/>
              </w:rPr>
              <w:t>日</w:t>
            </w:r>
            <w:r>
              <w:rPr>
                <w:rFonts w:hint="eastAsia" w:ascii="宋体" w:hAnsi="宋体" w:cs="宋体"/>
                <w:color w:val="auto"/>
                <w:kern w:val="0"/>
                <w:sz w:val="22"/>
                <w:szCs w:val="22"/>
                <w:highlight w:val="none"/>
                <w:u w:val="single"/>
                <w:lang w:val="en-US" w:eastAsia="zh-CN"/>
              </w:rPr>
              <w:t xml:space="preserve">9 </w:t>
            </w:r>
            <w:r>
              <w:rPr>
                <w:rFonts w:hint="eastAsia" w:ascii="宋体" w:hAnsi="宋体" w:cs="宋体"/>
                <w:color w:val="auto"/>
                <w:kern w:val="0"/>
                <w:sz w:val="22"/>
                <w:szCs w:val="22"/>
                <w:highlight w:val="none"/>
              </w:rPr>
              <w:t>时</w:t>
            </w:r>
            <w:r>
              <w:rPr>
                <w:rFonts w:hint="eastAsia" w:ascii="宋体" w:hAnsi="宋体" w:cs="宋体"/>
                <w:color w:val="auto"/>
                <w:kern w:val="0"/>
                <w:sz w:val="22"/>
                <w:szCs w:val="22"/>
                <w:highlight w:val="none"/>
                <w:u w:val="single"/>
                <w:lang w:val="en-US" w:eastAsia="zh-CN"/>
              </w:rPr>
              <w:t>30</w:t>
            </w:r>
            <w:r>
              <w:rPr>
                <w:rFonts w:hint="eastAsia" w:ascii="宋体" w:hAnsi="宋体" w:cs="宋体"/>
                <w:color w:val="auto"/>
                <w:kern w:val="0"/>
                <w:sz w:val="22"/>
                <w:szCs w:val="22"/>
                <w:highlight w:val="none"/>
              </w:rPr>
              <w:t>分</w:t>
            </w:r>
            <w:r>
              <w:rPr>
                <w:rFonts w:hint="eastAsia" w:ascii="宋体" w:hAnsi="宋体" w:cs="宋体"/>
                <w:color w:val="auto"/>
                <w:kern w:val="0"/>
                <w:sz w:val="22"/>
                <w:szCs w:val="22"/>
                <w:highlight w:val="none"/>
                <w:lang w:val="en-US" w:eastAsia="zh-CN"/>
              </w:rPr>
              <w:t xml:space="preserve"> </w:t>
            </w:r>
          </w:p>
        </w:tc>
      </w:tr>
      <w:tr w14:paraId="255B6A2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187" w:hRule="exact"/>
        </w:trPr>
        <w:tc>
          <w:tcPr>
            <w:tcW w:w="231" w:type="pct"/>
            <w:tcBorders>
              <w:top w:val="single" w:color="080000" w:sz="4" w:space="0"/>
              <w:left w:val="single" w:color="080000" w:sz="4" w:space="0"/>
              <w:bottom w:val="single" w:color="080000" w:sz="4" w:space="0"/>
              <w:right w:val="single" w:color="080000" w:sz="4" w:space="0"/>
            </w:tcBorders>
            <w:noWrap w:val="0"/>
            <w:vAlign w:val="center"/>
          </w:tcPr>
          <w:p w14:paraId="0CC6312E">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7</w:t>
            </w:r>
          </w:p>
        </w:tc>
        <w:tc>
          <w:tcPr>
            <w:tcW w:w="717" w:type="pct"/>
            <w:tcBorders>
              <w:top w:val="single" w:color="080000" w:sz="4" w:space="0"/>
              <w:left w:val="single" w:color="080000" w:sz="4" w:space="0"/>
              <w:bottom w:val="single" w:color="080000" w:sz="4" w:space="0"/>
              <w:right w:val="single" w:color="080000" w:sz="4" w:space="0"/>
            </w:tcBorders>
            <w:noWrap w:val="0"/>
            <w:vAlign w:val="center"/>
          </w:tcPr>
          <w:p w14:paraId="2ED64A0B">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lang w:val="en-US" w:eastAsia="zh-CN"/>
              </w:rPr>
            </w:pPr>
            <w:r>
              <w:rPr>
                <w:rFonts w:hint="eastAsia" w:ascii="宋体" w:hAnsi="宋体" w:cs="宋体"/>
                <w:snapToGrid w:val="0"/>
                <w:color w:val="000000"/>
                <w:kern w:val="0"/>
                <w:sz w:val="22"/>
                <w:szCs w:val="22"/>
                <w:highlight w:val="none"/>
                <w:lang w:val="en-US" w:eastAsia="zh-CN"/>
              </w:rPr>
              <w:t>投标评审原件（如有）</w:t>
            </w:r>
          </w:p>
          <w:p w14:paraId="7F77CCDF">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lang w:val="en-US" w:eastAsia="zh-CN"/>
              </w:rPr>
              <w:t>递交时间</w:t>
            </w:r>
          </w:p>
        </w:tc>
        <w:tc>
          <w:tcPr>
            <w:tcW w:w="4050" w:type="pct"/>
            <w:tcBorders>
              <w:top w:val="single" w:color="080000" w:sz="4" w:space="0"/>
              <w:left w:val="single" w:color="080000" w:sz="4" w:space="0"/>
              <w:bottom w:val="single" w:color="080000" w:sz="4" w:space="0"/>
              <w:right w:val="single" w:color="080000" w:sz="4" w:space="0"/>
            </w:tcBorders>
            <w:noWrap w:val="0"/>
            <w:vAlign w:val="center"/>
          </w:tcPr>
          <w:p w14:paraId="32F71BF2">
            <w:pPr>
              <w:pStyle w:val="22"/>
              <w:widowControl/>
              <w:snapToGrid w:val="0"/>
              <w:jc w:val="left"/>
              <w:rPr>
                <w:rFonts w:hint="eastAsia" w:ascii="宋体" w:hAnsi="宋体" w:cs="宋体"/>
                <w:snapToGrid w:val="0"/>
                <w:color w:val="000000"/>
                <w:kern w:val="0"/>
                <w:sz w:val="22"/>
                <w:szCs w:val="22"/>
                <w:highlight w:val="none"/>
              </w:rPr>
            </w:pPr>
            <w:r>
              <w:rPr>
                <w:rFonts w:hint="eastAsia" w:ascii="宋体" w:hAnsi="宋体" w:cs="宋体"/>
                <w:color w:val="auto"/>
                <w:kern w:val="0"/>
                <w:sz w:val="22"/>
                <w:szCs w:val="22"/>
                <w:highlight w:val="none"/>
                <w:u w:val="single"/>
              </w:rPr>
              <w:t>202</w:t>
            </w:r>
            <w:r>
              <w:rPr>
                <w:rFonts w:hint="eastAsia" w:ascii="宋体" w:hAnsi="宋体" w:cs="宋体"/>
                <w:color w:val="auto"/>
                <w:kern w:val="0"/>
                <w:sz w:val="22"/>
                <w:szCs w:val="22"/>
                <w:highlight w:val="none"/>
                <w:u w:val="single"/>
                <w:lang w:val="en-US" w:eastAsia="zh-CN"/>
              </w:rPr>
              <w:t>6</w:t>
            </w:r>
            <w:r>
              <w:rPr>
                <w:rFonts w:hint="eastAsia" w:ascii="宋体" w:hAnsi="宋体" w:cs="宋体"/>
                <w:color w:val="auto"/>
                <w:kern w:val="0"/>
                <w:sz w:val="22"/>
                <w:szCs w:val="22"/>
                <w:highlight w:val="none"/>
              </w:rPr>
              <w:t>年</w:t>
            </w:r>
            <w:r>
              <w:rPr>
                <w:rFonts w:hint="eastAsia" w:ascii="宋体" w:hAnsi="宋体" w:cs="宋体"/>
                <w:color w:val="auto"/>
                <w:kern w:val="0"/>
                <w:sz w:val="22"/>
                <w:szCs w:val="22"/>
                <w:highlight w:val="none"/>
                <w:u w:val="single"/>
                <w:lang w:val="en-US" w:eastAsia="zh-CN"/>
              </w:rPr>
              <w:t xml:space="preserve"> 6</w:t>
            </w:r>
            <w:r>
              <w:rPr>
                <w:rFonts w:hint="eastAsia" w:ascii="宋体" w:hAnsi="宋体" w:cs="宋体"/>
                <w:color w:val="auto"/>
                <w:kern w:val="0"/>
                <w:sz w:val="22"/>
                <w:szCs w:val="22"/>
                <w:highlight w:val="none"/>
              </w:rPr>
              <w:t>月</w:t>
            </w:r>
            <w:r>
              <w:rPr>
                <w:rFonts w:hint="eastAsia" w:ascii="宋体" w:hAnsi="宋体" w:cs="宋体"/>
                <w:color w:val="auto"/>
                <w:kern w:val="0"/>
                <w:sz w:val="22"/>
                <w:szCs w:val="22"/>
                <w:highlight w:val="none"/>
                <w:u w:val="single"/>
                <w:lang w:val="en-US" w:eastAsia="zh-CN"/>
              </w:rPr>
              <w:t>4</w:t>
            </w:r>
            <w:r>
              <w:rPr>
                <w:rFonts w:hint="eastAsia" w:ascii="宋体" w:hAnsi="宋体" w:cs="宋体"/>
                <w:color w:val="auto"/>
                <w:kern w:val="0"/>
                <w:sz w:val="22"/>
                <w:szCs w:val="22"/>
                <w:highlight w:val="none"/>
              </w:rPr>
              <w:t>日</w:t>
            </w:r>
            <w:r>
              <w:rPr>
                <w:rFonts w:hint="eastAsia" w:ascii="宋体" w:hAnsi="宋体" w:cs="宋体"/>
                <w:color w:val="auto"/>
                <w:kern w:val="0"/>
                <w:sz w:val="22"/>
                <w:szCs w:val="22"/>
                <w:highlight w:val="none"/>
                <w:u w:val="single"/>
                <w:lang w:val="en-US" w:eastAsia="zh-CN"/>
              </w:rPr>
              <w:t>9</w:t>
            </w:r>
            <w:r>
              <w:rPr>
                <w:rFonts w:hint="eastAsia" w:ascii="宋体" w:hAnsi="宋体" w:cs="宋体"/>
                <w:color w:val="auto"/>
                <w:kern w:val="0"/>
                <w:sz w:val="22"/>
                <w:szCs w:val="22"/>
                <w:highlight w:val="none"/>
              </w:rPr>
              <w:t>时</w:t>
            </w:r>
            <w:r>
              <w:rPr>
                <w:rFonts w:hint="eastAsia" w:ascii="宋体" w:hAnsi="宋体" w:cs="宋体"/>
                <w:color w:val="auto"/>
                <w:kern w:val="0"/>
                <w:sz w:val="22"/>
                <w:szCs w:val="22"/>
                <w:highlight w:val="none"/>
                <w:u w:val="single"/>
                <w:lang w:val="en-US" w:eastAsia="zh-CN"/>
              </w:rPr>
              <w:t>00</w:t>
            </w:r>
            <w:r>
              <w:rPr>
                <w:rFonts w:hint="eastAsia" w:ascii="宋体" w:hAnsi="宋体" w:cs="宋体"/>
                <w:color w:val="auto"/>
                <w:kern w:val="0"/>
                <w:sz w:val="22"/>
                <w:szCs w:val="22"/>
                <w:highlight w:val="none"/>
              </w:rPr>
              <w:t>分</w:t>
            </w:r>
            <w:r>
              <w:rPr>
                <w:rFonts w:hint="eastAsia" w:ascii="宋体" w:hAnsi="宋体" w:cs="宋体"/>
                <w:color w:val="auto"/>
                <w:kern w:val="0"/>
                <w:sz w:val="22"/>
                <w:szCs w:val="22"/>
                <w:highlight w:val="none"/>
                <w:lang w:val="en-US" w:eastAsia="zh-CN"/>
              </w:rPr>
              <w:t xml:space="preserve"> </w:t>
            </w:r>
            <w:r>
              <w:rPr>
                <w:rFonts w:hint="eastAsia" w:ascii="宋体" w:hAnsi="宋体" w:cs="宋体"/>
                <w:color w:val="auto"/>
                <w:kern w:val="0"/>
                <w:sz w:val="22"/>
                <w:szCs w:val="22"/>
                <w:highlight w:val="none"/>
              </w:rPr>
              <w:t>至</w:t>
            </w:r>
            <w:r>
              <w:rPr>
                <w:rFonts w:hint="eastAsia" w:ascii="宋体" w:hAnsi="宋体" w:cs="宋体"/>
                <w:color w:val="auto"/>
                <w:kern w:val="0"/>
                <w:sz w:val="22"/>
                <w:szCs w:val="22"/>
                <w:highlight w:val="none"/>
                <w:u w:val="single"/>
              </w:rPr>
              <w:t>202</w:t>
            </w:r>
            <w:r>
              <w:rPr>
                <w:rFonts w:hint="eastAsia" w:ascii="宋体" w:hAnsi="宋体" w:cs="宋体"/>
                <w:color w:val="auto"/>
                <w:kern w:val="0"/>
                <w:sz w:val="22"/>
                <w:szCs w:val="22"/>
                <w:highlight w:val="none"/>
                <w:u w:val="single"/>
                <w:lang w:val="en-US" w:eastAsia="zh-CN"/>
              </w:rPr>
              <w:t>6</w:t>
            </w:r>
            <w:r>
              <w:rPr>
                <w:rFonts w:hint="eastAsia" w:ascii="宋体" w:hAnsi="宋体" w:cs="宋体"/>
                <w:color w:val="auto"/>
                <w:kern w:val="0"/>
                <w:sz w:val="22"/>
                <w:szCs w:val="22"/>
                <w:highlight w:val="none"/>
              </w:rPr>
              <w:t>年</w:t>
            </w:r>
            <w:r>
              <w:rPr>
                <w:rFonts w:hint="eastAsia" w:ascii="宋体" w:hAnsi="宋体" w:cs="宋体"/>
                <w:color w:val="auto"/>
                <w:kern w:val="0"/>
                <w:sz w:val="22"/>
                <w:szCs w:val="22"/>
                <w:highlight w:val="none"/>
                <w:u w:val="single"/>
                <w:lang w:val="en-US" w:eastAsia="zh-CN"/>
              </w:rPr>
              <w:t>6</w:t>
            </w:r>
            <w:r>
              <w:rPr>
                <w:rFonts w:hint="eastAsia" w:ascii="宋体" w:hAnsi="宋体" w:cs="宋体"/>
                <w:color w:val="auto"/>
                <w:kern w:val="0"/>
                <w:sz w:val="22"/>
                <w:szCs w:val="22"/>
                <w:highlight w:val="none"/>
              </w:rPr>
              <w:t>月</w:t>
            </w:r>
            <w:r>
              <w:rPr>
                <w:rFonts w:hint="eastAsia" w:ascii="宋体" w:hAnsi="宋体" w:cs="宋体"/>
                <w:color w:val="auto"/>
                <w:kern w:val="0"/>
                <w:sz w:val="22"/>
                <w:szCs w:val="22"/>
                <w:highlight w:val="none"/>
                <w:u w:val="single"/>
                <w:lang w:val="en-US" w:eastAsia="zh-CN"/>
              </w:rPr>
              <w:t>4</w:t>
            </w:r>
            <w:r>
              <w:rPr>
                <w:rFonts w:hint="eastAsia" w:ascii="宋体" w:hAnsi="宋体" w:cs="宋体"/>
                <w:color w:val="auto"/>
                <w:kern w:val="0"/>
                <w:sz w:val="22"/>
                <w:szCs w:val="22"/>
                <w:highlight w:val="none"/>
              </w:rPr>
              <w:t>日</w:t>
            </w:r>
            <w:r>
              <w:rPr>
                <w:rFonts w:hint="eastAsia" w:ascii="宋体" w:hAnsi="宋体" w:cs="宋体"/>
                <w:color w:val="auto"/>
                <w:kern w:val="0"/>
                <w:sz w:val="22"/>
                <w:szCs w:val="22"/>
                <w:highlight w:val="none"/>
                <w:u w:val="single"/>
                <w:lang w:val="en-US" w:eastAsia="zh-CN"/>
              </w:rPr>
              <w:t xml:space="preserve">9 </w:t>
            </w:r>
            <w:r>
              <w:rPr>
                <w:rFonts w:hint="eastAsia" w:ascii="宋体" w:hAnsi="宋体" w:cs="宋体"/>
                <w:color w:val="auto"/>
                <w:kern w:val="0"/>
                <w:sz w:val="22"/>
                <w:szCs w:val="22"/>
                <w:highlight w:val="none"/>
              </w:rPr>
              <w:t>时</w:t>
            </w:r>
            <w:r>
              <w:rPr>
                <w:rFonts w:hint="eastAsia" w:ascii="宋体" w:hAnsi="宋体" w:cs="宋体"/>
                <w:color w:val="auto"/>
                <w:kern w:val="0"/>
                <w:sz w:val="22"/>
                <w:szCs w:val="22"/>
                <w:highlight w:val="none"/>
                <w:u w:val="single"/>
                <w:lang w:val="en-US" w:eastAsia="zh-CN"/>
              </w:rPr>
              <w:t>30</w:t>
            </w:r>
            <w:r>
              <w:rPr>
                <w:rFonts w:hint="eastAsia" w:ascii="宋体" w:hAnsi="宋体" w:cs="宋体"/>
                <w:color w:val="auto"/>
                <w:kern w:val="0"/>
                <w:sz w:val="22"/>
                <w:szCs w:val="22"/>
                <w:highlight w:val="none"/>
              </w:rPr>
              <w:t>分</w:t>
            </w:r>
            <w:r>
              <w:rPr>
                <w:rFonts w:hint="eastAsia" w:ascii="宋体" w:hAnsi="宋体" w:cs="宋体"/>
                <w:color w:val="auto"/>
                <w:kern w:val="0"/>
                <w:sz w:val="22"/>
                <w:szCs w:val="22"/>
                <w:highlight w:val="none"/>
                <w:lang w:val="en-US" w:eastAsia="zh-CN"/>
              </w:rPr>
              <w:t xml:space="preserve">  </w:t>
            </w:r>
          </w:p>
        </w:tc>
      </w:tr>
      <w:tr w14:paraId="7281FC4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187" w:hRule="exact"/>
        </w:trPr>
        <w:tc>
          <w:tcPr>
            <w:tcW w:w="231" w:type="pct"/>
            <w:tcBorders>
              <w:top w:val="single" w:color="080000" w:sz="4" w:space="0"/>
              <w:left w:val="single" w:color="080000" w:sz="4" w:space="0"/>
              <w:bottom w:val="single" w:color="080000" w:sz="4" w:space="0"/>
              <w:right w:val="single" w:color="080000" w:sz="4" w:space="0"/>
            </w:tcBorders>
            <w:noWrap w:val="0"/>
            <w:vAlign w:val="center"/>
          </w:tcPr>
          <w:p w14:paraId="7EB5C072">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8</w:t>
            </w:r>
          </w:p>
        </w:tc>
        <w:tc>
          <w:tcPr>
            <w:tcW w:w="717" w:type="pct"/>
            <w:tcBorders>
              <w:top w:val="single" w:color="080000" w:sz="4" w:space="0"/>
              <w:left w:val="single" w:color="080000" w:sz="4" w:space="0"/>
              <w:bottom w:val="single" w:color="080000" w:sz="4" w:space="0"/>
              <w:right w:val="single" w:color="080000" w:sz="4" w:space="0"/>
            </w:tcBorders>
            <w:noWrap w:val="0"/>
            <w:vAlign w:val="center"/>
          </w:tcPr>
          <w:p w14:paraId="39E24EC4">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lang w:val="en-US" w:eastAsia="zh-CN"/>
              </w:rPr>
            </w:pPr>
            <w:r>
              <w:rPr>
                <w:rFonts w:hint="eastAsia" w:ascii="宋体" w:hAnsi="宋体" w:cs="宋体"/>
                <w:snapToGrid w:val="0"/>
                <w:color w:val="000000"/>
                <w:kern w:val="0"/>
                <w:sz w:val="22"/>
                <w:szCs w:val="22"/>
                <w:highlight w:val="none"/>
                <w:lang w:val="en-US" w:eastAsia="zh-CN"/>
              </w:rPr>
              <w:t>投标评审原件（如有）</w:t>
            </w:r>
          </w:p>
          <w:p w14:paraId="3261A94D">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lang w:val="en-US" w:eastAsia="zh-CN"/>
              </w:rPr>
              <w:t>递交地点</w:t>
            </w:r>
          </w:p>
        </w:tc>
        <w:tc>
          <w:tcPr>
            <w:tcW w:w="4050" w:type="pct"/>
            <w:tcBorders>
              <w:top w:val="single" w:color="080000" w:sz="4" w:space="0"/>
              <w:left w:val="single" w:color="080000" w:sz="4" w:space="0"/>
              <w:bottom w:val="single" w:color="080000" w:sz="4" w:space="0"/>
              <w:right w:val="single" w:color="080000" w:sz="4" w:space="0"/>
            </w:tcBorders>
            <w:noWrap w:val="0"/>
            <w:vAlign w:val="center"/>
          </w:tcPr>
          <w:p w14:paraId="619EFF54">
            <w:pPr>
              <w:pStyle w:val="22"/>
              <w:wordWrap w:val="0"/>
              <w:adjustRightInd w:val="0"/>
              <w:snapToGrid w:val="0"/>
              <w:spacing w:line="400" w:lineRule="exact"/>
              <w:ind w:firstLine="220" w:firstLineChars="100"/>
              <w:jc w:val="left"/>
              <w:rPr>
                <w:rFonts w:hint="eastAsia" w:ascii="宋体" w:hAnsi="宋体" w:eastAsia="宋体" w:cs="宋体"/>
                <w:snapToGrid w:val="0"/>
                <w:color w:val="auto"/>
                <w:kern w:val="0"/>
                <w:sz w:val="22"/>
                <w:szCs w:val="22"/>
                <w:highlight w:val="none"/>
                <w:lang w:eastAsia="zh-CN"/>
              </w:rPr>
            </w:pPr>
            <w:r>
              <w:rPr>
                <w:rFonts w:hint="eastAsia" w:ascii="宋体" w:hAnsi="宋体" w:cs="宋体"/>
                <w:snapToGrid w:val="0"/>
                <w:color w:val="auto"/>
                <w:kern w:val="0"/>
                <w:sz w:val="22"/>
                <w:szCs w:val="22"/>
                <w:highlight w:val="none"/>
              </w:rPr>
              <w:t>递交场所：韶关市公共资源交易中心仁化分中心</w:t>
            </w:r>
          </w:p>
          <w:p w14:paraId="54D0F656">
            <w:pPr>
              <w:pStyle w:val="22"/>
              <w:wordWrap w:val="0"/>
              <w:adjustRightInd w:val="0"/>
              <w:snapToGrid w:val="0"/>
              <w:spacing w:line="400" w:lineRule="exact"/>
              <w:ind w:firstLine="220" w:firstLineChars="100"/>
              <w:jc w:val="left"/>
              <w:rPr>
                <w:rFonts w:hint="eastAsia" w:ascii="宋体" w:hAnsi="宋体" w:cs="宋体"/>
                <w:snapToGrid w:val="0"/>
                <w:color w:val="000000"/>
                <w:kern w:val="0"/>
                <w:sz w:val="22"/>
                <w:szCs w:val="22"/>
                <w:highlight w:val="none"/>
              </w:rPr>
            </w:pPr>
            <w:r>
              <w:rPr>
                <w:rFonts w:hint="eastAsia" w:ascii="宋体" w:hAnsi="宋体" w:cs="宋体"/>
                <w:snapToGrid w:val="0"/>
                <w:color w:val="auto"/>
                <w:kern w:val="0"/>
                <w:sz w:val="22"/>
                <w:szCs w:val="22"/>
                <w:highlight w:val="none"/>
              </w:rPr>
              <w:t>地址：仁化县丹霞大道228号11楼韶关市公共资源交易中心仁化分中心，具体房间号以当日现场通知为准。</w:t>
            </w:r>
          </w:p>
        </w:tc>
      </w:tr>
      <w:tr w14:paraId="6DA9E29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710" w:hRule="exact"/>
        </w:trPr>
        <w:tc>
          <w:tcPr>
            <w:tcW w:w="231" w:type="pct"/>
            <w:tcBorders>
              <w:top w:val="single" w:color="080000" w:sz="4" w:space="0"/>
              <w:left w:val="single" w:color="080000" w:sz="4" w:space="0"/>
              <w:bottom w:val="single" w:color="080000" w:sz="4" w:space="0"/>
              <w:right w:val="single" w:color="080000" w:sz="4" w:space="0"/>
            </w:tcBorders>
            <w:noWrap w:val="0"/>
            <w:vAlign w:val="center"/>
          </w:tcPr>
          <w:p w14:paraId="56908499">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9</w:t>
            </w:r>
          </w:p>
        </w:tc>
        <w:tc>
          <w:tcPr>
            <w:tcW w:w="717" w:type="pct"/>
            <w:tcBorders>
              <w:top w:val="single" w:color="080000" w:sz="4" w:space="0"/>
              <w:left w:val="single" w:color="080000" w:sz="4" w:space="0"/>
              <w:bottom w:val="single" w:color="080000" w:sz="4" w:space="0"/>
              <w:right w:val="single" w:color="080000" w:sz="4" w:space="0"/>
            </w:tcBorders>
            <w:noWrap w:val="0"/>
            <w:vAlign w:val="center"/>
          </w:tcPr>
          <w:p w14:paraId="542877DA">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 xml:space="preserve">开标时间 </w:t>
            </w:r>
          </w:p>
        </w:tc>
        <w:tc>
          <w:tcPr>
            <w:tcW w:w="4050" w:type="pct"/>
            <w:tcBorders>
              <w:top w:val="single" w:color="080000" w:sz="4" w:space="0"/>
              <w:left w:val="single" w:color="080000" w:sz="4" w:space="0"/>
              <w:bottom w:val="single" w:color="080000" w:sz="4" w:space="0"/>
              <w:right w:val="single" w:color="080000" w:sz="4" w:space="0"/>
            </w:tcBorders>
            <w:noWrap w:val="0"/>
            <w:vAlign w:val="center"/>
          </w:tcPr>
          <w:p w14:paraId="2A9DFEE6">
            <w:pPr>
              <w:pStyle w:val="22"/>
              <w:wordWrap w:val="0"/>
              <w:adjustRightInd w:val="0"/>
              <w:snapToGrid w:val="0"/>
              <w:spacing w:line="400" w:lineRule="exact"/>
              <w:jc w:val="left"/>
              <w:rPr>
                <w:rFonts w:hint="eastAsia" w:ascii="宋体" w:hAnsi="宋体" w:cs="宋体"/>
                <w:snapToGrid w:val="0"/>
                <w:color w:val="000000"/>
                <w:kern w:val="0"/>
                <w:sz w:val="22"/>
                <w:szCs w:val="22"/>
                <w:highlight w:val="none"/>
              </w:rPr>
            </w:pPr>
            <w:r>
              <w:rPr>
                <w:rFonts w:hint="eastAsia" w:ascii="宋体" w:hAnsi="宋体" w:cs="宋体"/>
                <w:snapToGrid w:val="0"/>
                <w:color w:val="auto"/>
                <w:kern w:val="0"/>
                <w:sz w:val="22"/>
                <w:szCs w:val="22"/>
                <w:highlight w:val="none"/>
              </w:rPr>
              <w:t xml:space="preserve"> </w:t>
            </w:r>
            <w:r>
              <w:rPr>
                <w:rFonts w:hint="eastAsia" w:ascii="宋体" w:hAnsi="宋体" w:cs="宋体"/>
                <w:color w:val="auto"/>
                <w:kern w:val="0"/>
                <w:sz w:val="22"/>
                <w:szCs w:val="22"/>
                <w:highlight w:val="none"/>
                <w:u w:val="single"/>
              </w:rPr>
              <w:t>202</w:t>
            </w:r>
            <w:r>
              <w:rPr>
                <w:rFonts w:hint="eastAsia" w:ascii="宋体" w:hAnsi="宋体" w:cs="宋体"/>
                <w:color w:val="auto"/>
                <w:kern w:val="0"/>
                <w:sz w:val="22"/>
                <w:szCs w:val="22"/>
                <w:highlight w:val="none"/>
                <w:u w:val="single"/>
                <w:lang w:val="en-US" w:eastAsia="zh-CN"/>
              </w:rPr>
              <w:t>6</w:t>
            </w:r>
            <w:r>
              <w:rPr>
                <w:rFonts w:hint="eastAsia" w:ascii="宋体" w:hAnsi="宋体" w:cs="宋体"/>
                <w:color w:val="auto"/>
                <w:kern w:val="0"/>
                <w:sz w:val="22"/>
                <w:szCs w:val="22"/>
                <w:highlight w:val="none"/>
              </w:rPr>
              <w:t>年</w:t>
            </w:r>
            <w:r>
              <w:rPr>
                <w:rFonts w:hint="eastAsia" w:ascii="宋体" w:hAnsi="宋体" w:cs="宋体"/>
                <w:color w:val="auto"/>
                <w:kern w:val="0"/>
                <w:sz w:val="22"/>
                <w:szCs w:val="22"/>
                <w:highlight w:val="none"/>
                <w:u w:val="single"/>
                <w:lang w:val="en-US" w:eastAsia="zh-CN"/>
              </w:rPr>
              <w:t>6</w:t>
            </w:r>
            <w:r>
              <w:rPr>
                <w:rFonts w:hint="eastAsia" w:ascii="宋体" w:hAnsi="宋体" w:cs="宋体"/>
                <w:color w:val="auto"/>
                <w:kern w:val="0"/>
                <w:sz w:val="22"/>
                <w:szCs w:val="22"/>
                <w:highlight w:val="none"/>
              </w:rPr>
              <w:t>月</w:t>
            </w:r>
            <w:r>
              <w:rPr>
                <w:rFonts w:hint="eastAsia" w:ascii="宋体" w:hAnsi="宋体" w:cs="宋体"/>
                <w:color w:val="auto"/>
                <w:kern w:val="0"/>
                <w:sz w:val="22"/>
                <w:szCs w:val="22"/>
                <w:highlight w:val="none"/>
                <w:u w:val="single"/>
                <w:lang w:val="en-US" w:eastAsia="zh-CN"/>
              </w:rPr>
              <w:t>4</w:t>
            </w:r>
            <w:r>
              <w:rPr>
                <w:rFonts w:hint="eastAsia" w:ascii="宋体" w:hAnsi="宋体" w:cs="宋体"/>
                <w:color w:val="auto"/>
                <w:kern w:val="0"/>
                <w:sz w:val="22"/>
                <w:szCs w:val="22"/>
                <w:highlight w:val="none"/>
              </w:rPr>
              <w:t>日</w:t>
            </w:r>
            <w:r>
              <w:rPr>
                <w:rFonts w:hint="eastAsia" w:ascii="宋体" w:hAnsi="宋体" w:cs="宋体"/>
                <w:color w:val="auto"/>
                <w:kern w:val="0"/>
                <w:sz w:val="22"/>
                <w:szCs w:val="22"/>
                <w:highlight w:val="none"/>
                <w:u w:val="single"/>
                <w:lang w:val="en-US" w:eastAsia="zh-CN"/>
              </w:rPr>
              <w:t xml:space="preserve">9 </w:t>
            </w:r>
            <w:r>
              <w:rPr>
                <w:rFonts w:hint="eastAsia" w:ascii="宋体" w:hAnsi="宋体" w:cs="宋体"/>
                <w:color w:val="auto"/>
                <w:kern w:val="0"/>
                <w:sz w:val="22"/>
                <w:szCs w:val="22"/>
                <w:highlight w:val="none"/>
              </w:rPr>
              <w:t>时</w:t>
            </w:r>
            <w:r>
              <w:rPr>
                <w:rFonts w:hint="eastAsia" w:ascii="宋体" w:hAnsi="宋体" w:cs="宋体"/>
                <w:color w:val="auto"/>
                <w:kern w:val="0"/>
                <w:sz w:val="22"/>
                <w:szCs w:val="22"/>
                <w:highlight w:val="none"/>
                <w:u w:val="single"/>
                <w:lang w:val="en-US" w:eastAsia="zh-CN"/>
              </w:rPr>
              <w:t>30</w:t>
            </w:r>
            <w:r>
              <w:rPr>
                <w:rFonts w:hint="eastAsia" w:ascii="宋体" w:hAnsi="宋体" w:cs="宋体"/>
                <w:color w:val="auto"/>
                <w:kern w:val="0"/>
                <w:sz w:val="22"/>
                <w:szCs w:val="22"/>
                <w:highlight w:val="none"/>
              </w:rPr>
              <w:t>分</w:t>
            </w:r>
            <w:r>
              <w:rPr>
                <w:rFonts w:hint="eastAsia" w:ascii="宋体" w:hAnsi="宋体" w:cs="宋体"/>
                <w:color w:val="auto"/>
                <w:kern w:val="0"/>
                <w:sz w:val="22"/>
                <w:szCs w:val="22"/>
                <w:highlight w:val="none"/>
                <w:lang w:val="en-US" w:eastAsia="zh-CN"/>
              </w:rPr>
              <w:t xml:space="preserve"> </w:t>
            </w:r>
          </w:p>
        </w:tc>
      </w:tr>
      <w:tr w14:paraId="600A218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378" w:hRule="exact"/>
        </w:trPr>
        <w:tc>
          <w:tcPr>
            <w:tcW w:w="231" w:type="pct"/>
            <w:tcBorders>
              <w:top w:val="single" w:color="080000" w:sz="4" w:space="0"/>
              <w:left w:val="single" w:color="080000" w:sz="4" w:space="0"/>
              <w:bottom w:val="single" w:color="080000" w:sz="4" w:space="0"/>
              <w:right w:val="single" w:color="080000" w:sz="4" w:space="0"/>
            </w:tcBorders>
            <w:noWrap w:val="0"/>
            <w:vAlign w:val="center"/>
          </w:tcPr>
          <w:p w14:paraId="13530CF7">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10</w:t>
            </w:r>
          </w:p>
        </w:tc>
        <w:tc>
          <w:tcPr>
            <w:tcW w:w="717" w:type="pct"/>
            <w:tcBorders>
              <w:top w:val="single" w:color="080000" w:sz="4" w:space="0"/>
              <w:left w:val="single" w:color="080000" w:sz="4" w:space="0"/>
              <w:bottom w:val="single" w:color="080000" w:sz="4" w:space="0"/>
              <w:right w:val="single" w:color="080000" w:sz="4" w:space="0"/>
            </w:tcBorders>
            <w:noWrap w:val="0"/>
            <w:vAlign w:val="center"/>
          </w:tcPr>
          <w:p w14:paraId="37D61018">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 xml:space="preserve">开标地点 </w:t>
            </w:r>
          </w:p>
        </w:tc>
        <w:tc>
          <w:tcPr>
            <w:tcW w:w="4050" w:type="pct"/>
            <w:tcBorders>
              <w:top w:val="single" w:color="080000" w:sz="4" w:space="0"/>
              <w:left w:val="single" w:color="080000" w:sz="4" w:space="0"/>
              <w:bottom w:val="single" w:color="080000" w:sz="4" w:space="0"/>
              <w:right w:val="single" w:color="080000" w:sz="4" w:space="0"/>
            </w:tcBorders>
            <w:noWrap w:val="0"/>
            <w:vAlign w:val="center"/>
          </w:tcPr>
          <w:p w14:paraId="7C3C51B8">
            <w:pPr>
              <w:pStyle w:val="22"/>
              <w:wordWrap w:val="0"/>
              <w:adjustRightInd w:val="0"/>
              <w:snapToGrid w:val="0"/>
              <w:spacing w:line="400" w:lineRule="exact"/>
              <w:ind w:firstLine="220" w:firstLineChars="100"/>
              <w:jc w:val="left"/>
              <w:rPr>
                <w:rFonts w:hint="eastAsia" w:ascii="宋体" w:hAnsi="宋体" w:cs="宋体"/>
                <w:snapToGrid w:val="0"/>
                <w:color w:val="auto"/>
                <w:kern w:val="0"/>
                <w:sz w:val="22"/>
                <w:szCs w:val="22"/>
                <w:highlight w:val="none"/>
              </w:rPr>
            </w:pPr>
            <w:r>
              <w:rPr>
                <w:rFonts w:hint="eastAsia" w:ascii="宋体" w:hAnsi="宋体" w:cs="宋体"/>
                <w:snapToGrid w:val="0"/>
                <w:color w:val="auto"/>
                <w:kern w:val="0"/>
                <w:sz w:val="22"/>
                <w:szCs w:val="22"/>
                <w:highlight w:val="none"/>
              </w:rPr>
              <w:t>开标场所：韶关市公共资源交易中心仁化分中心</w:t>
            </w:r>
          </w:p>
          <w:p w14:paraId="0A73ED51">
            <w:pPr>
              <w:pStyle w:val="22"/>
              <w:wordWrap w:val="0"/>
              <w:adjustRightInd w:val="0"/>
              <w:snapToGrid w:val="0"/>
              <w:spacing w:line="400" w:lineRule="exact"/>
              <w:ind w:firstLine="220" w:firstLineChars="100"/>
              <w:jc w:val="left"/>
              <w:rPr>
                <w:rFonts w:hint="eastAsia" w:ascii="宋体" w:hAnsi="宋体" w:cs="宋体"/>
                <w:snapToGrid w:val="0"/>
                <w:color w:val="000000"/>
                <w:kern w:val="0"/>
                <w:sz w:val="22"/>
                <w:szCs w:val="22"/>
                <w:highlight w:val="none"/>
              </w:rPr>
            </w:pPr>
            <w:r>
              <w:rPr>
                <w:rFonts w:hint="eastAsia" w:ascii="宋体" w:hAnsi="宋体" w:cs="宋体"/>
                <w:snapToGrid w:val="0"/>
                <w:color w:val="auto"/>
                <w:kern w:val="0"/>
                <w:sz w:val="22"/>
                <w:szCs w:val="22"/>
                <w:highlight w:val="none"/>
              </w:rPr>
              <w:t>地址：仁化县丹霞大道228号11楼韶关市公共资源交易中心仁化分中心，具体房间号以当日现场通知为准。</w:t>
            </w:r>
          </w:p>
        </w:tc>
      </w:tr>
      <w:tr w14:paraId="4FC6923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198" w:hRule="exact"/>
        </w:trPr>
        <w:tc>
          <w:tcPr>
            <w:tcW w:w="949" w:type="pct"/>
            <w:gridSpan w:val="2"/>
            <w:tcBorders>
              <w:top w:val="single" w:color="080000" w:sz="4" w:space="0"/>
              <w:left w:val="single" w:color="080000" w:sz="4" w:space="0"/>
              <w:bottom w:val="single" w:color="080000" w:sz="4" w:space="0"/>
              <w:right w:val="single" w:color="080000" w:sz="4" w:space="0"/>
            </w:tcBorders>
            <w:noWrap w:val="0"/>
            <w:vAlign w:val="center"/>
          </w:tcPr>
          <w:p w14:paraId="2F0B7FAB">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lang w:val="en-US" w:eastAsia="zh-CN"/>
              </w:rPr>
              <w:t>备注</w:t>
            </w:r>
          </w:p>
        </w:tc>
        <w:tc>
          <w:tcPr>
            <w:tcW w:w="4050" w:type="pct"/>
            <w:tcBorders>
              <w:top w:val="single" w:color="080000" w:sz="4" w:space="0"/>
              <w:left w:val="single" w:color="080000" w:sz="4" w:space="0"/>
              <w:bottom w:val="single" w:color="080000" w:sz="4" w:space="0"/>
              <w:right w:val="single" w:color="080000" w:sz="4" w:space="0"/>
            </w:tcBorders>
            <w:noWrap w:val="0"/>
            <w:vAlign w:val="center"/>
          </w:tcPr>
          <w:p w14:paraId="2344A197">
            <w:pPr>
              <w:pStyle w:val="22"/>
              <w:wordWrap w:val="0"/>
              <w:adjustRightInd w:val="0"/>
              <w:snapToGrid w:val="0"/>
              <w:spacing w:line="400" w:lineRule="exact"/>
              <w:ind w:firstLine="220" w:firstLineChars="100"/>
              <w:jc w:val="left"/>
              <w:rPr>
                <w:rFonts w:hint="eastAsia" w:ascii="宋体" w:hAnsi="宋体" w:cs="宋体"/>
                <w:snapToGrid w:val="0"/>
                <w:color w:val="000000"/>
                <w:kern w:val="0"/>
                <w:sz w:val="22"/>
                <w:szCs w:val="22"/>
                <w:highlight w:val="none"/>
              </w:rPr>
            </w:pPr>
            <w:r>
              <w:rPr>
                <w:rFonts w:hint="eastAsia" w:ascii="宋体" w:hAnsi="宋体" w:cs="宋体"/>
                <w:snapToGrid w:val="0"/>
                <w:color w:val="auto"/>
                <w:kern w:val="0"/>
                <w:sz w:val="22"/>
                <w:szCs w:val="22"/>
                <w:highlight w:val="none"/>
              </w:rPr>
              <w:t>自行下载招标文件、资料文件及招标答疑书等。若由于投标人自身原因未能及时取得上述资料的，由此发生的任何责任由投标人自负。</w:t>
            </w:r>
          </w:p>
        </w:tc>
      </w:tr>
    </w:tbl>
    <w:p w14:paraId="05CEB252">
      <w:pPr>
        <w:tabs>
          <w:tab w:val="left" w:pos="8820"/>
        </w:tabs>
        <w:rPr>
          <w:rFonts w:hint="eastAsia" w:ascii="宋体" w:hAnsi="宋体" w:eastAsia="宋体" w:cs="宋体"/>
          <w:b w:val="0"/>
          <w:bCs w:val="0"/>
          <w:color w:val="auto"/>
          <w:sz w:val="24"/>
          <w:szCs w:val="24"/>
          <w:highlight w:val="none"/>
        </w:rPr>
        <w:sectPr>
          <w:headerReference r:id="rId6" w:type="default"/>
          <w:footerReference r:id="rId7" w:type="default"/>
          <w:pgSz w:w="11906" w:h="16839"/>
          <w:pgMar w:top="1440" w:right="1080" w:bottom="1440" w:left="1080" w:header="0" w:footer="1085" w:gutter="0"/>
          <w:pgBorders>
            <w:top w:val="none" w:sz="0" w:space="0"/>
            <w:left w:val="none" w:sz="0" w:space="0"/>
            <w:bottom w:val="none" w:sz="0" w:space="0"/>
            <w:right w:val="none" w:sz="0" w:space="0"/>
          </w:pgBorders>
          <w:cols w:space="720" w:num="1"/>
        </w:sectPr>
      </w:pPr>
    </w:p>
    <w:p w14:paraId="433C4EC2">
      <w:pPr>
        <w:jc w:val="center"/>
        <w:outlineLvl w:val="1"/>
        <w:rPr>
          <w:rFonts w:hint="eastAsia" w:ascii="宋体" w:hAnsi="宋体" w:eastAsia="宋体" w:cs="宋体"/>
          <w:color w:val="auto"/>
          <w:sz w:val="24"/>
          <w:szCs w:val="24"/>
          <w:highlight w:val="none"/>
        </w:rPr>
      </w:pPr>
      <w:bookmarkStart w:id="7" w:name="_Toc9283"/>
      <w:r>
        <w:rPr>
          <w:rFonts w:hint="eastAsia" w:ascii="宋体" w:hAnsi="宋体" w:eastAsia="宋体" w:cs="宋体"/>
          <w:b/>
          <w:bCs/>
          <w:color w:val="auto"/>
          <w:spacing w:val="-3"/>
          <w:sz w:val="24"/>
          <w:szCs w:val="24"/>
          <w:highlight w:val="none"/>
        </w:rPr>
        <w:t>第三节</w:t>
      </w:r>
      <w:r>
        <w:rPr>
          <w:rFonts w:hint="eastAsia" w:ascii="宋体" w:hAnsi="宋体" w:eastAsia="宋体" w:cs="宋体"/>
          <w:color w:val="auto"/>
          <w:spacing w:val="-3"/>
          <w:sz w:val="24"/>
          <w:szCs w:val="24"/>
          <w:highlight w:val="none"/>
        </w:rPr>
        <w:t xml:space="preserve"> </w:t>
      </w:r>
      <w:r>
        <w:rPr>
          <w:rFonts w:hint="eastAsia" w:ascii="宋体" w:hAnsi="宋体" w:eastAsia="宋体" w:cs="宋体"/>
          <w:b/>
          <w:bCs/>
          <w:color w:val="auto"/>
          <w:spacing w:val="-3"/>
          <w:sz w:val="24"/>
          <w:szCs w:val="24"/>
          <w:highlight w:val="none"/>
        </w:rPr>
        <w:t>投标人须知正文</w:t>
      </w:r>
      <w:bookmarkEnd w:id="7"/>
    </w:p>
    <w:p w14:paraId="73B8EDD5">
      <w:pPr>
        <w:pStyle w:val="5"/>
        <w:spacing w:line="256" w:lineRule="auto"/>
        <w:rPr>
          <w:rFonts w:hint="eastAsia" w:ascii="宋体" w:hAnsi="宋体" w:eastAsia="宋体" w:cs="宋体"/>
          <w:color w:val="auto"/>
          <w:highlight w:val="none"/>
        </w:rPr>
      </w:pPr>
    </w:p>
    <w:p w14:paraId="6017DF82">
      <w:pPr>
        <w:pStyle w:val="5"/>
        <w:spacing w:line="257" w:lineRule="auto"/>
        <w:rPr>
          <w:rFonts w:hint="eastAsia" w:ascii="宋体" w:hAnsi="宋体" w:eastAsia="宋体" w:cs="宋体"/>
          <w:color w:val="auto"/>
          <w:highlight w:val="none"/>
        </w:rPr>
      </w:pPr>
    </w:p>
    <w:p w14:paraId="2BD22834">
      <w:pPr>
        <w:keepNext w:val="0"/>
        <w:keepLines w:val="0"/>
        <w:widowControl/>
        <w:suppressLineNumbers w:val="0"/>
        <w:spacing w:line="360" w:lineRule="auto"/>
        <w:ind w:right="-258" w:rightChars="-123" w:firstLine="480" w:firstLineChars="200"/>
        <w:jc w:val="left"/>
        <w:rPr>
          <w:rFonts w:hint="eastAsia" w:ascii="宋体" w:hAnsi="宋体" w:eastAsia="宋体" w:cs="宋体"/>
          <w:color w:val="auto"/>
          <w:sz w:val="36"/>
          <w:szCs w:val="36"/>
          <w:highlight w:val="none"/>
        </w:rPr>
      </w:pPr>
      <w:r>
        <w:rPr>
          <w:rFonts w:hint="eastAsia" w:ascii="宋体" w:hAnsi="宋体" w:eastAsia="宋体" w:cs="宋体"/>
          <w:snapToGrid w:val="0"/>
          <w:color w:val="auto"/>
          <w:kern w:val="0"/>
          <w:sz w:val="24"/>
          <w:szCs w:val="32"/>
          <w:highlight w:val="none"/>
          <w:u w:val="single"/>
          <w:lang w:eastAsia="zh-CN"/>
        </w:rPr>
        <w:t>仁化产业转移工业园区基础建设（二期）-仁化县产业转移工业园区标准厂房建设项目(六期)之周田片区XZD-2地块7号和8号厂房改造项目施工</w:t>
      </w:r>
      <w:r>
        <w:rPr>
          <w:rFonts w:hint="eastAsia" w:ascii="宋体" w:hAnsi="宋体" w:eastAsia="宋体" w:cs="宋体"/>
          <w:snapToGrid w:val="0"/>
          <w:color w:val="auto"/>
          <w:kern w:val="0"/>
          <w:sz w:val="24"/>
          <w:szCs w:val="32"/>
          <w:highlight w:val="none"/>
          <w:u w:val="none"/>
          <w:lang w:eastAsia="zh-CN"/>
        </w:rPr>
        <w:t>经</w:t>
      </w:r>
      <w:r>
        <w:rPr>
          <w:rFonts w:hint="eastAsia" w:ascii="宋体" w:hAnsi="宋体" w:eastAsia="宋体" w:cs="宋体"/>
          <w:snapToGrid w:val="0"/>
          <w:color w:val="auto"/>
          <w:kern w:val="0"/>
          <w:sz w:val="24"/>
          <w:szCs w:val="32"/>
          <w:highlight w:val="none"/>
          <w:u w:val="single"/>
          <w:lang w:eastAsia="zh-CN"/>
        </w:rPr>
        <w:t>仁化县发展和改革局、仁化县发展改革和政务数据局以《仁化县发展和改革局关于仁化产业转移工业园区基础建设（二期）项目建议书的批复》（仁发改投审〔2022〕84号）、《仁化县发展改革和政务数据局关于仁化产业转移工业园区基础建设(二期）-仁化县产业转移工业园区标准厂房建设项目(六期）之周田片区XZD-2地块7号和8号厂房改造项目初步设计概算的批复》（仁发改和政数投审〔202</w:t>
      </w:r>
      <w:r>
        <w:rPr>
          <w:rFonts w:hint="eastAsia" w:ascii="宋体" w:hAnsi="宋体" w:eastAsia="宋体" w:cs="宋体"/>
          <w:snapToGrid w:val="0"/>
          <w:color w:val="auto"/>
          <w:kern w:val="0"/>
          <w:sz w:val="24"/>
          <w:szCs w:val="32"/>
          <w:highlight w:val="none"/>
          <w:u w:val="single"/>
          <w:lang w:val="en-US" w:eastAsia="zh-CN"/>
        </w:rPr>
        <w:t>6</w:t>
      </w:r>
      <w:r>
        <w:rPr>
          <w:rFonts w:hint="eastAsia" w:ascii="宋体" w:hAnsi="宋体" w:eastAsia="宋体" w:cs="宋体"/>
          <w:snapToGrid w:val="0"/>
          <w:color w:val="auto"/>
          <w:kern w:val="0"/>
          <w:sz w:val="24"/>
          <w:szCs w:val="32"/>
          <w:highlight w:val="none"/>
          <w:u w:val="single"/>
          <w:lang w:eastAsia="zh-CN"/>
        </w:rPr>
        <w:t>〕</w:t>
      </w:r>
      <w:r>
        <w:rPr>
          <w:rFonts w:hint="eastAsia" w:ascii="宋体" w:hAnsi="宋体" w:eastAsia="宋体" w:cs="宋体"/>
          <w:snapToGrid w:val="0"/>
          <w:color w:val="auto"/>
          <w:kern w:val="0"/>
          <w:sz w:val="24"/>
          <w:szCs w:val="32"/>
          <w:highlight w:val="none"/>
          <w:u w:val="single"/>
          <w:lang w:val="en-US" w:eastAsia="zh-CN"/>
        </w:rPr>
        <w:t>39</w:t>
      </w:r>
      <w:r>
        <w:rPr>
          <w:rFonts w:hint="eastAsia" w:ascii="宋体" w:hAnsi="宋体" w:eastAsia="宋体" w:cs="宋体"/>
          <w:snapToGrid w:val="0"/>
          <w:color w:val="auto"/>
          <w:kern w:val="0"/>
          <w:sz w:val="24"/>
          <w:szCs w:val="32"/>
          <w:highlight w:val="none"/>
          <w:u w:val="single"/>
          <w:lang w:eastAsia="zh-CN"/>
        </w:rPr>
        <w:t>号）</w:t>
      </w:r>
      <w:r>
        <w:rPr>
          <w:rFonts w:hint="eastAsia" w:ascii="宋体" w:hAnsi="宋体" w:eastAsia="宋体" w:cs="宋体"/>
          <w:snapToGrid w:val="0"/>
          <w:color w:val="auto"/>
          <w:kern w:val="0"/>
          <w:sz w:val="24"/>
          <w:szCs w:val="32"/>
          <w:highlight w:val="none"/>
        </w:rPr>
        <w:t>批准建设，项目代码为</w:t>
      </w:r>
      <w:r>
        <w:rPr>
          <w:rFonts w:hint="eastAsia" w:ascii="宋体" w:hAnsi="宋体" w:eastAsia="宋体" w:cs="宋体"/>
          <w:snapToGrid w:val="0"/>
          <w:color w:val="auto"/>
          <w:kern w:val="0"/>
          <w:sz w:val="24"/>
          <w:szCs w:val="32"/>
          <w:highlight w:val="none"/>
          <w:u w:val="single"/>
          <w:lang w:val="en-US" w:eastAsia="zh-CN"/>
        </w:rPr>
        <w:t xml:space="preserve">  </w:t>
      </w:r>
      <w:r>
        <w:rPr>
          <w:rFonts w:hint="eastAsia" w:ascii="宋体" w:hAnsi="宋体" w:eastAsia="宋体" w:cs="宋体"/>
          <w:snapToGrid w:val="0"/>
          <w:color w:val="auto"/>
          <w:kern w:val="0"/>
          <w:sz w:val="24"/>
          <w:szCs w:val="32"/>
          <w:highlight w:val="none"/>
          <w:u w:val="single"/>
          <w:lang w:eastAsia="zh-CN"/>
        </w:rPr>
        <w:t>2208-440224-04-01-823973</w:t>
      </w:r>
      <w:r>
        <w:rPr>
          <w:rFonts w:hint="eastAsia" w:ascii="宋体" w:hAnsi="宋体" w:eastAsia="宋体" w:cs="宋体"/>
          <w:snapToGrid w:val="0"/>
          <w:color w:val="auto"/>
          <w:kern w:val="0"/>
          <w:sz w:val="24"/>
          <w:szCs w:val="32"/>
          <w:highlight w:val="none"/>
        </w:rPr>
        <w:t>。项目业主为</w:t>
      </w:r>
      <w:r>
        <w:rPr>
          <w:rFonts w:hint="eastAsia" w:ascii="宋体" w:hAnsi="宋体" w:eastAsia="宋体" w:cs="宋体"/>
          <w:snapToGrid w:val="0"/>
          <w:color w:val="auto"/>
          <w:kern w:val="0"/>
          <w:sz w:val="24"/>
          <w:szCs w:val="32"/>
          <w:highlight w:val="none"/>
          <w:u w:val="single"/>
          <w:lang w:eastAsia="zh-CN"/>
        </w:rPr>
        <w:t>仁化县丹霞旅游经济开发试验区管理委员会</w:t>
      </w:r>
      <w:r>
        <w:rPr>
          <w:rFonts w:hint="eastAsia" w:ascii="宋体" w:hAnsi="宋体" w:eastAsia="宋体" w:cs="宋体"/>
          <w:snapToGrid w:val="0"/>
          <w:color w:val="auto"/>
          <w:kern w:val="0"/>
          <w:sz w:val="24"/>
          <w:szCs w:val="32"/>
          <w:highlight w:val="none"/>
        </w:rPr>
        <w:t>，建设资金来自</w:t>
      </w:r>
      <w:r>
        <w:rPr>
          <w:rFonts w:hint="eastAsia" w:ascii="宋体" w:hAnsi="宋体" w:eastAsia="宋体" w:cs="宋体"/>
          <w:snapToGrid w:val="0"/>
          <w:color w:val="auto"/>
          <w:kern w:val="0"/>
          <w:sz w:val="24"/>
          <w:szCs w:val="32"/>
          <w:highlight w:val="none"/>
          <w:u w:val="single"/>
          <w:lang w:eastAsia="zh-CN"/>
        </w:rPr>
        <w:t>上级资金和县级财政资金安排解决</w:t>
      </w:r>
      <w:r>
        <w:rPr>
          <w:rFonts w:hint="eastAsia" w:ascii="宋体" w:hAnsi="宋体" w:eastAsia="宋体" w:cs="宋体"/>
          <w:snapToGrid w:val="0"/>
          <w:color w:val="auto"/>
          <w:kern w:val="0"/>
          <w:sz w:val="24"/>
          <w:szCs w:val="32"/>
          <w:highlight w:val="none"/>
          <w:u w:val="single"/>
        </w:rPr>
        <w:t xml:space="preserve"> </w:t>
      </w:r>
      <w:r>
        <w:rPr>
          <w:rFonts w:hint="eastAsia" w:ascii="宋体" w:hAnsi="宋体" w:eastAsia="宋体" w:cs="宋体"/>
          <w:snapToGrid w:val="0"/>
          <w:color w:val="auto"/>
          <w:kern w:val="0"/>
          <w:sz w:val="24"/>
          <w:szCs w:val="32"/>
          <w:highlight w:val="none"/>
        </w:rPr>
        <w:t>，出资比例</w:t>
      </w:r>
      <w:r>
        <w:rPr>
          <w:rFonts w:hint="eastAsia" w:ascii="宋体" w:hAnsi="宋体" w:eastAsia="宋体" w:cs="宋体"/>
          <w:snapToGrid w:val="0"/>
          <w:color w:val="auto"/>
          <w:kern w:val="0"/>
          <w:sz w:val="24"/>
          <w:szCs w:val="32"/>
          <w:highlight w:val="none"/>
          <w:u w:val="single"/>
          <w:lang w:val="en-US" w:eastAsia="zh-CN"/>
        </w:rPr>
        <w:t xml:space="preserve"> </w:t>
      </w:r>
      <w:r>
        <w:rPr>
          <w:rFonts w:hint="eastAsia" w:ascii="宋体" w:hAnsi="宋体" w:eastAsia="宋体" w:cs="宋体"/>
          <w:snapToGrid w:val="0"/>
          <w:color w:val="auto"/>
          <w:kern w:val="0"/>
          <w:sz w:val="24"/>
          <w:szCs w:val="32"/>
          <w:highlight w:val="none"/>
          <w:u w:val="single"/>
        </w:rPr>
        <w:t>100%</w:t>
      </w:r>
      <w:r>
        <w:rPr>
          <w:rFonts w:hint="eastAsia" w:ascii="宋体" w:hAnsi="宋体" w:eastAsia="宋体" w:cs="宋体"/>
          <w:snapToGrid w:val="0"/>
          <w:color w:val="auto"/>
          <w:kern w:val="0"/>
          <w:sz w:val="24"/>
          <w:szCs w:val="32"/>
          <w:highlight w:val="none"/>
          <w:u w:val="single"/>
          <w:lang w:val="en-US" w:eastAsia="zh-CN"/>
        </w:rPr>
        <w:t xml:space="preserve"> </w:t>
      </w:r>
      <w:r>
        <w:rPr>
          <w:rFonts w:hint="eastAsia" w:ascii="宋体" w:hAnsi="宋体" w:eastAsia="宋体" w:cs="宋体"/>
          <w:snapToGrid w:val="0"/>
          <w:color w:val="auto"/>
          <w:kern w:val="0"/>
          <w:sz w:val="24"/>
          <w:szCs w:val="32"/>
          <w:highlight w:val="none"/>
        </w:rPr>
        <w:t>，招标人为</w:t>
      </w:r>
      <w:r>
        <w:rPr>
          <w:rFonts w:hint="eastAsia" w:ascii="宋体" w:hAnsi="宋体" w:eastAsia="宋体" w:cs="宋体"/>
          <w:snapToGrid w:val="0"/>
          <w:color w:val="auto"/>
          <w:kern w:val="0"/>
          <w:sz w:val="24"/>
          <w:szCs w:val="32"/>
          <w:highlight w:val="none"/>
          <w:u w:val="single"/>
          <w:lang w:val="en-US" w:eastAsia="zh-CN"/>
        </w:rPr>
        <w:t xml:space="preserve">  </w:t>
      </w:r>
      <w:r>
        <w:rPr>
          <w:rFonts w:hint="eastAsia" w:ascii="宋体" w:hAnsi="宋体" w:eastAsia="宋体" w:cs="宋体"/>
          <w:snapToGrid w:val="0"/>
          <w:color w:val="auto"/>
          <w:kern w:val="0"/>
          <w:sz w:val="24"/>
          <w:szCs w:val="32"/>
          <w:highlight w:val="none"/>
          <w:u w:val="single"/>
          <w:lang w:eastAsia="zh-CN"/>
        </w:rPr>
        <w:t>仁化县丹霞旅游经济开发试验区管理委员会</w:t>
      </w:r>
      <w:r>
        <w:rPr>
          <w:rFonts w:hint="eastAsia" w:ascii="宋体" w:hAnsi="宋体" w:eastAsia="宋体" w:cs="宋体"/>
          <w:snapToGrid w:val="0"/>
          <w:color w:val="auto"/>
          <w:kern w:val="0"/>
          <w:sz w:val="24"/>
          <w:szCs w:val="32"/>
          <w:highlight w:val="none"/>
          <w:u w:val="single"/>
          <w:lang w:val="en-US" w:eastAsia="zh-CN"/>
        </w:rPr>
        <w:t xml:space="preserve"> </w:t>
      </w:r>
      <w:r>
        <w:rPr>
          <w:rFonts w:hint="eastAsia" w:ascii="宋体" w:hAnsi="宋体" w:eastAsia="宋体" w:cs="宋体"/>
          <w:snapToGrid w:val="0"/>
          <w:color w:val="auto"/>
          <w:kern w:val="0"/>
          <w:sz w:val="24"/>
          <w:szCs w:val="32"/>
          <w:highlight w:val="none"/>
        </w:rPr>
        <w:t>，招标代理机构为</w:t>
      </w:r>
      <w:r>
        <w:rPr>
          <w:rFonts w:hint="eastAsia" w:ascii="宋体" w:hAnsi="宋体" w:eastAsia="宋体" w:cs="宋体"/>
          <w:snapToGrid w:val="0"/>
          <w:color w:val="auto"/>
          <w:kern w:val="0"/>
          <w:sz w:val="24"/>
          <w:szCs w:val="32"/>
          <w:highlight w:val="none"/>
          <w:u w:val="single"/>
          <w:lang w:val="en-US" w:eastAsia="zh-CN"/>
        </w:rPr>
        <w:t xml:space="preserve"> </w:t>
      </w:r>
      <w:r>
        <w:rPr>
          <w:rFonts w:hint="eastAsia" w:ascii="宋体" w:hAnsi="宋体" w:eastAsia="宋体" w:cs="宋体"/>
          <w:color w:val="auto"/>
          <w:kern w:val="0"/>
          <w:sz w:val="24"/>
          <w:szCs w:val="24"/>
          <w:highlight w:val="none"/>
          <w:u w:val="single"/>
          <w:lang w:eastAsia="zh-CN"/>
        </w:rPr>
        <w:t>广东爱科工程咨询管理有限公司</w:t>
      </w:r>
      <w:r>
        <w:rPr>
          <w:rFonts w:hint="eastAsia" w:ascii="宋体" w:hAnsi="宋体" w:eastAsia="宋体" w:cs="宋体"/>
          <w:snapToGrid w:val="0"/>
          <w:color w:val="auto"/>
          <w:kern w:val="0"/>
          <w:sz w:val="24"/>
          <w:szCs w:val="32"/>
          <w:highlight w:val="none"/>
        </w:rPr>
        <w:t>。</w:t>
      </w:r>
      <w:r>
        <w:rPr>
          <w:rFonts w:hint="eastAsia" w:ascii="宋体" w:hAnsi="宋体" w:eastAsia="宋体" w:cs="宋体"/>
          <w:snapToGrid w:val="0"/>
          <w:color w:val="auto"/>
          <w:kern w:val="0"/>
          <w:sz w:val="24"/>
          <w:szCs w:val="24"/>
          <w:highlight w:val="none"/>
        </w:rPr>
        <w:t>项目已具备招标条件，现对该项目的</w:t>
      </w:r>
      <w:r>
        <w:rPr>
          <w:rFonts w:hint="eastAsia" w:ascii="宋体" w:hAnsi="宋体" w:eastAsia="宋体" w:cs="宋体"/>
          <w:snapToGrid w:val="0"/>
          <w:color w:val="auto"/>
          <w:kern w:val="0"/>
          <w:sz w:val="24"/>
          <w:szCs w:val="24"/>
          <w:highlight w:val="none"/>
          <w:u w:val="single"/>
          <w:lang w:val="en-US" w:eastAsia="zh-CN"/>
        </w:rPr>
        <w:t xml:space="preserve"> 施工 </w:t>
      </w:r>
      <w:r>
        <w:rPr>
          <w:rFonts w:hint="eastAsia" w:ascii="宋体" w:hAnsi="宋体" w:eastAsia="宋体" w:cs="宋体"/>
          <w:snapToGrid w:val="0"/>
          <w:color w:val="auto"/>
          <w:kern w:val="0"/>
          <w:sz w:val="24"/>
          <w:szCs w:val="24"/>
          <w:highlight w:val="none"/>
        </w:rPr>
        <w:t>进行公开招标。</w:t>
      </w:r>
    </w:p>
    <w:p w14:paraId="58CD94D9">
      <w:pPr>
        <w:spacing w:before="78" w:line="220" w:lineRule="auto"/>
        <w:ind w:left="496"/>
        <w:outlineLvl w:val="2"/>
        <w:rPr>
          <w:rFonts w:hint="eastAsia" w:ascii="宋体" w:hAnsi="宋体" w:eastAsia="宋体" w:cs="宋体"/>
          <w:color w:val="auto"/>
          <w:sz w:val="24"/>
          <w:szCs w:val="24"/>
          <w:highlight w:val="none"/>
        </w:rPr>
      </w:pPr>
      <w:bookmarkStart w:id="8" w:name="bookmark59"/>
      <w:bookmarkEnd w:id="8"/>
      <w:bookmarkStart w:id="9" w:name="bookmark73"/>
      <w:bookmarkEnd w:id="9"/>
      <w:bookmarkStart w:id="10" w:name="bookmark52"/>
      <w:bookmarkEnd w:id="10"/>
      <w:bookmarkStart w:id="11" w:name="_Toc19017"/>
      <w:bookmarkStart w:id="12" w:name="_Toc15993"/>
      <w:r>
        <w:rPr>
          <w:rFonts w:hint="eastAsia" w:ascii="宋体" w:hAnsi="宋体" w:eastAsia="宋体" w:cs="宋体"/>
          <w:b/>
          <w:bCs/>
          <w:color w:val="auto"/>
          <w:spacing w:val="-4"/>
          <w:sz w:val="24"/>
          <w:szCs w:val="24"/>
          <w:highlight w:val="none"/>
        </w:rPr>
        <w:t>1</w:t>
      </w:r>
      <w:r>
        <w:rPr>
          <w:rFonts w:hint="eastAsia" w:ascii="宋体" w:hAnsi="宋体" w:eastAsia="宋体" w:cs="宋体"/>
          <w:b/>
          <w:bCs/>
          <w:color w:val="auto"/>
          <w:spacing w:val="-23"/>
          <w:sz w:val="24"/>
          <w:szCs w:val="24"/>
          <w:highlight w:val="none"/>
        </w:rPr>
        <w:t xml:space="preserve"> </w:t>
      </w:r>
      <w:r>
        <w:rPr>
          <w:rFonts w:hint="eastAsia" w:ascii="宋体" w:hAnsi="宋体" w:eastAsia="宋体" w:cs="宋体"/>
          <w:b/>
          <w:bCs/>
          <w:color w:val="auto"/>
          <w:spacing w:val="-4"/>
          <w:sz w:val="24"/>
          <w:szCs w:val="24"/>
          <w:highlight w:val="none"/>
        </w:rPr>
        <w:t>．项目概况、招标范围和标段划分、投标费用等</w:t>
      </w:r>
      <w:bookmarkEnd w:id="11"/>
      <w:bookmarkEnd w:id="12"/>
    </w:p>
    <w:p w14:paraId="37B86162">
      <w:pPr>
        <w:spacing w:before="153" w:line="360" w:lineRule="auto"/>
        <w:ind w:left="496"/>
        <w:rPr>
          <w:rFonts w:hint="eastAsia" w:ascii="宋体" w:hAnsi="宋体" w:eastAsia="宋体" w:cs="宋体"/>
          <w:color w:val="auto"/>
          <w:sz w:val="24"/>
          <w:szCs w:val="24"/>
          <w:highlight w:val="none"/>
        </w:rPr>
      </w:pPr>
      <w:r>
        <w:rPr>
          <w:rFonts w:hint="eastAsia" w:ascii="宋体" w:hAnsi="宋体" w:eastAsia="宋体" w:cs="宋体"/>
          <w:b/>
          <w:bCs/>
          <w:color w:val="auto"/>
          <w:spacing w:val="-5"/>
          <w:sz w:val="24"/>
          <w:szCs w:val="24"/>
          <w:highlight w:val="none"/>
        </w:rPr>
        <w:t>1.1</w:t>
      </w:r>
      <w:r>
        <w:rPr>
          <w:rFonts w:hint="eastAsia" w:ascii="宋体" w:hAnsi="宋体" w:eastAsia="宋体" w:cs="宋体"/>
          <w:b/>
          <w:bCs/>
          <w:color w:val="auto"/>
          <w:spacing w:val="9"/>
          <w:sz w:val="24"/>
          <w:szCs w:val="24"/>
          <w:highlight w:val="none"/>
        </w:rPr>
        <w:t xml:space="preserve">  </w:t>
      </w:r>
      <w:r>
        <w:rPr>
          <w:rFonts w:hint="eastAsia" w:ascii="宋体" w:hAnsi="宋体" w:eastAsia="宋体" w:cs="宋体"/>
          <w:color w:val="auto"/>
          <w:spacing w:val="-5"/>
          <w:sz w:val="24"/>
          <w:szCs w:val="24"/>
          <w:highlight w:val="none"/>
        </w:rPr>
        <w:t>项目概况</w:t>
      </w:r>
    </w:p>
    <w:p w14:paraId="0DC5D727">
      <w:pPr>
        <w:keepNext w:val="0"/>
        <w:keepLines w:val="0"/>
        <w:pageBreakBefore w:val="0"/>
        <w:widowControl/>
        <w:kinsoku w:val="0"/>
        <w:wordWrap/>
        <w:overflowPunct/>
        <w:topLinePunct w:val="0"/>
        <w:autoSpaceDE w:val="0"/>
        <w:autoSpaceDN w:val="0"/>
        <w:bidi w:val="0"/>
        <w:adjustRightInd w:val="0"/>
        <w:snapToGrid w:val="0"/>
        <w:spacing w:line="360" w:lineRule="auto"/>
        <w:ind w:left="493"/>
        <w:textAlignment w:val="baseline"/>
        <w:rPr>
          <w:rFonts w:hint="eastAsia" w:ascii="宋体" w:hAnsi="宋体" w:eastAsia="宋体" w:cs="宋体"/>
          <w:color w:val="auto"/>
          <w:sz w:val="24"/>
          <w:szCs w:val="24"/>
          <w:highlight w:val="none"/>
          <w:u w:val="single"/>
          <w:lang w:val="en-US" w:eastAsia="zh-CN"/>
        </w:rPr>
      </w:pPr>
      <w:r>
        <w:rPr>
          <w:rFonts w:hint="eastAsia" w:ascii="宋体" w:hAnsi="宋体" w:eastAsia="宋体" w:cs="宋体"/>
          <w:b/>
          <w:bCs/>
          <w:color w:val="auto"/>
          <w:spacing w:val="-2"/>
          <w:sz w:val="24"/>
          <w:szCs w:val="24"/>
          <w:highlight w:val="none"/>
        </w:rPr>
        <w:t xml:space="preserve">1.1.1  </w:t>
      </w:r>
      <w:r>
        <w:rPr>
          <w:rFonts w:hint="eastAsia" w:ascii="宋体" w:hAnsi="宋体" w:eastAsia="宋体" w:cs="宋体"/>
          <w:color w:val="auto"/>
          <w:spacing w:val="-2"/>
          <w:sz w:val="24"/>
          <w:szCs w:val="24"/>
          <w:highlight w:val="none"/>
        </w:rPr>
        <w:t>建设地点：</w:t>
      </w:r>
      <w:r>
        <w:rPr>
          <w:rFonts w:hint="eastAsia" w:ascii="宋体" w:hAnsi="宋体" w:eastAsia="宋体" w:cs="宋体"/>
          <w:color w:val="auto"/>
          <w:sz w:val="24"/>
          <w:szCs w:val="24"/>
          <w:highlight w:val="none"/>
          <w:u w:val="single"/>
          <w:lang w:val="en-US" w:eastAsia="zh-CN"/>
        </w:rPr>
        <w:t>韶关仁化产业园区。</w:t>
      </w:r>
    </w:p>
    <w:p w14:paraId="77407604">
      <w:pPr>
        <w:keepNext w:val="0"/>
        <w:keepLines w:val="0"/>
        <w:pageBreakBefore w:val="0"/>
        <w:widowControl/>
        <w:kinsoku w:val="0"/>
        <w:wordWrap/>
        <w:overflowPunct/>
        <w:topLinePunct w:val="0"/>
        <w:autoSpaceDE w:val="0"/>
        <w:autoSpaceDN w:val="0"/>
        <w:bidi w:val="0"/>
        <w:adjustRightInd w:val="0"/>
        <w:snapToGrid w:val="0"/>
        <w:spacing w:line="360" w:lineRule="auto"/>
        <w:ind w:left="493"/>
        <w:textAlignment w:val="baseline"/>
        <w:rPr>
          <w:rFonts w:hint="eastAsia" w:ascii="宋体" w:hAnsi="宋体" w:eastAsia="宋体" w:cs="宋体"/>
          <w:color w:val="auto"/>
          <w:sz w:val="24"/>
          <w:szCs w:val="24"/>
          <w:highlight w:val="none"/>
          <w:u w:val="single"/>
          <w:lang w:val="en-US" w:eastAsia="zh-CN"/>
        </w:rPr>
      </w:pPr>
      <w:r>
        <w:rPr>
          <w:rFonts w:hint="eastAsia" w:ascii="宋体" w:hAnsi="宋体" w:eastAsia="宋体" w:cs="宋体"/>
          <w:b/>
          <w:bCs/>
          <w:color w:val="auto"/>
          <w:spacing w:val="-2"/>
          <w:sz w:val="24"/>
          <w:szCs w:val="24"/>
          <w:highlight w:val="none"/>
        </w:rPr>
        <w:t xml:space="preserve">1.1.2  </w:t>
      </w:r>
      <w:r>
        <w:rPr>
          <w:rFonts w:hint="eastAsia" w:ascii="宋体" w:hAnsi="宋体" w:eastAsia="宋体" w:cs="宋体"/>
          <w:color w:val="auto"/>
          <w:spacing w:val="-2"/>
          <w:sz w:val="24"/>
          <w:szCs w:val="24"/>
          <w:highlight w:val="none"/>
        </w:rPr>
        <w:t>建设内容和规模：</w:t>
      </w:r>
      <w:r>
        <w:rPr>
          <w:rFonts w:hint="eastAsia" w:ascii="宋体" w:hAnsi="宋体" w:eastAsia="宋体" w:cs="宋体"/>
          <w:color w:val="auto"/>
          <w:sz w:val="24"/>
          <w:szCs w:val="24"/>
          <w:highlight w:val="none"/>
          <w:u w:val="single"/>
          <w:lang w:val="en-US" w:eastAsia="zh-CN"/>
        </w:rPr>
        <w:t>修建室外给排水、室外强弱电、室外高低压配电；室外地面硬化约10745m²、新建挡土墙约200m、新建钢筋混凝土初雨池1个、原有消防水池、水泵房装饰及设备安装等，改造厂房两栋，建筑面积约4050m²，具体实施以施工图纸为准。</w:t>
      </w:r>
    </w:p>
    <w:p w14:paraId="45B0CA02">
      <w:pPr>
        <w:keepNext w:val="0"/>
        <w:keepLines w:val="0"/>
        <w:pageBreakBefore w:val="0"/>
        <w:widowControl/>
        <w:kinsoku w:val="0"/>
        <w:wordWrap/>
        <w:overflowPunct/>
        <w:topLinePunct w:val="0"/>
        <w:autoSpaceDE w:val="0"/>
        <w:autoSpaceDN w:val="0"/>
        <w:bidi w:val="0"/>
        <w:adjustRightInd w:val="0"/>
        <w:snapToGrid w:val="0"/>
        <w:spacing w:line="360" w:lineRule="auto"/>
        <w:ind w:left="493"/>
        <w:textAlignment w:val="baseline"/>
        <w:rPr>
          <w:rFonts w:hint="eastAsia" w:ascii="宋体" w:hAnsi="宋体" w:eastAsia="宋体" w:cs="宋体"/>
          <w:color w:val="auto"/>
          <w:sz w:val="24"/>
          <w:szCs w:val="24"/>
          <w:highlight w:val="none"/>
          <w:u w:val="single"/>
          <w:lang w:val="en-US" w:eastAsia="zh-CN"/>
        </w:rPr>
      </w:pPr>
      <w:r>
        <w:rPr>
          <w:rFonts w:hint="eastAsia" w:ascii="宋体" w:hAnsi="宋体" w:eastAsia="宋体" w:cs="宋体"/>
          <w:b/>
          <w:bCs/>
          <w:color w:val="auto"/>
          <w:spacing w:val="-2"/>
          <w:sz w:val="24"/>
          <w:szCs w:val="24"/>
          <w:highlight w:val="none"/>
        </w:rPr>
        <w:t xml:space="preserve">1.1.3  </w:t>
      </w:r>
      <w:r>
        <w:rPr>
          <w:rFonts w:hint="eastAsia" w:ascii="宋体" w:hAnsi="宋体" w:eastAsia="宋体" w:cs="宋体"/>
          <w:color w:val="auto"/>
          <w:spacing w:val="-2"/>
          <w:sz w:val="24"/>
          <w:szCs w:val="24"/>
          <w:highlight w:val="none"/>
        </w:rPr>
        <w:t>项目总投资</w:t>
      </w:r>
      <w:r>
        <w:rPr>
          <w:rStyle w:val="20"/>
          <w:rFonts w:hint="eastAsia" w:ascii="宋体" w:hAnsi="宋体" w:eastAsia="宋体" w:cs="宋体"/>
          <w:color w:val="auto"/>
          <w:kern w:val="0"/>
          <w:sz w:val="24"/>
          <w:szCs w:val="24"/>
          <w:highlight w:val="none"/>
        </w:rPr>
        <w:t>：</w:t>
      </w:r>
      <w:r>
        <w:rPr>
          <w:rStyle w:val="20"/>
          <w:rFonts w:hint="eastAsia" w:ascii="宋体" w:hAnsi="宋体" w:eastAsia="宋体" w:cs="宋体"/>
          <w:color w:val="auto"/>
          <w:kern w:val="0"/>
          <w:sz w:val="24"/>
          <w:szCs w:val="24"/>
          <w:highlight w:val="none"/>
          <w:u w:val="single"/>
          <w:lang w:val="en-US" w:eastAsia="zh-CN"/>
        </w:rPr>
        <w:t>项目概算总投资1998.54万元，其中工程费用1783.01万元，工程建设其他费用205.59万元，预备费用9.94万元</w:t>
      </w:r>
      <w:r>
        <w:rPr>
          <w:rFonts w:hint="eastAsia" w:ascii="宋体" w:hAnsi="宋体" w:eastAsia="宋体" w:cs="宋体"/>
          <w:color w:val="auto"/>
          <w:sz w:val="24"/>
          <w:szCs w:val="24"/>
          <w:highlight w:val="none"/>
          <w:u w:val="single"/>
          <w:lang w:val="en-US" w:eastAsia="zh-CN"/>
        </w:rPr>
        <w:t>。</w:t>
      </w:r>
    </w:p>
    <w:p w14:paraId="76EA2F0B">
      <w:pPr>
        <w:keepNext w:val="0"/>
        <w:keepLines w:val="0"/>
        <w:pageBreakBefore w:val="0"/>
        <w:widowControl/>
        <w:kinsoku w:val="0"/>
        <w:wordWrap/>
        <w:overflowPunct/>
        <w:topLinePunct w:val="0"/>
        <w:autoSpaceDE w:val="0"/>
        <w:autoSpaceDN w:val="0"/>
        <w:bidi w:val="0"/>
        <w:adjustRightInd w:val="0"/>
        <w:snapToGrid w:val="0"/>
        <w:spacing w:line="360" w:lineRule="auto"/>
        <w:ind w:left="493"/>
        <w:textAlignment w:val="baseline"/>
        <w:rPr>
          <w:rFonts w:hint="eastAsia" w:ascii="宋体" w:hAnsi="宋体" w:eastAsia="宋体" w:cs="宋体"/>
          <w:color w:val="auto"/>
          <w:sz w:val="24"/>
          <w:szCs w:val="24"/>
          <w:highlight w:val="none"/>
          <w:u w:val="single"/>
          <w:lang w:val="en-US" w:eastAsia="zh-CN"/>
        </w:rPr>
      </w:pPr>
      <w:r>
        <w:rPr>
          <w:rFonts w:hint="eastAsia" w:ascii="宋体" w:hAnsi="宋体" w:eastAsia="宋体" w:cs="宋体"/>
          <w:b/>
          <w:bCs/>
          <w:color w:val="auto"/>
          <w:sz w:val="24"/>
          <w:szCs w:val="24"/>
          <w:highlight w:val="none"/>
          <w:u w:val="none"/>
          <w:lang w:val="en-US" w:eastAsia="zh-CN"/>
        </w:rPr>
        <w:t>1</w:t>
      </w:r>
      <w:r>
        <w:rPr>
          <w:rFonts w:hint="eastAsia" w:ascii="宋体" w:hAnsi="宋体" w:eastAsia="宋体" w:cs="宋体"/>
          <w:b/>
          <w:bCs/>
          <w:color w:val="auto"/>
          <w:spacing w:val="-2"/>
          <w:sz w:val="24"/>
          <w:szCs w:val="24"/>
          <w:highlight w:val="none"/>
          <w:u w:val="none"/>
          <w:lang w:val="en-US" w:eastAsia="zh-CN"/>
        </w:rPr>
        <w:t xml:space="preserve">.2 </w:t>
      </w:r>
      <w:r>
        <w:rPr>
          <w:rFonts w:hint="eastAsia" w:ascii="宋体" w:hAnsi="宋体" w:eastAsia="宋体" w:cs="宋体"/>
          <w:color w:val="auto"/>
          <w:sz w:val="24"/>
          <w:szCs w:val="24"/>
          <w:highlight w:val="none"/>
          <w:u w:val="single"/>
          <w:lang w:val="en-US" w:eastAsia="zh-CN"/>
        </w:rPr>
        <w:t xml:space="preserve"> 招标范围和标段划分</w:t>
      </w:r>
    </w:p>
    <w:p w14:paraId="2307A456">
      <w:pPr>
        <w:keepNext w:val="0"/>
        <w:keepLines w:val="0"/>
        <w:pageBreakBefore w:val="0"/>
        <w:widowControl/>
        <w:kinsoku w:val="0"/>
        <w:wordWrap/>
        <w:overflowPunct/>
        <w:topLinePunct w:val="0"/>
        <w:autoSpaceDE w:val="0"/>
        <w:autoSpaceDN w:val="0"/>
        <w:bidi w:val="0"/>
        <w:adjustRightInd w:val="0"/>
        <w:snapToGrid w:val="0"/>
        <w:spacing w:line="360" w:lineRule="auto"/>
        <w:ind w:left="493"/>
        <w:textAlignment w:val="baseline"/>
        <w:rPr>
          <w:rFonts w:hint="eastAsia" w:ascii="宋体" w:hAnsi="宋体" w:eastAsia="宋体" w:cs="宋体"/>
          <w:color w:val="auto"/>
          <w:sz w:val="24"/>
          <w:szCs w:val="24"/>
          <w:highlight w:val="none"/>
          <w:lang w:eastAsia="zh-CN"/>
        </w:rPr>
      </w:pPr>
      <w:r>
        <w:rPr>
          <w:rFonts w:hint="eastAsia" w:ascii="宋体" w:hAnsi="宋体" w:eastAsia="宋体" w:cs="宋体"/>
          <w:b/>
          <w:bCs/>
          <w:color w:val="auto"/>
          <w:spacing w:val="-2"/>
          <w:sz w:val="24"/>
          <w:szCs w:val="24"/>
          <w:highlight w:val="none"/>
        </w:rPr>
        <w:t xml:space="preserve">1.2.1  </w:t>
      </w:r>
      <w:r>
        <w:rPr>
          <w:rFonts w:hint="eastAsia" w:ascii="宋体" w:hAnsi="宋体" w:eastAsia="宋体" w:cs="宋体"/>
          <w:color w:val="auto"/>
          <w:spacing w:val="-2"/>
          <w:sz w:val="24"/>
          <w:szCs w:val="24"/>
          <w:highlight w:val="none"/>
        </w:rPr>
        <w:t>招标范围：</w:t>
      </w:r>
      <w:r>
        <w:rPr>
          <w:rFonts w:hint="eastAsia" w:ascii="宋体" w:hAnsi="宋体" w:eastAsia="宋体" w:cs="宋体"/>
          <w:color w:val="auto"/>
          <w:spacing w:val="-1"/>
          <w:sz w:val="24"/>
          <w:szCs w:val="24"/>
          <w:highlight w:val="none"/>
        </w:rPr>
        <w:t>按审查合格的施工图纸及工程量清单内容施工</w:t>
      </w:r>
      <w:r>
        <w:rPr>
          <w:rFonts w:hint="eastAsia" w:ascii="宋体" w:hAnsi="宋体" w:eastAsia="宋体" w:cs="宋体"/>
          <w:color w:val="auto"/>
          <w:spacing w:val="-1"/>
          <w:sz w:val="24"/>
          <w:szCs w:val="24"/>
          <w:highlight w:val="none"/>
          <w:lang w:eastAsia="zh-CN"/>
        </w:rPr>
        <w:t>。</w:t>
      </w:r>
    </w:p>
    <w:p w14:paraId="1F279E88">
      <w:pPr>
        <w:keepNext w:val="0"/>
        <w:keepLines w:val="0"/>
        <w:pageBreakBefore w:val="0"/>
        <w:widowControl/>
        <w:kinsoku w:val="0"/>
        <w:wordWrap/>
        <w:overflowPunct/>
        <w:topLinePunct w:val="0"/>
        <w:autoSpaceDE w:val="0"/>
        <w:autoSpaceDN w:val="0"/>
        <w:bidi w:val="0"/>
        <w:adjustRightInd w:val="0"/>
        <w:snapToGrid w:val="0"/>
        <w:spacing w:line="360" w:lineRule="auto"/>
        <w:ind w:left="493"/>
        <w:textAlignment w:val="baseline"/>
        <w:outlineLvl w:val="9"/>
        <w:rPr>
          <w:rFonts w:hint="eastAsia" w:ascii="宋体" w:hAnsi="宋体" w:eastAsia="宋体" w:cs="宋体"/>
          <w:color w:val="auto"/>
          <w:sz w:val="24"/>
          <w:szCs w:val="24"/>
          <w:highlight w:val="none"/>
        </w:rPr>
      </w:pPr>
      <w:bookmarkStart w:id="13" w:name="_Toc20855"/>
      <w:bookmarkStart w:id="14" w:name="_Toc28202"/>
      <w:bookmarkStart w:id="15" w:name="_Toc14190"/>
      <w:bookmarkStart w:id="16" w:name="_Toc24593"/>
      <w:r>
        <w:rPr>
          <w:rFonts w:hint="eastAsia" w:ascii="宋体" w:hAnsi="宋体" w:eastAsia="宋体" w:cs="宋体"/>
          <w:b/>
          <w:bCs/>
          <w:color w:val="auto"/>
          <w:spacing w:val="-2"/>
          <w:sz w:val="24"/>
          <w:szCs w:val="24"/>
          <w:highlight w:val="none"/>
        </w:rPr>
        <w:t xml:space="preserve">1.2.2  </w:t>
      </w:r>
      <w:r>
        <w:rPr>
          <w:rFonts w:hint="eastAsia" w:ascii="宋体" w:hAnsi="宋体" w:eastAsia="宋体" w:cs="宋体"/>
          <w:color w:val="auto"/>
          <w:spacing w:val="-2"/>
          <w:sz w:val="24"/>
          <w:szCs w:val="24"/>
          <w:highlight w:val="none"/>
        </w:rPr>
        <w:t>标段划分：本招标项目不划分标段。</w:t>
      </w:r>
      <w:bookmarkEnd w:id="13"/>
      <w:bookmarkEnd w:id="14"/>
      <w:bookmarkEnd w:id="15"/>
      <w:bookmarkEnd w:id="16"/>
    </w:p>
    <w:p w14:paraId="6D2283DD">
      <w:pPr>
        <w:keepNext w:val="0"/>
        <w:keepLines w:val="0"/>
        <w:pageBreakBefore w:val="0"/>
        <w:widowControl/>
        <w:kinsoku w:val="0"/>
        <w:overflowPunct/>
        <w:topLinePunct w:val="0"/>
        <w:autoSpaceDE w:val="0"/>
        <w:autoSpaceDN w:val="0"/>
        <w:bidi w:val="0"/>
        <w:adjustRightInd w:val="0"/>
        <w:snapToGrid w:val="0"/>
        <w:spacing w:line="360" w:lineRule="auto"/>
        <w:ind w:left="13" w:right="65" w:firstLine="533"/>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1.3  </w:t>
      </w:r>
      <w:r>
        <w:rPr>
          <w:rFonts w:hint="eastAsia" w:ascii="宋体" w:hAnsi="宋体" w:eastAsia="宋体" w:cs="宋体"/>
          <w:color w:val="auto"/>
          <w:spacing w:val="-1"/>
          <w:sz w:val="24"/>
          <w:szCs w:val="24"/>
          <w:highlight w:val="none"/>
        </w:rPr>
        <w:t>投标费用：投标人应承担所有准备和参加投标的相关费用，不</w:t>
      </w:r>
      <w:r>
        <w:rPr>
          <w:rFonts w:hint="eastAsia" w:ascii="宋体" w:hAnsi="宋体" w:eastAsia="宋体" w:cs="宋体"/>
          <w:color w:val="auto"/>
          <w:spacing w:val="-2"/>
          <w:sz w:val="24"/>
          <w:szCs w:val="24"/>
          <w:highlight w:val="none"/>
        </w:rPr>
        <w:t>论投标结果如</w:t>
      </w:r>
      <w:r>
        <w:rPr>
          <w:rFonts w:hint="eastAsia" w:ascii="宋体" w:hAnsi="宋体" w:eastAsia="宋体" w:cs="宋体"/>
          <w:color w:val="auto"/>
          <w:spacing w:val="-1"/>
          <w:sz w:val="24"/>
          <w:szCs w:val="24"/>
          <w:highlight w:val="none"/>
        </w:rPr>
        <w:t>何，招标人均无义务和责任承担这些费用。</w:t>
      </w:r>
    </w:p>
    <w:p w14:paraId="51512139">
      <w:pPr>
        <w:keepNext w:val="0"/>
        <w:keepLines w:val="0"/>
        <w:pageBreakBefore w:val="0"/>
        <w:widowControl/>
        <w:kinsoku w:val="0"/>
        <w:overflowPunct/>
        <w:topLinePunct w:val="0"/>
        <w:autoSpaceDE w:val="0"/>
        <w:autoSpaceDN w:val="0"/>
        <w:bidi w:val="0"/>
        <w:adjustRightInd w:val="0"/>
        <w:snapToGrid w:val="0"/>
        <w:spacing w:line="360" w:lineRule="auto"/>
        <w:ind w:left="496"/>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6"/>
          <w:sz w:val="24"/>
          <w:szCs w:val="24"/>
          <w:highlight w:val="none"/>
        </w:rPr>
        <w:t xml:space="preserve">1.4  </w:t>
      </w:r>
      <w:r>
        <w:rPr>
          <w:rFonts w:hint="eastAsia" w:ascii="宋体" w:hAnsi="宋体" w:eastAsia="宋体" w:cs="宋体"/>
          <w:color w:val="auto"/>
          <w:spacing w:val="-6"/>
          <w:sz w:val="24"/>
          <w:szCs w:val="24"/>
          <w:highlight w:val="none"/>
        </w:rPr>
        <w:t>招标代理费用：</w:t>
      </w:r>
      <w:r>
        <w:rPr>
          <w:rFonts w:hint="eastAsia" w:ascii="宋体" w:hAnsi="宋体" w:eastAsia="宋体" w:cs="宋体"/>
          <w:color w:val="auto"/>
          <w:spacing w:val="17"/>
          <w:sz w:val="24"/>
          <w:szCs w:val="24"/>
          <w:highlight w:val="none"/>
        </w:rPr>
        <w:t xml:space="preserve">  </w:t>
      </w:r>
      <w:r>
        <w:rPr>
          <w:rFonts w:hint="eastAsia" w:ascii="宋体" w:hAnsi="宋体" w:eastAsia="宋体" w:cs="宋体"/>
          <w:color w:val="auto"/>
          <w:spacing w:val="-6"/>
          <w:sz w:val="24"/>
          <w:szCs w:val="24"/>
          <w:highlight w:val="none"/>
          <w:lang w:eastAsia="zh-CN"/>
        </w:rPr>
        <w:t>□</w:t>
      </w:r>
      <w:r>
        <w:rPr>
          <w:rFonts w:hint="eastAsia" w:ascii="宋体" w:hAnsi="宋体" w:eastAsia="宋体" w:cs="宋体"/>
          <w:color w:val="auto"/>
          <w:spacing w:val="-82"/>
          <w:sz w:val="24"/>
          <w:szCs w:val="24"/>
          <w:highlight w:val="none"/>
          <w:shd w:val="clear" w:color="auto" w:fill="FFFFFF"/>
        </w:rPr>
        <w:t xml:space="preserve"> </w:t>
      </w:r>
      <w:r>
        <w:rPr>
          <w:rFonts w:hint="eastAsia" w:ascii="宋体" w:hAnsi="宋体" w:eastAsia="宋体" w:cs="宋体"/>
          <w:color w:val="auto"/>
          <w:spacing w:val="-6"/>
          <w:sz w:val="24"/>
          <w:szCs w:val="24"/>
          <w:highlight w:val="none"/>
          <w:shd w:val="clear" w:color="auto" w:fill="FFFFFF"/>
        </w:rPr>
        <w:t>由</w:t>
      </w:r>
      <w:r>
        <w:rPr>
          <w:rFonts w:hint="eastAsia" w:ascii="宋体" w:hAnsi="宋体" w:eastAsia="宋体" w:cs="宋体"/>
          <w:color w:val="auto"/>
          <w:spacing w:val="6"/>
          <w:sz w:val="24"/>
          <w:szCs w:val="24"/>
          <w:highlight w:val="none"/>
        </w:rPr>
        <w:t>项目业主</w:t>
      </w:r>
      <w:r>
        <w:rPr>
          <w:rFonts w:hint="eastAsia" w:ascii="宋体" w:hAnsi="宋体" w:eastAsia="宋体" w:cs="宋体"/>
          <w:color w:val="auto"/>
          <w:spacing w:val="-6"/>
          <w:sz w:val="24"/>
          <w:szCs w:val="24"/>
          <w:highlight w:val="none"/>
          <w:shd w:val="clear" w:color="auto" w:fill="FFFFFF"/>
        </w:rPr>
        <w:t>支</w:t>
      </w:r>
      <w:r>
        <w:rPr>
          <w:rFonts w:hint="eastAsia" w:ascii="宋体" w:hAnsi="宋体" w:eastAsia="宋体" w:cs="宋体"/>
          <w:color w:val="auto"/>
          <w:spacing w:val="-6"/>
          <w:sz w:val="24"/>
          <w:szCs w:val="24"/>
          <w:highlight w:val="none"/>
        </w:rPr>
        <w:t>付</w:t>
      </w:r>
      <w:r>
        <w:rPr>
          <w:rFonts w:hint="eastAsia" w:ascii="宋体" w:hAnsi="宋体" w:eastAsia="宋体" w:cs="宋体"/>
          <w:color w:val="auto"/>
          <w:position w:val="-6"/>
          <w:sz w:val="24"/>
          <w:szCs w:val="24"/>
          <w:highlight w:val="none"/>
          <w:shd w:val="clear" w:color="auto" w:fill="FFFFFF"/>
          <w:lang w:eastAsia="zh-CN"/>
        </w:rPr>
        <w:t xml:space="preserve"> </w:t>
      </w:r>
      <w:r>
        <w:rPr>
          <w:rFonts w:hint="eastAsia" w:ascii="宋体" w:hAnsi="宋体" w:eastAsia="宋体" w:cs="宋体"/>
          <w:color w:val="auto"/>
          <w:spacing w:val="-6"/>
          <w:sz w:val="24"/>
          <w:szCs w:val="24"/>
          <w:highlight w:val="none"/>
          <w:shd w:val="clear" w:color="auto" w:fill="FFFFFF"/>
          <w:lang w:eastAsia="zh-CN"/>
        </w:rPr>
        <w:t>☑</w:t>
      </w:r>
      <w:r>
        <w:rPr>
          <w:rFonts w:hint="eastAsia" w:ascii="宋体" w:hAnsi="宋体" w:eastAsia="宋体" w:cs="宋体"/>
          <w:color w:val="auto"/>
          <w:spacing w:val="-81"/>
          <w:sz w:val="24"/>
          <w:szCs w:val="24"/>
          <w:highlight w:val="none"/>
          <w:shd w:val="clear" w:color="auto" w:fill="FFFFFF"/>
        </w:rPr>
        <w:t xml:space="preserve"> </w:t>
      </w:r>
      <w:r>
        <w:rPr>
          <w:rFonts w:hint="eastAsia" w:ascii="宋体" w:hAnsi="宋体" w:eastAsia="宋体" w:cs="宋体"/>
          <w:color w:val="auto"/>
          <w:spacing w:val="-6"/>
          <w:sz w:val="24"/>
          <w:szCs w:val="24"/>
          <w:highlight w:val="none"/>
          <w:shd w:val="clear" w:color="auto" w:fill="FFFFFF"/>
        </w:rPr>
        <w:t>由中标人支付。</w:t>
      </w:r>
    </w:p>
    <w:p w14:paraId="03E76911">
      <w:pPr>
        <w:keepNext w:val="0"/>
        <w:keepLines w:val="0"/>
        <w:pageBreakBefore w:val="0"/>
        <w:widowControl/>
        <w:kinsoku w:val="0"/>
        <w:wordWrap w:val="0"/>
        <w:overflowPunct/>
        <w:topLinePunct w:val="0"/>
        <w:autoSpaceDE w:val="0"/>
        <w:autoSpaceDN w:val="0"/>
        <w:bidi w:val="0"/>
        <w:adjustRightInd w:val="0"/>
        <w:snapToGrid w:val="0"/>
        <w:spacing w:line="360" w:lineRule="auto"/>
        <w:ind w:firstLine="482" w:firstLineChars="200"/>
        <w:jc w:val="left"/>
        <w:textAlignment w:val="baseline"/>
        <w:outlineLvl w:val="2"/>
        <w:rPr>
          <w:rFonts w:hint="eastAsia" w:ascii="宋体" w:hAnsi="宋体" w:eastAsia="宋体" w:cs="宋体"/>
          <w:b w:val="0"/>
          <w:bCs w:val="0"/>
          <w:color w:val="auto"/>
          <w:sz w:val="24"/>
          <w:szCs w:val="24"/>
          <w:highlight w:val="none"/>
        </w:rPr>
      </w:pPr>
      <w:bookmarkStart w:id="17" w:name="_Toc21208"/>
      <w:r>
        <w:rPr>
          <w:rFonts w:hint="eastAsia" w:ascii="宋体" w:hAnsi="宋体" w:eastAsia="宋体" w:cs="宋体"/>
          <w:b/>
          <w:bCs/>
          <w:color w:val="auto"/>
          <w:sz w:val="24"/>
          <w:szCs w:val="24"/>
          <w:highlight w:val="none"/>
        </w:rPr>
        <w:t>2．</w:t>
      </w:r>
      <w:r>
        <w:rPr>
          <w:rFonts w:hint="eastAsia" w:ascii="宋体" w:hAnsi="宋体" w:eastAsia="宋体" w:cs="宋体"/>
          <w:b w:val="0"/>
          <w:bCs w:val="0"/>
          <w:color w:val="auto"/>
          <w:sz w:val="24"/>
          <w:szCs w:val="24"/>
          <w:highlight w:val="none"/>
          <w:lang w:eastAsia="zh-CN"/>
        </w:rPr>
        <w:t>投标人</w:t>
      </w:r>
      <w:r>
        <w:rPr>
          <w:rFonts w:hint="eastAsia" w:ascii="宋体" w:hAnsi="宋体" w:eastAsia="宋体" w:cs="宋体"/>
          <w:b w:val="0"/>
          <w:bCs w:val="0"/>
          <w:color w:val="auto"/>
          <w:sz w:val="24"/>
          <w:szCs w:val="24"/>
          <w:highlight w:val="none"/>
        </w:rPr>
        <w:t>资质要求</w:t>
      </w:r>
      <w:bookmarkEnd w:id="17"/>
    </w:p>
    <w:p w14:paraId="23060124">
      <w:pPr>
        <w:wordWrap w:val="0"/>
        <w:adjustRightInd w:val="0"/>
        <w:snapToGrid w:val="0"/>
        <w:spacing w:line="360" w:lineRule="auto"/>
        <w:ind w:firstLine="482" w:firstLineChars="200"/>
        <w:rPr>
          <w:rStyle w:val="20"/>
          <w:rFonts w:hint="eastAsia" w:ascii="宋体" w:hAnsi="宋体" w:eastAsia="宋体" w:cs="宋体"/>
          <w:b/>
          <w:bCs/>
          <w:color w:val="auto"/>
          <w:kern w:val="0"/>
          <w:sz w:val="24"/>
          <w:szCs w:val="24"/>
          <w:highlight w:val="none"/>
          <w:lang w:val="en-US" w:eastAsia="zh-CN"/>
        </w:rPr>
      </w:pPr>
      <w:r>
        <w:rPr>
          <w:rStyle w:val="20"/>
          <w:rFonts w:hint="eastAsia" w:ascii="宋体" w:hAnsi="宋体" w:eastAsia="宋体" w:cs="宋体"/>
          <w:b/>
          <w:bCs/>
          <w:color w:val="auto"/>
          <w:kern w:val="0"/>
          <w:sz w:val="24"/>
          <w:szCs w:val="24"/>
          <w:highlight w:val="none"/>
          <w:lang w:val="en-US" w:eastAsia="zh-CN"/>
        </w:rPr>
        <w:t>2.1</w:t>
      </w:r>
      <w:r>
        <w:rPr>
          <w:rStyle w:val="20"/>
          <w:rFonts w:hint="eastAsia" w:ascii="宋体" w:hAnsi="宋体" w:eastAsia="宋体" w:cs="宋体"/>
          <w:b w:val="0"/>
          <w:bCs w:val="0"/>
          <w:color w:val="auto"/>
          <w:kern w:val="0"/>
          <w:sz w:val="24"/>
          <w:szCs w:val="24"/>
          <w:highlight w:val="none"/>
          <w:lang w:val="en-US" w:eastAsia="zh-CN"/>
        </w:rPr>
        <w:t xml:space="preserve"> 本次招标不接受联合体投标。</w:t>
      </w:r>
    </w:p>
    <w:p w14:paraId="35E5AE8D">
      <w:pPr>
        <w:wordWrap w:val="0"/>
        <w:adjustRightInd w:val="0"/>
        <w:snapToGrid w:val="0"/>
        <w:spacing w:line="360" w:lineRule="auto"/>
        <w:ind w:firstLine="482" w:firstLineChars="200"/>
        <w:rPr>
          <w:rStyle w:val="20"/>
          <w:rFonts w:hint="eastAsia" w:ascii="宋体" w:hAnsi="宋体" w:eastAsia="宋体" w:cs="宋体"/>
          <w:b w:val="0"/>
          <w:bCs w:val="0"/>
          <w:color w:val="auto"/>
          <w:kern w:val="0"/>
          <w:sz w:val="24"/>
          <w:szCs w:val="24"/>
          <w:highlight w:val="none"/>
          <w:lang w:val="en-US" w:eastAsia="zh-CN"/>
        </w:rPr>
      </w:pPr>
      <w:r>
        <w:rPr>
          <w:rStyle w:val="20"/>
          <w:rFonts w:hint="eastAsia" w:ascii="宋体" w:hAnsi="宋体" w:eastAsia="宋体" w:cs="宋体"/>
          <w:b/>
          <w:bCs/>
          <w:color w:val="auto"/>
          <w:kern w:val="0"/>
          <w:sz w:val="24"/>
          <w:szCs w:val="24"/>
          <w:highlight w:val="none"/>
          <w:lang w:val="en-US" w:eastAsia="zh-CN"/>
        </w:rPr>
        <w:t xml:space="preserve">2.2 </w:t>
      </w:r>
      <w:r>
        <w:rPr>
          <w:rStyle w:val="20"/>
          <w:rFonts w:hint="eastAsia" w:ascii="宋体" w:hAnsi="宋体" w:eastAsia="宋体" w:cs="宋体"/>
          <w:b w:val="0"/>
          <w:bCs w:val="0"/>
          <w:color w:val="auto"/>
          <w:kern w:val="0"/>
          <w:sz w:val="24"/>
          <w:szCs w:val="24"/>
          <w:highlight w:val="none"/>
          <w:lang w:val="en-US" w:eastAsia="zh-CN"/>
        </w:rPr>
        <w:t>资格资质要求</w:t>
      </w:r>
    </w:p>
    <w:p w14:paraId="62376B47">
      <w:pPr>
        <w:wordWrap w:val="0"/>
        <w:adjustRightInd w:val="0"/>
        <w:snapToGrid w:val="0"/>
        <w:spacing w:line="360" w:lineRule="auto"/>
        <w:ind w:firstLine="482" w:firstLineChars="200"/>
        <w:rPr>
          <w:rFonts w:hint="eastAsia" w:ascii="宋体" w:hAnsi="宋体" w:eastAsia="宋体" w:cs="宋体"/>
          <w:b w:val="0"/>
          <w:bCs w:val="0"/>
          <w:color w:val="auto"/>
          <w:sz w:val="24"/>
          <w:szCs w:val="24"/>
          <w:highlight w:val="none"/>
          <w:lang w:val="en-US" w:eastAsia="zh-CN"/>
        </w:rPr>
      </w:pPr>
      <w:r>
        <w:rPr>
          <w:rStyle w:val="20"/>
          <w:rFonts w:hint="eastAsia" w:ascii="宋体" w:hAnsi="宋体" w:eastAsia="宋体" w:cs="宋体"/>
          <w:b/>
          <w:bCs/>
          <w:color w:val="auto"/>
          <w:kern w:val="0"/>
          <w:sz w:val="24"/>
          <w:szCs w:val="24"/>
          <w:highlight w:val="none"/>
          <w:lang w:val="en-US" w:eastAsia="zh-CN"/>
        </w:rPr>
        <w:t xml:space="preserve">2.2.1 </w:t>
      </w:r>
      <w:r>
        <w:rPr>
          <w:rFonts w:hint="eastAsia" w:ascii="宋体" w:hAnsi="宋体" w:eastAsia="宋体" w:cs="宋体"/>
          <w:b w:val="0"/>
          <w:bCs w:val="0"/>
          <w:color w:val="auto"/>
          <w:sz w:val="24"/>
          <w:szCs w:val="24"/>
          <w:highlight w:val="none"/>
          <w:lang w:val="en-US" w:eastAsia="zh-CN"/>
        </w:rPr>
        <w:t>投标人须具备独立法人资格，按国家法律经营。</w:t>
      </w:r>
    </w:p>
    <w:p w14:paraId="6CD5160B">
      <w:pPr>
        <w:wordWrap w:val="0"/>
        <w:adjustRightInd w:val="0"/>
        <w:snapToGrid w:val="0"/>
        <w:spacing w:line="360" w:lineRule="auto"/>
        <w:ind w:firstLine="482" w:firstLineChars="200"/>
        <w:rPr>
          <w:rFonts w:hint="eastAsia" w:ascii="宋体" w:hAnsi="宋体" w:eastAsia="宋体" w:cs="宋体"/>
          <w:b w:val="0"/>
          <w:bCs w:val="0"/>
          <w:color w:val="auto"/>
          <w:sz w:val="24"/>
          <w:szCs w:val="24"/>
          <w:highlight w:val="none"/>
          <w:lang w:val="en-US" w:eastAsia="zh-CN"/>
        </w:rPr>
      </w:pPr>
      <w:r>
        <w:rPr>
          <w:rStyle w:val="20"/>
          <w:rFonts w:hint="eastAsia" w:ascii="宋体" w:hAnsi="宋体" w:eastAsia="宋体" w:cs="宋体"/>
          <w:b/>
          <w:bCs/>
          <w:color w:val="auto"/>
          <w:kern w:val="0"/>
          <w:sz w:val="24"/>
          <w:szCs w:val="24"/>
          <w:highlight w:val="none"/>
          <w:lang w:val="en-US" w:eastAsia="zh-CN"/>
        </w:rPr>
        <w:t xml:space="preserve">2.2.2 </w:t>
      </w:r>
      <w:r>
        <w:rPr>
          <w:rFonts w:hint="eastAsia" w:ascii="宋体" w:hAnsi="宋体" w:eastAsia="宋体" w:cs="宋体"/>
          <w:b w:val="0"/>
          <w:bCs w:val="0"/>
          <w:color w:val="auto"/>
          <w:sz w:val="24"/>
          <w:szCs w:val="24"/>
          <w:highlight w:val="none"/>
          <w:lang w:val="en-US" w:eastAsia="zh-CN"/>
        </w:rPr>
        <w:t>投标人须持有建设行政主管部门颁发的企业资质证书及安全生产许可证。</w:t>
      </w:r>
    </w:p>
    <w:p w14:paraId="043527F0">
      <w:pPr>
        <w:wordWrap w:val="0"/>
        <w:adjustRightInd w:val="0"/>
        <w:snapToGrid w:val="0"/>
        <w:spacing w:line="360" w:lineRule="auto"/>
        <w:ind w:firstLine="482" w:firstLineChars="200"/>
        <w:rPr>
          <w:rStyle w:val="20"/>
          <w:rFonts w:hint="eastAsia" w:ascii="宋体" w:hAnsi="宋体" w:eastAsia="宋体" w:cs="宋体"/>
          <w:b/>
          <w:bCs/>
          <w:color w:val="auto"/>
          <w:kern w:val="0"/>
          <w:sz w:val="24"/>
          <w:szCs w:val="24"/>
          <w:highlight w:val="none"/>
          <w:lang w:val="en-US" w:eastAsia="zh-CN"/>
        </w:rPr>
      </w:pPr>
      <w:r>
        <w:rPr>
          <w:rStyle w:val="20"/>
          <w:rFonts w:hint="eastAsia" w:ascii="宋体" w:hAnsi="宋体" w:eastAsia="宋体" w:cs="宋体"/>
          <w:b/>
          <w:bCs/>
          <w:color w:val="auto"/>
          <w:kern w:val="0"/>
          <w:sz w:val="24"/>
          <w:szCs w:val="24"/>
          <w:highlight w:val="none"/>
          <w:lang w:val="en-US" w:eastAsia="zh-CN"/>
        </w:rPr>
        <w:t xml:space="preserve">2.2.3 </w:t>
      </w:r>
      <w:r>
        <w:rPr>
          <w:rFonts w:hint="eastAsia" w:ascii="宋体" w:hAnsi="宋体" w:eastAsia="宋体" w:cs="宋体"/>
          <w:b w:val="0"/>
          <w:bCs w:val="0"/>
          <w:color w:val="auto"/>
          <w:sz w:val="24"/>
          <w:szCs w:val="24"/>
          <w:highlight w:val="none"/>
          <w:lang w:val="en-US" w:eastAsia="zh-CN"/>
        </w:rPr>
        <w:t>投标人须具备以下资质：</w:t>
      </w:r>
      <w:r>
        <w:rPr>
          <w:rFonts w:hint="eastAsia" w:ascii="宋体" w:hAnsi="宋体" w:eastAsia="宋体" w:cs="宋体"/>
          <w:b w:val="0"/>
          <w:bCs w:val="0"/>
          <w:color w:val="auto"/>
          <w:sz w:val="24"/>
          <w:szCs w:val="24"/>
          <w:highlight w:val="none"/>
          <w:u w:val="single"/>
          <w:lang w:val="en-US" w:eastAsia="zh-CN"/>
        </w:rPr>
        <w:t>须持有建设行政主管部门颁发的建筑工程施工总承包三级以上（含三级）资质证书。</w:t>
      </w:r>
    </w:p>
    <w:p w14:paraId="1396A9AD">
      <w:pPr>
        <w:wordWrap w:val="0"/>
        <w:adjustRightInd w:val="0"/>
        <w:snapToGrid w:val="0"/>
        <w:spacing w:line="360" w:lineRule="auto"/>
        <w:ind w:firstLine="482" w:firstLineChars="200"/>
        <w:rPr>
          <w:rFonts w:hint="eastAsia" w:ascii="宋体" w:hAnsi="宋体" w:eastAsia="宋体" w:cs="宋体"/>
          <w:b w:val="0"/>
          <w:bCs w:val="0"/>
          <w:color w:val="auto"/>
          <w:sz w:val="24"/>
          <w:szCs w:val="24"/>
          <w:highlight w:val="none"/>
          <w:lang w:val="en-US" w:eastAsia="zh-CN"/>
        </w:rPr>
      </w:pPr>
      <w:r>
        <w:rPr>
          <w:rStyle w:val="20"/>
          <w:rFonts w:hint="eastAsia" w:ascii="宋体" w:hAnsi="宋体" w:eastAsia="宋体" w:cs="宋体"/>
          <w:b/>
          <w:bCs/>
          <w:color w:val="auto"/>
          <w:kern w:val="0"/>
          <w:sz w:val="24"/>
          <w:szCs w:val="24"/>
          <w:highlight w:val="none"/>
          <w:lang w:val="en-US" w:eastAsia="zh-CN"/>
        </w:rPr>
        <w:t xml:space="preserve">2.2.4 </w:t>
      </w:r>
      <w:r>
        <w:rPr>
          <w:rFonts w:hint="eastAsia" w:ascii="宋体" w:hAnsi="宋体" w:eastAsia="宋体" w:cs="宋体"/>
          <w:b w:val="0"/>
          <w:bCs w:val="0"/>
          <w:color w:val="auto"/>
          <w:sz w:val="24"/>
          <w:szCs w:val="24"/>
          <w:highlight w:val="none"/>
          <w:lang w:val="en-US" w:eastAsia="zh-CN"/>
        </w:rPr>
        <w:t>根据有关文件精神，投标人的企业相关证书到期的，均按该证书的发证机构相关行业主管部门最新文件执行（如自动顺延或推迟办理延期业务的通知），投标人必须将相关文件附在该证书后面中，证明在开标日继续有效。</w:t>
      </w:r>
    </w:p>
    <w:p w14:paraId="1B37663C">
      <w:pPr>
        <w:wordWrap w:val="0"/>
        <w:adjustRightInd w:val="0"/>
        <w:snapToGrid w:val="0"/>
        <w:spacing w:line="360" w:lineRule="auto"/>
        <w:ind w:firstLine="482" w:firstLineChars="200"/>
        <w:rPr>
          <w:rFonts w:hint="eastAsia" w:ascii="宋体" w:hAnsi="宋体" w:eastAsia="宋体" w:cs="宋体"/>
          <w:b w:val="0"/>
          <w:bCs w:val="0"/>
          <w:color w:val="auto"/>
          <w:sz w:val="24"/>
          <w:szCs w:val="24"/>
          <w:highlight w:val="none"/>
          <w:lang w:val="en-US" w:eastAsia="zh-CN"/>
        </w:rPr>
      </w:pPr>
      <w:r>
        <w:rPr>
          <w:rStyle w:val="20"/>
          <w:rFonts w:hint="eastAsia" w:ascii="宋体" w:hAnsi="宋体" w:eastAsia="宋体" w:cs="宋体"/>
          <w:b/>
          <w:bCs/>
          <w:color w:val="auto"/>
          <w:kern w:val="0"/>
          <w:sz w:val="24"/>
          <w:szCs w:val="24"/>
          <w:highlight w:val="none"/>
          <w:lang w:val="en-US" w:eastAsia="zh-CN"/>
        </w:rPr>
        <w:t xml:space="preserve">2.3 </w:t>
      </w:r>
      <w:r>
        <w:rPr>
          <w:rFonts w:hint="eastAsia" w:ascii="宋体" w:hAnsi="宋体" w:eastAsia="宋体" w:cs="宋体"/>
          <w:b w:val="0"/>
          <w:bCs w:val="0"/>
          <w:color w:val="auto"/>
          <w:sz w:val="24"/>
          <w:szCs w:val="24"/>
          <w:highlight w:val="none"/>
          <w:lang w:val="en-US" w:eastAsia="zh-CN"/>
        </w:rPr>
        <w:t>相关人员要求</w:t>
      </w:r>
    </w:p>
    <w:p w14:paraId="6C531DE2">
      <w:pPr>
        <w:wordWrap w:val="0"/>
        <w:adjustRightInd w:val="0"/>
        <w:snapToGrid w:val="0"/>
        <w:spacing w:line="360" w:lineRule="auto"/>
        <w:ind w:firstLine="482" w:firstLineChars="200"/>
        <w:rPr>
          <w:rStyle w:val="20"/>
          <w:rFonts w:hint="eastAsia" w:ascii="宋体" w:hAnsi="宋体" w:eastAsia="宋体" w:cs="宋体"/>
          <w:b/>
          <w:bCs/>
          <w:color w:val="auto"/>
          <w:kern w:val="0"/>
          <w:sz w:val="24"/>
          <w:szCs w:val="24"/>
          <w:highlight w:val="none"/>
          <w:lang w:val="en-US" w:eastAsia="zh-CN"/>
        </w:rPr>
      </w:pPr>
      <w:r>
        <w:rPr>
          <w:rStyle w:val="20"/>
          <w:rFonts w:hint="eastAsia" w:ascii="宋体" w:hAnsi="宋体" w:eastAsia="宋体" w:cs="宋体"/>
          <w:b/>
          <w:bCs/>
          <w:color w:val="auto"/>
          <w:kern w:val="0"/>
          <w:sz w:val="24"/>
          <w:szCs w:val="24"/>
          <w:highlight w:val="none"/>
          <w:lang w:val="en-US" w:eastAsia="zh-CN"/>
        </w:rPr>
        <w:t xml:space="preserve">2.3.1 </w:t>
      </w:r>
      <w:r>
        <w:rPr>
          <w:rFonts w:hint="eastAsia" w:ascii="宋体" w:hAnsi="宋体" w:eastAsia="宋体" w:cs="宋体"/>
          <w:b w:val="0"/>
          <w:bCs w:val="0"/>
          <w:color w:val="auto"/>
          <w:sz w:val="24"/>
          <w:szCs w:val="24"/>
          <w:highlight w:val="none"/>
          <w:lang w:val="en-US" w:eastAsia="zh-CN"/>
        </w:rPr>
        <w:t>拟派项目经理为</w:t>
      </w:r>
      <w:r>
        <w:rPr>
          <w:rFonts w:hint="eastAsia" w:ascii="宋体" w:hAnsi="宋体" w:eastAsia="宋体" w:cs="宋体"/>
          <w:b w:val="0"/>
          <w:bCs w:val="0"/>
          <w:color w:val="auto"/>
          <w:sz w:val="24"/>
          <w:szCs w:val="24"/>
          <w:highlight w:val="none"/>
          <w:u w:val="single"/>
          <w:lang w:val="en-US" w:eastAsia="zh-CN"/>
        </w:rPr>
        <w:t xml:space="preserve"> 建筑工程 </w:t>
      </w:r>
      <w:r>
        <w:rPr>
          <w:rFonts w:hint="eastAsia" w:ascii="宋体" w:hAnsi="宋体" w:eastAsia="宋体" w:cs="宋体"/>
          <w:b w:val="0"/>
          <w:bCs w:val="0"/>
          <w:color w:val="auto"/>
          <w:sz w:val="24"/>
          <w:szCs w:val="24"/>
          <w:highlight w:val="none"/>
          <w:lang w:val="en-US" w:eastAsia="zh-CN"/>
        </w:rPr>
        <w:t xml:space="preserve">专业一级或二级注册建造师，应持有住建部门印发的在使用有效期内的有效电子注册证书（根据广东省住房和城乡建设厅（粤建市函〔2023〕469 号）文件精神，二级注册建造师可随注册企业在全国范围内执业）。同时均须具备有效安全生产考核合格证明（B 证），且未担任其他在施（包括已中标未开工、已开工未竣工）建设工程项目的项目经理。  </w:t>
      </w:r>
    </w:p>
    <w:p w14:paraId="736A2627">
      <w:pPr>
        <w:wordWrap w:val="0"/>
        <w:adjustRightInd w:val="0"/>
        <w:snapToGrid w:val="0"/>
        <w:spacing w:line="360" w:lineRule="auto"/>
        <w:ind w:firstLine="482" w:firstLineChars="200"/>
        <w:rPr>
          <w:rFonts w:hint="eastAsia" w:ascii="宋体" w:hAnsi="宋体" w:eastAsia="宋体" w:cs="宋体"/>
          <w:b w:val="0"/>
          <w:bCs w:val="0"/>
          <w:color w:val="auto"/>
          <w:sz w:val="24"/>
          <w:szCs w:val="24"/>
          <w:highlight w:val="none"/>
          <w:lang w:val="en-US" w:eastAsia="zh-CN"/>
        </w:rPr>
      </w:pPr>
      <w:r>
        <w:rPr>
          <w:rStyle w:val="20"/>
          <w:rFonts w:hint="eastAsia" w:ascii="宋体" w:hAnsi="宋体" w:eastAsia="宋体" w:cs="宋体"/>
          <w:b/>
          <w:bCs/>
          <w:color w:val="auto"/>
          <w:kern w:val="0"/>
          <w:sz w:val="24"/>
          <w:szCs w:val="24"/>
          <w:highlight w:val="none"/>
          <w:lang w:val="en-US" w:eastAsia="zh-CN"/>
        </w:rPr>
        <w:t xml:space="preserve">2.3.2 </w:t>
      </w:r>
      <w:r>
        <w:rPr>
          <w:rFonts w:hint="eastAsia" w:ascii="宋体" w:hAnsi="宋体" w:eastAsia="宋体" w:cs="宋体"/>
          <w:b w:val="0"/>
          <w:bCs w:val="0"/>
          <w:color w:val="auto"/>
          <w:sz w:val="24"/>
          <w:szCs w:val="24"/>
          <w:highlight w:val="none"/>
          <w:lang w:val="en-US" w:eastAsia="zh-CN"/>
        </w:rPr>
        <w:t>拟派项目技术负责人须具备</w:t>
      </w:r>
      <w:r>
        <w:rPr>
          <w:rFonts w:hint="eastAsia" w:ascii="宋体" w:hAnsi="宋体" w:eastAsia="宋体" w:cs="宋体"/>
          <w:b w:val="0"/>
          <w:bCs w:val="0"/>
          <w:color w:val="auto"/>
          <w:sz w:val="24"/>
          <w:szCs w:val="24"/>
          <w:highlight w:val="none"/>
          <w:u w:val="single"/>
          <w:lang w:val="en-US" w:eastAsia="zh-CN"/>
        </w:rPr>
        <w:t xml:space="preserve"> 建筑工程</w:t>
      </w:r>
      <w:r>
        <w:rPr>
          <w:rFonts w:hint="eastAsia" w:ascii="宋体" w:hAnsi="宋体" w:eastAsia="宋体" w:cs="宋体"/>
          <w:b w:val="0"/>
          <w:bCs w:val="0"/>
          <w:color w:val="auto"/>
          <w:sz w:val="24"/>
          <w:szCs w:val="24"/>
          <w:highlight w:val="none"/>
          <w:lang w:val="en-US" w:eastAsia="zh-CN"/>
        </w:rPr>
        <w:t>类相关专业中级或以上技术职称。</w:t>
      </w:r>
    </w:p>
    <w:p w14:paraId="3C9096CE">
      <w:pPr>
        <w:wordWrap w:val="0"/>
        <w:adjustRightInd w:val="0"/>
        <w:snapToGrid w:val="0"/>
        <w:spacing w:line="360" w:lineRule="auto"/>
        <w:ind w:firstLine="482" w:firstLineChars="200"/>
        <w:rPr>
          <w:rStyle w:val="20"/>
          <w:rFonts w:hint="eastAsia" w:ascii="宋体" w:hAnsi="宋体" w:eastAsia="宋体" w:cs="宋体"/>
          <w:b/>
          <w:bCs/>
          <w:color w:val="auto"/>
          <w:kern w:val="0"/>
          <w:sz w:val="24"/>
          <w:szCs w:val="24"/>
          <w:highlight w:val="none"/>
          <w:lang w:val="en-US" w:eastAsia="zh-CN"/>
        </w:rPr>
      </w:pPr>
      <w:r>
        <w:rPr>
          <w:rStyle w:val="20"/>
          <w:rFonts w:hint="eastAsia" w:ascii="宋体" w:hAnsi="宋体" w:eastAsia="宋体" w:cs="宋体"/>
          <w:b/>
          <w:bCs/>
          <w:color w:val="auto"/>
          <w:kern w:val="0"/>
          <w:sz w:val="24"/>
          <w:szCs w:val="24"/>
          <w:highlight w:val="none"/>
          <w:lang w:val="en-US" w:eastAsia="zh-CN"/>
        </w:rPr>
        <w:t xml:space="preserve">2.3.3 </w:t>
      </w:r>
      <w:r>
        <w:rPr>
          <w:rFonts w:hint="eastAsia" w:ascii="宋体" w:hAnsi="宋体" w:eastAsia="宋体" w:cs="宋体"/>
          <w:b w:val="0"/>
          <w:bCs w:val="0"/>
          <w:color w:val="auto"/>
          <w:sz w:val="24"/>
          <w:szCs w:val="24"/>
          <w:highlight w:val="none"/>
          <w:lang w:val="en-US" w:eastAsia="zh-CN"/>
        </w:rPr>
        <w:t xml:space="preserve">拟派专职安全生产管理人员须具备有效安全生产考核合格证明（C证，安全生产考核合格证书或“广东省建筑施工企业管理人员安全生产考核信息系统”考核合格信息打印页），且不少于1人。 </w:t>
      </w:r>
    </w:p>
    <w:p w14:paraId="711B4950">
      <w:pPr>
        <w:wordWrap w:val="0"/>
        <w:adjustRightInd w:val="0"/>
        <w:snapToGrid w:val="0"/>
        <w:spacing w:line="360" w:lineRule="auto"/>
        <w:ind w:firstLine="482" w:firstLineChars="200"/>
        <w:rPr>
          <w:rFonts w:hint="eastAsia" w:ascii="宋体" w:hAnsi="宋体" w:eastAsia="宋体" w:cs="宋体"/>
          <w:b w:val="0"/>
          <w:bCs w:val="0"/>
          <w:color w:val="auto"/>
          <w:sz w:val="24"/>
          <w:szCs w:val="24"/>
          <w:highlight w:val="none"/>
          <w:lang w:val="en-US" w:eastAsia="zh-CN"/>
        </w:rPr>
      </w:pPr>
      <w:r>
        <w:rPr>
          <w:rStyle w:val="20"/>
          <w:rFonts w:hint="eastAsia" w:ascii="宋体" w:hAnsi="宋体" w:eastAsia="宋体" w:cs="宋体"/>
          <w:b/>
          <w:bCs/>
          <w:color w:val="auto"/>
          <w:kern w:val="0"/>
          <w:sz w:val="24"/>
          <w:szCs w:val="24"/>
          <w:highlight w:val="none"/>
          <w:lang w:val="en-US" w:eastAsia="zh-CN"/>
        </w:rPr>
        <w:t xml:space="preserve">2.3.4 </w:t>
      </w:r>
      <w:r>
        <w:rPr>
          <w:rFonts w:hint="eastAsia" w:ascii="宋体" w:hAnsi="宋体" w:eastAsia="宋体" w:cs="宋体"/>
          <w:b w:val="0"/>
          <w:bCs w:val="0"/>
          <w:color w:val="auto"/>
          <w:sz w:val="24"/>
          <w:szCs w:val="24"/>
          <w:highlight w:val="none"/>
          <w:lang w:val="en-US" w:eastAsia="zh-CN"/>
        </w:rPr>
        <w:t>投标人（包括组成联合体的所有成员单位）与其拟派往本项目管理机构的所有人员之间必须具备合法、唯一的劳动聘用关系。拟派人员中具备注册执业资格的，其注册单位须与投标人保持一致（提供社保缴纳证明或劳动合同）。</w:t>
      </w:r>
    </w:p>
    <w:p w14:paraId="6B0DD0FC">
      <w:pPr>
        <w:spacing w:before="78" w:line="220" w:lineRule="auto"/>
        <w:ind w:left="489"/>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2.4  </w:t>
      </w:r>
      <w:r>
        <w:rPr>
          <w:rFonts w:hint="eastAsia" w:ascii="宋体" w:hAnsi="宋体" w:eastAsia="宋体" w:cs="宋体"/>
          <w:color w:val="auto"/>
          <w:spacing w:val="-1"/>
          <w:sz w:val="24"/>
          <w:szCs w:val="24"/>
          <w:highlight w:val="none"/>
        </w:rPr>
        <w:t>禁止投标条款</w:t>
      </w:r>
    </w:p>
    <w:p w14:paraId="198E7E83">
      <w:pPr>
        <w:spacing w:before="153" w:line="220" w:lineRule="auto"/>
        <w:ind w:left="489"/>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2.4.1  </w:t>
      </w:r>
      <w:r>
        <w:rPr>
          <w:rFonts w:hint="eastAsia" w:ascii="宋体" w:hAnsi="宋体" w:eastAsia="宋体" w:cs="宋体"/>
          <w:color w:val="auto"/>
          <w:spacing w:val="-1"/>
          <w:sz w:val="24"/>
          <w:szCs w:val="24"/>
          <w:highlight w:val="none"/>
        </w:rPr>
        <w:t>投标人不得存在下列情形之一：</w:t>
      </w:r>
    </w:p>
    <w:p w14:paraId="6C5CBCD6">
      <w:pPr>
        <w:spacing w:before="153" w:line="219"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（1）为招标人不具有独立法人资格的附属机构（单位</w:t>
      </w:r>
      <w:r>
        <w:rPr>
          <w:rFonts w:hint="eastAsia" w:ascii="宋体" w:hAnsi="宋体" w:eastAsia="宋体" w:cs="宋体"/>
          <w:color w:val="auto"/>
          <w:spacing w:val="1"/>
          <w:sz w:val="24"/>
          <w:szCs w:val="24"/>
          <w:highlight w:val="none"/>
        </w:rPr>
        <w:t>）；</w:t>
      </w:r>
    </w:p>
    <w:p w14:paraId="00645A12">
      <w:pPr>
        <w:spacing w:before="157" w:line="219"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（2）为本招标项目前期准备提供设计或咨询服务的；</w:t>
      </w:r>
    </w:p>
    <w:p w14:paraId="466E2120">
      <w:pPr>
        <w:spacing w:before="154" w:line="219"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（3）与本招标项目的其他投标人为同一个单位负责人；</w:t>
      </w:r>
    </w:p>
    <w:p w14:paraId="358EB851">
      <w:pPr>
        <w:spacing w:before="155" w:line="219"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（4）与本招标项目的其他投标人存在控股、管理关系；</w:t>
      </w:r>
    </w:p>
    <w:p w14:paraId="6D365ADF">
      <w:pPr>
        <w:spacing w:before="157" w:line="219"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（5）为本招标项目的监理人；</w:t>
      </w:r>
    </w:p>
    <w:p w14:paraId="661267E9">
      <w:pPr>
        <w:spacing w:before="154" w:line="219"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（6）为本招标项目的代建人；</w:t>
      </w:r>
    </w:p>
    <w:p w14:paraId="6248B25F">
      <w:pPr>
        <w:spacing w:before="155" w:line="219"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（7）为本招标项目的招标代理机构；</w:t>
      </w:r>
    </w:p>
    <w:p w14:paraId="199345F5">
      <w:pPr>
        <w:spacing w:before="157" w:line="219"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（8）与本招标项目的监理人或代建人或招标代理机构同为一个法定代表人；</w:t>
      </w:r>
    </w:p>
    <w:p w14:paraId="42A9F078">
      <w:pPr>
        <w:spacing w:before="154" w:line="219"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（9）与本招标项目的监理人或代建人或招标代理机构存在控股或参股关系；</w:t>
      </w:r>
    </w:p>
    <w:p w14:paraId="3ED798D0">
      <w:pPr>
        <w:spacing w:before="155" w:line="219" w:lineRule="auto"/>
        <w:ind w:firstLine="468"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（10）与本招标项目的监理人或代建人或招标代理机构存在相互</w:t>
      </w:r>
      <w:r>
        <w:rPr>
          <w:rFonts w:hint="eastAsia" w:ascii="宋体" w:hAnsi="宋体" w:eastAsia="宋体" w:cs="宋体"/>
          <w:color w:val="auto"/>
          <w:spacing w:val="-4"/>
          <w:sz w:val="24"/>
          <w:szCs w:val="24"/>
          <w:highlight w:val="none"/>
        </w:rPr>
        <w:t>任职或工作关系；</w:t>
      </w:r>
    </w:p>
    <w:p w14:paraId="3D5B3F7C">
      <w:pPr>
        <w:spacing w:before="157" w:line="219"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（11）被依法暂停或者取消投标资格；</w:t>
      </w:r>
    </w:p>
    <w:p w14:paraId="649343BB">
      <w:pPr>
        <w:spacing w:before="154" w:line="219"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（12）被责令停产停业、暂扣或者吊销许可证、暂扣或者吊销执照；</w:t>
      </w:r>
    </w:p>
    <w:p w14:paraId="1E4B846B">
      <w:pPr>
        <w:spacing w:before="154" w:line="219"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（13）进入清算程序，或被宣告破产，或其他丧失履约能力的情形；</w:t>
      </w:r>
    </w:p>
    <w:p w14:paraId="73DFCEAC">
      <w:pPr>
        <w:pStyle w:val="22"/>
        <w:wordWrap w:val="0"/>
        <w:adjustRightInd w:val="0"/>
        <w:snapToGrid w:val="0"/>
        <w:spacing w:line="440" w:lineRule="exact"/>
        <w:ind w:firstLine="480"/>
        <w:jc w:val="left"/>
        <w:rPr>
          <w:rFonts w:hint="eastAsia" w:ascii="宋体" w:hAnsi="宋体" w:eastAsia="宋体" w:cs="宋体"/>
          <w:color w:val="auto"/>
          <w:spacing w:val="2"/>
          <w:sz w:val="24"/>
          <w:szCs w:val="24"/>
          <w:highlight w:val="none"/>
        </w:rPr>
      </w:pPr>
      <w:bookmarkStart w:id="18" w:name="bookmark116"/>
      <w:bookmarkEnd w:id="18"/>
      <w:r>
        <w:rPr>
          <w:rFonts w:hint="eastAsia" w:ascii="宋体" w:hAnsi="宋体" w:eastAsia="宋体" w:cs="宋体"/>
          <w:color w:val="auto"/>
          <w:spacing w:val="-1"/>
          <w:sz w:val="24"/>
          <w:szCs w:val="24"/>
          <w:highlight w:val="none"/>
        </w:rPr>
        <w:t>处罚决定或司法机关出具的有关法律文书为准</w:t>
      </w:r>
      <w:r>
        <w:rPr>
          <w:rFonts w:hint="eastAsia" w:ascii="宋体" w:hAnsi="宋体" w:eastAsia="宋体" w:cs="宋体"/>
          <w:color w:val="auto"/>
          <w:spacing w:val="2"/>
          <w:sz w:val="24"/>
          <w:szCs w:val="24"/>
          <w:highlight w:val="none"/>
        </w:rPr>
        <w:t>）；</w:t>
      </w:r>
    </w:p>
    <w:p w14:paraId="39E50891">
      <w:pPr>
        <w:pStyle w:val="22"/>
        <w:wordWrap w:val="0"/>
        <w:adjustRightInd w:val="0"/>
        <w:snapToGrid w:val="0"/>
        <w:spacing w:line="440" w:lineRule="exact"/>
        <w:ind w:firstLine="480"/>
        <w:jc w:val="left"/>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highlight w:val="none"/>
        </w:rPr>
        <w:t>（14）在最近三年内发生重大工程质量或安全问题（以相关行业主管部门的行政处罚决定或司法机关出具的有关法律文书为准）；</w:t>
      </w:r>
    </w:p>
    <w:p w14:paraId="40B021B1">
      <w:pPr>
        <w:spacing w:before="118" w:line="293" w:lineRule="auto"/>
        <w:ind w:left="232" w:right="99" w:firstLine="369"/>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（15）被“信用中国</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”网站（https://www.creditchina.gov.cn）发布的《法人和</w:t>
      </w:r>
      <w:r>
        <w:rPr>
          <w:rFonts w:hint="eastAsia" w:ascii="宋体" w:hAnsi="宋体" w:eastAsia="宋体" w:cs="宋体"/>
          <w:color w:val="auto"/>
          <w:spacing w:val="-3"/>
          <w:sz w:val="24"/>
          <w:szCs w:val="24"/>
          <w:highlight w:val="none"/>
        </w:rPr>
        <w:t>非法</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3"/>
          <w:sz w:val="24"/>
          <w:szCs w:val="24"/>
          <w:highlight w:val="none"/>
        </w:rPr>
        <w:t>人组织公共信用信息报告</w:t>
      </w:r>
      <w:r>
        <w:rPr>
          <w:rFonts w:hint="eastAsia" w:ascii="宋体" w:hAnsi="宋体" w:eastAsia="宋体" w:cs="宋体"/>
          <w:snapToGrid w:val="0"/>
          <w:color w:val="auto"/>
          <w:kern w:val="0"/>
          <w:sz w:val="24"/>
          <w:szCs w:val="24"/>
          <w:highlight w:val="none"/>
          <w:lang w:val="en-US" w:eastAsia="zh-CN" w:bidi="ar-SA"/>
        </w:rPr>
        <w:t>》列为严重失信主体名单的</w:t>
      </w:r>
      <w:r>
        <w:rPr>
          <w:rFonts w:hint="eastAsia" w:ascii="宋体" w:hAnsi="宋体" w:eastAsia="宋体" w:cs="宋体"/>
          <w:color w:val="auto"/>
          <w:spacing w:val="2"/>
          <w:sz w:val="24"/>
          <w:szCs w:val="24"/>
          <w:highlight w:val="none"/>
        </w:rPr>
        <w:t>。</w:t>
      </w:r>
    </w:p>
    <w:p w14:paraId="26B8C09D">
      <w:pPr>
        <w:spacing w:before="155" w:line="219" w:lineRule="auto"/>
        <w:ind w:left="706"/>
        <w:rPr>
          <w:rFonts w:hint="eastAsia" w:ascii="宋体" w:hAnsi="宋体" w:eastAsia="宋体" w:cs="宋体"/>
          <w:color w:val="auto"/>
          <w:spacing w:val="-1"/>
          <w:sz w:val="24"/>
          <w:szCs w:val="24"/>
          <w:highlight w:val="none"/>
        </w:rPr>
      </w:pPr>
      <w:r>
        <w:rPr>
          <w:rFonts w:hint="eastAsia" w:ascii="宋体" w:hAnsi="宋体" w:eastAsia="宋体" w:cs="宋体"/>
          <w:b/>
          <w:bCs/>
          <w:color w:val="auto"/>
          <w:sz w:val="24"/>
          <w:szCs w:val="24"/>
          <w:highlight w:val="none"/>
        </w:rPr>
        <w:t xml:space="preserve">2.4.2  </w:t>
      </w:r>
      <w:r>
        <w:rPr>
          <w:rFonts w:hint="eastAsia" w:ascii="宋体" w:hAnsi="宋体" w:eastAsia="宋体" w:cs="宋体"/>
          <w:color w:val="auto"/>
          <w:sz w:val="24"/>
          <w:szCs w:val="24"/>
          <w:highlight w:val="none"/>
        </w:rPr>
        <w:t>招标人拒绝以下名单中的单位</w:t>
      </w:r>
      <w:r>
        <w:rPr>
          <w:rFonts w:hint="eastAsia" w:ascii="宋体" w:hAnsi="宋体" w:eastAsia="宋体" w:cs="宋体"/>
          <w:color w:val="auto"/>
          <w:spacing w:val="-1"/>
          <w:sz w:val="24"/>
          <w:szCs w:val="24"/>
          <w:highlight w:val="none"/>
        </w:rPr>
        <w:t>参加本次投标：</w:t>
      </w:r>
    </w:p>
    <w:tbl>
      <w:tblPr>
        <w:tblStyle w:val="14"/>
        <w:tblW w:w="88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4"/>
        <w:gridCol w:w="4327"/>
        <w:gridCol w:w="3884"/>
      </w:tblGrid>
      <w:tr w14:paraId="75A49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674" w:type="dxa"/>
            <w:vAlign w:val="center"/>
          </w:tcPr>
          <w:p w14:paraId="58238225">
            <w:pPr>
              <w:pageBreakBefore w:val="0"/>
              <w:widowControl w:val="0"/>
              <w:kinsoku/>
              <w:wordWrap w:val="0"/>
              <w:overflowPunct/>
              <w:topLinePunct w:val="0"/>
              <w:autoSpaceDE/>
              <w:autoSpaceDN/>
              <w:bidi w:val="0"/>
              <w:adjustRightInd w:val="0"/>
              <w:snapToGrid w:val="0"/>
              <w:spacing w:line="400" w:lineRule="exact"/>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序号</w:t>
            </w:r>
          </w:p>
        </w:tc>
        <w:tc>
          <w:tcPr>
            <w:tcW w:w="4327" w:type="dxa"/>
            <w:vAlign w:val="center"/>
          </w:tcPr>
          <w:p w14:paraId="4E881F71">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单位名称</w:t>
            </w:r>
          </w:p>
        </w:tc>
        <w:tc>
          <w:tcPr>
            <w:tcW w:w="3884" w:type="dxa"/>
            <w:vAlign w:val="center"/>
          </w:tcPr>
          <w:p w14:paraId="0C8675F6">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拒绝原因</w:t>
            </w:r>
          </w:p>
        </w:tc>
      </w:tr>
      <w:tr w14:paraId="35DDE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674" w:type="dxa"/>
            <w:vAlign w:val="center"/>
          </w:tcPr>
          <w:p w14:paraId="30543033">
            <w:pPr>
              <w:pStyle w:val="22"/>
              <w:wordWrap w:val="0"/>
              <w:adjustRightInd w:val="0"/>
              <w:snapToGrid w:val="0"/>
              <w:spacing w:line="340" w:lineRule="exact"/>
              <w:jc w:val="center"/>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宋体" w:hAnsi="宋体" w:eastAsia="宋体" w:cs="宋体"/>
                <w:snapToGrid w:val="0"/>
                <w:color w:val="auto"/>
                <w:kern w:val="0"/>
                <w:sz w:val="21"/>
                <w:szCs w:val="21"/>
                <w:highlight w:val="none"/>
              </w:rPr>
              <w:t>1</w:t>
            </w:r>
          </w:p>
        </w:tc>
        <w:tc>
          <w:tcPr>
            <w:tcW w:w="4327" w:type="dxa"/>
            <w:vAlign w:val="center"/>
          </w:tcPr>
          <w:p w14:paraId="63B3CDD1">
            <w:pPr>
              <w:pStyle w:val="22"/>
              <w:wordWrap w:val="0"/>
              <w:adjustRightInd w:val="0"/>
              <w:snapToGrid w:val="0"/>
              <w:spacing w:line="340" w:lineRule="exact"/>
              <w:jc w:val="left"/>
              <w:rPr>
                <w:rFonts w:hint="eastAsia" w:ascii="宋体" w:hAnsi="宋体" w:eastAsia="宋体" w:cs="宋体"/>
                <w:color w:val="auto"/>
                <w:sz w:val="21"/>
                <w:szCs w:val="21"/>
                <w:highlight w:val="none"/>
                <w:lang w:val="en-US" w:eastAsia="zh-CN"/>
              </w:rPr>
            </w:pPr>
            <w:r>
              <w:rPr>
                <w:rFonts w:hint="eastAsia" w:ascii="宋体" w:hAnsi="宋体" w:eastAsia="宋体" w:cs="宋体"/>
                <w:snapToGrid w:val="0"/>
                <w:color w:val="auto"/>
                <w:kern w:val="0"/>
                <w:sz w:val="21"/>
                <w:szCs w:val="21"/>
                <w:highlight w:val="none"/>
                <w:lang w:eastAsia="zh-CN"/>
              </w:rPr>
              <w:t>仁化县丹霞旅游经济开发试验区管理委员会</w:t>
            </w:r>
          </w:p>
        </w:tc>
        <w:tc>
          <w:tcPr>
            <w:tcW w:w="3884" w:type="dxa"/>
            <w:vAlign w:val="center"/>
          </w:tcPr>
          <w:p w14:paraId="1C6D35A2">
            <w:pPr>
              <w:pStyle w:val="22"/>
              <w:wordWrap w:val="0"/>
              <w:adjustRightInd w:val="0"/>
              <w:snapToGrid w:val="0"/>
              <w:spacing w:line="340" w:lineRule="exact"/>
              <w:jc w:val="left"/>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rPr>
              <w:t>为本招标项目的招标人</w:t>
            </w:r>
          </w:p>
        </w:tc>
      </w:tr>
      <w:tr w14:paraId="674C1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674" w:type="dxa"/>
            <w:vAlign w:val="center"/>
          </w:tcPr>
          <w:p w14:paraId="27EE8FCC">
            <w:pPr>
              <w:pStyle w:val="22"/>
              <w:wordWrap w:val="0"/>
              <w:adjustRightInd w:val="0"/>
              <w:snapToGrid w:val="0"/>
              <w:spacing w:line="340" w:lineRule="exact"/>
              <w:jc w:val="center"/>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rPr>
              <w:t>2</w:t>
            </w:r>
          </w:p>
        </w:tc>
        <w:tc>
          <w:tcPr>
            <w:tcW w:w="4327" w:type="dxa"/>
            <w:vAlign w:val="center"/>
          </w:tcPr>
          <w:p w14:paraId="332B64B2">
            <w:pPr>
              <w:pStyle w:val="22"/>
              <w:wordWrap w:val="0"/>
              <w:adjustRightInd w:val="0"/>
              <w:snapToGrid w:val="0"/>
              <w:spacing w:line="340" w:lineRule="exact"/>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广东爱科工程咨询管理有限公司</w:t>
            </w:r>
          </w:p>
        </w:tc>
        <w:tc>
          <w:tcPr>
            <w:tcW w:w="3884" w:type="dxa"/>
            <w:vAlign w:val="center"/>
          </w:tcPr>
          <w:p w14:paraId="4EF20F45">
            <w:pPr>
              <w:pStyle w:val="22"/>
              <w:wordWrap w:val="0"/>
              <w:adjustRightInd w:val="0"/>
              <w:snapToGrid w:val="0"/>
              <w:spacing w:line="340" w:lineRule="exact"/>
              <w:jc w:val="left"/>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rPr>
              <w:t>为本招标项目的招标代理机构</w:t>
            </w:r>
          </w:p>
        </w:tc>
      </w:tr>
      <w:tr w14:paraId="66393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674" w:type="dxa"/>
            <w:vAlign w:val="center"/>
          </w:tcPr>
          <w:p w14:paraId="5E964355">
            <w:pPr>
              <w:pStyle w:val="22"/>
              <w:wordWrap w:val="0"/>
              <w:adjustRightInd w:val="0"/>
              <w:snapToGrid w:val="0"/>
              <w:spacing w:line="340" w:lineRule="exact"/>
              <w:jc w:val="center"/>
              <w:rPr>
                <w:rFonts w:hint="eastAsia" w:ascii="宋体" w:hAnsi="宋体" w:eastAsia="宋体" w:cs="宋体"/>
                <w:snapToGrid w:val="0"/>
                <w:color w:val="auto"/>
                <w:kern w:val="0"/>
                <w:sz w:val="21"/>
                <w:szCs w:val="21"/>
                <w:highlight w:val="none"/>
                <w:lang w:val="en-US" w:eastAsia="zh-CN"/>
              </w:rPr>
            </w:pPr>
            <w:r>
              <w:rPr>
                <w:rFonts w:hint="eastAsia" w:ascii="宋体" w:hAnsi="宋体" w:cs="宋体"/>
                <w:snapToGrid w:val="0"/>
                <w:color w:val="auto"/>
                <w:kern w:val="0"/>
                <w:sz w:val="21"/>
                <w:szCs w:val="21"/>
                <w:highlight w:val="none"/>
                <w:lang w:val="en-US" w:eastAsia="zh-CN"/>
              </w:rPr>
              <w:t>3</w:t>
            </w:r>
          </w:p>
        </w:tc>
        <w:tc>
          <w:tcPr>
            <w:tcW w:w="4327" w:type="dxa"/>
            <w:vAlign w:val="center"/>
          </w:tcPr>
          <w:p w14:paraId="0A8E9B35">
            <w:pPr>
              <w:pStyle w:val="22"/>
              <w:wordWrap w:val="0"/>
              <w:adjustRightInd w:val="0"/>
              <w:snapToGrid w:val="0"/>
              <w:spacing w:line="340" w:lineRule="exact"/>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国昇设计有限责任公司</w:t>
            </w:r>
          </w:p>
        </w:tc>
        <w:tc>
          <w:tcPr>
            <w:tcW w:w="3884" w:type="dxa"/>
            <w:vAlign w:val="center"/>
          </w:tcPr>
          <w:p w14:paraId="653C5E07">
            <w:pPr>
              <w:pStyle w:val="22"/>
              <w:wordWrap w:val="0"/>
              <w:adjustRightInd w:val="0"/>
              <w:snapToGrid w:val="0"/>
              <w:spacing w:line="340" w:lineRule="exact"/>
              <w:jc w:val="left"/>
              <w:rPr>
                <w:rFonts w:hint="default"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rPr>
              <w:t>为本招标项目的</w:t>
            </w:r>
            <w:r>
              <w:rPr>
                <w:rFonts w:hint="eastAsia" w:ascii="宋体" w:hAnsi="宋体" w:cs="宋体"/>
                <w:snapToGrid w:val="0"/>
                <w:color w:val="auto"/>
                <w:kern w:val="0"/>
                <w:sz w:val="21"/>
                <w:szCs w:val="21"/>
                <w:highlight w:val="none"/>
                <w:lang w:val="en-US" w:eastAsia="zh-CN"/>
              </w:rPr>
              <w:t>设计单位</w:t>
            </w:r>
          </w:p>
        </w:tc>
      </w:tr>
      <w:tr w14:paraId="0C35D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674" w:type="dxa"/>
            <w:vAlign w:val="center"/>
          </w:tcPr>
          <w:p w14:paraId="0A298314">
            <w:pPr>
              <w:pStyle w:val="22"/>
              <w:wordWrap w:val="0"/>
              <w:adjustRightInd w:val="0"/>
              <w:snapToGrid w:val="0"/>
              <w:spacing w:line="340" w:lineRule="exact"/>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4</w:t>
            </w:r>
          </w:p>
        </w:tc>
        <w:tc>
          <w:tcPr>
            <w:tcW w:w="4327" w:type="dxa"/>
            <w:vAlign w:val="center"/>
          </w:tcPr>
          <w:p w14:paraId="07F7FE42">
            <w:pPr>
              <w:pStyle w:val="22"/>
              <w:wordWrap w:val="0"/>
              <w:adjustRightInd w:val="0"/>
              <w:snapToGrid w:val="0"/>
              <w:spacing w:line="340" w:lineRule="exact"/>
              <w:jc w:val="left"/>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中核大地生态科技有限公司</w:t>
            </w:r>
          </w:p>
        </w:tc>
        <w:tc>
          <w:tcPr>
            <w:tcW w:w="3884" w:type="dxa"/>
            <w:vAlign w:val="center"/>
          </w:tcPr>
          <w:p w14:paraId="60B738A5">
            <w:pPr>
              <w:pStyle w:val="22"/>
              <w:wordWrap w:val="0"/>
              <w:adjustRightInd w:val="0"/>
              <w:snapToGrid w:val="0"/>
              <w:spacing w:line="340" w:lineRule="exact"/>
              <w:jc w:val="left"/>
              <w:rPr>
                <w:rFonts w:hint="default" w:ascii="宋体" w:hAnsi="宋体" w:eastAsia="宋体" w:cs="宋体"/>
                <w:color w:val="auto"/>
                <w:sz w:val="21"/>
                <w:szCs w:val="21"/>
                <w:highlight w:val="none"/>
                <w:lang w:val="en-US" w:eastAsia="zh-CN"/>
              </w:rPr>
            </w:pPr>
            <w:r>
              <w:rPr>
                <w:rFonts w:hint="eastAsia" w:ascii="宋体" w:hAnsi="宋体" w:eastAsia="宋体" w:cs="宋体"/>
                <w:snapToGrid w:val="0"/>
                <w:color w:val="auto"/>
                <w:kern w:val="0"/>
                <w:sz w:val="21"/>
                <w:szCs w:val="21"/>
                <w:highlight w:val="none"/>
              </w:rPr>
              <w:t>为本招标项目的</w:t>
            </w:r>
            <w:r>
              <w:rPr>
                <w:rFonts w:hint="eastAsia" w:ascii="宋体" w:hAnsi="宋体" w:eastAsia="宋体" w:cs="宋体"/>
                <w:snapToGrid w:val="0"/>
                <w:color w:val="auto"/>
                <w:kern w:val="0"/>
                <w:sz w:val="21"/>
                <w:szCs w:val="21"/>
                <w:highlight w:val="none"/>
                <w:lang w:val="en-US" w:eastAsia="zh-CN"/>
              </w:rPr>
              <w:t>勘察单位</w:t>
            </w:r>
          </w:p>
        </w:tc>
      </w:tr>
      <w:tr w14:paraId="1B9ED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674" w:type="dxa"/>
            <w:vAlign w:val="center"/>
          </w:tcPr>
          <w:p w14:paraId="179922FE">
            <w:pPr>
              <w:pStyle w:val="22"/>
              <w:wordWrap w:val="0"/>
              <w:adjustRightInd w:val="0"/>
              <w:snapToGrid w:val="0"/>
              <w:spacing w:line="340" w:lineRule="exact"/>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5</w:t>
            </w:r>
          </w:p>
        </w:tc>
        <w:tc>
          <w:tcPr>
            <w:tcW w:w="4327" w:type="dxa"/>
            <w:vAlign w:val="center"/>
          </w:tcPr>
          <w:p w14:paraId="58827B01">
            <w:pPr>
              <w:pStyle w:val="22"/>
              <w:wordWrap w:val="0"/>
              <w:adjustRightInd w:val="0"/>
              <w:snapToGrid w:val="0"/>
              <w:spacing w:line="340" w:lineRule="exact"/>
              <w:jc w:val="left"/>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广东省城规建设监理有限公司</w:t>
            </w:r>
          </w:p>
        </w:tc>
        <w:tc>
          <w:tcPr>
            <w:tcW w:w="3884" w:type="dxa"/>
            <w:vAlign w:val="center"/>
          </w:tcPr>
          <w:p w14:paraId="149D2F40">
            <w:pPr>
              <w:pStyle w:val="22"/>
              <w:wordWrap w:val="0"/>
              <w:adjustRightInd w:val="0"/>
              <w:snapToGrid w:val="0"/>
              <w:spacing w:line="340" w:lineRule="exact"/>
              <w:jc w:val="left"/>
              <w:rPr>
                <w:rFonts w:hint="default" w:ascii="宋体" w:hAnsi="宋体" w:eastAsia="宋体" w:cs="宋体"/>
                <w:snapToGrid w:val="0"/>
                <w:color w:val="auto"/>
                <w:kern w:val="0"/>
                <w:sz w:val="21"/>
                <w:szCs w:val="21"/>
                <w:highlight w:val="none"/>
                <w:lang w:val="en-US" w:eastAsia="zh-CN"/>
              </w:rPr>
            </w:pPr>
            <w:r>
              <w:rPr>
                <w:rFonts w:hint="eastAsia" w:ascii="宋体" w:hAnsi="宋体" w:cs="宋体"/>
                <w:snapToGrid w:val="0"/>
                <w:color w:val="auto"/>
                <w:kern w:val="0"/>
                <w:sz w:val="21"/>
                <w:szCs w:val="21"/>
                <w:highlight w:val="none"/>
                <w:lang w:val="en-US" w:eastAsia="zh-CN"/>
              </w:rPr>
              <w:t>为本招标项目的监理单位</w:t>
            </w:r>
          </w:p>
        </w:tc>
      </w:tr>
      <w:tr w14:paraId="03B4A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674" w:type="dxa"/>
            <w:vAlign w:val="center"/>
          </w:tcPr>
          <w:p w14:paraId="345C7B9B">
            <w:pPr>
              <w:pStyle w:val="22"/>
              <w:wordWrap w:val="0"/>
              <w:adjustRightInd w:val="0"/>
              <w:snapToGrid w:val="0"/>
              <w:spacing w:line="340" w:lineRule="exact"/>
              <w:jc w:val="center"/>
              <w:rPr>
                <w:rFonts w:hint="default"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6</w:t>
            </w:r>
          </w:p>
        </w:tc>
        <w:tc>
          <w:tcPr>
            <w:tcW w:w="4327" w:type="dxa"/>
            <w:vAlign w:val="center"/>
          </w:tcPr>
          <w:p w14:paraId="74B6B61A">
            <w:pPr>
              <w:pStyle w:val="22"/>
              <w:wordWrap w:val="0"/>
              <w:adjustRightInd w:val="0"/>
              <w:snapToGrid w:val="0"/>
              <w:spacing w:line="340" w:lineRule="exact"/>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广东加达工程咨询有限公司</w:t>
            </w:r>
          </w:p>
        </w:tc>
        <w:tc>
          <w:tcPr>
            <w:tcW w:w="3884" w:type="dxa"/>
            <w:vAlign w:val="center"/>
          </w:tcPr>
          <w:p w14:paraId="7ACCEDED">
            <w:pPr>
              <w:pStyle w:val="22"/>
              <w:wordWrap w:val="0"/>
              <w:adjustRightInd w:val="0"/>
              <w:snapToGrid w:val="0"/>
              <w:spacing w:line="340" w:lineRule="exact"/>
              <w:jc w:val="left"/>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宋体" w:hAnsi="宋体" w:cs="宋体"/>
                <w:snapToGrid w:val="0"/>
                <w:color w:val="auto"/>
                <w:kern w:val="0"/>
                <w:sz w:val="21"/>
                <w:szCs w:val="21"/>
                <w:highlight w:val="none"/>
                <w:lang w:eastAsia="zh-CN"/>
              </w:rPr>
              <w:t>为本招标项目的全过程造价咨询单位</w:t>
            </w:r>
          </w:p>
        </w:tc>
      </w:tr>
      <w:tr w14:paraId="07D3A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674" w:type="dxa"/>
            <w:vAlign w:val="center"/>
          </w:tcPr>
          <w:p w14:paraId="219D2FD5">
            <w:pPr>
              <w:pStyle w:val="22"/>
              <w:wordWrap w:val="0"/>
              <w:adjustRightInd w:val="0"/>
              <w:snapToGrid w:val="0"/>
              <w:spacing w:line="340" w:lineRule="exact"/>
              <w:jc w:val="center"/>
              <w:rPr>
                <w:rFonts w:hint="default"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7</w:t>
            </w:r>
          </w:p>
        </w:tc>
        <w:tc>
          <w:tcPr>
            <w:tcW w:w="4327" w:type="dxa"/>
            <w:vAlign w:val="center"/>
          </w:tcPr>
          <w:p w14:paraId="587B3B4D">
            <w:pPr>
              <w:wordWrap w:val="0"/>
              <w:adjustRightInd w:val="0"/>
              <w:snapToGrid w:val="0"/>
              <w:spacing w:line="240" w:lineRule="auto"/>
              <w:jc w:val="left"/>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宋体" w:hAnsi="宋体" w:eastAsia="宋体" w:cs="宋体"/>
                <w:color w:val="auto"/>
                <w:sz w:val="21"/>
                <w:szCs w:val="21"/>
                <w:highlight w:val="none"/>
                <w:lang w:eastAsia="zh-CN"/>
              </w:rPr>
              <w:t>仁化县住房和城乡建设管理局</w:t>
            </w:r>
          </w:p>
        </w:tc>
        <w:tc>
          <w:tcPr>
            <w:tcW w:w="3884" w:type="dxa"/>
            <w:vAlign w:val="center"/>
          </w:tcPr>
          <w:p w14:paraId="5008D28E">
            <w:pPr>
              <w:wordWrap w:val="0"/>
              <w:adjustRightInd w:val="0"/>
              <w:snapToGrid w:val="0"/>
              <w:spacing w:line="240" w:lineRule="auto"/>
              <w:jc w:val="left"/>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为本招标项目的监督单位</w:t>
            </w:r>
          </w:p>
        </w:tc>
      </w:tr>
    </w:tbl>
    <w:p w14:paraId="7FDEB427">
      <w:pPr>
        <w:spacing w:line="93" w:lineRule="auto"/>
        <w:rPr>
          <w:rFonts w:hint="eastAsia" w:ascii="宋体" w:hAnsi="宋体" w:eastAsia="宋体" w:cs="宋体"/>
          <w:color w:val="auto"/>
          <w:sz w:val="2"/>
          <w:highlight w:val="none"/>
        </w:rPr>
      </w:pPr>
    </w:p>
    <w:p w14:paraId="44FD298A">
      <w:pPr>
        <w:spacing w:before="153" w:line="221" w:lineRule="auto"/>
        <w:ind w:left="706"/>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2.5  </w:t>
      </w:r>
      <w:r>
        <w:rPr>
          <w:rFonts w:hint="eastAsia" w:ascii="宋体" w:hAnsi="宋体" w:eastAsia="宋体" w:cs="宋体"/>
          <w:color w:val="auto"/>
          <w:spacing w:val="-1"/>
          <w:sz w:val="24"/>
          <w:szCs w:val="24"/>
          <w:highlight w:val="none"/>
        </w:rPr>
        <w:t>其他要求</w:t>
      </w:r>
    </w:p>
    <w:p w14:paraId="329532D5">
      <w:pPr>
        <w:spacing w:before="150" w:line="334" w:lineRule="auto"/>
        <w:ind w:left="232" w:right="99" w:firstLine="481"/>
        <w:rPr>
          <w:rFonts w:hint="eastAsia" w:ascii="宋体" w:hAnsi="宋体" w:eastAsia="宋体" w:cs="宋体"/>
          <w:color w:val="auto"/>
          <w:highlight w:val="none"/>
        </w:rPr>
      </w:pPr>
      <w:r>
        <w:rPr>
          <w:rFonts w:hint="eastAsia" w:ascii="宋体" w:hAnsi="宋体" w:eastAsia="宋体" w:cs="宋体"/>
          <w:color w:val="auto"/>
          <w:spacing w:val="-1"/>
          <w:sz w:val="24"/>
          <w:szCs w:val="24"/>
          <w:highlight w:val="none"/>
        </w:rPr>
        <w:t>省外企业及其拟派往本项目管理机构的所有</w:t>
      </w:r>
      <w:r>
        <w:rPr>
          <w:rFonts w:hint="eastAsia" w:ascii="宋体" w:hAnsi="宋体" w:eastAsia="宋体" w:cs="宋体"/>
          <w:color w:val="auto"/>
          <w:spacing w:val="-2"/>
          <w:sz w:val="24"/>
          <w:szCs w:val="24"/>
          <w:highlight w:val="none"/>
        </w:rPr>
        <w:t>人员均须按照《广东省住房和城乡建</w:t>
      </w:r>
      <w:r>
        <w:rPr>
          <w:rFonts w:hint="eastAsia" w:ascii="宋体" w:hAnsi="宋体" w:eastAsia="宋体" w:cs="宋体"/>
          <w:color w:val="auto"/>
          <w:spacing w:val="-1"/>
          <w:sz w:val="24"/>
          <w:szCs w:val="24"/>
          <w:highlight w:val="none"/>
        </w:rPr>
        <w:t>设厅关于取消省外建筑企业和人员进粤信息备案有关工作的通知》</w:t>
      </w:r>
      <w:r>
        <w:rPr>
          <w:rFonts w:hint="eastAsia" w:ascii="宋体" w:hAnsi="宋体" w:eastAsia="宋体" w:cs="宋体"/>
          <w:color w:val="auto"/>
          <w:spacing w:val="-2"/>
          <w:sz w:val="24"/>
          <w:szCs w:val="24"/>
          <w:highlight w:val="none"/>
        </w:rPr>
        <w:t>（粤建市﹝2015﹞</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4"/>
          <w:sz w:val="24"/>
          <w:szCs w:val="24"/>
          <w:highlight w:val="none"/>
        </w:rPr>
        <w:t>52</w:t>
      </w:r>
      <w:r>
        <w:rPr>
          <w:rFonts w:hint="eastAsia" w:ascii="宋体" w:hAnsi="宋体" w:eastAsia="宋体" w:cs="宋体"/>
          <w:color w:val="auto"/>
          <w:spacing w:val="15"/>
          <w:sz w:val="24"/>
          <w:szCs w:val="24"/>
          <w:highlight w:val="none"/>
        </w:rPr>
        <w:t xml:space="preserve"> </w:t>
      </w:r>
      <w:r>
        <w:rPr>
          <w:rFonts w:hint="eastAsia" w:ascii="宋体" w:hAnsi="宋体" w:eastAsia="宋体" w:cs="宋体"/>
          <w:color w:val="auto"/>
          <w:spacing w:val="-4"/>
          <w:sz w:val="24"/>
          <w:szCs w:val="24"/>
          <w:highlight w:val="none"/>
        </w:rPr>
        <w:t>号）规定在“进粤企业和人员诚信信息登记平台</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4"/>
          <w:sz w:val="24"/>
          <w:szCs w:val="24"/>
          <w:highlight w:val="none"/>
        </w:rPr>
        <w:t>”录入相关信息并通过数</w:t>
      </w:r>
      <w:r>
        <w:rPr>
          <w:rFonts w:hint="eastAsia" w:ascii="宋体" w:hAnsi="宋体" w:eastAsia="宋体" w:cs="宋体"/>
          <w:color w:val="auto"/>
          <w:spacing w:val="-5"/>
          <w:sz w:val="24"/>
          <w:szCs w:val="24"/>
          <w:highlight w:val="none"/>
        </w:rPr>
        <w:t>据规范检</w:t>
      </w:r>
      <w:r>
        <w:rPr>
          <w:rFonts w:hint="eastAsia" w:ascii="宋体" w:hAnsi="宋体" w:eastAsia="宋体" w:cs="宋体"/>
          <w:color w:val="auto"/>
          <w:spacing w:val="-6"/>
          <w:sz w:val="24"/>
          <w:szCs w:val="24"/>
          <w:highlight w:val="none"/>
        </w:rPr>
        <w:t>查。</w:t>
      </w:r>
    </w:p>
    <w:p w14:paraId="0063DCBD">
      <w:pPr>
        <w:spacing w:before="79" w:line="220" w:lineRule="auto"/>
        <w:ind w:left="715"/>
        <w:outlineLvl w:val="2"/>
        <w:rPr>
          <w:rFonts w:hint="eastAsia" w:ascii="宋体" w:hAnsi="宋体" w:eastAsia="宋体" w:cs="宋体"/>
          <w:color w:val="auto"/>
          <w:sz w:val="24"/>
          <w:szCs w:val="24"/>
          <w:highlight w:val="none"/>
        </w:rPr>
      </w:pPr>
      <w:bookmarkStart w:id="19" w:name="_Toc23243"/>
      <w:bookmarkStart w:id="20" w:name="_Toc21490"/>
      <w:r>
        <w:rPr>
          <w:rFonts w:hint="eastAsia" w:ascii="宋体" w:hAnsi="宋体" w:eastAsia="宋体" w:cs="宋体"/>
          <w:b/>
          <w:bCs/>
          <w:color w:val="auto"/>
          <w:spacing w:val="-4"/>
          <w:sz w:val="24"/>
          <w:szCs w:val="24"/>
          <w:highlight w:val="none"/>
        </w:rPr>
        <w:t>3．招标文件的获取</w:t>
      </w:r>
      <w:bookmarkEnd w:id="19"/>
      <w:bookmarkEnd w:id="20"/>
    </w:p>
    <w:p w14:paraId="6F47DB12">
      <w:pPr>
        <w:spacing w:before="182" w:line="219" w:lineRule="auto"/>
        <w:ind w:left="704"/>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3.1  </w:t>
      </w:r>
      <w:r>
        <w:rPr>
          <w:rFonts w:hint="eastAsia" w:ascii="宋体" w:hAnsi="宋体" w:eastAsia="宋体" w:cs="宋体"/>
          <w:color w:val="auto"/>
          <w:spacing w:val="-1"/>
          <w:sz w:val="24"/>
          <w:szCs w:val="24"/>
          <w:highlight w:val="none"/>
        </w:rPr>
        <w:t>本次招标实行电子投标。</w:t>
      </w:r>
    </w:p>
    <w:p w14:paraId="53B49621">
      <w:pPr>
        <w:spacing w:before="178" w:line="355" w:lineRule="auto"/>
        <w:ind w:left="229" w:firstLine="48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本次招标实行电子投标。本项目招标文件随招标公</w:t>
      </w:r>
      <w:r>
        <w:rPr>
          <w:rFonts w:hint="eastAsia" w:ascii="宋体" w:hAnsi="宋体" w:eastAsia="宋体" w:cs="宋体"/>
          <w:color w:val="auto"/>
          <w:spacing w:val="-2"/>
          <w:sz w:val="24"/>
          <w:szCs w:val="24"/>
          <w:highlight w:val="none"/>
        </w:rPr>
        <w:t>告一并在全国公共资源交易平台（广东省</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2"/>
          <w:sz w:val="24"/>
          <w:szCs w:val="24"/>
          <w:highlight w:val="none"/>
        </w:rPr>
        <w:t>·韶关市</w:t>
      </w:r>
      <w:r>
        <w:rPr>
          <w:rFonts w:hint="eastAsia" w:ascii="宋体" w:hAnsi="宋体" w:eastAsia="宋体" w:cs="宋体"/>
          <w:color w:val="auto"/>
          <w:spacing w:val="-56"/>
          <w:sz w:val="24"/>
          <w:szCs w:val="24"/>
          <w:highlight w:val="none"/>
        </w:rPr>
        <w:t>）（</w:t>
      </w:r>
      <w:r>
        <w:rPr>
          <w:rFonts w:hint="eastAsia" w:ascii="宋体" w:hAnsi="宋体" w:eastAsia="宋体" w:cs="宋体"/>
          <w:color w:val="auto"/>
          <w:spacing w:val="-56"/>
          <w:sz w:val="24"/>
          <w:szCs w:val="24"/>
          <w:highlight w:val="none"/>
          <w:lang w:val="en-US" w:eastAsia="zh-CN"/>
        </w:rPr>
        <w:t xml:space="preserve">              </w:t>
      </w:r>
      <w:r>
        <w:rPr>
          <w:rFonts w:hint="eastAsia" w:ascii="宋体" w:hAnsi="宋体" w:eastAsia="宋体" w:cs="宋体"/>
          <w:color w:val="auto"/>
          <w:spacing w:val="-2"/>
          <w:sz w:val="24"/>
          <w:szCs w:val="24"/>
          <w:highlight w:val="none"/>
        </w:rPr>
        <w:t>https://yg</w:t>
      </w:r>
      <w:r>
        <w:rPr>
          <w:rFonts w:hint="eastAsia" w:ascii="宋体" w:hAnsi="宋体" w:eastAsia="宋体" w:cs="宋体"/>
          <w:color w:val="auto"/>
          <w:spacing w:val="-3"/>
          <w:sz w:val="24"/>
          <w:szCs w:val="24"/>
          <w:highlight w:val="none"/>
        </w:rPr>
        <w:t>p.gdzwfw.gov.cn/ggzy-portal/#/440200/index）</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网站发布。招标文件一经发布，视为发送投标人，招标文件及相</w:t>
      </w:r>
      <w:r>
        <w:rPr>
          <w:rFonts w:hint="eastAsia" w:ascii="宋体" w:hAnsi="宋体" w:eastAsia="宋体" w:cs="宋体"/>
          <w:color w:val="auto"/>
          <w:spacing w:val="-2"/>
          <w:sz w:val="24"/>
          <w:szCs w:val="24"/>
          <w:highlight w:val="none"/>
        </w:rPr>
        <w:t>关附件由投标人自行</w:t>
      </w:r>
      <w:r>
        <w:rPr>
          <w:rFonts w:hint="eastAsia" w:ascii="宋体" w:hAnsi="宋体" w:eastAsia="宋体" w:cs="宋体"/>
          <w:color w:val="auto"/>
          <w:spacing w:val="-7"/>
          <w:sz w:val="24"/>
          <w:szCs w:val="24"/>
          <w:highlight w:val="none"/>
        </w:rPr>
        <w:t>在全国公共资源交易平台（广东省</w:t>
      </w:r>
      <w:r>
        <w:rPr>
          <w:rFonts w:hint="eastAsia" w:ascii="宋体" w:hAnsi="宋体" w:eastAsia="宋体" w:cs="宋体"/>
          <w:color w:val="auto"/>
          <w:spacing w:val="-22"/>
          <w:sz w:val="24"/>
          <w:szCs w:val="24"/>
          <w:highlight w:val="none"/>
        </w:rPr>
        <w:t xml:space="preserve"> </w:t>
      </w:r>
      <w:r>
        <w:rPr>
          <w:rFonts w:hint="eastAsia" w:ascii="宋体" w:hAnsi="宋体" w:eastAsia="宋体" w:cs="宋体"/>
          <w:color w:val="auto"/>
          <w:spacing w:val="-7"/>
          <w:sz w:val="24"/>
          <w:szCs w:val="24"/>
          <w:highlight w:val="none"/>
        </w:rPr>
        <w:t>·韶关市）网站下载。请于招标文件获取期间,（见</w:t>
      </w:r>
      <w:r>
        <w:rPr>
          <w:rFonts w:hint="eastAsia" w:ascii="宋体" w:hAnsi="宋体" w:eastAsia="宋体" w:cs="宋体"/>
          <w:color w:val="auto"/>
          <w:spacing w:val="-2"/>
          <w:sz w:val="24"/>
          <w:szCs w:val="24"/>
          <w:highlight w:val="none"/>
        </w:rPr>
        <w:t>本章第二节“重要事项时间地点一览表</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”）招标文件获取期间与招标公告发</w:t>
      </w:r>
      <w:r>
        <w:rPr>
          <w:rFonts w:hint="eastAsia" w:ascii="宋体" w:hAnsi="宋体" w:eastAsia="宋体" w:cs="宋体"/>
          <w:color w:val="auto"/>
          <w:spacing w:val="-3"/>
          <w:sz w:val="24"/>
          <w:szCs w:val="24"/>
          <w:highlight w:val="none"/>
        </w:rPr>
        <w:t>布时间一</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4"/>
          <w:sz w:val="24"/>
          <w:szCs w:val="24"/>
          <w:highlight w:val="none"/>
        </w:rPr>
        <w:t>致，投标人须登录全国公共资源交易平台（广东省</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4"/>
          <w:sz w:val="24"/>
          <w:szCs w:val="24"/>
          <w:highlight w:val="none"/>
        </w:rPr>
        <w:t>·韶关市</w:t>
      </w:r>
      <w:r>
        <w:rPr>
          <w:rFonts w:hint="eastAsia" w:ascii="宋体" w:hAnsi="宋体" w:eastAsia="宋体" w:cs="宋体"/>
          <w:color w:val="auto"/>
          <w:spacing w:val="-40"/>
          <w:sz w:val="24"/>
          <w:szCs w:val="24"/>
          <w:highlight w:val="none"/>
        </w:rPr>
        <w:t>）（</w:t>
      </w:r>
      <w:r>
        <w:rPr>
          <w:rFonts w:hint="eastAsia" w:ascii="宋体" w:hAnsi="宋体" w:eastAsia="宋体" w:cs="宋体"/>
          <w:color w:val="auto"/>
          <w:spacing w:val="-40"/>
          <w:sz w:val="24"/>
          <w:szCs w:val="24"/>
          <w:highlight w:val="none"/>
          <w:lang w:val="en-US" w:eastAsia="zh-CN"/>
        </w:rPr>
        <w:t xml:space="preserve">   </w:t>
      </w:r>
      <w:r>
        <w:rPr>
          <w:rFonts w:hint="eastAsia" w:ascii="宋体" w:hAnsi="宋体" w:eastAsia="宋体" w:cs="宋体"/>
          <w:color w:val="auto"/>
          <w:spacing w:val="-4"/>
          <w:sz w:val="24"/>
          <w:szCs w:val="24"/>
          <w:highlight w:val="none"/>
        </w:rPr>
        <w:t>https://ygp.gdzwfw.</w:t>
      </w:r>
      <w:r>
        <w:rPr>
          <w:rFonts w:hint="eastAsia" w:ascii="宋体" w:hAnsi="宋体" w:eastAsia="宋体" w:cs="宋体"/>
          <w:color w:val="auto"/>
          <w:sz w:val="24"/>
          <w:szCs w:val="24"/>
          <w:highlight w:val="none"/>
        </w:rPr>
        <w:t xml:space="preserve">  gov</w:t>
      </w:r>
      <w:r>
        <w:rPr>
          <w:rFonts w:hint="eastAsia" w:ascii="宋体" w:hAnsi="宋体" w:eastAsia="宋体" w:cs="宋体"/>
          <w:color w:val="auto"/>
          <w:spacing w:val="2"/>
          <w:sz w:val="24"/>
          <w:szCs w:val="24"/>
          <w:highlight w:val="none"/>
        </w:rPr>
        <w:t>.</w:t>
      </w:r>
      <w:r>
        <w:rPr>
          <w:rFonts w:hint="eastAsia" w:ascii="宋体" w:hAnsi="宋体" w:eastAsia="宋体" w:cs="宋体"/>
          <w:color w:val="auto"/>
          <w:sz w:val="24"/>
          <w:szCs w:val="24"/>
          <w:highlight w:val="none"/>
        </w:rPr>
        <w:t>cn</w:t>
      </w:r>
      <w:r>
        <w:rPr>
          <w:rFonts w:hint="eastAsia" w:ascii="宋体" w:hAnsi="宋体" w:eastAsia="宋体" w:cs="宋体"/>
          <w:color w:val="auto"/>
          <w:spacing w:val="2"/>
          <w:sz w:val="24"/>
          <w:szCs w:val="24"/>
          <w:highlight w:val="none"/>
        </w:rPr>
        <w:t>/</w:t>
      </w:r>
      <w:r>
        <w:rPr>
          <w:rFonts w:hint="eastAsia" w:ascii="宋体" w:hAnsi="宋体" w:eastAsia="宋体" w:cs="宋体"/>
          <w:color w:val="auto"/>
          <w:sz w:val="24"/>
          <w:szCs w:val="24"/>
          <w:highlight w:val="none"/>
        </w:rPr>
        <w:t>ggzy</w:t>
      </w:r>
      <w:r>
        <w:rPr>
          <w:rFonts w:hint="eastAsia" w:ascii="宋体" w:hAnsi="宋体" w:eastAsia="宋体" w:cs="宋体"/>
          <w:color w:val="auto"/>
          <w:spacing w:val="2"/>
          <w:sz w:val="24"/>
          <w:szCs w:val="24"/>
          <w:highlight w:val="none"/>
        </w:rPr>
        <w:t>-</w:t>
      </w:r>
      <w:r>
        <w:rPr>
          <w:rFonts w:hint="eastAsia" w:ascii="宋体" w:hAnsi="宋体" w:eastAsia="宋体" w:cs="宋体"/>
          <w:color w:val="auto"/>
          <w:sz w:val="24"/>
          <w:szCs w:val="24"/>
          <w:highlight w:val="none"/>
        </w:rPr>
        <w:t>portal</w:t>
      </w:r>
      <w:r>
        <w:rPr>
          <w:rFonts w:hint="eastAsia" w:ascii="宋体" w:hAnsi="宋体" w:eastAsia="宋体" w:cs="宋体"/>
          <w:color w:val="auto"/>
          <w:spacing w:val="2"/>
          <w:sz w:val="24"/>
          <w:szCs w:val="24"/>
          <w:highlight w:val="none"/>
        </w:rPr>
        <w:t>/#/440200/</w:t>
      </w:r>
      <w:r>
        <w:rPr>
          <w:rFonts w:hint="eastAsia" w:ascii="宋体" w:hAnsi="宋体" w:eastAsia="宋体" w:cs="宋体"/>
          <w:color w:val="auto"/>
          <w:sz w:val="24"/>
          <w:szCs w:val="24"/>
          <w:highlight w:val="none"/>
        </w:rPr>
        <w:t>index</w:t>
      </w:r>
      <w:r>
        <w:rPr>
          <w:rFonts w:hint="eastAsia" w:ascii="宋体" w:hAnsi="宋体" w:eastAsia="宋体" w:cs="宋体"/>
          <w:color w:val="auto"/>
          <w:spacing w:val="7"/>
          <w:sz w:val="24"/>
          <w:szCs w:val="24"/>
          <w:highlight w:val="none"/>
        </w:rPr>
        <w:t>），</w:t>
      </w:r>
      <w:r>
        <w:rPr>
          <w:rFonts w:hint="eastAsia" w:ascii="宋体" w:hAnsi="宋体" w:eastAsia="宋体" w:cs="宋体"/>
          <w:color w:val="auto"/>
          <w:spacing w:val="2"/>
          <w:sz w:val="24"/>
          <w:szCs w:val="24"/>
          <w:highlight w:val="none"/>
        </w:rPr>
        <w:t>使用新建设工程交易系统进行下载</w:t>
      </w:r>
      <w:r>
        <w:rPr>
          <w:rFonts w:hint="eastAsia" w:ascii="宋体" w:hAnsi="宋体" w:eastAsia="宋体" w:cs="宋体"/>
          <w:color w:val="auto"/>
          <w:spacing w:val="1"/>
          <w:sz w:val="24"/>
          <w:szCs w:val="24"/>
          <w:highlight w:val="none"/>
        </w:rPr>
        <w:t>招标文</w:t>
      </w:r>
      <w:r>
        <w:rPr>
          <w:rFonts w:hint="eastAsia" w:ascii="宋体" w:hAnsi="宋体" w:eastAsia="宋体" w:cs="宋体"/>
          <w:color w:val="auto"/>
          <w:spacing w:val="-6"/>
          <w:sz w:val="24"/>
          <w:szCs w:val="24"/>
          <w:highlight w:val="none"/>
        </w:rPr>
        <w:t>件及相关附件，并于电子投标截止时间（见本章第二节“重要事项时间地点一览表</w:t>
      </w:r>
      <w:r>
        <w:rPr>
          <w:rFonts w:hint="eastAsia" w:ascii="宋体" w:hAnsi="宋体" w:eastAsia="宋体" w:cs="宋体"/>
          <w:color w:val="auto"/>
          <w:spacing w:val="-72"/>
          <w:sz w:val="24"/>
          <w:szCs w:val="24"/>
          <w:highlight w:val="none"/>
        </w:rPr>
        <w:t xml:space="preserve"> </w:t>
      </w:r>
      <w:r>
        <w:rPr>
          <w:rFonts w:hint="eastAsia" w:ascii="宋体" w:hAnsi="宋体" w:eastAsia="宋体" w:cs="宋体"/>
          <w:color w:val="auto"/>
          <w:spacing w:val="-6"/>
          <w:sz w:val="24"/>
          <w:szCs w:val="24"/>
          <w:highlight w:val="none"/>
        </w:rPr>
        <w:t>”）</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2"/>
          <w:sz w:val="24"/>
          <w:szCs w:val="24"/>
          <w:highlight w:val="none"/>
        </w:rPr>
        <w:t>前完成电子投标。投标人可登录全国公共资源交易平</w:t>
      </w:r>
      <w:r>
        <w:rPr>
          <w:rFonts w:hint="eastAsia" w:ascii="宋体" w:hAnsi="宋体" w:eastAsia="宋体" w:cs="宋体"/>
          <w:color w:val="auto"/>
          <w:spacing w:val="-3"/>
          <w:sz w:val="24"/>
          <w:szCs w:val="24"/>
          <w:highlight w:val="none"/>
        </w:rPr>
        <w:t>台（广东省</w:t>
      </w:r>
      <w:r>
        <w:rPr>
          <w:rFonts w:hint="eastAsia" w:ascii="宋体" w:hAnsi="宋体" w:eastAsia="宋体" w:cs="宋体"/>
          <w:color w:val="auto"/>
          <w:spacing w:val="-27"/>
          <w:sz w:val="24"/>
          <w:szCs w:val="24"/>
          <w:highlight w:val="none"/>
        </w:rPr>
        <w:t xml:space="preserve"> </w:t>
      </w:r>
      <w:r>
        <w:rPr>
          <w:rFonts w:hint="eastAsia" w:ascii="宋体" w:hAnsi="宋体" w:eastAsia="宋体" w:cs="宋体"/>
          <w:color w:val="auto"/>
          <w:spacing w:val="-3"/>
          <w:sz w:val="24"/>
          <w:szCs w:val="24"/>
          <w:highlight w:val="none"/>
        </w:rPr>
        <w:t>·韶关市</w:t>
      </w:r>
      <w:r>
        <w:rPr>
          <w:rFonts w:hint="eastAsia" w:ascii="宋体" w:hAnsi="宋体" w:eastAsia="宋体" w:cs="宋体"/>
          <w:color w:val="auto"/>
          <w:spacing w:val="-25"/>
          <w:sz w:val="24"/>
          <w:szCs w:val="24"/>
          <w:highlight w:val="none"/>
        </w:rPr>
        <w:t>）（</w:t>
      </w:r>
      <w:r>
        <w:rPr>
          <w:rFonts w:hint="eastAsia" w:ascii="宋体" w:hAnsi="宋体" w:eastAsia="宋体" w:cs="宋体"/>
          <w:color w:val="auto"/>
          <w:spacing w:val="-25"/>
          <w:sz w:val="24"/>
          <w:szCs w:val="24"/>
          <w:highlight w:val="none"/>
          <w:lang w:val="en-US" w:eastAsia="zh-CN"/>
        </w:rPr>
        <w:t xml:space="preserve">   </w:t>
      </w:r>
      <w:r>
        <w:rPr>
          <w:rFonts w:hint="eastAsia" w:ascii="宋体" w:hAnsi="宋体" w:eastAsia="宋体" w:cs="宋体"/>
          <w:color w:val="auto"/>
          <w:spacing w:val="-3"/>
          <w:sz w:val="24"/>
          <w:szCs w:val="24"/>
          <w:highlight w:val="none"/>
        </w:rPr>
        <w:t>https:</w:t>
      </w:r>
      <w:r>
        <w:rPr>
          <w:rFonts w:hint="eastAsia" w:ascii="宋体" w:hAnsi="宋体" w:eastAsia="宋体" w:cs="宋体"/>
          <w:color w:val="auto"/>
          <w:sz w:val="24"/>
          <w:szCs w:val="24"/>
          <w:highlight w:val="none"/>
        </w:rPr>
        <w:t>//ygp.gdzwfw.gov.cn/ggz</w:t>
      </w:r>
      <w:r>
        <w:rPr>
          <w:rFonts w:hint="eastAsia" w:ascii="宋体" w:hAnsi="宋体" w:eastAsia="宋体" w:cs="宋体"/>
          <w:color w:val="auto"/>
          <w:spacing w:val="-1"/>
          <w:sz w:val="24"/>
          <w:szCs w:val="24"/>
          <w:highlight w:val="none"/>
        </w:rPr>
        <w:t>y-portal/#/440200/index</w:t>
      </w:r>
      <w:r>
        <w:rPr>
          <w:rFonts w:hint="eastAsia" w:ascii="宋体" w:hAnsi="宋体" w:eastAsia="宋体" w:cs="宋体"/>
          <w:color w:val="auto"/>
          <w:spacing w:val="-6"/>
          <w:sz w:val="24"/>
          <w:szCs w:val="24"/>
          <w:highlight w:val="none"/>
        </w:rPr>
        <w:t>），</w:t>
      </w:r>
      <w:r>
        <w:rPr>
          <w:rFonts w:hint="eastAsia" w:ascii="宋体" w:hAnsi="宋体" w:eastAsia="宋体" w:cs="宋体"/>
          <w:color w:val="auto"/>
          <w:spacing w:val="-1"/>
          <w:sz w:val="24"/>
          <w:szCs w:val="24"/>
          <w:highlight w:val="none"/>
        </w:rPr>
        <w:t>在【服务指南】栏目中建设</w:t>
      </w:r>
      <w:r>
        <w:rPr>
          <w:rFonts w:hint="eastAsia" w:ascii="宋体" w:hAnsi="宋体" w:eastAsia="宋体" w:cs="宋体"/>
          <w:color w:val="auto"/>
          <w:spacing w:val="-2"/>
          <w:sz w:val="24"/>
          <w:szCs w:val="24"/>
          <w:highlight w:val="none"/>
        </w:rPr>
        <w:t>工程交易中下载《韶关市公共资源建设工程交易系统-投</w:t>
      </w:r>
      <w:r>
        <w:rPr>
          <w:rFonts w:hint="eastAsia" w:ascii="宋体" w:hAnsi="宋体" w:eastAsia="宋体" w:cs="宋体"/>
          <w:color w:val="auto"/>
          <w:spacing w:val="-1"/>
          <w:sz w:val="24"/>
          <w:szCs w:val="24"/>
          <w:highlight w:val="none"/>
        </w:rPr>
        <w:t>标人操作指南（电子评标）》 （附件 2），了解网上获取招标文件操作流程。技术咨询电话：0751-837</w:t>
      </w:r>
      <w:r>
        <w:rPr>
          <w:rFonts w:hint="eastAsia" w:ascii="宋体" w:hAnsi="宋体" w:eastAsia="宋体" w:cs="宋体"/>
          <w:color w:val="auto"/>
          <w:spacing w:val="-4"/>
          <w:sz w:val="24"/>
          <w:szCs w:val="24"/>
          <w:highlight w:val="none"/>
        </w:rPr>
        <w:t>9671 伍</w:t>
      </w:r>
      <w:r>
        <w:rPr>
          <w:rFonts w:hint="eastAsia" w:ascii="宋体" w:hAnsi="宋体" w:eastAsia="宋体" w:cs="宋体"/>
          <w:color w:val="auto"/>
          <w:spacing w:val="-5"/>
          <w:sz w:val="24"/>
          <w:szCs w:val="24"/>
          <w:highlight w:val="none"/>
        </w:rPr>
        <w:t>先生，</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业务咨询电话：0751-8633211、8633071。</w:t>
      </w:r>
    </w:p>
    <w:p w14:paraId="68899B1C">
      <w:pPr>
        <w:spacing w:before="142" w:line="330" w:lineRule="auto"/>
        <w:ind w:left="11" w:right="105" w:firstLine="473"/>
        <w:jc w:val="both"/>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3.2  </w:t>
      </w:r>
      <w:r>
        <w:rPr>
          <w:rFonts w:hint="eastAsia" w:ascii="宋体" w:hAnsi="宋体" w:eastAsia="宋体" w:cs="宋体"/>
          <w:color w:val="auto"/>
          <w:spacing w:val="-1"/>
          <w:sz w:val="24"/>
          <w:szCs w:val="24"/>
          <w:highlight w:val="none"/>
        </w:rPr>
        <w:t>只有申领了数字证书（CA）、“粤企签</w:t>
      </w:r>
      <w:r>
        <w:rPr>
          <w:rFonts w:hint="eastAsia" w:ascii="宋体" w:hAnsi="宋体" w:eastAsia="宋体" w:cs="宋体"/>
          <w:color w:val="auto"/>
          <w:spacing w:val="-76"/>
          <w:sz w:val="24"/>
          <w:szCs w:val="24"/>
          <w:highlight w:val="none"/>
        </w:rPr>
        <w:t xml:space="preserve"> </w:t>
      </w:r>
      <w:r>
        <w:rPr>
          <w:rFonts w:hint="eastAsia" w:ascii="宋体" w:hAnsi="宋体" w:eastAsia="宋体" w:cs="宋体"/>
          <w:color w:val="auto"/>
          <w:spacing w:val="-1"/>
          <w:sz w:val="24"/>
          <w:szCs w:val="24"/>
          <w:highlight w:val="none"/>
        </w:rPr>
        <w:t>”或</w:t>
      </w:r>
      <w:r>
        <w:rPr>
          <w:rFonts w:hint="eastAsia" w:ascii="宋体" w:hAnsi="宋体" w:eastAsia="宋体" w:cs="宋体"/>
          <w:color w:val="auto"/>
          <w:spacing w:val="-53"/>
          <w:sz w:val="24"/>
          <w:szCs w:val="24"/>
          <w:highlight w:val="none"/>
        </w:rPr>
        <w:t xml:space="preserve"> </w:t>
      </w:r>
      <w:r>
        <w:rPr>
          <w:rFonts w:hint="eastAsia" w:ascii="宋体" w:hAnsi="宋体" w:eastAsia="宋体" w:cs="宋体"/>
          <w:color w:val="auto"/>
          <w:spacing w:val="-1"/>
          <w:sz w:val="24"/>
          <w:szCs w:val="24"/>
          <w:highlight w:val="none"/>
        </w:rPr>
        <w:t>GDCA/SZCA/NETCA</w:t>
      </w:r>
      <w:r>
        <w:rPr>
          <w:rFonts w:hint="eastAsia" w:ascii="宋体" w:hAnsi="宋体" w:eastAsia="宋体" w:cs="宋体"/>
          <w:color w:val="auto"/>
          <w:spacing w:val="-46"/>
          <w:sz w:val="24"/>
          <w:szCs w:val="24"/>
          <w:highlight w:val="none"/>
        </w:rPr>
        <w:t xml:space="preserve"> </w:t>
      </w:r>
      <w:r>
        <w:rPr>
          <w:rFonts w:hint="eastAsia" w:ascii="宋体" w:hAnsi="宋体" w:eastAsia="宋体" w:cs="宋体"/>
          <w:color w:val="auto"/>
          <w:spacing w:val="-1"/>
          <w:sz w:val="24"/>
          <w:szCs w:val="24"/>
          <w:highlight w:val="none"/>
        </w:rPr>
        <w:t>等符合法律法规规定的电子印章，并在交易系统中完成企业信息数据入库</w:t>
      </w:r>
      <w:r>
        <w:rPr>
          <w:rFonts w:hint="eastAsia" w:ascii="宋体" w:hAnsi="宋体" w:eastAsia="宋体" w:cs="宋体"/>
          <w:color w:val="auto"/>
          <w:spacing w:val="-2"/>
          <w:sz w:val="24"/>
          <w:szCs w:val="24"/>
          <w:highlight w:val="none"/>
        </w:rPr>
        <w:t>的投标人，方可使用建设</w:t>
      </w:r>
      <w:r>
        <w:rPr>
          <w:rFonts w:hint="eastAsia" w:ascii="宋体" w:hAnsi="宋体" w:eastAsia="宋体" w:cs="宋体"/>
          <w:color w:val="auto"/>
          <w:spacing w:val="-1"/>
          <w:sz w:val="24"/>
          <w:szCs w:val="24"/>
          <w:highlight w:val="none"/>
        </w:rPr>
        <w:t>工程交易系统进行招标文件及附件获取和电子投标。</w:t>
      </w:r>
    </w:p>
    <w:p w14:paraId="66BF8C88">
      <w:pPr>
        <w:spacing w:before="32" w:line="332" w:lineRule="auto"/>
        <w:ind w:left="10" w:right="90" w:firstLine="483"/>
        <w:jc w:val="both"/>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首次在韶关市参与建设工程招标投标活动的</w:t>
      </w:r>
      <w:r>
        <w:rPr>
          <w:rFonts w:hint="eastAsia" w:ascii="宋体" w:hAnsi="宋体" w:eastAsia="宋体" w:cs="宋体"/>
          <w:color w:val="auto"/>
          <w:spacing w:val="-2"/>
          <w:sz w:val="24"/>
          <w:szCs w:val="24"/>
          <w:highlight w:val="none"/>
        </w:rPr>
        <w:t>投标人，必须在平台系统上传企业相</w:t>
      </w:r>
      <w:r>
        <w:rPr>
          <w:rFonts w:hint="eastAsia" w:ascii="宋体" w:hAnsi="宋体" w:eastAsia="宋体" w:cs="宋体"/>
          <w:color w:val="auto"/>
          <w:spacing w:val="-3"/>
          <w:sz w:val="24"/>
          <w:szCs w:val="24"/>
          <w:highlight w:val="none"/>
        </w:rPr>
        <w:t>关资料办理企业入库事宜。投标人可登录全国公共资源</w:t>
      </w:r>
      <w:r>
        <w:rPr>
          <w:rFonts w:hint="eastAsia" w:ascii="宋体" w:hAnsi="宋体" w:eastAsia="宋体" w:cs="宋体"/>
          <w:color w:val="auto"/>
          <w:spacing w:val="-4"/>
          <w:sz w:val="24"/>
          <w:szCs w:val="24"/>
          <w:highlight w:val="none"/>
        </w:rPr>
        <w:t>交易平台（广东省</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4"/>
          <w:sz w:val="24"/>
          <w:szCs w:val="24"/>
          <w:highlight w:val="none"/>
        </w:rPr>
        <w:t>·韶关市）</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"https://ygp.gdzwfw.gov.cn/ggzy-portal/#/440200/index" </w:instrText>
      </w:r>
      <w:r>
        <w:rPr>
          <w:rFonts w:hint="eastAsia" w:ascii="宋体" w:hAnsi="宋体" w:eastAsia="宋体" w:cs="宋体"/>
          <w:color w:val="auto"/>
          <w:highlight w:val="none"/>
        </w:rPr>
        <w:fldChar w:fldCharType="separate"/>
      </w:r>
      <w:r>
        <w:rPr>
          <w:rFonts w:hint="eastAsia" w:ascii="宋体" w:hAnsi="宋体" w:eastAsia="宋体" w:cs="宋体"/>
          <w:color w:val="auto"/>
          <w:spacing w:val="-1"/>
          <w:sz w:val="24"/>
          <w:szCs w:val="24"/>
          <w:highlight w:val="none"/>
        </w:rPr>
        <w:t>https://ygp.gdzwfw.gov.cn/ggzy-portal/#/440200/index</w:t>
      </w:r>
      <w:r>
        <w:rPr>
          <w:rFonts w:hint="eastAsia" w:ascii="宋体" w:hAnsi="宋体" w:eastAsia="宋体" w:cs="宋体"/>
          <w:color w:val="auto"/>
          <w:spacing w:val="-1"/>
          <w:sz w:val="24"/>
          <w:szCs w:val="24"/>
          <w:highlight w:val="none"/>
        </w:rPr>
        <w:fldChar w:fldCharType="end"/>
      </w:r>
      <w:r>
        <w:rPr>
          <w:rFonts w:hint="eastAsia" w:ascii="宋体" w:hAnsi="宋体" w:eastAsia="宋体" w:cs="宋体"/>
          <w:color w:val="auto"/>
          <w:spacing w:val="-1"/>
          <w:sz w:val="24"/>
          <w:szCs w:val="24"/>
          <w:highlight w:val="none"/>
        </w:rPr>
        <w:t>）办理企业入库、数字证书及电子印章事宜，具体请在平台查阅相应的交易指引。</w:t>
      </w:r>
    </w:p>
    <w:p w14:paraId="2BFC4BF1">
      <w:pPr>
        <w:spacing w:before="37" w:line="329" w:lineRule="auto"/>
        <w:ind w:left="9" w:right="105" w:firstLine="507"/>
        <w:jc w:val="both"/>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已入库企业有关信息（如单位名称、基本账号、资质、人员等）发生变化</w:t>
      </w:r>
      <w:r>
        <w:rPr>
          <w:rFonts w:hint="eastAsia" w:ascii="宋体" w:hAnsi="宋体" w:eastAsia="宋体" w:cs="宋体"/>
          <w:color w:val="auto"/>
          <w:spacing w:val="-3"/>
          <w:sz w:val="24"/>
          <w:szCs w:val="24"/>
          <w:highlight w:val="none"/>
        </w:rPr>
        <w:t>的，须</w:t>
      </w:r>
      <w:r>
        <w:rPr>
          <w:rFonts w:hint="eastAsia" w:ascii="宋体" w:hAnsi="宋体" w:eastAsia="宋体" w:cs="宋体"/>
          <w:color w:val="auto"/>
          <w:spacing w:val="-1"/>
          <w:sz w:val="24"/>
          <w:szCs w:val="24"/>
          <w:highlight w:val="none"/>
        </w:rPr>
        <w:t>及时在交易系统进行相应变更。投标人未及时变更信息而造成的</w:t>
      </w:r>
      <w:r>
        <w:rPr>
          <w:rFonts w:hint="eastAsia" w:ascii="宋体" w:hAnsi="宋体" w:eastAsia="宋体" w:cs="宋体"/>
          <w:color w:val="auto"/>
          <w:spacing w:val="-2"/>
          <w:sz w:val="24"/>
          <w:szCs w:val="24"/>
          <w:highlight w:val="none"/>
        </w:rPr>
        <w:t>损失和后果，由投标</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2"/>
          <w:sz w:val="24"/>
          <w:szCs w:val="24"/>
          <w:highlight w:val="none"/>
        </w:rPr>
        <w:t>人自行承担。</w:t>
      </w:r>
    </w:p>
    <w:p w14:paraId="3B9F37C6">
      <w:pPr>
        <w:spacing w:before="33" w:line="335" w:lineRule="auto"/>
        <w:ind w:left="10" w:right="105" w:firstLine="508"/>
        <w:jc w:val="both"/>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电子印章：是指获得国家工业和信息化部颁发的《电子认证服务许可</w:t>
      </w:r>
      <w:r>
        <w:rPr>
          <w:rFonts w:hint="eastAsia" w:ascii="宋体" w:hAnsi="宋体" w:eastAsia="宋体" w:cs="宋体"/>
          <w:color w:val="auto"/>
          <w:spacing w:val="-3"/>
          <w:sz w:val="24"/>
          <w:szCs w:val="24"/>
          <w:highlight w:val="none"/>
        </w:rPr>
        <w:t>证》、国家</w:t>
      </w:r>
      <w:r>
        <w:rPr>
          <w:rFonts w:hint="eastAsia" w:ascii="宋体" w:hAnsi="宋体" w:eastAsia="宋体" w:cs="宋体"/>
          <w:color w:val="auto"/>
          <w:spacing w:val="-1"/>
          <w:sz w:val="24"/>
          <w:szCs w:val="24"/>
          <w:highlight w:val="none"/>
        </w:rPr>
        <w:t>密码管理局颁发的《电子认证服务使用密码许可证》等资质，</w:t>
      </w:r>
      <w:r>
        <w:rPr>
          <w:rFonts w:hint="eastAsia" w:ascii="宋体" w:hAnsi="宋体" w:eastAsia="宋体" w:cs="宋体"/>
          <w:color w:val="auto"/>
          <w:spacing w:val="-2"/>
          <w:sz w:val="24"/>
          <w:szCs w:val="24"/>
          <w:highlight w:val="none"/>
        </w:rPr>
        <w:t>具备承担因数字证书原</w:t>
      </w:r>
      <w:r>
        <w:rPr>
          <w:rFonts w:hint="eastAsia" w:ascii="宋体" w:hAnsi="宋体" w:eastAsia="宋体" w:cs="宋体"/>
          <w:color w:val="auto"/>
          <w:spacing w:val="-1"/>
          <w:sz w:val="24"/>
          <w:szCs w:val="24"/>
          <w:highlight w:val="none"/>
        </w:rPr>
        <w:t>因产生纠纷的相关责任的能力，且在广东省内具有数量基础和</w:t>
      </w:r>
      <w:r>
        <w:rPr>
          <w:rFonts w:hint="eastAsia" w:ascii="宋体" w:hAnsi="宋体" w:eastAsia="宋体" w:cs="宋体"/>
          <w:color w:val="auto"/>
          <w:spacing w:val="-2"/>
          <w:sz w:val="24"/>
          <w:szCs w:val="24"/>
          <w:highlight w:val="none"/>
        </w:rPr>
        <w:t>服务能力的依法设立的</w:t>
      </w:r>
      <w:r>
        <w:rPr>
          <w:rFonts w:hint="eastAsia" w:ascii="宋体" w:hAnsi="宋体" w:eastAsia="宋体" w:cs="宋体"/>
          <w:color w:val="auto"/>
          <w:spacing w:val="3"/>
          <w:sz w:val="24"/>
          <w:szCs w:val="24"/>
          <w:highlight w:val="none"/>
        </w:rPr>
        <w:t>电子认证服务机构签发的电子签章认证证书（即</w:t>
      </w:r>
      <w:r>
        <w:rPr>
          <w:rFonts w:hint="eastAsia" w:ascii="宋体" w:hAnsi="宋体" w:eastAsia="宋体" w:cs="宋体"/>
          <w:color w:val="auto"/>
          <w:sz w:val="24"/>
          <w:szCs w:val="24"/>
          <w:highlight w:val="none"/>
        </w:rPr>
        <w:t>CA</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pacing w:val="3"/>
          <w:sz w:val="24"/>
          <w:szCs w:val="24"/>
          <w:highlight w:val="none"/>
        </w:rPr>
        <w:t>数字证书）。投标人应当到相关</w:t>
      </w:r>
      <w:r>
        <w:rPr>
          <w:rFonts w:hint="eastAsia" w:ascii="宋体" w:hAnsi="宋体" w:eastAsia="宋体" w:cs="宋体"/>
          <w:color w:val="auto"/>
          <w:spacing w:val="-1"/>
          <w:sz w:val="24"/>
          <w:szCs w:val="24"/>
          <w:highlight w:val="none"/>
        </w:rPr>
        <w:t>服务机构办理并取得数字证书介质和应用。电子印章包括机构</w:t>
      </w:r>
      <w:r>
        <w:rPr>
          <w:rFonts w:hint="eastAsia" w:ascii="宋体" w:hAnsi="宋体" w:eastAsia="宋体" w:cs="宋体"/>
          <w:color w:val="auto"/>
          <w:spacing w:val="-2"/>
          <w:sz w:val="24"/>
          <w:szCs w:val="24"/>
          <w:highlight w:val="none"/>
        </w:rPr>
        <w:t>法人电子形式印章，单</w:t>
      </w:r>
      <w:r>
        <w:rPr>
          <w:rFonts w:hint="eastAsia" w:ascii="宋体" w:hAnsi="宋体" w:eastAsia="宋体" w:cs="宋体"/>
          <w:color w:val="auto"/>
          <w:spacing w:val="-1"/>
          <w:sz w:val="24"/>
          <w:szCs w:val="24"/>
          <w:highlight w:val="none"/>
        </w:rPr>
        <w:t>位法定代表人、被委托人及其他个人的电子形式印章。电子印</w:t>
      </w:r>
      <w:r>
        <w:rPr>
          <w:rFonts w:hint="eastAsia" w:ascii="宋体" w:hAnsi="宋体" w:eastAsia="宋体" w:cs="宋体"/>
          <w:color w:val="auto"/>
          <w:spacing w:val="-2"/>
          <w:sz w:val="24"/>
          <w:szCs w:val="24"/>
          <w:highlight w:val="none"/>
        </w:rPr>
        <w:t>章与手写签名或者盖章</w:t>
      </w:r>
      <w:r>
        <w:rPr>
          <w:rFonts w:hint="eastAsia" w:ascii="宋体" w:hAnsi="宋体" w:eastAsia="宋体" w:cs="宋体"/>
          <w:color w:val="auto"/>
          <w:spacing w:val="-1"/>
          <w:sz w:val="24"/>
          <w:szCs w:val="24"/>
          <w:highlight w:val="none"/>
        </w:rPr>
        <w:t>具有同等的法律效力。</w:t>
      </w:r>
    </w:p>
    <w:p w14:paraId="05AB0BB7">
      <w:pPr>
        <w:spacing w:before="33" w:line="221" w:lineRule="auto"/>
        <w:ind w:left="484"/>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3.3</w:t>
      </w:r>
      <w:r>
        <w:rPr>
          <w:rFonts w:hint="eastAsia" w:ascii="宋体" w:hAnsi="宋体" w:eastAsia="宋体" w:cs="宋体"/>
          <w:b/>
          <w:bCs/>
          <w:color w:val="auto"/>
          <w:spacing w:val="8"/>
          <w:sz w:val="24"/>
          <w:szCs w:val="24"/>
          <w:highlight w:val="none"/>
        </w:rPr>
        <w:t xml:space="preserve">  </w:t>
      </w:r>
      <w:r>
        <w:rPr>
          <w:rFonts w:hint="eastAsia" w:ascii="宋体" w:hAnsi="宋体" w:eastAsia="宋体" w:cs="宋体"/>
          <w:color w:val="auto"/>
          <w:spacing w:val="-3"/>
          <w:sz w:val="24"/>
          <w:szCs w:val="24"/>
          <w:highlight w:val="none"/>
        </w:rPr>
        <w:t>投标保证</w:t>
      </w:r>
    </w:p>
    <w:p w14:paraId="050F418D">
      <w:pPr>
        <w:spacing w:before="152" w:line="280" w:lineRule="auto"/>
        <w:ind w:left="8" w:right="105" w:firstLine="476"/>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3.3.1  </w:t>
      </w:r>
      <w:r>
        <w:rPr>
          <w:rFonts w:hint="eastAsia" w:ascii="宋体" w:hAnsi="宋体" w:eastAsia="宋体" w:cs="宋体"/>
          <w:color w:val="auto"/>
          <w:spacing w:val="-1"/>
          <w:sz w:val="24"/>
          <w:szCs w:val="24"/>
          <w:highlight w:val="none"/>
        </w:rPr>
        <w:t>投标人须缴纳金额为</w:t>
      </w:r>
      <w:r>
        <w:rPr>
          <w:rFonts w:hint="eastAsia" w:ascii="宋体" w:hAnsi="宋体" w:eastAsia="宋体" w:cs="宋体"/>
          <w:color w:val="auto"/>
          <w:spacing w:val="-1"/>
          <w:sz w:val="24"/>
          <w:szCs w:val="24"/>
          <w:highlight w:val="none"/>
          <w:u w:val="single"/>
          <w:lang w:val="en-US" w:eastAsia="zh-CN"/>
        </w:rPr>
        <w:t>10万元</w:t>
      </w:r>
      <w:r>
        <w:rPr>
          <w:rFonts w:hint="eastAsia" w:ascii="宋体" w:hAnsi="宋体" w:eastAsia="宋体" w:cs="宋体"/>
          <w:color w:val="auto"/>
          <w:spacing w:val="-1"/>
          <w:sz w:val="24"/>
          <w:szCs w:val="24"/>
          <w:highlight w:val="none"/>
        </w:rPr>
        <w:t xml:space="preserve">人民币的投标保证。 </w:t>
      </w:r>
    </w:p>
    <w:p w14:paraId="28067BD7">
      <w:pPr>
        <w:spacing w:before="35" w:line="325" w:lineRule="auto"/>
        <w:ind w:left="12" w:right="108" w:firstLine="471"/>
        <w:rPr>
          <w:rFonts w:hint="eastAsia" w:ascii="宋体" w:hAnsi="宋体" w:eastAsia="宋体" w:cs="宋体"/>
          <w:color w:val="auto"/>
          <w:highlight w:val="none"/>
        </w:rPr>
      </w:pPr>
      <w:r>
        <w:rPr>
          <w:rFonts w:hint="eastAsia" w:ascii="宋体" w:hAnsi="宋体" w:eastAsia="宋体" w:cs="宋体"/>
          <w:b/>
          <w:bCs/>
          <w:color w:val="auto"/>
          <w:spacing w:val="2"/>
          <w:sz w:val="24"/>
          <w:szCs w:val="24"/>
          <w:highlight w:val="none"/>
        </w:rPr>
        <w:t xml:space="preserve">3.3.2  </w:t>
      </w:r>
      <w:r>
        <w:rPr>
          <w:rFonts w:hint="eastAsia" w:ascii="宋体" w:hAnsi="宋体" w:eastAsia="宋体" w:cs="宋体"/>
          <w:color w:val="auto"/>
          <w:spacing w:val="2"/>
          <w:sz w:val="24"/>
          <w:szCs w:val="24"/>
          <w:highlight w:val="none"/>
        </w:rPr>
        <w:t>投标保证的形式包括投标保证金、投标保证担保、投标保证保险三种</w:t>
      </w:r>
      <w:r>
        <w:rPr>
          <w:rFonts w:hint="eastAsia" w:ascii="宋体" w:hAnsi="宋体" w:eastAsia="宋体" w:cs="宋体"/>
          <w:color w:val="auto"/>
          <w:spacing w:val="1"/>
          <w:sz w:val="24"/>
          <w:szCs w:val="24"/>
          <w:highlight w:val="none"/>
        </w:rPr>
        <w:t>，由</w:t>
      </w:r>
      <w:r>
        <w:rPr>
          <w:rFonts w:hint="eastAsia" w:ascii="宋体" w:hAnsi="宋体" w:eastAsia="宋体" w:cs="宋体"/>
          <w:color w:val="auto"/>
          <w:spacing w:val="-2"/>
          <w:sz w:val="24"/>
          <w:szCs w:val="24"/>
          <w:highlight w:val="none"/>
        </w:rPr>
        <w:t>投标人自主选择。</w:t>
      </w:r>
    </w:p>
    <w:p w14:paraId="353E08E8">
      <w:pPr>
        <w:spacing w:before="78" w:line="334" w:lineRule="auto"/>
        <w:ind w:left="12" w:right="2" w:firstLine="490"/>
        <w:jc w:val="both"/>
        <w:rPr>
          <w:rFonts w:hint="eastAsia" w:ascii="宋体" w:hAnsi="宋体" w:eastAsia="宋体" w:cs="宋体"/>
          <w:color w:val="auto"/>
          <w:spacing w:val="-1"/>
          <w:sz w:val="24"/>
          <w:szCs w:val="24"/>
          <w:highlight w:val="none"/>
        </w:rPr>
      </w:pPr>
      <w:bookmarkStart w:id="21" w:name="bookmark117"/>
      <w:bookmarkEnd w:id="21"/>
      <w:r>
        <w:rPr>
          <w:rFonts w:hint="eastAsia" w:ascii="宋体" w:hAnsi="宋体" w:eastAsia="宋体" w:cs="宋体"/>
          <w:color w:val="auto"/>
          <w:spacing w:val="2"/>
          <w:sz w:val="24"/>
          <w:szCs w:val="24"/>
          <w:highlight w:val="none"/>
        </w:rPr>
        <w:t>（1）采用投标保证金的，投标人在建设工程交易系统获取招</w:t>
      </w:r>
      <w:r>
        <w:rPr>
          <w:rFonts w:hint="eastAsia" w:ascii="宋体" w:hAnsi="宋体" w:eastAsia="宋体" w:cs="宋体"/>
          <w:color w:val="auto"/>
          <w:spacing w:val="1"/>
          <w:sz w:val="24"/>
          <w:szCs w:val="24"/>
          <w:highlight w:val="none"/>
        </w:rPr>
        <w:t>标文件完毕后，即</w:t>
      </w:r>
      <w:r>
        <w:rPr>
          <w:rFonts w:hint="eastAsia" w:ascii="宋体" w:hAnsi="宋体" w:eastAsia="宋体" w:cs="宋体"/>
          <w:color w:val="auto"/>
          <w:spacing w:val="-1"/>
          <w:sz w:val="24"/>
          <w:szCs w:val="24"/>
          <w:highlight w:val="none"/>
        </w:rPr>
        <w:t>可在系统申请缴纳投标保证金，获取本次招标投标保证金缴</w:t>
      </w:r>
      <w:r>
        <w:rPr>
          <w:rFonts w:hint="eastAsia" w:ascii="宋体" w:hAnsi="宋体" w:eastAsia="宋体" w:cs="宋体"/>
          <w:color w:val="auto"/>
          <w:spacing w:val="-2"/>
          <w:sz w:val="24"/>
          <w:szCs w:val="24"/>
          <w:highlight w:val="none"/>
        </w:rPr>
        <w:t>纳账号。投标人必须于投标保证金到账截</w:t>
      </w:r>
      <w:r>
        <w:rPr>
          <w:rFonts w:hint="eastAsia" w:ascii="宋体" w:hAnsi="宋体" w:eastAsia="宋体" w:cs="宋体"/>
          <w:color w:val="auto"/>
          <w:spacing w:val="-1"/>
          <w:sz w:val="24"/>
          <w:szCs w:val="24"/>
          <w:highlight w:val="none"/>
        </w:rPr>
        <w:t>止时间（见本招标文件“重要事项时间地点一览表 ”）前，从其基本账户将投标保证金转账到指定的缴纳账号。逾期到账的、从非投标人基本账户转出的，其投标无效。</w:t>
      </w:r>
    </w:p>
    <w:p w14:paraId="2D0F206B">
      <w:pPr>
        <w:spacing w:before="78" w:line="334" w:lineRule="auto"/>
        <w:ind w:left="12" w:right="2" w:firstLine="490"/>
        <w:jc w:val="both"/>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（2）采用投标保证担保的，投标人应提交有效的电子保函或保证保险，电子保函或保证保险的有效期不得短于投标有效期。投标人必须在投标保证担保截止时间（详见“重要事项时间地点一览表 ”）前，使用工程建设交易系统完成网上办理电子保函或保证保险。</w:t>
      </w:r>
    </w:p>
    <w:p w14:paraId="66F9AA94">
      <w:pPr>
        <w:spacing w:before="78" w:line="334" w:lineRule="auto"/>
        <w:ind w:left="12" w:right="2" w:firstLine="490"/>
        <w:jc w:val="both"/>
        <w:rPr>
          <w:rFonts w:hint="eastAsia" w:ascii="宋体" w:hAnsi="宋体" w:eastAsia="宋体" w:cs="宋体"/>
          <w:color w:val="auto"/>
          <w:spacing w:val="-3"/>
          <w:sz w:val="24"/>
          <w:szCs w:val="24"/>
          <w:highlight w:val="none"/>
        </w:rPr>
      </w:pPr>
      <w:r>
        <w:rPr>
          <w:rFonts w:hint="eastAsia" w:ascii="宋体" w:hAnsi="宋体" w:eastAsia="宋体" w:cs="宋体"/>
          <w:color w:val="auto"/>
          <w:spacing w:val="-1"/>
          <w:sz w:val="24"/>
          <w:szCs w:val="24"/>
          <w:highlight w:val="none"/>
        </w:rPr>
        <w:t>（3）采用投标保证保险的，投标人须在投标保证保险投保截止时间（见本招标文件“重要事项时间地点一览表 ”）前，使用建设工程交易系统完成网上投保。投标人可在系统选择保险机构、录入投保信息、支付保费、打印</w:t>
      </w:r>
      <w:r>
        <w:rPr>
          <w:rFonts w:hint="eastAsia" w:ascii="宋体" w:hAnsi="宋体" w:eastAsia="宋体" w:cs="宋体"/>
          <w:color w:val="auto"/>
          <w:spacing w:val="-2"/>
          <w:sz w:val="24"/>
          <w:szCs w:val="24"/>
          <w:highlight w:val="none"/>
        </w:rPr>
        <w:t>电子保单，电子保单的有</w:t>
      </w:r>
      <w:r>
        <w:rPr>
          <w:rFonts w:hint="eastAsia" w:ascii="宋体" w:hAnsi="宋体" w:eastAsia="宋体" w:cs="宋体"/>
          <w:color w:val="auto"/>
          <w:spacing w:val="-3"/>
          <w:sz w:val="24"/>
          <w:szCs w:val="24"/>
          <w:highlight w:val="none"/>
        </w:rPr>
        <w:t>效期不得短于投标有效期。投标人可登录全国公共资源交易平台（广东省 ·韶关市） （</w:t>
      </w:r>
      <w:r>
        <w:rPr>
          <w:rFonts w:hint="eastAsia" w:ascii="宋体" w:hAnsi="宋体" w:eastAsia="宋体" w:cs="宋体"/>
          <w:color w:val="auto"/>
          <w:spacing w:val="-3"/>
          <w:sz w:val="24"/>
          <w:szCs w:val="24"/>
          <w:highlight w:val="none"/>
        </w:rPr>
        <w:fldChar w:fldCharType="begin"/>
      </w:r>
      <w:r>
        <w:rPr>
          <w:rFonts w:hint="eastAsia" w:ascii="宋体" w:hAnsi="宋体" w:eastAsia="宋体" w:cs="宋体"/>
          <w:color w:val="auto"/>
          <w:spacing w:val="-3"/>
          <w:sz w:val="24"/>
          <w:szCs w:val="24"/>
          <w:highlight w:val="none"/>
        </w:rPr>
        <w:instrText xml:space="preserve"> HYPERLINK "https://ygp.gdzwfw.gov.cn/ggzy-portal/#/440200/index" </w:instrText>
      </w:r>
      <w:r>
        <w:rPr>
          <w:rFonts w:hint="eastAsia" w:ascii="宋体" w:hAnsi="宋体" w:eastAsia="宋体" w:cs="宋体"/>
          <w:color w:val="auto"/>
          <w:spacing w:val="-3"/>
          <w:sz w:val="24"/>
          <w:szCs w:val="24"/>
          <w:highlight w:val="none"/>
        </w:rPr>
        <w:fldChar w:fldCharType="separate"/>
      </w:r>
      <w:r>
        <w:rPr>
          <w:rFonts w:hint="eastAsia" w:ascii="宋体" w:hAnsi="宋体" w:eastAsia="宋体" w:cs="宋体"/>
          <w:color w:val="auto"/>
          <w:spacing w:val="-3"/>
          <w:sz w:val="24"/>
          <w:szCs w:val="24"/>
          <w:highlight w:val="none"/>
        </w:rPr>
        <w:t>https://ygp.gdzwfw.gov.cn/ggzy-portal/#/440200/index</w:t>
      </w:r>
      <w:r>
        <w:rPr>
          <w:rFonts w:hint="eastAsia" w:ascii="宋体" w:hAnsi="宋体" w:eastAsia="宋体" w:cs="宋体"/>
          <w:color w:val="auto"/>
          <w:spacing w:val="-3"/>
          <w:sz w:val="24"/>
          <w:szCs w:val="24"/>
          <w:highlight w:val="none"/>
        </w:rPr>
        <w:fldChar w:fldCharType="end"/>
      </w:r>
      <w:r>
        <w:rPr>
          <w:rFonts w:hint="eastAsia" w:ascii="宋体" w:hAnsi="宋体" w:eastAsia="宋体" w:cs="宋体"/>
          <w:color w:val="auto"/>
          <w:spacing w:val="-3"/>
          <w:sz w:val="24"/>
          <w:szCs w:val="24"/>
          <w:highlight w:val="none"/>
        </w:rPr>
        <w:t>），在【服务指南】栏 目中下载《建设工程网上交易系统保险保证金缴纳操作指南》，了解网上投保具体操 作流程。逾期投保的，其投标无效。</w:t>
      </w:r>
    </w:p>
    <w:p w14:paraId="6CFA3F60">
      <w:pPr>
        <w:spacing w:before="78" w:line="334" w:lineRule="auto"/>
        <w:ind w:left="12" w:right="2" w:firstLine="490"/>
        <w:jc w:val="both"/>
        <w:rPr>
          <w:rFonts w:hint="eastAsia" w:ascii="宋体" w:hAnsi="宋体" w:eastAsia="宋体" w:cs="宋体"/>
          <w:color w:val="auto"/>
          <w:spacing w:val="-3"/>
          <w:sz w:val="24"/>
          <w:szCs w:val="24"/>
          <w:highlight w:val="none"/>
        </w:rPr>
      </w:pPr>
      <w:r>
        <w:rPr>
          <w:rFonts w:hint="eastAsia" w:ascii="宋体" w:hAnsi="宋体" w:eastAsia="宋体" w:cs="宋体"/>
          <w:color w:val="auto"/>
          <w:spacing w:val="-3"/>
          <w:sz w:val="24"/>
          <w:szCs w:val="24"/>
          <w:highlight w:val="none"/>
        </w:rPr>
        <w:t>温馨提示：1.投标人采用投标保证担保或投标保证保险的，为避免在评标过程中因有效期发生争议，建议投标人将银行保函或电子保单有效期设置为较招标文件规定的投标有效期延长不少于 20 个日历天。</w:t>
      </w:r>
    </w:p>
    <w:p w14:paraId="06BEDC68">
      <w:pPr>
        <w:spacing w:before="78" w:line="334" w:lineRule="auto"/>
        <w:ind w:left="12" w:right="2" w:firstLine="490"/>
        <w:jc w:val="both"/>
        <w:rPr>
          <w:rFonts w:hint="eastAsia" w:ascii="宋体" w:hAnsi="宋体" w:eastAsia="宋体" w:cs="宋体"/>
          <w:color w:val="auto"/>
          <w:highlight w:val="none"/>
        </w:rPr>
      </w:pPr>
      <w:r>
        <w:rPr>
          <w:rFonts w:hint="eastAsia" w:ascii="宋体" w:hAnsi="宋体" w:eastAsia="宋体" w:cs="宋体"/>
          <w:b/>
          <w:bCs/>
          <w:color w:val="auto"/>
          <w:spacing w:val="-3"/>
          <w:sz w:val="24"/>
          <w:szCs w:val="24"/>
          <w:highlight w:val="none"/>
        </w:rPr>
        <w:t xml:space="preserve">3.4 </w:t>
      </w:r>
      <w:r>
        <w:rPr>
          <w:rFonts w:hint="eastAsia" w:ascii="宋体" w:hAnsi="宋体" w:eastAsia="宋体" w:cs="宋体"/>
          <w:color w:val="auto"/>
          <w:spacing w:val="-3"/>
          <w:sz w:val="24"/>
          <w:szCs w:val="24"/>
          <w:highlight w:val="none"/>
        </w:rPr>
        <w:t xml:space="preserve"> 若投标人因自身原因未能正确完成获取招标文件</w:t>
      </w:r>
      <w:r>
        <w:rPr>
          <w:rFonts w:hint="eastAsia" w:ascii="宋体" w:hAnsi="宋体" w:eastAsia="宋体" w:cs="宋体"/>
          <w:color w:val="auto"/>
          <w:sz w:val="24"/>
          <w:szCs w:val="24"/>
          <w:highlight w:val="none"/>
        </w:rPr>
        <w:t>、电子投标、缴纳投标保证</w:t>
      </w:r>
      <w:r>
        <w:rPr>
          <w:rFonts w:hint="eastAsia" w:ascii="宋体" w:hAnsi="宋体" w:eastAsia="宋体" w:cs="宋体"/>
          <w:color w:val="auto"/>
          <w:spacing w:val="-4"/>
          <w:sz w:val="24"/>
          <w:szCs w:val="24"/>
          <w:highlight w:val="none"/>
        </w:rPr>
        <w:t>的，其投标无效。</w:t>
      </w:r>
    </w:p>
    <w:p w14:paraId="31109792">
      <w:pPr>
        <w:spacing w:before="79" w:line="221" w:lineRule="auto"/>
        <w:ind w:left="487"/>
        <w:outlineLvl w:val="2"/>
        <w:rPr>
          <w:rFonts w:hint="eastAsia" w:ascii="宋体" w:hAnsi="宋体" w:eastAsia="宋体" w:cs="宋体"/>
          <w:color w:val="auto"/>
          <w:sz w:val="24"/>
          <w:szCs w:val="24"/>
          <w:highlight w:val="none"/>
        </w:rPr>
      </w:pPr>
      <w:bookmarkStart w:id="22" w:name="bookmark78"/>
      <w:bookmarkEnd w:id="22"/>
      <w:bookmarkStart w:id="23" w:name="bookmark64"/>
      <w:bookmarkEnd w:id="23"/>
      <w:bookmarkStart w:id="24" w:name="_Toc8255"/>
      <w:bookmarkStart w:id="25" w:name="_Toc15498"/>
      <w:r>
        <w:rPr>
          <w:rFonts w:hint="eastAsia" w:ascii="宋体" w:hAnsi="宋体" w:eastAsia="宋体" w:cs="宋体"/>
          <w:b/>
          <w:bCs/>
          <w:color w:val="auto"/>
          <w:spacing w:val="-8"/>
          <w:sz w:val="24"/>
          <w:szCs w:val="24"/>
          <w:highlight w:val="none"/>
        </w:rPr>
        <w:t>4</w:t>
      </w:r>
      <w:r>
        <w:rPr>
          <w:rFonts w:hint="eastAsia" w:ascii="宋体" w:hAnsi="宋体" w:eastAsia="宋体" w:cs="宋体"/>
          <w:b/>
          <w:bCs/>
          <w:color w:val="auto"/>
          <w:spacing w:val="-8"/>
          <w:sz w:val="24"/>
          <w:szCs w:val="24"/>
          <w:highlight w:val="none"/>
          <w:lang w:val="en-US" w:eastAsia="zh-CN"/>
        </w:rPr>
        <w:t xml:space="preserve"> </w:t>
      </w:r>
      <w:r>
        <w:rPr>
          <w:rFonts w:hint="eastAsia" w:ascii="宋体" w:hAnsi="宋体" w:eastAsia="宋体" w:cs="宋体"/>
          <w:b/>
          <w:bCs/>
          <w:color w:val="auto"/>
          <w:spacing w:val="-8"/>
          <w:sz w:val="24"/>
          <w:szCs w:val="24"/>
          <w:highlight w:val="none"/>
        </w:rPr>
        <w:t>．工期要求</w:t>
      </w:r>
      <w:bookmarkEnd w:id="24"/>
      <w:bookmarkEnd w:id="25"/>
    </w:p>
    <w:p w14:paraId="492DB599">
      <w:pPr>
        <w:spacing w:before="153" w:line="324" w:lineRule="auto"/>
        <w:ind w:right="65" w:firstLine="236" w:firstLineChars="10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本招标项目招标工期为</w:t>
      </w:r>
      <w:r>
        <w:rPr>
          <w:rFonts w:hint="eastAsia" w:ascii="宋体" w:hAnsi="宋体" w:eastAsia="宋体" w:cs="宋体"/>
          <w:color w:val="auto"/>
          <w:spacing w:val="-2"/>
          <w:sz w:val="24"/>
          <w:szCs w:val="24"/>
          <w:highlight w:val="none"/>
          <w:u w:val="single"/>
          <w:lang w:val="en-US" w:eastAsia="zh-CN"/>
        </w:rPr>
        <w:t>120个日历天</w:t>
      </w:r>
      <w:r>
        <w:rPr>
          <w:rFonts w:hint="eastAsia" w:ascii="宋体" w:hAnsi="宋体" w:eastAsia="宋体" w:cs="宋体"/>
          <w:color w:val="auto"/>
          <w:spacing w:val="-2"/>
          <w:sz w:val="24"/>
          <w:szCs w:val="24"/>
          <w:highlight w:val="none"/>
        </w:rPr>
        <w:t>，中标人必须在招标工期内完成招标范围内</w:t>
      </w:r>
      <w:r>
        <w:rPr>
          <w:rFonts w:hint="eastAsia" w:ascii="宋体" w:hAnsi="宋体" w:eastAsia="宋体" w:cs="宋体"/>
          <w:color w:val="auto"/>
          <w:spacing w:val="-5"/>
          <w:sz w:val="24"/>
          <w:szCs w:val="24"/>
          <w:highlight w:val="none"/>
        </w:rPr>
        <w:t>的全部内容。</w:t>
      </w:r>
    </w:p>
    <w:p w14:paraId="6CEF653C">
      <w:pPr>
        <w:spacing w:before="78" w:line="219" w:lineRule="auto"/>
        <w:ind w:left="488"/>
        <w:outlineLvl w:val="2"/>
        <w:rPr>
          <w:rFonts w:hint="eastAsia" w:ascii="宋体" w:hAnsi="宋体" w:eastAsia="宋体" w:cs="宋体"/>
          <w:color w:val="auto"/>
          <w:sz w:val="24"/>
          <w:szCs w:val="24"/>
          <w:highlight w:val="none"/>
        </w:rPr>
      </w:pPr>
      <w:bookmarkStart w:id="26" w:name="_Toc4154"/>
      <w:bookmarkStart w:id="27" w:name="_Toc11449"/>
      <w:r>
        <w:rPr>
          <w:rFonts w:hint="eastAsia" w:ascii="宋体" w:hAnsi="宋体" w:eastAsia="宋体" w:cs="宋体"/>
          <w:b/>
          <w:bCs/>
          <w:color w:val="auto"/>
          <w:spacing w:val="-5"/>
          <w:sz w:val="24"/>
          <w:szCs w:val="24"/>
          <w:highlight w:val="none"/>
        </w:rPr>
        <w:t>5</w:t>
      </w:r>
      <w:r>
        <w:rPr>
          <w:rFonts w:hint="eastAsia" w:ascii="宋体" w:hAnsi="宋体" w:eastAsia="宋体" w:cs="宋体"/>
          <w:b/>
          <w:bCs/>
          <w:color w:val="auto"/>
          <w:spacing w:val="-5"/>
          <w:sz w:val="24"/>
          <w:szCs w:val="24"/>
          <w:highlight w:val="none"/>
          <w:lang w:val="en-US" w:eastAsia="zh-CN"/>
        </w:rPr>
        <w:t xml:space="preserve"> </w:t>
      </w:r>
      <w:r>
        <w:rPr>
          <w:rFonts w:hint="eastAsia" w:ascii="宋体" w:hAnsi="宋体" w:eastAsia="宋体" w:cs="宋体"/>
          <w:b/>
          <w:bCs/>
          <w:color w:val="auto"/>
          <w:spacing w:val="-5"/>
          <w:sz w:val="24"/>
          <w:szCs w:val="24"/>
          <w:highlight w:val="none"/>
        </w:rPr>
        <w:t>．质量标准和材料、机械要求</w:t>
      </w:r>
      <w:bookmarkEnd w:id="26"/>
      <w:bookmarkEnd w:id="27"/>
    </w:p>
    <w:p w14:paraId="6580E484">
      <w:pPr>
        <w:spacing w:before="154" w:line="279" w:lineRule="auto"/>
        <w:ind w:left="11" w:right="99" w:firstLine="477"/>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5.1  </w:t>
      </w:r>
      <w:r>
        <w:rPr>
          <w:rFonts w:hint="eastAsia" w:ascii="宋体" w:hAnsi="宋体" w:eastAsia="宋体" w:cs="宋体"/>
          <w:color w:val="auto"/>
          <w:sz w:val="24"/>
          <w:szCs w:val="24"/>
          <w:highlight w:val="none"/>
        </w:rPr>
        <w:t>施工工艺严格按照国家和广东省的有关现行施工技术规范及标准执行，工程</w:t>
      </w:r>
      <w:r>
        <w:rPr>
          <w:rFonts w:hint="eastAsia" w:ascii="宋体" w:hAnsi="宋体" w:eastAsia="宋体" w:cs="宋体"/>
          <w:color w:val="auto"/>
          <w:spacing w:val="-1"/>
          <w:sz w:val="24"/>
          <w:szCs w:val="24"/>
          <w:highlight w:val="none"/>
        </w:rPr>
        <w:t>质量标准须达到</w:t>
      </w:r>
      <w:r>
        <w:rPr>
          <w:rFonts w:hint="eastAsia" w:ascii="宋体" w:hAnsi="宋体" w:eastAsia="宋体" w:cs="宋体"/>
          <w:color w:val="auto"/>
          <w:spacing w:val="-1"/>
          <w:sz w:val="24"/>
          <w:szCs w:val="24"/>
          <w:highlight w:val="none"/>
          <w:u w:val="single"/>
          <w:lang w:val="en-US" w:eastAsia="zh-CN"/>
        </w:rPr>
        <w:t>《建筑工程施工质量验收统一标准》(GB50300-2013)并且合格</w:t>
      </w:r>
      <w:r>
        <w:rPr>
          <w:rFonts w:hint="eastAsia" w:ascii="宋体" w:hAnsi="宋体" w:eastAsia="宋体" w:cs="宋体"/>
          <w:color w:val="auto"/>
          <w:spacing w:val="-1"/>
          <w:sz w:val="24"/>
          <w:szCs w:val="24"/>
          <w:highlight w:val="none"/>
          <w:u w:val="single"/>
        </w:rPr>
        <w:t xml:space="preserve"> </w:t>
      </w:r>
      <w:r>
        <w:rPr>
          <w:rFonts w:hint="eastAsia" w:ascii="宋体" w:hAnsi="宋体" w:eastAsia="宋体" w:cs="宋体"/>
          <w:color w:val="auto"/>
          <w:spacing w:val="-1"/>
          <w:sz w:val="24"/>
          <w:szCs w:val="24"/>
          <w:highlight w:val="none"/>
        </w:rPr>
        <w:t>。</w:t>
      </w:r>
    </w:p>
    <w:p w14:paraId="549FF2FB">
      <w:pPr>
        <w:spacing w:before="154" w:line="279" w:lineRule="auto"/>
        <w:ind w:left="10" w:right="99" w:firstLine="558"/>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5.2</w:t>
      </w:r>
      <w:r>
        <w:rPr>
          <w:rFonts w:hint="eastAsia" w:ascii="宋体" w:hAnsi="宋体" w:eastAsia="宋体" w:cs="宋体"/>
          <w:b/>
          <w:bCs/>
          <w:color w:val="auto"/>
          <w:spacing w:val="21"/>
          <w:w w:val="101"/>
          <w:sz w:val="24"/>
          <w:szCs w:val="24"/>
          <w:highlight w:val="none"/>
        </w:rPr>
        <w:t xml:space="preserve">  </w:t>
      </w:r>
      <w:r>
        <w:rPr>
          <w:rFonts w:hint="eastAsia" w:ascii="宋体" w:hAnsi="宋体" w:eastAsia="宋体" w:cs="宋体"/>
          <w:color w:val="auto"/>
          <w:spacing w:val="-3"/>
          <w:sz w:val="24"/>
          <w:szCs w:val="24"/>
          <w:highlight w:val="none"/>
        </w:rPr>
        <w:t>中标人在施工中如果工程质量不符合设计要求和有关规定，招标人或监理单</w:t>
      </w:r>
      <w:r>
        <w:rPr>
          <w:rFonts w:hint="eastAsia" w:ascii="宋体" w:hAnsi="宋体" w:eastAsia="宋体" w:cs="宋体"/>
          <w:color w:val="auto"/>
          <w:sz w:val="24"/>
          <w:szCs w:val="24"/>
          <w:highlight w:val="none"/>
        </w:rPr>
        <w:t>位要求停工和返工的必须立即执行，并承担由此产生的各</w:t>
      </w:r>
      <w:r>
        <w:rPr>
          <w:rFonts w:hint="eastAsia" w:ascii="宋体" w:hAnsi="宋体" w:eastAsia="宋体" w:cs="宋体"/>
          <w:color w:val="auto"/>
          <w:spacing w:val="-1"/>
          <w:sz w:val="24"/>
          <w:szCs w:val="24"/>
          <w:highlight w:val="none"/>
        </w:rPr>
        <w:t>种费用，工期不予顺延。</w:t>
      </w:r>
    </w:p>
    <w:p w14:paraId="1B48C340">
      <w:pPr>
        <w:spacing w:before="152" w:line="309" w:lineRule="auto"/>
        <w:ind w:left="9" w:firstLine="568"/>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6"/>
          <w:sz w:val="24"/>
          <w:szCs w:val="24"/>
          <w:highlight w:val="none"/>
        </w:rPr>
        <w:t xml:space="preserve">5.3  </w:t>
      </w:r>
      <w:r>
        <w:rPr>
          <w:rFonts w:hint="eastAsia" w:ascii="宋体" w:hAnsi="宋体" w:eastAsia="宋体" w:cs="宋体"/>
          <w:color w:val="auto"/>
          <w:spacing w:val="-6"/>
          <w:sz w:val="24"/>
          <w:szCs w:val="24"/>
          <w:highlight w:val="none"/>
        </w:rPr>
        <w:t>保修期限按《建设工程质量管理条例》（中华人民共和国国务院令第</w:t>
      </w:r>
      <w:r>
        <w:rPr>
          <w:rFonts w:hint="eastAsia" w:ascii="宋体" w:hAnsi="宋体" w:eastAsia="宋体" w:cs="宋体"/>
          <w:color w:val="auto"/>
          <w:spacing w:val="-50"/>
          <w:sz w:val="24"/>
          <w:szCs w:val="24"/>
          <w:highlight w:val="none"/>
        </w:rPr>
        <w:t xml:space="preserve"> </w:t>
      </w:r>
      <w:r>
        <w:rPr>
          <w:rFonts w:hint="eastAsia" w:ascii="宋体" w:hAnsi="宋体" w:eastAsia="宋体" w:cs="宋体"/>
          <w:color w:val="auto"/>
          <w:spacing w:val="-6"/>
          <w:sz w:val="24"/>
          <w:szCs w:val="24"/>
          <w:highlight w:val="none"/>
        </w:rPr>
        <w:t>279</w:t>
      </w:r>
      <w:r>
        <w:rPr>
          <w:rFonts w:hint="eastAsia" w:ascii="宋体" w:hAnsi="宋体" w:eastAsia="宋体" w:cs="宋体"/>
          <w:color w:val="auto"/>
          <w:spacing w:val="15"/>
          <w:sz w:val="24"/>
          <w:szCs w:val="24"/>
          <w:highlight w:val="none"/>
        </w:rPr>
        <w:t xml:space="preserve"> </w:t>
      </w:r>
      <w:r>
        <w:rPr>
          <w:rFonts w:hint="eastAsia" w:ascii="宋体" w:hAnsi="宋体" w:eastAsia="宋体" w:cs="宋体"/>
          <w:color w:val="auto"/>
          <w:spacing w:val="-6"/>
          <w:sz w:val="24"/>
          <w:szCs w:val="24"/>
          <w:highlight w:val="none"/>
        </w:rPr>
        <w:t>号）</w:t>
      </w:r>
      <w:r>
        <w:rPr>
          <w:rFonts w:hint="eastAsia" w:ascii="宋体" w:hAnsi="宋体" w:eastAsia="宋体" w:cs="宋体"/>
          <w:color w:val="auto"/>
          <w:spacing w:val="-1"/>
          <w:sz w:val="24"/>
          <w:szCs w:val="24"/>
          <w:highlight w:val="none"/>
        </w:rPr>
        <w:t>规定执行，在保修期内因施工质量问题而造成返修，一切费用由中标人负责。中标人在向招标人提交竣工验收报告时，应当向招标人出具质量保修书。质量保修书中应当明确建设工程的保修范围、保修期限和保修责任等。</w:t>
      </w:r>
    </w:p>
    <w:p w14:paraId="6F4EC01E">
      <w:pPr>
        <w:spacing w:before="152" w:line="309" w:lineRule="auto"/>
        <w:ind w:left="9" w:firstLine="568"/>
        <w:rPr>
          <w:rFonts w:hint="eastAsia" w:ascii="宋体" w:hAnsi="宋体" w:eastAsia="宋体" w:cs="宋体"/>
          <w:color w:val="auto"/>
          <w:spacing w:val="-6"/>
          <w:sz w:val="24"/>
          <w:szCs w:val="24"/>
          <w:highlight w:val="none"/>
        </w:rPr>
      </w:pPr>
      <w:r>
        <w:rPr>
          <w:rFonts w:hint="eastAsia" w:ascii="宋体" w:hAnsi="宋体" w:eastAsia="宋体" w:cs="宋体"/>
          <w:b/>
          <w:bCs/>
          <w:color w:val="auto"/>
          <w:spacing w:val="-1"/>
          <w:sz w:val="24"/>
          <w:szCs w:val="24"/>
          <w:highlight w:val="none"/>
        </w:rPr>
        <w:t>5.4</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6"/>
          <w:sz w:val="24"/>
          <w:szCs w:val="24"/>
          <w:highlight w:val="none"/>
          <w:lang w:val="en-US" w:eastAsia="zh-CN"/>
        </w:rPr>
        <w:t>根据韶关市人民政府《关于加快推进全市绿色建筑发展工作的通知》（韶府办明电〔2013〕277 号）有关规定，结合《韶关市住建管理局关于贯彻落实&lt;广东省绿色建筑条例&gt;有关工作的通知》（韶市建字〔2021〕85 号）等有关规定，</w:t>
      </w:r>
      <w:r>
        <w:rPr>
          <w:rFonts w:hint="eastAsia" w:ascii="宋体" w:hAnsi="宋体" w:eastAsia="宋体" w:cs="宋体"/>
          <w:color w:val="auto"/>
          <w:spacing w:val="-6"/>
          <w:sz w:val="24"/>
          <w:szCs w:val="24"/>
          <w:highlight w:val="none"/>
        </w:rPr>
        <w:t>本招标项目</w:t>
      </w:r>
      <w:r>
        <w:rPr>
          <w:rFonts w:hint="eastAsia" w:ascii="宋体" w:hAnsi="宋体" w:eastAsia="宋体" w:cs="宋体"/>
          <w:color w:val="auto"/>
          <w:spacing w:val="-6"/>
          <w:sz w:val="24"/>
          <w:szCs w:val="24"/>
          <w:highlight w:val="none"/>
          <w:lang w:val="en-US" w:eastAsia="zh-CN"/>
        </w:rPr>
        <w:t>不</w:t>
      </w:r>
      <w:r>
        <w:rPr>
          <w:rFonts w:hint="eastAsia" w:ascii="宋体" w:hAnsi="宋体" w:eastAsia="宋体" w:cs="宋体"/>
          <w:color w:val="auto"/>
          <w:spacing w:val="-6"/>
          <w:sz w:val="24"/>
          <w:szCs w:val="24"/>
          <w:highlight w:val="none"/>
        </w:rPr>
        <w:t>纳入绿色建设实施范围</w:t>
      </w:r>
      <w:r>
        <w:rPr>
          <w:rFonts w:hint="eastAsia" w:ascii="宋体" w:hAnsi="宋体" w:eastAsia="宋体" w:cs="宋体"/>
          <w:color w:val="auto"/>
          <w:spacing w:val="-6"/>
          <w:sz w:val="24"/>
          <w:szCs w:val="24"/>
          <w:highlight w:val="none"/>
          <w:lang w:eastAsia="zh-CN"/>
        </w:rPr>
        <w:t>。</w:t>
      </w:r>
    </w:p>
    <w:p w14:paraId="3EA8CECA">
      <w:pPr>
        <w:spacing w:before="152" w:line="309" w:lineRule="auto"/>
        <w:ind w:left="9" w:firstLine="568"/>
        <w:rPr>
          <w:rFonts w:hint="eastAsia" w:ascii="宋体" w:hAnsi="宋体" w:eastAsia="宋体" w:cs="宋体"/>
          <w:color w:val="auto"/>
          <w:spacing w:val="-1"/>
          <w:sz w:val="24"/>
          <w:szCs w:val="24"/>
          <w:highlight w:val="none"/>
          <w:lang w:val="en-US" w:eastAsia="zh-CN"/>
        </w:rPr>
      </w:pPr>
      <w:r>
        <w:rPr>
          <w:rFonts w:hint="eastAsia" w:ascii="宋体" w:hAnsi="宋体" w:eastAsia="宋体" w:cs="宋体"/>
          <w:b/>
          <w:bCs/>
          <w:color w:val="auto"/>
          <w:spacing w:val="-1"/>
          <w:sz w:val="24"/>
          <w:szCs w:val="24"/>
          <w:highlight w:val="none"/>
        </w:rPr>
        <w:t>5.5</w:t>
      </w:r>
      <w:r>
        <w:rPr>
          <w:rFonts w:hint="eastAsia" w:ascii="宋体" w:hAnsi="宋体" w:eastAsia="宋体" w:cs="宋体"/>
          <w:color w:val="auto"/>
          <w:spacing w:val="-1"/>
          <w:sz w:val="24"/>
          <w:szCs w:val="24"/>
          <w:highlight w:val="none"/>
        </w:rPr>
        <w:t xml:space="preserve">  其它：</w:t>
      </w:r>
      <w:r>
        <w:rPr>
          <w:rFonts w:hint="eastAsia" w:ascii="宋体" w:hAnsi="宋体" w:eastAsia="宋体" w:cs="宋体"/>
          <w:color w:val="auto"/>
          <w:spacing w:val="-1"/>
          <w:sz w:val="24"/>
          <w:szCs w:val="24"/>
          <w:highlight w:val="none"/>
          <w:lang w:eastAsia="zh-CN"/>
        </w:rPr>
        <w:t>本招标项目</w:t>
      </w:r>
      <w:r>
        <w:rPr>
          <w:rFonts w:hint="eastAsia" w:ascii="宋体" w:hAnsi="宋体" w:eastAsia="宋体" w:cs="宋体"/>
          <w:color w:val="auto"/>
          <w:spacing w:val="-1"/>
          <w:sz w:val="24"/>
          <w:szCs w:val="24"/>
          <w:highlight w:val="none"/>
          <w:lang w:val="en-US" w:eastAsia="zh-CN"/>
        </w:rPr>
        <w:t>不</w:t>
      </w:r>
      <w:r>
        <w:rPr>
          <w:rFonts w:hint="eastAsia" w:ascii="宋体" w:hAnsi="宋体" w:eastAsia="宋体" w:cs="宋体"/>
          <w:color w:val="auto"/>
          <w:spacing w:val="-1"/>
          <w:sz w:val="24"/>
          <w:szCs w:val="24"/>
          <w:highlight w:val="none"/>
          <w:lang w:eastAsia="zh-CN"/>
        </w:rPr>
        <w:t>纳入装配式建造建设实施范围。</w:t>
      </w:r>
    </w:p>
    <w:p w14:paraId="529B9570">
      <w:pPr>
        <w:spacing w:before="152" w:line="309" w:lineRule="auto"/>
        <w:ind w:left="9" w:firstLine="568"/>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1"/>
          <w:sz w:val="24"/>
          <w:szCs w:val="24"/>
          <w:highlight w:val="none"/>
        </w:rPr>
        <w:t>5.6</w:t>
      </w:r>
      <w:r>
        <w:rPr>
          <w:rFonts w:hint="eastAsia" w:ascii="宋体" w:hAnsi="宋体" w:eastAsia="宋体" w:cs="宋体"/>
          <w:color w:val="auto"/>
          <w:spacing w:val="-1"/>
          <w:sz w:val="24"/>
          <w:szCs w:val="24"/>
          <w:highlight w:val="none"/>
        </w:rPr>
        <w:t xml:space="preserve">  其它：本招标文件（包括答疑纪要、补充及修改文件）中招标人对材料或设备有明确要求的，投标人必须响应招标人要求，如投标人在投标文件未明确响应者视为默认；或投标人在投标文件中的虽有响应但不符合招标人要求的，视为无效响应，中标后必须按招标人要求执行。如招标人在招标文件中对材料或设备没有明确要求</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则中标人必须使用合格材料或设备。</w:t>
      </w:r>
    </w:p>
    <w:p w14:paraId="7DD80F84">
      <w:pPr>
        <w:spacing w:before="152" w:line="309" w:lineRule="auto"/>
        <w:ind w:left="9" w:firstLine="568"/>
        <w:rPr>
          <w:rFonts w:hint="eastAsia" w:ascii="宋体" w:hAnsi="宋体" w:eastAsia="宋体" w:cs="宋体"/>
          <w:color w:val="auto"/>
          <w:highlight w:val="none"/>
        </w:rPr>
      </w:pPr>
      <w:r>
        <w:rPr>
          <w:rFonts w:hint="eastAsia" w:ascii="宋体" w:hAnsi="宋体" w:eastAsia="宋体" w:cs="宋体"/>
          <w:b/>
          <w:bCs/>
          <w:color w:val="auto"/>
          <w:spacing w:val="-1"/>
          <w:sz w:val="24"/>
          <w:szCs w:val="24"/>
          <w:highlight w:val="none"/>
        </w:rPr>
        <w:t>5.</w:t>
      </w:r>
      <w:r>
        <w:rPr>
          <w:rFonts w:hint="eastAsia" w:ascii="宋体" w:hAnsi="宋体" w:eastAsia="宋体" w:cs="宋体"/>
          <w:b/>
          <w:bCs/>
          <w:color w:val="auto"/>
          <w:spacing w:val="-1"/>
          <w:sz w:val="24"/>
          <w:szCs w:val="24"/>
          <w:highlight w:val="none"/>
          <w:lang w:eastAsia="zh-CN"/>
        </w:rPr>
        <w:t>7</w:t>
      </w:r>
      <w:r>
        <w:rPr>
          <w:rFonts w:hint="eastAsia" w:ascii="宋体" w:hAnsi="宋体" w:eastAsia="宋体" w:cs="宋体"/>
          <w:color w:val="auto"/>
          <w:spacing w:val="-1"/>
          <w:sz w:val="24"/>
          <w:szCs w:val="24"/>
          <w:highlight w:val="none"/>
        </w:rPr>
        <w:t xml:space="preserve"> 工程使用的主要材料质量要求：不低于强制标准、招标工程量清单所列的要求，主要材料必须先提供样板或相关资料给招标人和监理工程师验收，同意确定其规格、型号、颜色、等级等，并经发包人委托的第三方检测部门检测合格方可使用，所有材料必须使用合格产品。</w:t>
      </w:r>
    </w:p>
    <w:p w14:paraId="4A8A6FE1">
      <w:pPr>
        <w:spacing w:before="78" w:line="220" w:lineRule="auto"/>
        <w:ind w:left="489"/>
        <w:outlineLvl w:val="2"/>
        <w:rPr>
          <w:rFonts w:hint="eastAsia" w:ascii="宋体" w:hAnsi="宋体" w:eastAsia="宋体" w:cs="宋体"/>
          <w:color w:val="auto"/>
          <w:sz w:val="24"/>
          <w:szCs w:val="24"/>
          <w:highlight w:val="none"/>
        </w:rPr>
      </w:pPr>
      <w:bookmarkStart w:id="28" w:name="_Toc7763"/>
      <w:bookmarkStart w:id="29" w:name="_Toc21146"/>
      <w:r>
        <w:rPr>
          <w:rFonts w:hint="eastAsia" w:ascii="宋体" w:hAnsi="宋体" w:eastAsia="宋体" w:cs="宋体"/>
          <w:b/>
          <w:bCs/>
          <w:color w:val="auto"/>
          <w:spacing w:val="-6"/>
          <w:sz w:val="24"/>
          <w:szCs w:val="24"/>
          <w:highlight w:val="none"/>
        </w:rPr>
        <w:t>6</w:t>
      </w:r>
      <w:r>
        <w:rPr>
          <w:rFonts w:hint="eastAsia" w:ascii="宋体" w:hAnsi="宋体" w:eastAsia="宋体" w:cs="宋体"/>
          <w:b/>
          <w:bCs/>
          <w:color w:val="auto"/>
          <w:spacing w:val="-20"/>
          <w:sz w:val="24"/>
          <w:szCs w:val="24"/>
          <w:highlight w:val="none"/>
        </w:rPr>
        <w:t xml:space="preserve"> </w:t>
      </w:r>
      <w:r>
        <w:rPr>
          <w:rFonts w:hint="eastAsia" w:ascii="宋体" w:hAnsi="宋体" w:eastAsia="宋体" w:cs="宋体"/>
          <w:b/>
          <w:bCs/>
          <w:color w:val="auto"/>
          <w:spacing w:val="-6"/>
          <w:sz w:val="24"/>
          <w:szCs w:val="24"/>
          <w:highlight w:val="none"/>
        </w:rPr>
        <w:t>．施工条件及现场踏勘</w:t>
      </w:r>
      <w:bookmarkEnd w:id="28"/>
      <w:bookmarkEnd w:id="29"/>
    </w:p>
    <w:p w14:paraId="4C828FEF">
      <w:pPr>
        <w:spacing w:before="155" w:line="324" w:lineRule="auto"/>
        <w:ind w:left="12" w:right="99" w:firstLine="556"/>
        <w:rPr>
          <w:rFonts w:hint="eastAsia" w:ascii="宋体" w:hAnsi="宋体" w:eastAsia="宋体" w:cs="宋体"/>
          <w:color w:val="auto"/>
          <w:spacing w:val="-2"/>
          <w:sz w:val="24"/>
          <w:szCs w:val="24"/>
          <w:highlight w:val="none"/>
        </w:rPr>
      </w:pPr>
      <w:r>
        <w:rPr>
          <w:rFonts w:hint="eastAsia" w:ascii="宋体" w:hAnsi="宋体" w:eastAsia="宋体" w:cs="宋体"/>
          <w:b/>
          <w:bCs/>
          <w:color w:val="auto"/>
          <w:spacing w:val="-2"/>
          <w:sz w:val="24"/>
          <w:szCs w:val="24"/>
          <w:highlight w:val="none"/>
        </w:rPr>
        <w:t xml:space="preserve">6.1  </w:t>
      </w:r>
      <w:r>
        <w:rPr>
          <w:rFonts w:hint="eastAsia" w:ascii="宋体" w:hAnsi="宋体" w:eastAsia="宋体" w:cs="宋体"/>
          <w:color w:val="auto"/>
          <w:spacing w:val="-2"/>
          <w:sz w:val="24"/>
          <w:szCs w:val="24"/>
          <w:highlight w:val="none"/>
        </w:rPr>
        <w:t>招标人仅在本招标项目征地红线范围内提供场地，其他一切场地费用由中标人自行负责（含临时道路）。</w:t>
      </w:r>
    </w:p>
    <w:p w14:paraId="2BD082AA">
      <w:pPr>
        <w:spacing w:before="155" w:line="324" w:lineRule="auto"/>
        <w:ind w:left="12" w:right="99" w:firstLine="556"/>
        <w:rPr>
          <w:rFonts w:hint="eastAsia" w:ascii="宋体" w:hAnsi="宋体" w:eastAsia="宋体" w:cs="宋体"/>
          <w:color w:val="auto"/>
          <w:spacing w:val="-2"/>
          <w:sz w:val="24"/>
          <w:szCs w:val="24"/>
          <w:highlight w:val="none"/>
        </w:rPr>
      </w:pPr>
      <w:bookmarkStart w:id="30" w:name="bookmark118"/>
      <w:bookmarkEnd w:id="30"/>
      <w:r>
        <w:rPr>
          <w:rFonts w:hint="eastAsia" w:ascii="宋体" w:hAnsi="宋体" w:eastAsia="宋体" w:cs="宋体"/>
          <w:b/>
          <w:bCs/>
          <w:color w:val="auto"/>
          <w:spacing w:val="-2"/>
          <w:sz w:val="24"/>
          <w:szCs w:val="24"/>
          <w:highlight w:val="none"/>
        </w:rPr>
        <w:t>6.2</w:t>
      </w:r>
      <w:r>
        <w:rPr>
          <w:rFonts w:hint="eastAsia" w:ascii="宋体" w:hAnsi="宋体" w:eastAsia="宋体" w:cs="宋体"/>
          <w:color w:val="auto"/>
          <w:spacing w:val="-2"/>
          <w:sz w:val="24"/>
          <w:szCs w:val="24"/>
          <w:highlight w:val="none"/>
        </w:rPr>
        <w:t xml:space="preserve">  施工用水：</w:t>
      </w:r>
      <w:r>
        <w:rPr>
          <w:rFonts w:hint="eastAsia" w:ascii="宋体" w:hAnsi="宋体" w:eastAsia="宋体" w:cs="宋体"/>
          <w:color w:val="auto"/>
          <w:spacing w:val="-2"/>
          <w:sz w:val="24"/>
          <w:szCs w:val="24"/>
          <w:highlight w:val="none"/>
          <w:u w:val="single"/>
        </w:rPr>
        <w:t xml:space="preserve"> 由中标人自行解决，费用考虑在投标报价中</w:t>
      </w:r>
      <w:r>
        <w:rPr>
          <w:rFonts w:hint="eastAsia" w:ascii="宋体" w:hAnsi="宋体" w:eastAsia="宋体" w:cs="宋体"/>
          <w:color w:val="auto"/>
          <w:spacing w:val="-2"/>
          <w:sz w:val="24"/>
          <w:szCs w:val="24"/>
          <w:highlight w:val="none"/>
        </w:rPr>
        <w:t>。</w:t>
      </w:r>
    </w:p>
    <w:p w14:paraId="1C5809E9">
      <w:pPr>
        <w:spacing w:before="155" w:line="324" w:lineRule="auto"/>
        <w:ind w:left="12" w:right="99" w:firstLine="556"/>
        <w:rPr>
          <w:rFonts w:hint="eastAsia" w:ascii="宋体" w:hAnsi="宋体" w:eastAsia="宋体" w:cs="宋体"/>
          <w:color w:val="auto"/>
          <w:spacing w:val="-2"/>
          <w:sz w:val="24"/>
          <w:szCs w:val="24"/>
          <w:highlight w:val="none"/>
        </w:rPr>
      </w:pPr>
      <w:r>
        <w:rPr>
          <w:rFonts w:hint="eastAsia" w:ascii="宋体" w:hAnsi="宋体" w:eastAsia="宋体" w:cs="宋体"/>
          <w:b/>
          <w:bCs/>
          <w:color w:val="auto"/>
          <w:spacing w:val="-2"/>
          <w:sz w:val="24"/>
          <w:szCs w:val="24"/>
          <w:highlight w:val="none"/>
        </w:rPr>
        <w:t>6.3</w:t>
      </w:r>
      <w:r>
        <w:rPr>
          <w:rFonts w:hint="eastAsia" w:ascii="宋体" w:hAnsi="宋体" w:eastAsia="宋体" w:cs="宋体"/>
          <w:color w:val="auto"/>
          <w:spacing w:val="-2"/>
          <w:sz w:val="24"/>
          <w:szCs w:val="24"/>
          <w:highlight w:val="none"/>
        </w:rPr>
        <w:t xml:space="preserve">  施工用电：</w:t>
      </w:r>
      <w:r>
        <w:rPr>
          <w:rFonts w:hint="eastAsia" w:ascii="宋体" w:hAnsi="宋体" w:eastAsia="宋体" w:cs="宋体"/>
          <w:color w:val="auto"/>
          <w:spacing w:val="-2"/>
          <w:sz w:val="24"/>
          <w:szCs w:val="24"/>
          <w:highlight w:val="none"/>
          <w:u w:val="single"/>
        </w:rPr>
        <w:t xml:space="preserve"> 由中标人自行解决，费用考虑在投标报价中</w:t>
      </w:r>
      <w:r>
        <w:rPr>
          <w:rFonts w:hint="eastAsia" w:ascii="宋体" w:hAnsi="宋体" w:eastAsia="宋体" w:cs="宋体"/>
          <w:color w:val="auto"/>
          <w:spacing w:val="-2"/>
          <w:sz w:val="24"/>
          <w:szCs w:val="24"/>
          <w:highlight w:val="none"/>
        </w:rPr>
        <w:t>。</w:t>
      </w:r>
    </w:p>
    <w:p w14:paraId="189BF34C">
      <w:pPr>
        <w:spacing w:before="154" w:line="299" w:lineRule="auto"/>
        <w:ind w:left="9" w:right="16" w:firstLine="558"/>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6.</w:t>
      </w:r>
      <w:r>
        <w:rPr>
          <w:rFonts w:hint="eastAsia" w:ascii="宋体" w:hAnsi="宋体" w:eastAsia="宋体" w:cs="宋体"/>
          <w:b/>
          <w:bCs/>
          <w:color w:val="auto"/>
          <w:spacing w:val="-2"/>
          <w:sz w:val="24"/>
          <w:szCs w:val="24"/>
          <w:highlight w:val="none"/>
          <w:lang w:val="en-US" w:eastAsia="zh-CN"/>
        </w:rPr>
        <w:t>4</w:t>
      </w:r>
      <w:r>
        <w:rPr>
          <w:rFonts w:hint="eastAsia" w:ascii="宋体" w:hAnsi="宋体" w:eastAsia="宋体" w:cs="宋体"/>
          <w:b/>
          <w:bCs/>
          <w:color w:val="auto"/>
          <w:spacing w:val="-2"/>
          <w:sz w:val="24"/>
          <w:szCs w:val="24"/>
          <w:highlight w:val="none"/>
        </w:rPr>
        <w:t xml:space="preserve">  </w:t>
      </w:r>
      <w:r>
        <w:rPr>
          <w:rFonts w:hint="eastAsia" w:ascii="宋体" w:hAnsi="宋体" w:eastAsia="宋体" w:cs="宋体"/>
          <w:color w:val="auto"/>
          <w:spacing w:val="-2"/>
          <w:sz w:val="24"/>
          <w:szCs w:val="24"/>
          <w:highlight w:val="none"/>
        </w:rPr>
        <w:t>招标人不组织现场踏勘，</w:t>
      </w:r>
      <w:r>
        <w:rPr>
          <w:rFonts w:hint="eastAsia" w:ascii="宋体" w:hAnsi="宋体" w:eastAsia="宋体" w:cs="宋体"/>
          <w:color w:val="auto"/>
          <w:sz w:val="24"/>
          <w:szCs w:val="24"/>
          <w:highlight w:val="none"/>
        </w:rPr>
        <w:t>投标人需要了解现场情况的</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pacing w:val="-1"/>
          <w:sz w:val="24"/>
          <w:szCs w:val="24"/>
          <w:highlight w:val="none"/>
        </w:rPr>
        <w:t>可自行进行现场踏勘。</w:t>
      </w:r>
    </w:p>
    <w:p w14:paraId="29077E9E">
      <w:pPr>
        <w:spacing w:before="153" w:line="280" w:lineRule="auto"/>
        <w:ind w:left="9" w:right="16" w:firstLine="558"/>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6.</w:t>
      </w:r>
      <w:r>
        <w:rPr>
          <w:rFonts w:hint="eastAsia" w:ascii="宋体" w:hAnsi="宋体" w:eastAsia="宋体" w:cs="宋体"/>
          <w:b/>
          <w:bCs/>
          <w:color w:val="auto"/>
          <w:spacing w:val="-2"/>
          <w:sz w:val="24"/>
          <w:szCs w:val="24"/>
          <w:highlight w:val="none"/>
          <w:lang w:val="en-US" w:eastAsia="zh-CN"/>
        </w:rPr>
        <w:t>5</w:t>
      </w:r>
      <w:r>
        <w:rPr>
          <w:rFonts w:hint="eastAsia" w:ascii="宋体" w:hAnsi="宋体" w:eastAsia="宋体" w:cs="宋体"/>
          <w:b/>
          <w:bCs/>
          <w:color w:val="auto"/>
          <w:spacing w:val="-2"/>
          <w:sz w:val="24"/>
          <w:szCs w:val="24"/>
          <w:highlight w:val="none"/>
        </w:rPr>
        <w:t xml:space="preserve">  </w:t>
      </w:r>
      <w:r>
        <w:rPr>
          <w:rFonts w:hint="eastAsia" w:ascii="宋体" w:hAnsi="宋体" w:eastAsia="宋体" w:cs="宋体"/>
          <w:color w:val="auto"/>
          <w:spacing w:val="-2"/>
          <w:sz w:val="24"/>
          <w:szCs w:val="24"/>
          <w:highlight w:val="none"/>
        </w:rPr>
        <w:t>在现场踏勘过程中，投标人应确保自身安全，投标人如果发生人身伤亡、财</w:t>
      </w:r>
      <w:r>
        <w:rPr>
          <w:rFonts w:hint="eastAsia" w:ascii="宋体" w:hAnsi="宋体" w:eastAsia="宋体" w:cs="宋体"/>
          <w:color w:val="auto"/>
          <w:spacing w:val="-1"/>
          <w:sz w:val="24"/>
          <w:szCs w:val="24"/>
          <w:highlight w:val="none"/>
        </w:rPr>
        <w:t>物或其他损失，法律法规有规定的按有关规定处理，没有规定</w:t>
      </w:r>
      <w:r>
        <w:rPr>
          <w:rFonts w:hint="eastAsia" w:ascii="宋体" w:hAnsi="宋体" w:eastAsia="宋体" w:cs="宋体"/>
          <w:color w:val="auto"/>
          <w:spacing w:val="-2"/>
          <w:sz w:val="24"/>
          <w:szCs w:val="24"/>
          <w:highlight w:val="none"/>
        </w:rPr>
        <w:t>的由投标人自行负责。</w:t>
      </w:r>
    </w:p>
    <w:p w14:paraId="1B002D65">
      <w:pPr>
        <w:spacing w:before="153" w:line="220" w:lineRule="auto"/>
        <w:ind w:left="568"/>
        <w:rPr>
          <w:rFonts w:hint="eastAsia" w:ascii="宋体" w:hAnsi="宋体" w:eastAsia="宋体" w:cs="宋体"/>
          <w:color w:val="auto"/>
          <w:highlight w:val="none"/>
        </w:rPr>
      </w:pPr>
      <w:r>
        <w:rPr>
          <w:rFonts w:hint="eastAsia" w:ascii="宋体" w:hAnsi="宋体" w:eastAsia="宋体" w:cs="宋体"/>
          <w:b/>
          <w:bCs/>
          <w:color w:val="auto"/>
          <w:sz w:val="24"/>
          <w:szCs w:val="24"/>
          <w:highlight w:val="none"/>
        </w:rPr>
        <w:t>6.</w:t>
      </w:r>
      <w:r>
        <w:rPr>
          <w:rFonts w:hint="eastAsia" w:ascii="宋体" w:hAnsi="宋体" w:eastAsia="宋体" w:cs="宋体"/>
          <w:b/>
          <w:bCs/>
          <w:color w:val="auto"/>
          <w:sz w:val="24"/>
          <w:szCs w:val="24"/>
          <w:highlight w:val="none"/>
          <w:lang w:val="en-US" w:eastAsia="zh-CN"/>
        </w:rPr>
        <w:t>6</w:t>
      </w:r>
      <w:r>
        <w:rPr>
          <w:rFonts w:hint="eastAsia" w:ascii="宋体" w:hAnsi="宋体" w:eastAsia="宋体" w:cs="宋体"/>
          <w:b/>
          <w:bCs/>
          <w:color w:val="auto"/>
          <w:sz w:val="24"/>
          <w:szCs w:val="24"/>
          <w:highlight w:val="none"/>
        </w:rPr>
        <w:t xml:space="preserve">  </w:t>
      </w:r>
      <w:r>
        <w:rPr>
          <w:rFonts w:hint="eastAsia" w:ascii="宋体" w:hAnsi="宋体" w:eastAsia="宋体" w:cs="宋体"/>
          <w:color w:val="auto"/>
          <w:sz w:val="24"/>
          <w:szCs w:val="24"/>
          <w:highlight w:val="none"/>
        </w:rPr>
        <w:t>现场踏勘期间的交通、食宿由投标人</w:t>
      </w:r>
      <w:r>
        <w:rPr>
          <w:rFonts w:hint="eastAsia" w:ascii="宋体" w:hAnsi="宋体" w:eastAsia="宋体" w:cs="宋体"/>
          <w:color w:val="auto"/>
          <w:spacing w:val="-1"/>
          <w:sz w:val="24"/>
          <w:szCs w:val="24"/>
          <w:highlight w:val="none"/>
        </w:rPr>
        <w:t>自行安排，费用自理。</w:t>
      </w:r>
    </w:p>
    <w:p w14:paraId="35DD5CF7">
      <w:pPr>
        <w:spacing w:before="78" w:line="220" w:lineRule="auto"/>
        <w:ind w:left="488"/>
        <w:outlineLvl w:val="2"/>
        <w:rPr>
          <w:rFonts w:hint="eastAsia" w:ascii="宋体" w:hAnsi="宋体" w:eastAsia="宋体" w:cs="宋体"/>
          <w:color w:val="auto"/>
          <w:sz w:val="24"/>
          <w:szCs w:val="24"/>
          <w:highlight w:val="none"/>
        </w:rPr>
      </w:pPr>
      <w:bookmarkStart w:id="31" w:name="bookmark67"/>
      <w:bookmarkEnd w:id="31"/>
      <w:bookmarkStart w:id="32" w:name="bookmark69"/>
      <w:bookmarkEnd w:id="32"/>
      <w:bookmarkStart w:id="33" w:name="bookmark81"/>
      <w:bookmarkEnd w:id="33"/>
      <w:bookmarkStart w:id="34" w:name="_Toc24768"/>
      <w:bookmarkStart w:id="35" w:name="_Toc15543"/>
      <w:r>
        <w:rPr>
          <w:rFonts w:hint="eastAsia" w:ascii="宋体" w:hAnsi="宋体" w:eastAsia="宋体" w:cs="宋体"/>
          <w:b/>
          <w:bCs/>
          <w:color w:val="auto"/>
          <w:spacing w:val="-5"/>
          <w:sz w:val="24"/>
          <w:szCs w:val="24"/>
          <w:highlight w:val="none"/>
        </w:rPr>
        <w:t>7</w:t>
      </w:r>
      <w:r>
        <w:rPr>
          <w:rFonts w:hint="eastAsia" w:ascii="宋体" w:hAnsi="宋体" w:eastAsia="宋体" w:cs="宋体"/>
          <w:b/>
          <w:bCs/>
          <w:color w:val="auto"/>
          <w:spacing w:val="-28"/>
          <w:sz w:val="24"/>
          <w:szCs w:val="24"/>
          <w:highlight w:val="none"/>
        </w:rPr>
        <w:t xml:space="preserve"> </w:t>
      </w:r>
      <w:r>
        <w:rPr>
          <w:rFonts w:hint="eastAsia" w:ascii="宋体" w:hAnsi="宋体" w:eastAsia="宋体" w:cs="宋体"/>
          <w:b/>
          <w:bCs/>
          <w:color w:val="auto"/>
          <w:spacing w:val="-5"/>
          <w:sz w:val="24"/>
          <w:szCs w:val="24"/>
          <w:highlight w:val="none"/>
        </w:rPr>
        <w:t>．招标文件的提问和答疑</w:t>
      </w:r>
      <w:bookmarkEnd w:id="34"/>
      <w:bookmarkEnd w:id="35"/>
    </w:p>
    <w:p w14:paraId="318A4AA7">
      <w:pPr>
        <w:spacing w:before="153" w:line="299" w:lineRule="auto"/>
        <w:ind w:left="9" w:right="16" w:firstLine="478"/>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7.1  </w:t>
      </w:r>
      <w:r>
        <w:rPr>
          <w:rFonts w:hint="eastAsia" w:ascii="宋体" w:hAnsi="宋体" w:eastAsia="宋体" w:cs="宋体"/>
          <w:color w:val="auto"/>
          <w:sz w:val="24"/>
          <w:szCs w:val="24"/>
          <w:highlight w:val="none"/>
        </w:rPr>
        <w:t>投标人若对招标文件（含施工图、招标工程量清单）有疑问，应在提问截止</w:t>
      </w:r>
      <w:r>
        <w:rPr>
          <w:rFonts w:hint="eastAsia" w:ascii="宋体" w:hAnsi="宋体" w:eastAsia="宋体" w:cs="宋体"/>
          <w:color w:val="auto"/>
          <w:spacing w:val="-2"/>
          <w:sz w:val="24"/>
          <w:szCs w:val="24"/>
          <w:highlight w:val="none"/>
        </w:rPr>
        <w:t>时间（见本章第二节“重要事项时间地点一览表</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”）前使用建设工程交易</w:t>
      </w:r>
      <w:r>
        <w:rPr>
          <w:rFonts w:hint="eastAsia" w:ascii="宋体" w:hAnsi="宋体" w:eastAsia="宋体" w:cs="宋体"/>
          <w:color w:val="auto"/>
          <w:spacing w:val="-3"/>
          <w:sz w:val="24"/>
          <w:szCs w:val="24"/>
          <w:highlight w:val="none"/>
        </w:rPr>
        <w:t>系统提出问</w:t>
      </w:r>
      <w:r>
        <w:rPr>
          <w:rFonts w:hint="eastAsia" w:ascii="宋体" w:hAnsi="宋体" w:eastAsia="宋体" w:cs="宋体"/>
          <w:color w:val="auto"/>
          <w:spacing w:val="-1"/>
          <w:sz w:val="24"/>
          <w:szCs w:val="24"/>
          <w:highlight w:val="none"/>
        </w:rPr>
        <w:t>题。未在指定时间前、未采用指定方式提出的，招标人不予受理。</w:t>
      </w:r>
    </w:p>
    <w:p w14:paraId="0C4E75E3">
      <w:pPr>
        <w:spacing w:before="154" w:line="309" w:lineRule="auto"/>
        <w:ind w:left="9" w:right="16" w:firstLine="558"/>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7.2  </w:t>
      </w:r>
      <w:r>
        <w:rPr>
          <w:rFonts w:hint="eastAsia" w:ascii="宋体" w:hAnsi="宋体" w:eastAsia="宋体" w:cs="宋体"/>
          <w:color w:val="auto"/>
          <w:spacing w:val="-1"/>
          <w:sz w:val="24"/>
          <w:szCs w:val="24"/>
          <w:highlight w:val="none"/>
        </w:rPr>
        <w:t>招标人在提问截止时间（见本章第二节“重要</w:t>
      </w:r>
      <w:r>
        <w:rPr>
          <w:rFonts w:hint="eastAsia" w:ascii="宋体" w:hAnsi="宋体" w:eastAsia="宋体" w:cs="宋体"/>
          <w:color w:val="auto"/>
          <w:spacing w:val="-2"/>
          <w:sz w:val="24"/>
          <w:szCs w:val="24"/>
          <w:highlight w:val="none"/>
        </w:rPr>
        <w:t>事项时间地点一览表</w:t>
      </w:r>
      <w:r>
        <w:rPr>
          <w:rFonts w:hint="eastAsia" w:ascii="宋体" w:hAnsi="宋体" w:eastAsia="宋体" w:cs="宋体"/>
          <w:color w:val="auto"/>
          <w:spacing w:val="-89"/>
          <w:sz w:val="24"/>
          <w:szCs w:val="24"/>
          <w:highlight w:val="none"/>
        </w:rPr>
        <w:t xml:space="preserve"> </w:t>
      </w:r>
      <w:r>
        <w:rPr>
          <w:rFonts w:hint="eastAsia" w:ascii="宋体" w:hAnsi="宋体" w:eastAsia="宋体" w:cs="宋体"/>
          <w:color w:val="auto"/>
          <w:spacing w:val="-2"/>
          <w:sz w:val="24"/>
          <w:szCs w:val="24"/>
          <w:highlight w:val="none"/>
        </w:rPr>
        <w:t>”）后</w:t>
      </w:r>
      <w:r>
        <w:rPr>
          <w:rFonts w:hint="eastAsia" w:ascii="宋体" w:hAnsi="宋体" w:eastAsia="宋体" w:cs="宋体"/>
          <w:color w:val="auto"/>
          <w:spacing w:val="-50"/>
          <w:sz w:val="24"/>
          <w:szCs w:val="24"/>
          <w:highlight w:val="none"/>
        </w:rPr>
        <w:t xml:space="preserve"> </w:t>
      </w:r>
      <w:r>
        <w:rPr>
          <w:rFonts w:hint="eastAsia" w:ascii="宋体" w:hAnsi="宋体" w:eastAsia="宋体" w:cs="宋体"/>
          <w:color w:val="auto"/>
          <w:spacing w:val="-2"/>
          <w:sz w:val="24"/>
          <w:szCs w:val="24"/>
          <w:highlight w:val="none"/>
        </w:rPr>
        <w:t>3</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日内，一次性对收到的所有问题作出答复，并形成答疑（或修</w:t>
      </w:r>
      <w:r>
        <w:rPr>
          <w:rFonts w:hint="eastAsia" w:ascii="宋体" w:hAnsi="宋体" w:eastAsia="宋体" w:cs="宋体"/>
          <w:color w:val="auto"/>
          <w:spacing w:val="-2"/>
          <w:sz w:val="24"/>
          <w:szCs w:val="24"/>
          <w:highlight w:val="none"/>
        </w:rPr>
        <w:t>改）公告在发布招标公</w:t>
      </w:r>
      <w:r>
        <w:rPr>
          <w:rFonts w:hint="eastAsia" w:ascii="宋体" w:hAnsi="宋体" w:eastAsia="宋体" w:cs="宋体"/>
          <w:color w:val="auto"/>
          <w:spacing w:val="-1"/>
          <w:sz w:val="24"/>
          <w:szCs w:val="24"/>
          <w:highlight w:val="none"/>
        </w:rPr>
        <w:t>告的媒介上公开发布。答疑（或修改）公告一旦发布，即视所</w:t>
      </w:r>
      <w:r>
        <w:rPr>
          <w:rFonts w:hint="eastAsia" w:ascii="宋体" w:hAnsi="宋体" w:eastAsia="宋体" w:cs="宋体"/>
          <w:color w:val="auto"/>
          <w:spacing w:val="-2"/>
          <w:sz w:val="24"/>
          <w:szCs w:val="24"/>
          <w:highlight w:val="none"/>
        </w:rPr>
        <w:t>有潜在投标人已经知悉</w:t>
      </w:r>
      <w:r>
        <w:rPr>
          <w:rFonts w:hint="eastAsia" w:ascii="宋体" w:hAnsi="宋体" w:eastAsia="宋体" w:cs="宋体"/>
          <w:color w:val="auto"/>
          <w:spacing w:val="-1"/>
          <w:sz w:val="24"/>
          <w:szCs w:val="24"/>
          <w:highlight w:val="none"/>
        </w:rPr>
        <w:t>答疑（或修改）内容，投标人未及时关注而造成的损失和后果</w:t>
      </w:r>
      <w:r>
        <w:rPr>
          <w:rFonts w:hint="eastAsia" w:ascii="宋体" w:hAnsi="宋体" w:eastAsia="宋体" w:cs="宋体"/>
          <w:color w:val="auto"/>
          <w:spacing w:val="-2"/>
          <w:sz w:val="24"/>
          <w:szCs w:val="24"/>
          <w:highlight w:val="none"/>
        </w:rPr>
        <w:t>，由投标人自行承担。</w:t>
      </w:r>
    </w:p>
    <w:p w14:paraId="3207CA6F">
      <w:pPr>
        <w:spacing w:before="152" w:line="219" w:lineRule="auto"/>
        <w:ind w:firstLine="478" w:firstLineChars="200"/>
        <w:jc w:val="both"/>
        <w:rPr>
          <w:rFonts w:hint="eastAsia" w:ascii="宋体" w:hAnsi="宋体" w:eastAsia="宋体" w:cs="宋体"/>
          <w:color w:val="auto"/>
          <w:highlight w:val="none"/>
        </w:rPr>
      </w:pPr>
      <w:r>
        <w:rPr>
          <w:rFonts w:hint="eastAsia" w:ascii="宋体" w:hAnsi="宋体" w:eastAsia="宋体" w:cs="宋体"/>
          <w:b/>
          <w:bCs/>
          <w:color w:val="auto"/>
          <w:spacing w:val="-1"/>
          <w:sz w:val="24"/>
          <w:szCs w:val="24"/>
          <w:highlight w:val="none"/>
        </w:rPr>
        <w:t xml:space="preserve">7.3  </w:t>
      </w:r>
      <w:r>
        <w:rPr>
          <w:rFonts w:hint="eastAsia" w:ascii="宋体" w:hAnsi="宋体" w:eastAsia="宋体" w:cs="宋体"/>
          <w:color w:val="auto"/>
          <w:spacing w:val="-1"/>
          <w:sz w:val="24"/>
          <w:szCs w:val="24"/>
          <w:highlight w:val="none"/>
        </w:rPr>
        <w:t>招标人对招标文件所作的答疑（或修改）公告，构成</w:t>
      </w:r>
      <w:r>
        <w:rPr>
          <w:rFonts w:hint="eastAsia" w:ascii="宋体" w:hAnsi="宋体" w:eastAsia="宋体" w:cs="宋体"/>
          <w:color w:val="auto"/>
          <w:spacing w:val="-2"/>
          <w:sz w:val="24"/>
          <w:szCs w:val="24"/>
          <w:highlight w:val="none"/>
        </w:rPr>
        <w:t>招标文件的组成部分。</w:t>
      </w:r>
    </w:p>
    <w:p w14:paraId="1728F14D">
      <w:pPr>
        <w:spacing w:before="79" w:line="219" w:lineRule="auto"/>
        <w:ind w:left="488"/>
        <w:outlineLvl w:val="2"/>
        <w:rPr>
          <w:rFonts w:hint="eastAsia" w:ascii="宋体" w:hAnsi="宋体" w:eastAsia="宋体" w:cs="宋体"/>
          <w:color w:val="auto"/>
          <w:sz w:val="24"/>
          <w:szCs w:val="24"/>
          <w:highlight w:val="none"/>
          <w:lang w:eastAsia="zh-CN"/>
        </w:rPr>
      </w:pPr>
      <w:bookmarkStart w:id="36" w:name="_Toc6897"/>
      <w:bookmarkStart w:id="37" w:name="_Toc20958"/>
      <w:r>
        <w:rPr>
          <w:rFonts w:hint="eastAsia" w:ascii="宋体" w:hAnsi="宋体" w:eastAsia="宋体" w:cs="宋体"/>
          <w:b/>
          <w:bCs/>
          <w:color w:val="auto"/>
          <w:spacing w:val="-5"/>
          <w:sz w:val="24"/>
          <w:szCs w:val="24"/>
          <w:highlight w:val="none"/>
        </w:rPr>
        <w:t>8</w:t>
      </w:r>
      <w:r>
        <w:rPr>
          <w:rFonts w:hint="eastAsia" w:ascii="宋体" w:hAnsi="宋体" w:eastAsia="宋体" w:cs="宋体"/>
          <w:b/>
          <w:bCs/>
          <w:color w:val="auto"/>
          <w:spacing w:val="-23"/>
          <w:sz w:val="24"/>
          <w:szCs w:val="24"/>
          <w:highlight w:val="none"/>
        </w:rPr>
        <w:t xml:space="preserve"> </w:t>
      </w:r>
      <w:r>
        <w:rPr>
          <w:rFonts w:hint="eastAsia" w:ascii="宋体" w:hAnsi="宋体" w:eastAsia="宋体" w:cs="宋体"/>
          <w:b/>
          <w:bCs/>
          <w:color w:val="auto"/>
          <w:spacing w:val="-5"/>
          <w:sz w:val="24"/>
          <w:szCs w:val="24"/>
          <w:highlight w:val="none"/>
        </w:rPr>
        <w:t>．</w:t>
      </w:r>
      <w:r>
        <w:rPr>
          <w:rFonts w:hint="eastAsia" w:ascii="宋体" w:hAnsi="宋体" w:eastAsia="宋体" w:cs="宋体"/>
          <w:b/>
          <w:bCs/>
          <w:color w:val="auto"/>
          <w:spacing w:val="-1"/>
          <w:sz w:val="24"/>
          <w:szCs w:val="24"/>
          <w:highlight w:val="none"/>
          <w:lang w:eastAsia="zh-CN"/>
        </w:rPr>
        <w:t>最高投标限价</w:t>
      </w:r>
      <w:bookmarkEnd w:id="36"/>
      <w:bookmarkEnd w:id="37"/>
    </w:p>
    <w:p w14:paraId="483B6E50">
      <w:pPr>
        <w:spacing w:before="155" w:line="219" w:lineRule="auto"/>
        <w:ind w:left="488"/>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8.1  </w:t>
      </w:r>
      <w:r>
        <w:rPr>
          <w:rFonts w:hint="eastAsia" w:ascii="宋体" w:hAnsi="宋体" w:eastAsia="宋体" w:cs="宋体"/>
          <w:color w:val="auto"/>
          <w:spacing w:val="-1"/>
          <w:sz w:val="24"/>
          <w:szCs w:val="24"/>
          <w:highlight w:val="none"/>
        </w:rPr>
        <w:t>本招标项目按照以下依据编制</w:t>
      </w:r>
      <w:r>
        <w:rPr>
          <w:rFonts w:hint="eastAsia" w:ascii="宋体" w:hAnsi="宋体" w:eastAsia="宋体" w:cs="宋体"/>
          <w:b/>
          <w:bCs/>
          <w:color w:val="auto"/>
          <w:spacing w:val="-1"/>
          <w:sz w:val="24"/>
          <w:szCs w:val="24"/>
          <w:highlight w:val="none"/>
          <w:lang w:eastAsia="zh-CN"/>
        </w:rPr>
        <w:t>最高投标限价</w:t>
      </w:r>
      <w:r>
        <w:rPr>
          <w:rFonts w:hint="eastAsia" w:ascii="宋体" w:hAnsi="宋体" w:eastAsia="宋体" w:cs="宋体"/>
          <w:color w:val="auto"/>
          <w:spacing w:val="-1"/>
          <w:sz w:val="24"/>
          <w:szCs w:val="24"/>
          <w:highlight w:val="none"/>
        </w:rPr>
        <w:t>：</w:t>
      </w:r>
    </w:p>
    <w:p w14:paraId="50AB2042">
      <w:pPr>
        <w:keepNext w:val="0"/>
        <w:keepLines w:val="0"/>
        <w:pageBreakBefore w:val="0"/>
        <w:widowControl/>
        <w:kinsoku w:val="0"/>
        <w:wordWrap/>
        <w:overflowPunct/>
        <w:topLinePunct w:val="0"/>
        <w:autoSpaceDE w:val="0"/>
        <w:autoSpaceDN w:val="0"/>
        <w:bidi w:val="0"/>
        <w:adjustRightInd w:val="0"/>
        <w:snapToGrid w:val="0"/>
        <w:spacing w:before="157" w:line="360" w:lineRule="auto"/>
        <w:ind w:left="501"/>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（1）《建设工程工程量清单计价</w:t>
      </w:r>
      <w:r>
        <w:rPr>
          <w:rFonts w:hint="eastAsia" w:ascii="宋体" w:hAnsi="宋体" w:eastAsia="宋体" w:cs="宋体"/>
          <w:color w:val="auto"/>
          <w:spacing w:val="-1"/>
          <w:sz w:val="24"/>
          <w:szCs w:val="24"/>
          <w:highlight w:val="none"/>
          <w:lang w:val="en-US" w:eastAsia="zh-CN"/>
        </w:rPr>
        <w:t>标准</w:t>
      </w:r>
      <w:r>
        <w:rPr>
          <w:rFonts w:hint="eastAsia" w:ascii="宋体" w:hAnsi="宋体" w:eastAsia="宋体" w:cs="宋体"/>
          <w:color w:val="auto"/>
          <w:spacing w:val="-1"/>
          <w:sz w:val="24"/>
          <w:szCs w:val="24"/>
          <w:highlight w:val="none"/>
        </w:rPr>
        <w:t>》（GB/T 50500-2024）；</w:t>
      </w:r>
    </w:p>
    <w:p w14:paraId="55BAFE0B">
      <w:pPr>
        <w:keepNext w:val="0"/>
        <w:keepLines w:val="0"/>
        <w:pageBreakBefore w:val="0"/>
        <w:widowControl/>
        <w:kinsoku w:val="0"/>
        <w:wordWrap/>
        <w:overflowPunct/>
        <w:topLinePunct w:val="0"/>
        <w:autoSpaceDE w:val="0"/>
        <w:autoSpaceDN w:val="0"/>
        <w:bidi w:val="0"/>
        <w:adjustRightInd w:val="0"/>
        <w:snapToGrid w:val="0"/>
        <w:spacing w:line="360" w:lineRule="auto"/>
        <w:ind w:left="11" w:right="17" w:firstLine="493"/>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（2）</w:t>
      </w:r>
      <w:r>
        <w:rPr>
          <w:rFonts w:hint="eastAsia" w:ascii="宋体" w:hAnsi="宋体" w:eastAsia="宋体" w:cs="宋体"/>
          <w:color w:val="auto"/>
          <w:spacing w:val="2"/>
          <w:sz w:val="24"/>
          <w:szCs w:val="24"/>
          <w:highlight w:val="none"/>
          <w:lang w:val="en-US" w:eastAsia="zh-CN"/>
        </w:rPr>
        <w:t>2018年《广东省房屋建筑与装饰工程综合定额》</w:t>
      </w:r>
      <w:r>
        <w:rPr>
          <w:rFonts w:hint="eastAsia" w:ascii="宋体" w:hAnsi="宋体" w:eastAsia="宋体" w:cs="宋体"/>
          <w:color w:val="auto"/>
          <w:spacing w:val="2"/>
          <w:sz w:val="24"/>
          <w:szCs w:val="24"/>
          <w:highlight w:val="none"/>
        </w:rPr>
        <w:t>、2018年《广东省市政工程综合定额》、2018年《广东省</w:t>
      </w:r>
      <w:r>
        <w:rPr>
          <w:rFonts w:hint="eastAsia" w:ascii="宋体" w:hAnsi="宋体" w:eastAsia="宋体" w:cs="宋体"/>
          <w:color w:val="auto"/>
          <w:spacing w:val="2"/>
          <w:sz w:val="24"/>
          <w:szCs w:val="24"/>
          <w:highlight w:val="none"/>
          <w:lang w:val="en-US" w:eastAsia="zh-CN"/>
        </w:rPr>
        <w:t>通用安装</w:t>
      </w:r>
      <w:r>
        <w:rPr>
          <w:rFonts w:hint="eastAsia" w:ascii="宋体" w:hAnsi="宋体" w:eastAsia="宋体" w:cs="宋体"/>
          <w:color w:val="auto"/>
          <w:spacing w:val="2"/>
          <w:sz w:val="24"/>
          <w:szCs w:val="24"/>
          <w:highlight w:val="none"/>
        </w:rPr>
        <w:t>工程综合定额》</w:t>
      </w:r>
      <w:r>
        <w:rPr>
          <w:rFonts w:hint="eastAsia" w:ascii="宋体" w:hAnsi="宋体" w:eastAsia="宋体" w:cs="宋体"/>
          <w:color w:val="auto"/>
          <w:spacing w:val="2"/>
          <w:sz w:val="24"/>
          <w:szCs w:val="24"/>
          <w:highlight w:val="none"/>
          <w:lang w:eastAsia="zh-CN"/>
        </w:rPr>
        <w:t>、</w:t>
      </w:r>
      <w:r>
        <w:rPr>
          <w:rFonts w:hint="eastAsia" w:ascii="宋体" w:hAnsi="宋体" w:eastAsia="宋体" w:cs="宋体"/>
          <w:color w:val="auto"/>
          <w:spacing w:val="2"/>
          <w:sz w:val="24"/>
          <w:szCs w:val="24"/>
          <w:highlight w:val="none"/>
        </w:rPr>
        <w:t>2018年《广东省园林绿化工程综合定额》及现行的建筑施工规范和省市有关文件、规定为编制依据进行编制。</w:t>
      </w:r>
    </w:p>
    <w:p w14:paraId="071273A5">
      <w:pPr>
        <w:keepNext w:val="0"/>
        <w:keepLines w:val="0"/>
        <w:pageBreakBefore w:val="0"/>
        <w:widowControl/>
        <w:kinsoku w:val="0"/>
        <w:wordWrap/>
        <w:overflowPunct/>
        <w:topLinePunct w:val="0"/>
        <w:autoSpaceDE w:val="0"/>
        <w:autoSpaceDN w:val="0"/>
        <w:bidi w:val="0"/>
        <w:adjustRightInd w:val="0"/>
        <w:snapToGrid w:val="0"/>
        <w:spacing w:line="360" w:lineRule="auto"/>
        <w:ind w:left="499"/>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（3）施工图及相关资料；</w:t>
      </w:r>
    </w:p>
    <w:p w14:paraId="3F87E4AE">
      <w:pPr>
        <w:keepNext w:val="0"/>
        <w:keepLines w:val="0"/>
        <w:pageBreakBefore w:val="0"/>
        <w:widowControl/>
        <w:kinsoku w:val="0"/>
        <w:wordWrap/>
        <w:overflowPunct/>
        <w:topLinePunct w:val="0"/>
        <w:autoSpaceDE w:val="0"/>
        <w:autoSpaceDN w:val="0"/>
        <w:bidi w:val="0"/>
        <w:adjustRightInd w:val="0"/>
        <w:snapToGrid w:val="0"/>
        <w:spacing w:line="360" w:lineRule="auto"/>
        <w:ind w:left="502"/>
        <w:textAlignment w:val="baseline"/>
        <w:rPr>
          <w:rFonts w:hint="eastAsia" w:ascii="宋体" w:hAnsi="宋体" w:eastAsia="宋体" w:cs="宋体"/>
          <w:color w:val="auto"/>
          <w:sz w:val="24"/>
          <w:szCs w:val="24"/>
          <w:highlight w:val="none"/>
        </w:rPr>
      </w:pPr>
      <w:bookmarkStart w:id="38" w:name="bookmark119"/>
      <w:bookmarkEnd w:id="38"/>
      <w:r>
        <w:rPr>
          <w:rFonts w:hint="eastAsia" w:ascii="宋体" w:hAnsi="宋体" w:eastAsia="宋体" w:cs="宋体"/>
          <w:color w:val="auto"/>
          <w:spacing w:val="-2"/>
          <w:sz w:val="24"/>
          <w:szCs w:val="24"/>
          <w:highlight w:val="none"/>
        </w:rPr>
        <w:t>（4）招标文件及招标工程量清单；</w:t>
      </w:r>
    </w:p>
    <w:p w14:paraId="50D8453D">
      <w:pPr>
        <w:keepNext w:val="0"/>
        <w:keepLines w:val="0"/>
        <w:pageBreakBefore w:val="0"/>
        <w:widowControl/>
        <w:kinsoku w:val="0"/>
        <w:wordWrap/>
        <w:overflowPunct/>
        <w:topLinePunct w:val="0"/>
        <w:autoSpaceDE w:val="0"/>
        <w:autoSpaceDN w:val="0"/>
        <w:bidi w:val="0"/>
        <w:adjustRightInd w:val="0"/>
        <w:snapToGrid w:val="0"/>
        <w:spacing w:line="360" w:lineRule="auto"/>
        <w:ind w:left="502"/>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（5）施工现场情况、工程特点及常规施工方案；</w:t>
      </w:r>
    </w:p>
    <w:p w14:paraId="7B3A9415">
      <w:pPr>
        <w:keepNext w:val="0"/>
        <w:keepLines w:val="0"/>
        <w:pageBreakBefore w:val="0"/>
        <w:widowControl/>
        <w:kinsoku w:val="0"/>
        <w:wordWrap/>
        <w:overflowPunct/>
        <w:topLinePunct w:val="0"/>
        <w:autoSpaceDE w:val="0"/>
        <w:autoSpaceDN w:val="0"/>
        <w:bidi w:val="0"/>
        <w:adjustRightInd w:val="0"/>
        <w:snapToGrid w:val="0"/>
        <w:spacing w:line="360" w:lineRule="auto"/>
        <w:ind w:left="12" w:right="136" w:firstLine="489"/>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（6）项目所在地工程造价管理机构发布的工程造价信息，工程造</w:t>
      </w:r>
      <w:r>
        <w:rPr>
          <w:rFonts w:hint="eastAsia" w:ascii="宋体" w:hAnsi="宋体" w:eastAsia="宋体" w:cs="宋体"/>
          <w:color w:val="auto"/>
          <w:spacing w:val="-4"/>
          <w:sz w:val="24"/>
          <w:szCs w:val="24"/>
          <w:highlight w:val="none"/>
        </w:rPr>
        <w:t>价信息缺项的，</w:t>
      </w:r>
      <w:r>
        <w:rPr>
          <w:rFonts w:hint="eastAsia" w:ascii="宋体" w:hAnsi="宋体" w:eastAsia="宋体" w:cs="宋体"/>
          <w:color w:val="auto"/>
          <w:spacing w:val="-2"/>
          <w:sz w:val="24"/>
          <w:szCs w:val="24"/>
          <w:highlight w:val="none"/>
        </w:rPr>
        <w:t>参照市场价格；</w:t>
      </w:r>
    </w:p>
    <w:p w14:paraId="7F6D825D">
      <w:pPr>
        <w:keepNext w:val="0"/>
        <w:keepLines w:val="0"/>
        <w:pageBreakBefore w:val="0"/>
        <w:widowControl/>
        <w:kinsoku w:val="0"/>
        <w:wordWrap/>
        <w:overflowPunct/>
        <w:topLinePunct w:val="0"/>
        <w:autoSpaceDE w:val="0"/>
        <w:autoSpaceDN w:val="0"/>
        <w:bidi w:val="0"/>
        <w:adjustRightInd w:val="0"/>
        <w:snapToGrid w:val="0"/>
        <w:spacing w:line="360" w:lineRule="auto"/>
        <w:ind w:left="502"/>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（7）与建设项目相关的标准、规范、技术资料。</w:t>
      </w:r>
    </w:p>
    <w:p w14:paraId="4B3E4881">
      <w:pPr>
        <w:spacing w:before="79" w:line="333" w:lineRule="auto"/>
        <w:ind w:firstLine="482" w:firstLineChars="200"/>
        <w:jc w:val="both"/>
        <w:rPr>
          <w:rFonts w:hint="eastAsia" w:asciiTheme="minorEastAsia" w:hAnsiTheme="minorEastAsia" w:eastAsiaTheme="minorEastAsia" w:cstheme="minorEastAsia"/>
          <w:snapToGrid w:val="0"/>
          <w:color w:val="auto"/>
          <w:kern w:val="0"/>
          <w:sz w:val="24"/>
          <w:szCs w:val="24"/>
          <w:highlight w:val="none"/>
          <w:u w:val="single"/>
          <w:lang w:val="en-US" w:eastAsia="zh-CN"/>
        </w:rPr>
      </w:pPr>
      <w:r>
        <w:rPr>
          <w:rFonts w:hint="eastAsia" w:ascii="宋体" w:hAnsi="宋体" w:eastAsia="宋体" w:cs="宋体"/>
          <w:b/>
          <w:bCs/>
          <w:color w:val="auto"/>
          <w:sz w:val="24"/>
          <w:szCs w:val="24"/>
          <w:highlight w:val="none"/>
        </w:rPr>
        <w:t>8.2</w:t>
      </w:r>
      <w:r>
        <w:rPr>
          <w:rFonts w:hint="eastAsia" w:ascii="宋体" w:hAnsi="宋体" w:eastAsia="宋体" w:cs="宋体"/>
          <w:color w:val="auto"/>
          <w:sz w:val="24"/>
          <w:szCs w:val="24"/>
          <w:highlight w:val="none"/>
        </w:rPr>
        <w:t xml:space="preserve"> </w:t>
      </w:r>
      <w:r>
        <w:rPr>
          <w:rFonts w:hint="eastAsia" w:asciiTheme="minorEastAsia" w:hAnsiTheme="minorEastAsia" w:eastAsiaTheme="minorEastAsia" w:cstheme="minorEastAsia"/>
          <w:snapToGrid w:val="0"/>
          <w:color w:val="auto"/>
          <w:kern w:val="0"/>
          <w:sz w:val="24"/>
          <w:szCs w:val="24"/>
          <w:highlight w:val="none"/>
          <w:lang w:val="en-US" w:eastAsia="zh-CN"/>
        </w:rPr>
        <w:t>本项目最高投标限价、工程量清单、图纸最终以补充公告形式在开标前15天另行发布于相关网站，各投标人可在全国公共资源交易平台（广东省·韶关市）（https://ygp.gdzwfw.gov.cn/ggzy-portal/#/440200/index）自行下载。</w:t>
      </w:r>
    </w:p>
    <w:p w14:paraId="37A2572C">
      <w:pPr>
        <w:spacing w:before="79" w:line="333" w:lineRule="auto"/>
        <w:ind w:firstLine="482" w:firstLineChars="200"/>
        <w:jc w:val="both"/>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8.</w:t>
      </w:r>
      <w:r>
        <w:rPr>
          <w:rFonts w:hint="eastAsia" w:ascii="宋体" w:hAnsi="宋体" w:eastAsia="宋体" w:cs="宋体"/>
          <w:b/>
          <w:bCs/>
          <w:color w:val="auto"/>
          <w:sz w:val="24"/>
          <w:szCs w:val="24"/>
          <w:highlight w:val="none"/>
          <w:lang w:eastAsia="zh-CN"/>
        </w:rPr>
        <w:t>3</w:t>
      </w:r>
      <w:r>
        <w:rPr>
          <w:rFonts w:hint="eastAsia" w:ascii="宋体" w:hAnsi="宋体" w:eastAsia="宋体" w:cs="宋体"/>
          <w:color w:val="auto"/>
          <w:sz w:val="24"/>
          <w:szCs w:val="24"/>
          <w:highlight w:val="none"/>
        </w:rPr>
        <w:t>暂估价指招标工程量清单中提供的用于支付必然发生但暂时不能确定价格的</w:t>
      </w:r>
      <w:r>
        <w:rPr>
          <w:rFonts w:hint="eastAsia" w:ascii="宋体" w:hAnsi="宋体" w:eastAsia="宋体" w:cs="宋体"/>
          <w:color w:val="auto"/>
          <w:spacing w:val="-1"/>
          <w:sz w:val="24"/>
          <w:szCs w:val="24"/>
          <w:highlight w:val="none"/>
        </w:rPr>
        <w:t>材料、工程设备的单价以及专业工程的金额；暂列金额指招标</w:t>
      </w:r>
      <w:r>
        <w:rPr>
          <w:rFonts w:hint="eastAsia" w:ascii="宋体" w:hAnsi="宋体" w:eastAsia="宋体" w:cs="宋体"/>
          <w:color w:val="auto"/>
          <w:spacing w:val="-2"/>
          <w:sz w:val="24"/>
          <w:szCs w:val="24"/>
          <w:highlight w:val="none"/>
        </w:rPr>
        <w:t>工程量清单中暂定并包括在合同价款中的一笔款项，用于工程合同签订时尚未确定或</w:t>
      </w:r>
      <w:r>
        <w:rPr>
          <w:rFonts w:hint="eastAsia" w:ascii="宋体" w:hAnsi="宋体" w:eastAsia="宋体" w:cs="宋体"/>
          <w:color w:val="auto"/>
          <w:spacing w:val="-3"/>
          <w:sz w:val="24"/>
          <w:szCs w:val="24"/>
          <w:highlight w:val="none"/>
        </w:rPr>
        <w:t>者不可预见的所需材料、</w:t>
      </w:r>
      <w:r>
        <w:rPr>
          <w:rFonts w:hint="eastAsia" w:ascii="宋体" w:hAnsi="宋体" w:eastAsia="宋体" w:cs="宋体"/>
          <w:color w:val="auto"/>
          <w:spacing w:val="-1"/>
          <w:sz w:val="24"/>
          <w:szCs w:val="24"/>
          <w:highlight w:val="none"/>
        </w:rPr>
        <w:t>工程设备、服务的采购，施工中可能发生的工程变更、合同约</w:t>
      </w:r>
      <w:r>
        <w:rPr>
          <w:rFonts w:hint="eastAsia" w:ascii="宋体" w:hAnsi="宋体" w:eastAsia="宋体" w:cs="宋体"/>
          <w:color w:val="auto"/>
          <w:spacing w:val="-2"/>
          <w:sz w:val="24"/>
          <w:szCs w:val="24"/>
          <w:highlight w:val="none"/>
        </w:rPr>
        <w:t>定调整因素出现时的合</w:t>
      </w:r>
      <w:r>
        <w:rPr>
          <w:rFonts w:hint="eastAsia" w:ascii="宋体" w:hAnsi="宋体" w:eastAsia="宋体" w:cs="宋体"/>
          <w:color w:val="auto"/>
          <w:spacing w:val="-1"/>
          <w:sz w:val="24"/>
          <w:szCs w:val="24"/>
          <w:highlight w:val="none"/>
        </w:rPr>
        <w:t>同价款调整以及发生的索赔、现场签证确认等的费用。</w:t>
      </w:r>
    </w:p>
    <w:p w14:paraId="1F29C3EF">
      <w:pPr>
        <w:spacing w:before="36" w:line="278" w:lineRule="auto"/>
        <w:ind w:left="10" w:right="200" w:firstLine="48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8.</w:t>
      </w:r>
      <w:r>
        <w:rPr>
          <w:rFonts w:hint="eastAsia" w:ascii="宋体" w:hAnsi="宋体" w:eastAsia="宋体" w:cs="宋体"/>
          <w:b/>
          <w:bCs/>
          <w:color w:val="auto"/>
          <w:sz w:val="24"/>
          <w:szCs w:val="24"/>
          <w:highlight w:val="none"/>
          <w:lang w:eastAsia="zh-CN"/>
        </w:rPr>
        <w:t>4</w:t>
      </w:r>
      <w:r>
        <w:rPr>
          <w:rFonts w:hint="eastAsia" w:ascii="宋体" w:hAnsi="宋体" w:eastAsia="宋体" w:cs="宋体"/>
          <w:b/>
          <w:bCs/>
          <w:color w:val="auto"/>
          <w:sz w:val="24"/>
          <w:szCs w:val="24"/>
          <w:highlight w:val="none"/>
        </w:rPr>
        <w:t xml:space="preserve"> </w:t>
      </w:r>
      <w:r>
        <w:rPr>
          <w:rFonts w:hint="eastAsia" w:ascii="宋体" w:hAnsi="宋体" w:eastAsia="宋体" w:cs="宋体"/>
          <w:color w:val="auto"/>
          <w:sz w:val="24"/>
          <w:szCs w:val="24"/>
          <w:highlight w:val="none"/>
        </w:rPr>
        <w:t>本招标项目以暂估价形式列入招标工程量清单中的材料、工程设备、专业工</w:t>
      </w:r>
      <w:r>
        <w:rPr>
          <w:rFonts w:hint="eastAsia" w:ascii="宋体" w:hAnsi="宋体" w:eastAsia="宋体" w:cs="宋体"/>
          <w:color w:val="auto"/>
          <w:spacing w:val="-2"/>
          <w:sz w:val="24"/>
          <w:szCs w:val="24"/>
          <w:highlight w:val="none"/>
        </w:rPr>
        <w:t>程（以下统称“暂估价项目</w:t>
      </w:r>
      <w:r>
        <w:rPr>
          <w:rFonts w:hint="eastAsia" w:ascii="宋体" w:hAnsi="宋体" w:eastAsia="宋体" w:cs="宋体"/>
          <w:color w:val="auto"/>
          <w:spacing w:val="-80"/>
          <w:sz w:val="24"/>
          <w:szCs w:val="24"/>
          <w:highlight w:val="none"/>
        </w:rPr>
        <w:t xml:space="preserve"> </w:t>
      </w:r>
      <w:r>
        <w:rPr>
          <w:rFonts w:hint="eastAsia" w:ascii="宋体" w:hAnsi="宋体" w:eastAsia="宋体" w:cs="宋体"/>
          <w:color w:val="auto"/>
          <w:spacing w:val="-2"/>
          <w:sz w:val="24"/>
          <w:szCs w:val="24"/>
          <w:highlight w:val="none"/>
        </w:rPr>
        <w:t>”）包括：</w:t>
      </w:r>
      <w:r>
        <w:rPr>
          <w:rFonts w:hint="eastAsia" w:ascii="宋体" w:hAnsi="宋体" w:eastAsia="宋体" w:cs="宋体"/>
          <w:color w:val="auto"/>
          <w:sz w:val="24"/>
          <w:szCs w:val="24"/>
          <w:highlight w:val="none"/>
          <w:u w:val="single"/>
        </w:rPr>
        <w:t>为招标人在工程量清单中提供的用于支付必然发生但暂时不能确定价格的材料、工程设备的单价以及专业工程的金额。投标人必须按招标工程量清单中列出的单价、金额统一报价，其结算原则按本招标文件相关条款执行。</w:t>
      </w:r>
    </w:p>
    <w:p w14:paraId="12FE5072">
      <w:pPr>
        <w:spacing w:before="154" w:line="280" w:lineRule="auto"/>
        <w:ind w:left="12" w:right="200" w:firstLine="477"/>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8.</w:t>
      </w:r>
      <w:r>
        <w:rPr>
          <w:rFonts w:hint="eastAsia" w:ascii="宋体" w:hAnsi="宋体" w:eastAsia="宋体" w:cs="宋体"/>
          <w:b/>
          <w:bCs/>
          <w:color w:val="auto"/>
          <w:sz w:val="24"/>
          <w:szCs w:val="24"/>
          <w:highlight w:val="none"/>
          <w:lang w:eastAsia="zh-CN"/>
        </w:rPr>
        <w:t>5</w:t>
      </w:r>
      <w:r>
        <w:rPr>
          <w:rFonts w:hint="eastAsia" w:ascii="宋体" w:hAnsi="宋体" w:eastAsia="宋体" w:cs="宋体"/>
          <w:b/>
          <w:bCs/>
          <w:color w:val="auto"/>
          <w:sz w:val="24"/>
          <w:szCs w:val="24"/>
          <w:highlight w:val="none"/>
        </w:rPr>
        <w:t xml:space="preserve">  </w:t>
      </w:r>
      <w:r>
        <w:rPr>
          <w:rFonts w:hint="eastAsia" w:ascii="宋体" w:hAnsi="宋体" w:eastAsia="宋体" w:cs="宋体"/>
          <w:color w:val="auto"/>
          <w:sz w:val="24"/>
          <w:szCs w:val="24"/>
          <w:highlight w:val="none"/>
        </w:rPr>
        <w:t>当暂估价项目的内容、标准、要求在项目实施过程中得以深化、明确、固定</w:t>
      </w:r>
      <w:r>
        <w:rPr>
          <w:rFonts w:hint="eastAsia" w:ascii="宋体" w:hAnsi="宋体" w:eastAsia="宋体" w:cs="宋体"/>
          <w:color w:val="auto"/>
          <w:spacing w:val="-2"/>
          <w:sz w:val="24"/>
          <w:szCs w:val="24"/>
          <w:highlight w:val="none"/>
        </w:rPr>
        <w:t>后，按以下原则发包：</w:t>
      </w:r>
    </w:p>
    <w:p w14:paraId="0DB4AC8D">
      <w:pPr>
        <w:spacing w:before="153" w:line="219" w:lineRule="auto"/>
        <w:ind w:left="-3" w:leftChars="0" w:firstLine="488"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（1）暂估价项目按工程、货物（指材料或工程设备，下同）的类别分类汇总的金额，达到必须</w:t>
      </w:r>
      <w:r>
        <w:rPr>
          <w:rFonts w:hint="eastAsia" w:ascii="宋体" w:hAnsi="宋体" w:eastAsia="宋体" w:cs="宋体"/>
          <w:color w:val="auto"/>
          <w:spacing w:val="-3"/>
          <w:sz w:val="24"/>
          <w:szCs w:val="24"/>
          <w:highlight w:val="none"/>
        </w:rPr>
        <w:t>招标规模标准的，由</w:t>
      </w:r>
      <w:r>
        <w:rPr>
          <w:rFonts w:hint="eastAsia" w:ascii="宋体" w:hAnsi="宋体" w:eastAsia="宋体" w:cs="宋体"/>
          <w:b/>
          <w:bCs/>
          <w:color w:val="auto"/>
          <w:spacing w:val="21"/>
          <w:sz w:val="24"/>
          <w:szCs w:val="24"/>
          <w:highlight w:val="none"/>
          <w:u w:val="single"/>
        </w:rPr>
        <w:t xml:space="preserve"> </w:t>
      </w:r>
      <w:r>
        <w:rPr>
          <w:rFonts w:hint="eastAsia" w:ascii="宋体" w:hAnsi="宋体" w:eastAsia="宋体" w:cs="宋体"/>
          <w:bCs/>
          <w:color w:val="auto"/>
          <w:spacing w:val="-1"/>
          <w:sz w:val="24"/>
          <w:szCs w:val="24"/>
          <w:highlight w:val="none"/>
          <w:u w:val="single"/>
        </w:rPr>
        <w:t xml:space="preserve">中标人招标，招标人参与管理 </w:t>
      </w:r>
      <w:r>
        <w:rPr>
          <w:rFonts w:hint="eastAsia" w:ascii="宋体" w:hAnsi="宋体" w:eastAsia="宋体" w:cs="宋体"/>
          <w:bCs/>
          <w:color w:val="auto"/>
          <w:spacing w:val="-1"/>
          <w:sz w:val="24"/>
          <w:szCs w:val="24"/>
          <w:highlight w:val="none"/>
        </w:rPr>
        <w:t>，</w:t>
      </w:r>
      <w:r>
        <w:rPr>
          <w:rFonts w:hint="eastAsia" w:ascii="宋体" w:hAnsi="宋体" w:eastAsia="宋体" w:cs="宋体"/>
          <w:color w:val="auto"/>
          <w:spacing w:val="-1"/>
          <w:sz w:val="24"/>
          <w:szCs w:val="24"/>
          <w:highlight w:val="none"/>
        </w:rPr>
        <w:t>确定专业工程承包人（或材料、工程设备供应商）和合同价格。</w:t>
      </w:r>
    </w:p>
    <w:p w14:paraId="5F60C25D">
      <w:pPr>
        <w:spacing w:before="30" w:line="299" w:lineRule="auto"/>
        <w:ind w:left="11" w:right="65" w:firstLine="489"/>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（2）暂估价项目按工程、货物的类别分类汇总的金额，未</w:t>
      </w:r>
      <w:r>
        <w:rPr>
          <w:rFonts w:hint="eastAsia" w:ascii="宋体" w:hAnsi="宋体" w:eastAsia="宋体" w:cs="宋体"/>
          <w:color w:val="auto"/>
          <w:spacing w:val="1"/>
          <w:sz w:val="24"/>
          <w:szCs w:val="24"/>
          <w:highlight w:val="none"/>
        </w:rPr>
        <w:t>达到必须招标规模标</w:t>
      </w:r>
      <w:r>
        <w:rPr>
          <w:rFonts w:hint="eastAsia" w:ascii="宋体" w:hAnsi="宋体" w:eastAsia="宋体" w:cs="宋体"/>
          <w:color w:val="auto"/>
          <w:spacing w:val="-1"/>
          <w:sz w:val="24"/>
          <w:szCs w:val="24"/>
          <w:highlight w:val="none"/>
        </w:rPr>
        <w:t>准但适用政府采购规定的，按照政府采购规定确定专业工</w:t>
      </w:r>
      <w:r>
        <w:rPr>
          <w:rFonts w:hint="eastAsia" w:ascii="宋体" w:hAnsi="宋体" w:eastAsia="宋体" w:cs="宋体"/>
          <w:color w:val="auto"/>
          <w:spacing w:val="-2"/>
          <w:sz w:val="24"/>
          <w:szCs w:val="24"/>
          <w:highlight w:val="none"/>
        </w:rPr>
        <w:t>程承包人（或材料、工程设备供应商）和合同价格。</w:t>
      </w:r>
    </w:p>
    <w:p w14:paraId="02BF48BB">
      <w:pPr>
        <w:spacing w:before="154" w:line="309" w:lineRule="auto"/>
        <w:ind w:left="11" w:right="65" w:firstLine="489"/>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（3）暂估价项目按工程、货物的类别分类汇总的金额，未</w:t>
      </w:r>
      <w:r>
        <w:rPr>
          <w:rFonts w:hint="eastAsia" w:ascii="宋体" w:hAnsi="宋体" w:eastAsia="宋体" w:cs="宋体"/>
          <w:color w:val="auto"/>
          <w:spacing w:val="1"/>
          <w:sz w:val="24"/>
          <w:szCs w:val="24"/>
          <w:highlight w:val="none"/>
        </w:rPr>
        <w:t>达到必须招标规模标</w:t>
      </w:r>
      <w:r>
        <w:rPr>
          <w:rFonts w:hint="eastAsia" w:ascii="宋体" w:hAnsi="宋体" w:eastAsia="宋体" w:cs="宋体"/>
          <w:color w:val="auto"/>
          <w:spacing w:val="-1"/>
          <w:sz w:val="24"/>
          <w:szCs w:val="24"/>
          <w:highlight w:val="none"/>
        </w:rPr>
        <w:t>准也不适用政府采购规定，中标人具备相应资格条件的，</w:t>
      </w:r>
      <w:r>
        <w:rPr>
          <w:rFonts w:hint="eastAsia" w:ascii="宋体" w:hAnsi="宋体" w:eastAsia="宋体" w:cs="宋体"/>
          <w:color w:val="auto"/>
          <w:spacing w:val="-2"/>
          <w:sz w:val="24"/>
          <w:szCs w:val="24"/>
          <w:highlight w:val="none"/>
        </w:rPr>
        <w:t>由中标人承包；中标人不具</w:t>
      </w:r>
      <w:r>
        <w:rPr>
          <w:rFonts w:hint="eastAsia" w:ascii="宋体" w:hAnsi="宋体" w:eastAsia="宋体" w:cs="宋体"/>
          <w:color w:val="auto"/>
          <w:spacing w:val="-1"/>
          <w:sz w:val="24"/>
          <w:szCs w:val="24"/>
          <w:highlight w:val="none"/>
        </w:rPr>
        <w:t>备相应资格条件但具备分包权的，由中标人分包，招标人</w:t>
      </w:r>
      <w:r>
        <w:rPr>
          <w:rFonts w:hint="eastAsia" w:ascii="宋体" w:hAnsi="宋体" w:eastAsia="宋体" w:cs="宋体"/>
          <w:color w:val="auto"/>
          <w:spacing w:val="-2"/>
          <w:sz w:val="24"/>
          <w:szCs w:val="24"/>
          <w:highlight w:val="none"/>
        </w:rPr>
        <w:t>同中标人结算原则按本招标文件相关条款执行。</w:t>
      </w:r>
    </w:p>
    <w:p w14:paraId="3698C443">
      <w:pPr>
        <w:spacing w:before="154" w:line="299" w:lineRule="auto"/>
        <w:ind w:left="11" w:right="65" w:firstLine="489"/>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（4）暂估价项目按工程、货物的类别分类汇总的金额，未</w:t>
      </w:r>
      <w:r>
        <w:rPr>
          <w:rFonts w:hint="eastAsia" w:ascii="宋体" w:hAnsi="宋体" w:eastAsia="宋体" w:cs="宋体"/>
          <w:color w:val="auto"/>
          <w:spacing w:val="1"/>
          <w:sz w:val="24"/>
          <w:szCs w:val="24"/>
          <w:highlight w:val="none"/>
        </w:rPr>
        <w:t>达到必须招标规模标</w:t>
      </w:r>
      <w:r>
        <w:rPr>
          <w:rFonts w:hint="eastAsia" w:ascii="宋体" w:hAnsi="宋体" w:eastAsia="宋体" w:cs="宋体"/>
          <w:color w:val="auto"/>
          <w:spacing w:val="-1"/>
          <w:sz w:val="24"/>
          <w:szCs w:val="24"/>
          <w:highlight w:val="none"/>
        </w:rPr>
        <w:t>准也不适用政府采购规定，中标人既不具备相应资格条件</w:t>
      </w:r>
      <w:r>
        <w:rPr>
          <w:rFonts w:hint="eastAsia" w:ascii="宋体" w:hAnsi="宋体" w:eastAsia="宋体" w:cs="宋体"/>
          <w:color w:val="auto"/>
          <w:spacing w:val="-2"/>
          <w:sz w:val="24"/>
          <w:szCs w:val="24"/>
          <w:highlight w:val="none"/>
        </w:rPr>
        <w:t>又不具备分包权的，由招标人另行发包。</w:t>
      </w:r>
    </w:p>
    <w:p w14:paraId="475FBF4C">
      <w:pPr>
        <w:spacing w:before="155" w:line="279" w:lineRule="auto"/>
        <w:ind w:left="9" w:right="66" w:firstLine="49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（5）暂估价项目由其他承包人承包的，纳入中标人的管理</w:t>
      </w:r>
      <w:r>
        <w:rPr>
          <w:rFonts w:hint="eastAsia" w:ascii="宋体" w:hAnsi="宋体" w:eastAsia="宋体" w:cs="宋体"/>
          <w:color w:val="auto"/>
          <w:spacing w:val="1"/>
          <w:sz w:val="24"/>
          <w:szCs w:val="24"/>
          <w:highlight w:val="none"/>
        </w:rPr>
        <w:t>和协调范围，由其他</w:t>
      </w:r>
      <w:r>
        <w:rPr>
          <w:rFonts w:hint="eastAsia" w:ascii="宋体" w:hAnsi="宋体" w:eastAsia="宋体" w:cs="宋体"/>
          <w:color w:val="auto"/>
          <w:spacing w:val="-1"/>
          <w:sz w:val="24"/>
          <w:szCs w:val="24"/>
          <w:highlight w:val="none"/>
        </w:rPr>
        <w:t>承包人向中标人承担质量、安全、文明施工、工期责任，中标</w:t>
      </w:r>
      <w:r>
        <w:rPr>
          <w:rFonts w:hint="eastAsia" w:ascii="宋体" w:hAnsi="宋体" w:eastAsia="宋体" w:cs="宋体"/>
          <w:color w:val="auto"/>
          <w:spacing w:val="-2"/>
          <w:sz w:val="24"/>
          <w:szCs w:val="24"/>
          <w:highlight w:val="none"/>
        </w:rPr>
        <w:t>人向招标人承担责任。</w:t>
      </w:r>
    </w:p>
    <w:p w14:paraId="34DBC168">
      <w:pPr>
        <w:spacing w:before="155" w:line="333" w:lineRule="auto"/>
        <w:ind w:left="10" w:right="65" w:firstLine="478"/>
        <w:jc w:val="both"/>
        <w:rPr>
          <w:rFonts w:hint="eastAsia" w:ascii="宋体" w:hAnsi="宋体" w:eastAsia="宋体" w:cs="宋体"/>
          <w:color w:val="auto"/>
          <w:highlight w:val="none"/>
        </w:rPr>
      </w:pPr>
      <w:r>
        <w:rPr>
          <w:rFonts w:hint="eastAsia" w:ascii="宋体" w:hAnsi="宋体" w:eastAsia="宋体" w:cs="宋体"/>
          <w:b/>
          <w:bCs/>
          <w:color w:val="auto"/>
          <w:sz w:val="24"/>
          <w:szCs w:val="24"/>
          <w:highlight w:val="none"/>
        </w:rPr>
        <w:t>8</w:t>
      </w:r>
      <w:r>
        <w:rPr>
          <w:rFonts w:hint="eastAsia" w:ascii="宋体" w:hAnsi="宋体" w:eastAsia="宋体" w:cs="宋体"/>
          <w:b/>
          <w:bCs/>
          <w:color w:val="auto"/>
          <w:sz w:val="24"/>
          <w:szCs w:val="24"/>
          <w:highlight w:val="none"/>
          <w:lang w:val="en-US" w:eastAsia="zh-CN"/>
        </w:rPr>
        <w:t>.6</w:t>
      </w:r>
      <w:r>
        <w:rPr>
          <w:rFonts w:hint="eastAsia" w:ascii="宋体" w:hAnsi="宋体" w:eastAsia="宋体" w:cs="宋体"/>
          <w:b/>
          <w:bCs/>
          <w:color w:val="auto"/>
          <w:sz w:val="24"/>
          <w:szCs w:val="24"/>
          <w:highlight w:val="none"/>
        </w:rPr>
        <w:t xml:space="preserve"> </w:t>
      </w:r>
      <w:r>
        <w:rPr>
          <w:rFonts w:hint="eastAsia" w:ascii="宋体" w:hAnsi="宋体" w:eastAsia="宋体" w:cs="宋体"/>
          <w:color w:val="auto"/>
          <w:sz w:val="24"/>
          <w:szCs w:val="24"/>
          <w:highlight w:val="none"/>
        </w:rPr>
        <w:t>本招标项目以暂列金额形式列入招标工程量清单中的所需货物和服务的采购</w:t>
      </w:r>
      <w:r>
        <w:rPr>
          <w:rFonts w:hint="eastAsia" w:ascii="宋体" w:hAnsi="宋体" w:eastAsia="宋体" w:cs="宋体"/>
          <w:color w:val="auto"/>
          <w:spacing w:val="-1"/>
          <w:sz w:val="24"/>
          <w:szCs w:val="24"/>
          <w:highlight w:val="none"/>
        </w:rPr>
        <w:t>（以下统称“暂列金额项目</w:t>
      </w:r>
      <w:r>
        <w:rPr>
          <w:rFonts w:hint="eastAsia" w:ascii="宋体" w:hAnsi="宋体" w:eastAsia="宋体" w:cs="宋体"/>
          <w:color w:val="auto"/>
          <w:spacing w:val="-77"/>
          <w:sz w:val="24"/>
          <w:szCs w:val="24"/>
          <w:highlight w:val="none"/>
        </w:rPr>
        <w:t xml:space="preserve"> </w:t>
      </w:r>
      <w:r>
        <w:rPr>
          <w:rFonts w:hint="eastAsia" w:ascii="宋体" w:hAnsi="宋体" w:eastAsia="宋体" w:cs="宋体"/>
          <w:color w:val="auto"/>
          <w:spacing w:val="-1"/>
          <w:sz w:val="24"/>
          <w:szCs w:val="24"/>
          <w:highlight w:val="none"/>
        </w:rPr>
        <w:t>”）若有发生，按照本节第</w:t>
      </w:r>
      <w:r>
        <w:rPr>
          <w:rFonts w:hint="eastAsia" w:ascii="宋体" w:hAnsi="宋体" w:eastAsia="宋体" w:cs="宋体"/>
          <w:color w:val="auto"/>
          <w:spacing w:val="-52"/>
          <w:sz w:val="24"/>
          <w:szCs w:val="24"/>
          <w:highlight w:val="none"/>
        </w:rPr>
        <w:t xml:space="preserve"> </w:t>
      </w:r>
      <w:r>
        <w:rPr>
          <w:rFonts w:hint="eastAsia" w:ascii="宋体" w:hAnsi="宋体" w:eastAsia="宋体" w:cs="宋体"/>
          <w:b/>
          <w:bCs/>
          <w:color w:val="auto"/>
          <w:spacing w:val="-1"/>
          <w:sz w:val="24"/>
          <w:szCs w:val="24"/>
          <w:highlight w:val="none"/>
        </w:rPr>
        <w:t xml:space="preserve">8.5 </w:t>
      </w:r>
      <w:r>
        <w:rPr>
          <w:rFonts w:hint="eastAsia" w:ascii="宋体" w:hAnsi="宋体" w:eastAsia="宋体" w:cs="宋体"/>
          <w:color w:val="auto"/>
          <w:spacing w:val="-1"/>
          <w:sz w:val="24"/>
          <w:szCs w:val="24"/>
          <w:highlight w:val="none"/>
        </w:rPr>
        <w:t>条的规定确定货物（或服务）供应商和合同价格。暂列金额项目由其他承包人承包的</w:t>
      </w:r>
      <w:r>
        <w:rPr>
          <w:rFonts w:hint="eastAsia" w:ascii="宋体" w:hAnsi="宋体" w:eastAsia="宋体" w:cs="宋体"/>
          <w:color w:val="auto"/>
          <w:spacing w:val="-2"/>
          <w:sz w:val="24"/>
          <w:szCs w:val="24"/>
          <w:highlight w:val="none"/>
        </w:rPr>
        <w:t>，纳入中标人的管理和协</w:t>
      </w:r>
      <w:r>
        <w:rPr>
          <w:rFonts w:hint="eastAsia" w:ascii="宋体" w:hAnsi="宋体" w:eastAsia="宋体" w:cs="宋体"/>
          <w:color w:val="auto"/>
          <w:spacing w:val="-1"/>
          <w:sz w:val="24"/>
          <w:szCs w:val="24"/>
          <w:highlight w:val="none"/>
        </w:rPr>
        <w:t>调范围</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由其他承包人向中标人承担质量、安全、文明</w:t>
      </w:r>
      <w:r>
        <w:rPr>
          <w:rFonts w:hint="eastAsia" w:ascii="宋体" w:hAnsi="宋体" w:eastAsia="宋体" w:cs="宋体"/>
          <w:color w:val="auto"/>
          <w:spacing w:val="-2"/>
          <w:sz w:val="24"/>
          <w:szCs w:val="24"/>
          <w:highlight w:val="none"/>
        </w:rPr>
        <w:t>施工、工期责任，中标人向招标人承担责任。</w:t>
      </w:r>
    </w:p>
    <w:p w14:paraId="2AB78D5F">
      <w:pPr>
        <w:spacing w:before="79" w:line="219" w:lineRule="auto"/>
        <w:ind w:left="487"/>
        <w:outlineLvl w:val="2"/>
        <w:rPr>
          <w:rFonts w:hint="eastAsia" w:ascii="宋体" w:hAnsi="宋体" w:eastAsia="宋体" w:cs="宋体"/>
          <w:color w:val="auto"/>
          <w:sz w:val="24"/>
          <w:szCs w:val="24"/>
          <w:highlight w:val="none"/>
        </w:rPr>
      </w:pPr>
      <w:bookmarkStart w:id="39" w:name="_Toc6911"/>
      <w:bookmarkStart w:id="40" w:name="_Toc22978"/>
      <w:r>
        <w:rPr>
          <w:rFonts w:hint="eastAsia" w:ascii="宋体" w:hAnsi="宋体" w:eastAsia="宋体" w:cs="宋体"/>
          <w:b/>
          <w:bCs/>
          <w:color w:val="auto"/>
          <w:spacing w:val="-8"/>
          <w:sz w:val="24"/>
          <w:szCs w:val="24"/>
          <w:highlight w:val="none"/>
        </w:rPr>
        <w:t>9</w:t>
      </w:r>
      <w:r>
        <w:rPr>
          <w:rFonts w:hint="eastAsia" w:ascii="宋体" w:hAnsi="宋体" w:eastAsia="宋体" w:cs="宋体"/>
          <w:b/>
          <w:bCs/>
          <w:color w:val="auto"/>
          <w:spacing w:val="-29"/>
          <w:sz w:val="24"/>
          <w:szCs w:val="24"/>
          <w:highlight w:val="none"/>
        </w:rPr>
        <w:t xml:space="preserve"> </w:t>
      </w:r>
      <w:r>
        <w:rPr>
          <w:rFonts w:hint="eastAsia" w:ascii="宋体" w:hAnsi="宋体" w:eastAsia="宋体" w:cs="宋体"/>
          <w:b/>
          <w:bCs/>
          <w:color w:val="auto"/>
          <w:spacing w:val="-8"/>
          <w:sz w:val="24"/>
          <w:szCs w:val="24"/>
          <w:highlight w:val="none"/>
        </w:rPr>
        <w:t>．投标报价</w:t>
      </w:r>
      <w:bookmarkEnd w:id="39"/>
      <w:bookmarkEnd w:id="40"/>
    </w:p>
    <w:p w14:paraId="0CB59245">
      <w:pPr>
        <w:spacing w:before="157" w:line="219" w:lineRule="auto"/>
        <w:ind w:left="487"/>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9.1  </w:t>
      </w:r>
      <w:r>
        <w:rPr>
          <w:rFonts w:hint="eastAsia" w:ascii="宋体" w:hAnsi="宋体" w:eastAsia="宋体" w:cs="宋体"/>
          <w:color w:val="auto"/>
          <w:spacing w:val="-1"/>
          <w:sz w:val="24"/>
          <w:szCs w:val="24"/>
          <w:highlight w:val="none"/>
        </w:rPr>
        <w:t>投标人应按照以下依据编制投标报价：</w:t>
      </w:r>
    </w:p>
    <w:p w14:paraId="324CCCE9">
      <w:pPr>
        <w:spacing w:before="155" w:line="219"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（1）《建设工程工程量清单计价标准》（GB/T 50500-2024）</w:t>
      </w:r>
      <w:r>
        <w:rPr>
          <w:rFonts w:hint="eastAsia" w:ascii="宋体" w:hAnsi="宋体" w:eastAsia="宋体" w:cs="宋体"/>
          <w:color w:val="auto"/>
          <w:spacing w:val="4"/>
          <w:sz w:val="24"/>
          <w:szCs w:val="24"/>
          <w:highlight w:val="none"/>
        </w:rPr>
        <w:t>；</w:t>
      </w:r>
    </w:p>
    <w:p w14:paraId="1F123386">
      <w:pPr>
        <w:spacing w:before="153" w:line="309" w:lineRule="auto"/>
        <w:ind w:left="9" w:right="65" w:firstLine="49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2）2018年《广东省房屋建筑与装饰工程综合定额》、2018年《广东省市政工程综合定额》、2018年《广东省通用安装工程综合定额》、2018年《广东省园林绿化工程综合定额》及现行的建筑施工规范和省市有关文件、规定为编制依据进行编制</w:t>
      </w:r>
      <w:r>
        <w:rPr>
          <w:rFonts w:hint="eastAsia" w:ascii="宋体" w:hAnsi="宋体" w:eastAsia="宋体" w:cs="宋体"/>
          <w:color w:val="auto"/>
          <w:spacing w:val="-1"/>
          <w:sz w:val="24"/>
          <w:szCs w:val="24"/>
          <w:highlight w:val="none"/>
        </w:rPr>
        <w:t>；</w:t>
      </w:r>
    </w:p>
    <w:p w14:paraId="4CCDAD2F">
      <w:pPr>
        <w:spacing w:before="78" w:line="220" w:lineRule="auto"/>
        <w:ind w:left="501"/>
        <w:rPr>
          <w:rFonts w:hint="eastAsia" w:ascii="宋体" w:hAnsi="宋体" w:eastAsia="宋体" w:cs="宋体"/>
          <w:color w:val="auto"/>
          <w:sz w:val="24"/>
          <w:szCs w:val="24"/>
          <w:highlight w:val="none"/>
        </w:rPr>
      </w:pPr>
      <w:bookmarkStart w:id="41" w:name="bookmark120"/>
      <w:bookmarkEnd w:id="41"/>
      <w:r>
        <w:rPr>
          <w:rFonts w:hint="eastAsia" w:ascii="宋体" w:hAnsi="宋体" w:eastAsia="宋体" w:cs="宋体"/>
          <w:color w:val="auto"/>
          <w:spacing w:val="-3"/>
          <w:sz w:val="24"/>
          <w:szCs w:val="24"/>
          <w:highlight w:val="none"/>
        </w:rPr>
        <w:t>（3）企业定额；</w:t>
      </w:r>
    </w:p>
    <w:p w14:paraId="44753B79">
      <w:pPr>
        <w:spacing w:before="155" w:line="219"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（4）招标文件及其答疑（或修改）公告、招标工程量清单；</w:t>
      </w:r>
    </w:p>
    <w:p w14:paraId="3CFD144F">
      <w:pPr>
        <w:spacing w:before="154" w:line="221"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（5）施工图及相关资料；</w:t>
      </w:r>
    </w:p>
    <w:p w14:paraId="3970D688">
      <w:pPr>
        <w:spacing w:before="152" w:line="219"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（6）施工现场情况、工程特点及投标时拟定的施工组织设计或施工方案；</w:t>
      </w:r>
    </w:p>
    <w:p w14:paraId="248C998C">
      <w:pPr>
        <w:spacing w:before="156" w:line="219"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（7）市场价格信息或项目所在地工程造价管理机构发布的工程造价信息；</w:t>
      </w:r>
    </w:p>
    <w:p w14:paraId="7BBE6412">
      <w:pPr>
        <w:spacing w:before="155" w:line="220"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（8）与建设项目相关的标准、规范、技术资料。</w:t>
      </w:r>
    </w:p>
    <w:p w14:paraId="5884AFD7">
      <w:pPr>
        <w:spacing w:before="153" w:line="309" w:lineRule="auto"/>
        <w:ind w:left="8" w:right="150" w:firstLine="558"/>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9.2  </w:t>
      </w:r>
      <w:r>
        <w:rPr>
          <w:rFonts w:hint="eastAsia" w:ascii="宋体" w:hAnsi="宋体" w:eastAsia="宋体" w:cs="宋体"/>
          <w:color w:val="auto"/>
          <w:spacing w:val="-2"/>
          <w:sz w:val="24"/>
          <w:szCs w:val="24"/>
          <w:highlight w:val="none"/>
        </w:rPr>
        <w:t>投标人应根据招标工程量清单、工程量清单计价规范中的工作内容、设计文</w:t>
      </w:r>
      <w:r>
        <w:rPr>
          <w:rFonts w:hint="eastAsia" w:ascii="宋体" w:hAnsi="宋体" w:eastAsia="宋体" w:cs="宋体"/>
          <w:color w:val="auto"/>
          <w:spacing w:val="-1"/>
          <w:sz w:val="24"/>
          <w:szCs w:val="24"/>
          <w:highlight w:val="none"/>
        </w:rPr>
        <w:t>件和有关要求、施工现场实际情况、投标人拟定的施工组织设计</w:t>
      </w:r>
      <w:r>
        <w:rPr>
          <w:rFonts w:hint="eastAsia" w:ascii="宋体" w:hAnsi="宋体" w:eastAsia="宋体" w:cs="宋体"/>
          <w:color w:val="auto"/>
          <w:spacing w:val="-2"/>
          <w:sz w:val="24"/>
          <w:szCs w:val="24"/>
          <w:highlight w:val="none"/>
        </w:rPr>
        <w:t>、本单位的企业定额</w:t>
      </w:r>
      <w:r>
        <w:rPr>
          <w:rFonts w:hint="eastAsia" w:ascii="宋体" w:hAnsi="宋体" w:eastAsia="宋体" w:cs="宋体"/>
          <w:color w:val="auto"/>
          <w:spacing w:val="-1"/>
          <w:sz w:val="24"/>
          <w:szCs w:val="24"/>
          <w:highlight w:val="none"/>
        </w:rPr>
        <w:t>和市场价格进行编制，自行报价，并承担一定范围内的风险费用</w:t>
      </w:r>
      <w:r>
        <w:rPr>
          <w:rFonts w:hint="eastAsia" w:ascii="宋体" w:hAnsi="宋体" w:eastAsia="宋体" w:cs="宋体"/>
          <w:color w:val="auto"/>
          <w:spacing w:val="-2"/>
          <w:sz w:val="24"/>
          <w:szCs w:val="24"/>
          <w:highlight w:val="none"/>
        </w:rPr>
        <w:t>。所谓“一定范围内</w:t>
      </w:r>
      <w:r>
        <w:rPr>
          <w:rFonts w:hint="eastAsia" w:ascii="宋体" w:hAnsi="宋体" w:eastAsia="宋体" w:cs="宋体"/>
          <w:color w:val="auto"/>
          <w:spacing w:val="-3"/>
          <w:sz w:val="24"/>
          <w:szCs w:val="24"/>
          <w:highlight w:val="none"/>
        </w:rPr>
        <w:t>的风险</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3"/>
          <w:sz w:val="24"/>
          <w:szCs w:val="24"/>
          <w:highlight w:val="none"/>
        </w:rPr>
        <w:t>”是指合同约定的风险。</w:t>
      </w:r>
    </w:p>
    <w:p w14:paraId="6F48F6C5">
      <w:pPr>
        <w:spacing w:before="152" w:line="309" w:lineRule="auto"/>
        <w:ind w:left="9" w:right="150" w:firstLine="557"/>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9.3  </w:t>
      </w:r>
      <w:r>
        <w:rPr>
          <w:rFonts w:hint="eastAsia" w:ascii="宋体" w:hAnsi="宋体" w:eastAsia="宋体" w:cs="宋体"/>
          <w:color w:val="auto"/>
          <w:spacing w:val="-2"/>
          <w:sz w:val="24"/>
          <w:szCs w:val="24"/>
          <w:highlight w:val="none"/>
        </w:rPr>
        <w:t>招标人及招标代理机构不集中组织现场踏勘，投标人需要了解现场情况的，</w:t>
      </w:r>
      <w:r>
        <w:rPr>
          <w:rFonts w:hint="eastAsia" w:ascii="宋体" w:hAnsi="宋体" w:eastAsia="宋体" w:cs="宋体"/>
          <w:color w:val="auto"/>
          <w:spacing w:val="-1"/>
          <w:sz w:val="24"/>
          <w:szCs w:val="24"/>
          <w:highlight w:val="none"/>
        </w:rPr>
        <w:t>可自行进行现场踏勘。各投标人应勘察施工现场及周围环</w:t>
      </w:r>
      <w:r>
        <w:rPr>
          <w:rFonts w:hint="eastAsia" w:ascii="宋体" w:hAnsi="宋体" w:eastAsia="宋体" w:cs="宋体"/>
          <w:color w:val="auto"/>
          <w:spacing w:val="-2"/>
          <w:sz w:val="24"/>
          <w:szCs w:val="24"/>
          <w:highlight w:val="none"/>
        </w:rPr>
        <w:t>境、地形、地貌、水文、交</w:t>
      </w:r>
      <w:r>
        <w:rPr>
          <w:rFonts w:hint="eastAsia" w:ascii="宋体" w:hAnsi="宋体" w:eastAsia="宋体" w:cs="宋体"/>
          <w:color w:val="auto"/>
          <w:spacing w:val="-1"/>
          <w:sz w:val="24"/>
          <w:szCs w:val="24"/>
          <w:highlight w:val="none"/>
        </w:rPr>
        <w:t>通等情况，以获得一切可能影响到投标的直接资料。投标人应</w:t>
      </w:r>
      <w:r>
        <w:rPr>
          <w:rFonts w:hint="eastAsia" w:ascii="宋体" w:hAnsi="宋体" w:eastAsia="宋体" w:cs="宋体"/>
          <w:color w:val="auto"/>
          <w:spacing w:val="-2"/>
          <w:sz w:val="24"/>
          <w:szCs w:val="24"/>
          <w:highlight w:val="none"/>
        </w:rPr>
        <w:t>针对现场情况编制施工</w:t>
      </w:r>
      <w:r>
        <w:rPr>
          <w:rFonts w:hint="eastAsia" w:ascii="宋体" w:hAnsi="宋体" w:eastAsia="宋体" w:cs="宋体"/>
          <w:color w:val="auto"/>
          <w:spacing w:val="-1"/>
          <w:sz w:val="24"/>
          <w:szCs w:val="24"/>
          <w:highlight w:val="none"/>
        </w:rPr>
        <w:t>组织设计，并在编制投标报价时考虑现场情况的影响。</w:t>
      </w:r>
    </w:p>
    <w:p w14:paraId="17C6A9C4">
      <w:pPr>
        <w:spacing w:before="155" w:line="279" w:lineRule="auto"/>
        <w:ind w:left="10" w:right="150" w:firstLine="55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9.4  </w:t>
      </w:r>
      <w:r>
        <w:rPr>
          <w:rFonts w:hint="eastAsia" w:ascii="宋体" w:hAnsi="宋体" w:eastAsia="宋体" w:cs="宋体"/>
          <w:color w:val="auto"/>
          <w:spacing w:val="-2"/>
          <w:sz w:val="24"/>
          <w:szCs w:val="24"/>
          <w:highlight w:val="none"/>
        </w:rPr>
        <w:t>招标人向投标人提供的有关现场的数据和资料，是招标人现有的能被投标人</w:t>
      </w:r>
      <w:r>
        <w:rPr>
          <w:rFonts w:hint="eastAsia" w:ascii="宋体" w:hAnsi="宋体" w:eastAsia="宋体" w:cs="宋体"/>
          <w:color w:val="auto"/>
          <w:sz w:val="24"/>
          <w:szCs w:val="24"/>
          <w:highlight w:val="none"/>
        </w:rPr>
        <w:t>利用的资料，招标人对投标人做出的任何推论</w:t>
      </w:r>
      <w:r>
        <w:rPr>
          <w:rFonts w:hint="eastAsia" w:ascii="宋体" w:hAnsi="宋体" w:eastAsia="宋体" w:cs="宋体"/>
          <w:color w:val="auto"/>
          <w:spacing w:val="-1"/>
          <w:sz w:val="24"/>
          <w:szCs w:val="24"/>
          <w:highlight w:val="none"/>
        </w:rPr>
        <w:t>、理解和结论均不负责任。</w:t>
      </w:r>
    </w:p>
    <w:p w14:paraId="58AFE0B2">
      <w:pPr>
        <w:spacing w:before="154" w:line="299" w:lineRule="auto"/>
        <w:ind w:left="12" w:firstLine="554"/>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9.5  </w:t>
      </w:r>
      <w:r>
        <w:rPr>
          <w:rFonts w:hint="eastAsia" w:ascii="宋体" w:hAnsi="宋体" w:eastAsia="宋体" w:cs="宋体"/>
          <w:color w:val="auto"/>
          <w:spacing w:val="-2"/>
          <w:sz w:val="24"/>
          <w:szCs w:val="24"/>
          <w:highlight w:val="none"/>
        </w:rPr>
        <w:t>投标人必须按照招标工程量清单及表格填报价格。项目编码、项目名称、项</w:t>
      </w:r>
      <w:r>
        <w:rPr>
          <w:rFonts w:hint="eastAsia" w:ascii="宋体" w:hAnsi="宋体" w:eastAsia="宋体" w:cs="宋体"/>
          <w:color w:val="auto"/>
          <w:spacing w:val="2"/>
          <w:sz w:val="24"/>
          <w:szCs w:val="24"/>
          <w:highlight w:val="none"/>
        </w:rPr>
        <w:t>目特征、计量单位、工程量必须与招标工程量清单一致。所有报价均以人</w:t>
      </w:r>
      <w:r>
        <w:rPr>
          <w:rFonts w:hint="eastAsia" w:ascii="宋体" w:hAnsi="宋体" w:eastAsia="宋体" w:cs="宋体"/>
          <w:color w:val="auto"/>
          <w:spacing w:val="1"/>
          <w:sz w:val="24"/>
          <w:szCs w:val="24"/>
          <w:highlight w:val="none"/>
        </w:rPr>
        <w:t>民币“元</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1"/>
          <w:sz w:val="24"/>
          <w:szCs w:val="24"/>
          <w:highlight w:val="none"/>
        </w:rPr>
        <w:t>”</w:t>
      </w:r>
      <w:r>
        <w:rPr>
          <w:rFonts w:hint="eastAsia" w:ascii="宋体" w:hAnsi="宋体" w:eastAsia="宋体" w:cs="宋体"/>
          <w:color w:val="auto"/>
          <w:spacing w:val="-1"/>
          <w:sz w:val="24"/>
          <w:szCs w:val="24"/>
          <w:highlight w:val="none"/>
        </w:rPr>
        <w:t>为单位，并保留小数点后两位。</w:t>
      </w:r>
    </w:p>
    <w:p w14:paraId="7A5201E3">
      <w:pPr>
        <w:spacing w:before="158" w:line="314" w:lineRule="auto"/>
        <w:ind w:left="9" w:right="150" w:firstLine="557"/>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9.6  </w:t>
      </w:r>
      <w:r>
        <w:rPr>
          <w:rFonts w:hint="eastAsia" w:ascii="宋体" w:hAnsi="宋体" w:eastAsia="宋体" w:cs="宋体"/>
          <w:color w:val="auto"/>
          <w:spacing w:val="-2"/>
          <w:sz w:val="24"/>
          <w:szCs w:val="24"/>
          <w:highlight w:val="none"/>
        </w:rPr>
        <w:t>投标人只允许有一个投标总价。投标总价必须同时用大、小写表示，大、小</w:t>
      </w:r>
      <w:r>
        <w:rPr>
          <w:rFonts w:hint="eastAsia" w:ascii="宋体" w:hAnsi="宋体" w:eastAsia="宋体" w:cs="宋体"/>
          <w:color w:val="auto"/>
          <w:spacing w:val="-1"/>
          <w:sz w:val="24"/>
          <w:szCs w:val="24"/>
          <w:highlight w:val="none"/>
        </w:rPr>
        <w:t>写报价应保持一致，若不一致，以大写报价为准。招标工程量</w:t>
      </w:r>
      <w:r>
        <w:rPr>
          <w:rFonts w:hint="eastAsia" w:ascii="宋体" w:hAnsi="宋体" w:eastAsia="宋体" w:cs="宋体"/>
          <w:color w:val="auto"/>
          <w:spacing w:val="-2"/>
          <w:sz w:val="24"/>
          <w:szCs w:val="24"/>
          <w:highlight w:val="none"/>
        </w:rPr>
        <w:t>清单与计价表中列明的</w:t>
      </w:r>
      <w:r>
        <w:rPr>
          <w:rFonts w:hint="eastAsia" w:ascii="宋体" w:hAnsi="宋体" w:eastAsia="宋体" w:cs="宋体"/>
          <w:color w:val="auto"/>
          <w:spacing w:val="-1"/>
          <w:sz w:val="24"/>
          <w:szCs w:val="24"/>
          <w:highlight w:val="none"/>
        </w:rPr>
        <w:t>所有需要填写单价和合价的项目，投标人均应填写且只允许有</w:t>
      </w:r>
      <w:r>
        <w:rPr>
          <w:rFonts w:hint="eastAsia" w:ascii="宋体" w:hAnsi="宋体" w:eastAsia="宋体" w:cs="宋体"/>
          <w:color w:val="auto"/>
          <w:spacing w:val="-2"/>
          <w:sz w:val="24"/>
          <w:szCs w:val="24"/>
          <w:highlight w:val="none"/>
        </w:rPr>
        <w:t>一个报价。未填写单价</w:t>
      </w:r>
      <w:r>
        <w:rPr>
          <w:rFonts w:hint="eastAsia" w:ascii="宋体" w:hAnsi="宋体" w:eastAsia="宋体" w:cs="宋体"/>
          <w:color w:val="auto"/>
          <w:spacing w:val="-1"/>
          <w:sz w:val="24"/>
          <w:szCs w:val="24"/>
          <w:highlight w:val="none"/>
        </w:rPr>
        <w:t>和合价的项目，视为此项费用已包含在已标价工程量清单其他</w:t>
      </w:r>
      <w:r>
        <w:rPr>
          <w:rFonts w:hint="eastAsia" w:ascii="宋体" w:hAnsi="宋体" w:eastAsia="宋体" w:cs="宋体"/>
          <w:color w:val="auto"/>
          <w:spacing w:val="-2"/>
          <w:sz w:val="24"/>
          <w:szCs w:val="24"/>
          <w:highlight w:val="none"/>
        </w:rPr>
        <w:t>项目的单价和合价中，</w:t>
      </w:r>
      <w:r>
        <w:rPr>
          <w:rFonts w:hint="eastAsia" w:ascii="宋体" w:hAnsi="宋体" w:eastAsia="宋体" w:cs="宋体"/>
          <w:color w:val="auto"/>
          <w:spacing w:val="-1"/>
          <w:sz w:val="24"/>
          <w:szCs w:val="24"/>
          <w:highlight w:val="none"/>
        </w:rPr>
        <w:t>竣工结算时不得重新组价和调整。</w:t>
      </w:r>
    </w:p>
    <w:p w14:paraId="680D700B">
      <w:pPr>
        <w:spacing w:before="152" w:line="309" w:lineRule="auto"/>
        <w:ind w:left="7" w:right="120" w:firstLine="480"/>
        <w:rPr>
          <w:rFonts w:hint="eastAsia" w:ascii="宋体" w:hAnsi="宋体" w:eastAsia="宋体" w:cs="宋体"/>
          <w:b/>
          <w:bCs/>
          <w:color w:val="auto"/>
          <w:spacing w:val="-3"/>
          <w:sz w:val="24"/>
          <w:szCs w:val="24"/>
          <w:highlight w:val="none"/>
        </w:rPr>
      </w:pPr>
      <w:r>
        <w:rPr>
          <w:rFonts w:hint="eastAsia" w:ascii="宋体" w:hAnsi="宋体" w:eastAsia="宋体" w:cs="宋体"/>
          <w:b/>
          <w:bCs/>
          <w:color w:val="auto"/>
          <w:sz w:val="24"/>
          <w:szCs w:val="24"/>
          <w:highlight w:val="none"/>
        </w:rPr>
        <w:t xml:space="preserve">9.7  </w:t>
      </w:r>
      <w:r>
        <w:rPr>
          <w:rFonts w:hint="eastAsia" w:ascii="宋体" w:hAnsi="宋体" w:eastAsia="宋体" w:cs="宋体"/>
          <w:color w:val="auto"/>
          <w:sz w:val="24"/>
          <w:szCs w:val="24"/>
          <w:highlight w:val="none"/>
        </w:rPr>
        <w:t>投标人的投标总价不得高于</w:t>
      </w:r>
      <w:r>
        <w:rPr>
          <w:rFonts w:hint="eastAsia" w:ascii="宋体" w:hAnsi="宋体" w:eastAsia="宋体" w:cs="宋体"/>
          <w:b/>
          <w:bCs/>
          <w:color w:val="auto"/>
          <w:sz w:val="24"/>
          <w:szCs w:val="24"/>
          <w:highlight w:val="none"/>
          <w:lang w:val="en-US" w:eastAsia="zh-CN"/>
        </w:rPr>
        <w:t>最高投标限价</w:t>
      </w:r>
      <w:r>
        <w:rPr>
          <w:rFonts w:hint="eastAsia" w:ascii="宋体" w:hAnsi="宋体" w:eastAsia="宋体" w:cs="宋体"/>
          <w:color w:val="auto"/>
          <w:sz w:val="24"/>
          <w:szCs w:val="24"/>
          <w:highlight w:val="none"/>
        </w:rPr>
        <w:t>，也不得低于工程成本。投标人对</w:t>
      </w:r>
      <w:r>
        <w:rPr>
          <w:rFonts w:hint="eastAsia" w:ascii="宋体" w:hAnsi="宋体" w:eastAsia="宋体" w:cs="宋体"/>
          <w:color w:val="auto"/>
          <w:spacing w:val="-1"/>
          <w:sz w:val="24"/>
          <w:szCs w:val="24"/>
          <w:highlight w:val="none"/>
        </w:rPr>
        <w:t>投标总价的所有优惠（降价、让利等</w:t>
      </w:r>
      <w:r>
        <w:rPr>
          <w:rFonts w:hint="eastAsia" w:ascii="宋体" w:hAnsi="宋体" w:eastAsia="宋体" w:cs="宋体"/>
          <w:color w:val="auto"/>
          <w:spacing w:val="-4"/>
          <w:sz w:val="24"/>
          <w:szCs w:val="24"/>
          <w:highlight w:val="none"/>
        </w:rPr>
        <w:t>），</w:t>
      </w:r>
      <w:r>
        <w:rPr>
          <w:rFonts w:hint="eastAsia" w:ascii="宋体" w:hAnsi="宋体" w:eastAsia="宋体" w:cs="宋体"/>
          <w:color w:val="auto"/>
          <w:spacing w:val="-1"/>
          <w:sz w:val="24"/>
          <w:szCs w:val="24"/>
          <w:highlight w:val="none"/>
        </w:rPr>
        <w:t>均应当反映在具体清单项目或其综合</w:t>
      </w:r>
      <w:r>
        <w:rPr>
          <w:rFonts w:hint="eastAsia" w:ascii="宋体" w:hAnsi="宋体" w:eastAsia="宋体" w:cs="宋体"/>
          <w:color w:val="auto"/>
          <w:spacing w:val="-2"/>
          <w:sz w:val="24"/>
          <w:szCs w:val="24"/>
          <w:highlight w:val="none"/>
        </w:rPr>
        <w:t>单价的</w:t>
      </w:r>
      <w:r>
        <w:rPr>
          <w:rFonts w:hint="eastAsia" w:ascii="宋体" w:hAnsi="宋体" w:eastAsia="宋体" w:cs="宋体"/>
          <w:color w:val="auto"/>
          <w:spacing w:val="1"/>
          <w:sz w:val="24"/>
          <w:szCs w:val="24"/>
          <w:highlight w:val="none"/>
        </w:rPr>
        <w:t>报价上。</w:t>
      </w:r>
      <w:r>
        <w:rPr>
          <w:rFonts w:hint="eastAsia" w:ascii="宋体" w:hAnsi="宋体" w:eastAsia="宋体" w:cs="宋体"/>
          <w:b/>
          <w:bCs/>
          <w:color w:val="auto"/>
          <w:spacing w:val="1"/>
          <w:sz w:val="24"/>
          <w:szCs w:val="24"/>
          <w:highlight w:val="none"/>
        </w:rPr>
        <w:t>如果投标人的投标总价下浮率高于</w:t>
      </w:r>
      <w:r>
        <w:rPr>
          <w:rFonts w:hint="eastAsia" w:ascii="宋体" w:hAnsi="宋体" w:eastAsia="宋体" w:cs="宋体"/>
          <w:color w:val="auto"/>
          <w:spacing w:val="-40"/>
          <w:sz w:val="24"/>
          <w:szCs w:val="24"/>
          <w:highlight w:val="none"/>
        </w:rPr>
        <w:t xml:space="preserve"> </w:t>
      </w:r>
      <w:r>
        <w:rPr>
          <w:rFonts w:hint="eastAsia" w:ascii="宋体" w:hAnsi="宋体" w:eastAsia="宋体" w:cs="宋体"/>
          <w:b/>
          <w:bCs/>
          <w:color w:val="auto"/>
          <w:spacing w:val="1"/>
          <w:sz w:val="24"/>
          <w:szCs w:val="24"/>
          <w:highlight w:val="none"/>
        </w:rPr>
        <w:t>15%时，投标人必须在投标文件中专项</w:t>
      </w:r>
      <w:r>
        <w:rPr>
          <w:rFonts w:hint="eastAsia" w:ascii="宋体" w:hAnsi="宋体" w:eastAsia="宋体" w:cs="宋体"/>
          <w:b/>
          <w:bCs/>
          <w:color w:val="auto"/>
          <w:spacing w:val="-3"/>
          <w:sz w:val="24"/>
          <w:szCs w:val="24"/>
          <w:highlight w:val="none"/>
        </w:rPr>
        <w:t>作出详细合理的书面说明并提供以往类似工程详细成本分析报告供评标委员会审查。</w:t>
      </w:r>
    </w:p>
    <w:p w14:paraId="25ACD444">
      <w:pPr>
        <w:outlineLvl w:val="9"/>
        <w:rPr>
          <w:rFonts w:hint="eastAsia" w:ascii="宋体" w:hAnsi="宋体" w:eastAsia="宋体" w:cs="宋体"/>
          <w:color w:val="auto"/>
          <w:highlight w:val="none"/>
          <w:lang w:eastAsia="zh-CN"/>
        </w:rPr>
      </w:pPr>
      <w:r>
        <w:rPr>
          <w:rFonts w:hint="eastAsia" w:ascii="宋体" w:hAnsi="宋体" w:eastAsia="宋体" w:cs="宋体"/>
          <w:b/>
          <w:bCs/>
          <w:color w:val="auto"/>
          <w:spacing w:val="-3"/>
          <w:sz w:val="24"/>
          <w:szCs w:val="24"/>
          <w:highlight w:val="none"/>
          <w:lang w:eastAsia="zh-CN"/>
        </w:rPr>
        <w:t>投标总价下浮率=（1-投标总价</w:t>
      </w:r>
      <w:r>
        <w:rPr>
          <w:rFonts w:hint="eastAsia" w:ascii="宋体" w:hAnsi="宋体" w:eastAsia="宋体" w:cs="宋体"/>
          <w:b/>
          <w:bCs/>
          <w:color w:val="auto"/>
          <w:spacing w:val="-1"/>
          <w:sz w:val="24"/>
          <w:szCs w:val="24"/>
          <w:highlight w:val="none"/>
        </w:rPr>
        <w:t>÷</w:t>
      </w:r>
      <w:r>
        <w:rPr>
          <w:rFonts w:hint="eastAsia" w:ascii="宋体" w:hAnsi="宋体" w:eastAsia="宋体" w:cs="宋体"/>
          <w:b/>
          <w:bCs/>
          <w:color w:val="auto"/>
          <w:spacing w:val="-1"/>
          <w:sz w:val="24"/>
          <w:szCs w:val="24"/>
          <w:highlight w:val="none"/>
          <w:lang w:eastAsia="zh-CN"/>
        </w:rPr>
        <w:t>最高投标限价）</w:t>
      </w:r>
      <w:r>
        <w:rPr>
          <w:rFonts w:hint="eastAsia" w:ascii="宋体" w:hAnsi="宋体" w:eastAsia="宋体" w:cs="宋体"/>
          <w:b/>
          <w:bCs/>
          <w:color w:val="auto"/>
          <w:spacing w:val="-1"/>
          <w:sz w:val="24"/>
          <w:szCs w:val="24"/>
          <w:highlight w:val="none"/>
        </w:rPr>
        <w:t>×</w:t>
      </w:r>
      <w:r>
        <w:rPr>
          <w:rFonts w:hint="eastAsia" w:ascii="宋体" w:hAnsi="宋体" w:eastAsia="宋体" w:cs="宋体"/>
          <w:b/>
          <w:bCs/>
          <w:color w:val="auto"/>
          <w:spacing w:val="-1"/>
          <w:sz w:val="24"/>
          <w:szCs w:val="24"/>
          <w:highlight w:val="none"/>
          <w:lang w:eastAsia="zh-CN"/>
        </w:rPr>
        <w:t>100%</w:t>
      </w:r>
    </w:p>
    <w:p w14:paraId="5ABB7F86">
      <w:pPr>
        <w:spacing w:before="146" w:line="325" w:lineRule="auto"/>
        <w:ind w:left="29" w:right="153" w:firstLine="458"/>
        <w:rPr>
          <w:rFonts w:hint="eastAsia" w:ascii="宋体" w:hAnsi="宋体" w:eastAsia="宋体" w:cs="宋体"/>
          <w:b/>
          <w:bCs/>
          <w:color w:val="auto"/>
          <w:highlight w:val="none"/>
        </w:rPr>
      </w:pPr>
      <w:r>
        <w:rPr>
          <w:rFonts w:hint="eastAsia" w:ascii="宋体" w:hAnsi="宋体" w:eastAsia="宋体" w:cs="宋体"/>
          <w:b/>
          <w:bCs/>
          <w:color w:val="auto"/>
          <w:sz w:val="24"/>
          <w:szCs w:val="24"/>
          <w:highlight w:val="none"/>
        </w:rPr>
        <w:t>9.8  投标人的安全生产措施费报价必须达到或超过</w:t>
      </w:r>
      <w:r>
        <w:rPr>
          <w:rFonts w:hint="eastAsia" w:ascii="宋体" w:hAnsi="宋体" w:eastAsia="宋体" w:cs="宋体"/>
          <w:b/>
          <w:bCs/>
          <w:color w:val="auto"/>
          <w:sz w:val="24"/>
          <w:szCs w:val="24"/>
          <w:highlight w:val="none"/>
          <w:lang w:val="en-US" w:eastAsia="zh-CN"/>
        </w:rPr>
        <w:t>最高投标限价</w:t>
      </w:r>
      <w:r>
        <w:rPr>
          <w:rFonts w:hint="eastAsia" w:ascii="宋体" w:hAnsi="宋体" w:eastAsia="宋体" w:cs="宋体"/>
          <w:b/>
          <w:bCs/>
          <w:color w:val="auto"/>
          <w:sz w:val="24"/>
          <w:szCs w:val="24"/>
          <w:highlight w:val="none"/>
        </w:rPr>
        <w:t>中</w:t>
      </w:r>
      <w:r>
        <w:rPr>
          <w:rFonts w:hint="eastAsia" w:ascii="宋体" w:hAnsi="宋体" w:eastAsia="宋体" w:cs="宋体"/>
          <w:b/>
          <w:bCs/>
          <w:color w:val="auto"/>
          <w:spacing w:val="-1"/>
          <w:sz w:val="24"/>
          <w:szCs w:val="24"/>
          <w:highlight w:val="none"/>
        </w:rPr>
        <w:t>提供</w:t>
      </w:r>
      <w:r>
        <w:rPr>
          <w:rFonts w:hint="eastAsia" w:ascii="宋体" w:hAnsi="宋体" w:eastAsia="宋体" w:cs="宋体"/>
          <w:b/>
          <w:bCs/>
          <w:color w:val="auto"/>
          <w:spacing w:val="-3"/>
          <w:sz w:val="24"/>
          <w:szCs w:val="24"/>
          <w:highlight w:val="none"/>
        </w:rPr>
        <w:t>的安全生产措施费。</w:t>
      </w:r>
    </w:p>
    <w:p w14:paraId="235C1669">
      <w:pPr>
        <w:spacing w:before="78" w:line="309" w:lineRule="auto"/>
        <w:ind w:right="99" w:firstLine="482" w:firstLineChars="20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9.9  </w:t>
      </w:r>
      <w:r>
        <w:rPr>
          <w:rFonts w:hint="eastAsia" w:ascii="宋体" w:hAnsi="宋体" w:eastAsia="宋体" w:cs="宋体"/>
          <w:color w:val="auto"/>
          <w:sz w:val="24"/>
          <w:szCs w:val="24"/>
          <w:highlight w:val="none"/>
        </w:rPr>
        <w:t>投标人必须按照招标工程量清单中提供的暂列金额和暂估价统一报价。投标</w:t>
      </w:r>
      <w:r>
        <w:rPr>
          <w:rFonts w:hint="eastAsia" w:ascii="宋体" w:hAnsi="宋体" w:eastAsia="宋体" w:cs="宋体"/>
          <w:color w:val="auto"/>
          <w:spacing w:val="-1"/>
          <w:sz w:val="24"/>
          <w:szCs w:val="24"/>
          <w:highlight w:val="none"/>
        </w:rPr>
        <w:t>人应充分考虑暂估价项目（或暂列金额项目）的管理和协调所发</w:t>
      </w:r>
      <w:r>
        <w:rPr>
          <w:rFonts w:hint="eastAsia" w:ascii="宋体" w:hAnsi="宋体" w:eastAsia="宋体" w:cs="宋体"/>
          <w:color w:val="auto"/>
          <w:spacing w:val="-2"/>
          <w:sz w:val="24"/>
          <w:szCs w:val="24"/>
          <w:highlight w:val="none"/>
        </w:rPr>
        <w:t>生的费用，并将其纳</w:t>
      </w:r>
      <w:r>
        <w:rPr>
          <w:rFonts w:hint="eastAsia" w:ascii="宋体" w:hAnsi="宋体" w:eastAsia="宋体" w:cs="宋体"/>
          <w:color w:val="auto"/>
          <w:spacing w:val="-1"/>
          <w:sz w:val="24"/>
          <w:szCs w:val="24"/>
          <w:highlight w:val="none"/>
        </w:rPr>
        <w:t>入已标价工程量清单中的适当项目。招标人视该项管理和协调所</w:t>
      </w:r>
      <w:r>
        <w:rPr>
          <w:rFonts w:hint="eastAsia" w:ascii="宋体" w:hAnsi="宋体" w:eastAsia="宋体" w:cs="宋体"/>
          <w:color w:val="auto"/>
          <w:spacing w:val="-2"/>
          <w:sz w:val="24"/>
          <w:szCs w:val="24"/>
          <w:highlight w:val="none"/>
        </w:rPr>
        <w:t>发生的费用已包含在</w:t>
      </w:r>
      <w:r>
        <w:rPr>
          <w:rFonts w:hint="eastAsia" w:ascii="宋体" w:hAnsi="宋体" w:eastAsia="宋体" w:cs="宋体"/>
          <w:color w:val="auto"/>
          <w:spacing w:val="-1"/>
          <w:sz w:val="24"/>
          <w:szCs w:val="24"/>
          <w:highlight w:val="none"/>
        </w:rPr>
        <w:t>其它有价款的竞争性报价内，不再另行支付。</w:t>
      </w:r>
    </w:p>
    <w:p w14:paraId="0DB0421A">
      <w:pPr>
        <w:pStyle w:val="5"/>
        <w:spacing w:line="253" w:lineRule="auto"/>
        <w:ind w:firstLine="422" w:firstLineChars="200"/>
        <w:rPr>
          <w:rFonts w:hint="eastAsia" w:ascii="宋体" w:hAnsi="宋体" w:eastAsia="宋体" w:cs="宋体"/>
          <w:snapToGrid w:val="0"/>
          <w:color w:val="auto"/>
          <w:sz w:val="24"/>
          <w:szCs w:val="24"/>
          <w:highlight w:val="none"/>
          <w:lang w:val="en-US" w:eastAsia="en-US" w:bidi="ar-SA"/>
        </w:rPr>
      </w:pPr>
      <w:r>
        <w:rPr>
          <w:rFonts w:hint="eastAsia" w:ascii="宋体" w:hAnsi="宋体" w:eastAsia="宋体" w:cs="宋体"/>
          <w:b/>
          <w:bCs/>
          <w:color w:val="auto"/>
          <w:highlight w:val="none"/>
        </w:rPr>
        <w:t xml:space="preserve">9.10 </w:t>
      </w:r>
      <w:r>
        <w:rPr>
          <w:rFonts w:hint="eastAsia" w:ascii="宋体" w:hAnsi="宋体" w:eastAsia="宋体" w:cs="宋体"/>
          <w:snapToGrid w:val="0"/>
          <w:color w:val="auto"/>
          <w:sz w:val="24"/>
          <w:szCs w:val="24"/>
          <w:highlight w:val="none"/>
          <w:lang w:val="en-US" w:eastAsia="en-US" w:bidi="ar-SA"/>
        </w:rPr>
        <w:t>预算包干费：根据《市政工程工程量计算标准》（GB/T 50857-2024）、《房屋建筑与装饰工程工程量计算标准》（GB/T 50854-2024）、《通用安装工程工程量计算标准》（GB/T 50856-2024）、《园林绿化工程工程量计算标准》（GB/T 50858-2024），以各专业分部分项的人工费与施工机具费之和为基础计算预算包干费。本工程的预算包干内容包括：按《广东省建设工程计价依据（2024）》相关规定。若发生工程签证变更，应按合同约定计取预算包干费。</w:t>
      </w:r>
    </w:p>
    <w:p w14:paraId="105B0490">
      <w:pPr>
        <w:spacing w:before="78" w:line="220" w:lineRule="auto"/>
        <w:ind w:left="496"/>
        <w:outlineLvl w:val="2"/>
        <w:rPr>
          <w:rFonts w:hint="eastAsia" w:ascii="宋体" w:hAnsi="宋体" w:eastAsia="宋体" w:cs="宋体"/>
          <w:color w:val="auto"/>
          <w:sz w:val="24"/>
          <w:szCs w:val="24"/>
          <w:highlight w:val="none"/>
        </w:rPr>
      </w:pPr>
      <w:bookmarkStart w:id="42" w:name="_Toc23711"/>
      <w:bookmarkStart w:id="43" w:name="_Toc16322"/>
      <w:r>
        <w:rPr>
          <w:rFonts w:hint="eastAsia" w:ascii="宋体" w:hAnsi="宋体" w:eastAsia="宋体" w:cs="宋体"/>
          <w:b/>
          <w:bCs/>
          <w:color w:val="auto"/>
          <w:spacing w:val="-6"/>
          <w:sz w:val="24"/>
          <w:szCs w:val="24"/>
          <w:highlight w:val="none"/>
        </w:rPr>
        <w:t>10</w:t>
      </w:r>
      <w:r>
        <w:rPr>
          <w:rFonts w:hint="eastAsia" w:ascii="宋体" w:hAnsi="宋体" w:eastAsia="宋体" w:cs="宋体"/>
          <w:b/>
          <w:bCs/>
          <w:color w:val="auto"/>
          <w:spacing w:val="-21"/>
          <w:sz w:val="24"/>
          <w:szCs w:val="24"/>
          <w:highlight w:val="none"/>
        </w:rPr>
        <w:t xml:space="preserve"> </w:t>
      </w:r>
      <w:r>
        <w:rPr>
          <w:rFonts w:hint="eastAsia" w:ascii="宋体" w:hAnsi="宋体" w:eastAsia="宋体" w:cs="宋体"/>
          <w:b/>
          <w:bCs/>
          <w:color w:val="auto"/>
          <w:spacing w:val="-6"/>
          <w:sz w:val="24"/>
          <w:szCs w:val="24"/>
          <w:highlight w:val="none"/>
        </w:rPr>
        <w:t>．投标文件的编制要求</w:t>
      </w:r>
      <w:bookmarkEnd w:id="42"/>
      <w:bookmarkEnd w:id="43"/>
    </w:p>
    <w:p w14:paraId="717359E1">
      <w:pPr>
        <w:spacing w:before="152" w:line="222" w:lineRule="auto"/>
        <w:ind w:left="496"/>
        <w:outlineLvl w:val="3"/>
        <w:rPr>
          <w:rFonts w:hint="eastAsia" w:ascii="宋体" w:hAnsi="宋体" w:eastAsia="宋体" w:cs="宋体"/>
          <w:color w:val="auto"/>
          <w:sz w:val="24"/>
          <w:szCs w:val="24"/>
          <w:highlight w:val="none"/>
        </w:rPr>
      </w:pPr>
      <w:bookmarkStart w:id="44" w:name="_Toc20590"/>
      <w:bookmarkStart w:id="45" w:name="_Toc22937"/>
      <w:r>
        <w:rPr>
          <w:rFonts w:hint="eastAsia" w:ascii="宋体" w:hAnsi="宋体" w:eastAsia="宋体" w:cs="宋体"/>
          <w:b/>
          <w:bCs/>
          <w:color w:val="auto"/>
          <w:spacing w:val="-4"/>
          <w:sz w:val="24"/>
          <w:szCs w:val="24"/>
          <w:highlight w:val="none"/>
        </w:rPr>
        <w:t>10.1</w:t>
      </w:r>
      <w:r>
        <w:rPr>
          <w:rFonts w:hint="eastAsia" w:ascii="宋体" w:hAnsi="宋体" w:eastAsia="宋体" w:cs="宋体"/>
          <w:b/>
          <w:bCs/>
          <w:color w:val="auto"/>
          <w:spacing w:val="7"/>
          <w:sz w:val="24"/>
          <w:szCs w:val="24"/>
          <w:highlight w:val="none"/>
        </w:rPr>
        <w:t xml:space="preserve">  </w:t>
      </w:r>
      <w:r>
        <w:rPr>
          <w:rFonts w:hint="eastAsia" w:ascii="宋体" w:hAnsi="宋体" w:eastAsia="宋体" w:cs="宋体"/>
          <w:color w:val="auto"/>
          <w:spacing w:val="-4"/>
          <w:sz w:val="24"/>
          <w:szCs w:val="24"/>
          <w:highlight w:val="none"/>
        </w:rPr>
        <w:t>一般要求</w:t>
      </w:r>
      <w:bookmarkEnd w:id="44"/>
      <w:bookmarkEnd w:id="45"/>
    </w:p>
    <w:p w14:paraId="4800233A">
      <w:pPr>
        <w:spacing w:before="118" w:line="295" w:lineRule="auto"/>
        <w:ind w:left="11" w:right="99" w:firstLine="48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投标文件应按第六章投标文件格式规定的内容，投标人提交的投标文件应当使</w:t>
      </w:r>
      <w:r>
        <w:rPr>
          <w:rFonts w:hint="eastAsia" w:ascii="宋体" w:hAnsi="宋体" w:eastAsia="宋体" w:cs="宋体"/>
          <w:color w:val="auto"/>
          <w:spacing w:val="-1"/>
          <w:sz w:val="24"/>
          <w:szCs w:val="24"/>
          <w:highlight w:val="none"/>
        </w:rPr>
        <w:t>用招标文件所提供的投标文件全部格式。</w:t>
      </w:r>
    </w:p>
    <w:p w14:paraId="1E2CE420">
      <w:pPr>
        <w:spacing w:before="68" w:line="299" w:lineRule="auto"/>
        <w:ind w:left="11" w:right="99" w:firstLine="563"/>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10.1.1  </w:t>
      </w:r>
      <w:r>
        <w:rPr>
          <w:rFonts w:hint="eastAsia" w:ascii="宋体" w:hAnsi="宋体" w:eastAsia="宋体" w:cs="宋体"/>
          <w:color w:val="auto"/>
          <w:spacing w:val="-3"/>
          <w:sz w:val="24"/>
          <w:szCs w:val="24"/>
          <w:highlight w:val="none"/>
        </w:rPr>
        <w:t>投标人必须响应招标文件，并在充分理解招</w:t>
      </w:r>
      <w:r>
        <w:rPr>
          <w:rFonts w:hint="eastAsia" w:ascii="宋体" w:hAnsi="宋体" w:eastAsia="宋体" w:cs="宋体"/>
          <w:color w:val="auto"/>
          <w:spacing w:val="-4"/>
          <w:sz w:val="24"/>
          <w:szCs w:val="24"/>
          <w:highlight w:val="none"/>
        </w:rPr>
        <w:t>标人提供的全部文件、设计图</w:t>
      </w:r>
      <w:r>
        <w:rPr>
          <w:rFonts w:hint="eastAsia" w:ascii="宋体" w:hAnsi="宋体" w:eastAsia="宋体" w:cs="宋体"/>
          <w:color w:val="auto"/>
          <w:spacing w:val="-1"/>
          <w:sz w:val="24"/>
          <w:szCs w:val="24"/>
          <w:highlight w:val="none"/>
        </w:rPr>
        <w:t>纸、资料及现场条件的基础上编制投标文件。因投标文件</w:t>
      </w:r>
      <w:r>
        <w:rPr>
          <w:rFonts w:hint="eastAsia" w:ascii="宋体" w:hAnsi="宋体" w:eastAsia="宋体" w:cs="宋体"/>
          <w:color w:val="auto"/>
          <w:spacing w:val="-2"/>
          <w:sz w:val="24"/>
          <w:szCs w:val="24"/>
          <w:highlight w:val="none"/>
        </w:rPr>
        <w:t>不符合招标文件的要求而造</w:t>
      </w:r>
      <w:r>
        <w:rPr>
          <w:rFonts w:hint="eastAsia" w:ascii="宋体" w:hAnsi="宋体" w:eastAsia="宋体" w:cs="宋体"/>
          <w:color w:val="auto"/>
          <w:spacing w:val="-1"/>
          <w:sz w:val="24"/>
          <w:szCs w:val="24"/>
          <w:highlight w:val="none"/>
        </w:rPr>
        <w:t>成的损失和后果，由投标人自行承担。</w:t>
      </w:r>
    </w:p>
    <w:p w14:paraId="5DF6C785">
      <w:pPr>
        <w:spacing w:before="123" w:line="290" w:lineRule="auto"/>
        <w:ind w:left="8" w:firstLine="566"/>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10.1.2  投标文件包括商务标书、经济标书、施工组织设计和定标文件四个分册，</w:t>
      </w:r>
      <w:r>
        <w:rPr>
          <w:rFonts w:hint="eastAsia" w:ascii="宋体" w:hAnsi="宋体" w:eastAsia="宋体" w:cs="宋体"/>
          <w:color w:val="auto"/>
          <w:spacing w:val="-3"/>
          <w:sz w:val="24"/>
          <w:szCs w:val="24"/>
          <w:highlight w:val="none"/>
        </w:rPr>
        <w:t>投标文件全部采用电子文档，投标文件所附</w:t>
      </w:r>
      <w:r>
        <w:rPr>
          <w:rFonts w:hint="eastAsia" w:ascii="宋体" w:hAnsi="宋体" w:eastAsia="宋体" w:cs="宋体"/>
          <w:color w:val="auto"/>
          <w:spacing w:val="-4"/>
          <w:sz w:val="24"/>
          <w:szCs w:val="24"/>
          <w:highlight w:val="none"/>
        </w:rPr>
        <w:t>证书证件均为原件扫描件，并</w:t>
      </w:r>
      <w:r>
        <w:rPr>
          <w:rFonts w:hint="eastAsia" w:ascii="宋体" w:hAnsi="宋体" w:eastAsia="宋体" w:cs="宋体"/>
          <w:color w:val="auto"/>
          <w:spacing w:val="-1"/>
          <w:sz w:val="24"/>
          <w:szCs w:val="24"/>
          <w:highlight w:val="none"/>
        </w:rPr>
        <w:t>采用单位数字证书，按招标文件要求在相应位置加盖电子印章。</w:t>
      </w:r>
      <w:r>
        <w:rPr>
          <w:rFonts w:hint="eastAsia" w:ascii="宋体" w:hAnsi="宋体" w:eastAsia="宋体" w:cs="宋体"/>
          <w:color w:val="auto"/>
          <w:spacing w:val="-2"/>
          <w:sz w:val="24"/>
          <w:szCs w:val="24"/>
          <w:highlight w:val="none"/>
        </w:rPr>
        <w:t>投标文件中需个人签</w:t>
      </w:r>
      <w:r>
        <w:rPr>
          <w:rFonts w:hint="eastAsia" w:ascii="宋体" w:hAnsi="宋体" w:eastAsia="宋体" w:cs="宋体"/>
          <w:color w:val="auto"/>
          <w:spacing w:val="-1"/>
          <w:sz w:val="24"/>
          <w:szCs w:val="24"/>
          <w:highlight w:val="none"/>
        </w:rPr>
        <w:t>字或盖章的，应加盖个人电子印章或在线下完成后扫描上传。按</w:t>
      </w:r>
      <w:r>
        <w:rPr>
          <w:rFonts w:hint="eastAsia" w:ascii="宋体" w:hAnsi="宋体" w:eastAsia="宋体" w:cs="宋体"/>
          <w:color w:val="auto"/>
          <w:spacing w:val="-2"/>
          <w:sz w:val="24"/>
          <w:szCs w:val="24"/>
          <w:highlight w:val="none"/>
        </w:rPr>
        <w:t>照交易平台关于全流</w:t>
      </w:r>
      <w:r>
        <w:rPr>
          <w:rFonts w:hint="eastAsia" w:ascii="宋体" w:hAnsi="宋体" w:eastAsia="宋体" w:cs="宋体"/>
          <w:color w:val="auto"/>
          <w:spacing w:val="-7"/>
          <w:sz w:val="24"/>
          <w:szCs w:val="24"/>
          <w:highlight w:val="none"/>
        </w:rPr>
        <w:t>程电子化项目的相关指南进行操作。详见：全国公共资源</w:t>
      </w:r>
      <w:r>
        <w:rPr>
          <w:rFonts w:hint="eastAsia" w:ascii="宋体" w:hAnsi="宋体" w:eastAsia="宋体" w:cs="宋体"/>
          <w:color w:val="auto"/>
          <w:spacing w:val="-8"/>
          <w:sz w:val="24"/>
          <w:szCs w:val="24"/>
          <w:highlight w:val="none"/>
        </w:rPr>
        <w:t>交易平台（广东省</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8"/>
          <w:sz w:val="24"/>
          <w:szCs w:val="24"/>
          <w:highlight w:val="none"/>
        </w:rPr>
        <w:t>·韶关市）</w:t>
      </w:r>
      <w:r>
        <w:rPr>
          <w:rFonts w:hint="eastAsia" w:ascii="宋体" w:hAnsi="宋体" w:eastAsia="宋体" w:cs="宋体"/>
          <w:color w:val="auto"/>
          <w:spacing w:val="-2"/>
          <w:sz w:val="24"/>
          <w:szCs w:val="24"/>
          <w:highlight w:val="none"/>
        </w:rPr>
        <w:t>交易指引。</w:t>
      </w:r>
    </w:p>
    <w:p w14:paraId="217CF466">
      <w:pPr>
        <w:spacing w:before="1" w:line="219" w:lineRule="auto"/>
        <w:ind w:left="579"/>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10.1.3  </w:t>
      </w:r>
      <w:r>
        <w:rPr>
          <w:rFonts w:hint="eastAsia" w:ascii="宋体" w:hAnsi="宋体" w:eastAsia="宋体" w:cs="宋体"/>
          <w:color w:val="auto"/>
          <w:spacing w:val="-1"/>
          <w:sz w:val="24"/>
          <w:szCs w:val="24"/>
          <w:highlight w:val="none"/>
        </w:rPr>
        <w:t>投标文件需按以下要求签字、盖章：电子投标文件：</w:t>
      </w:r>
    </w:p>
    <w:p w14:paraId="4EB2C279">
      <w:pPr>
        <w:spacing w:before="111" w:line="279" w:lineRule="auto"/>
        <w:ind w:right="133" w:firstLine="579"/>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"10.1.3.1"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2"/>
          <w:sz w:val="24"/>
          <w:szCs w:val="24"/>
          <w:highlight w:val="none"/>
        </w:rPr>
        <w:t>10.1.3.1</w:t>
      </w:r>
      <w:r>
        <w:rPr>
          <w:rFonts w:hint="eastAsia" w:ascii="宋体" w:hAnsi="宋体" w:eastAsia="宋体" w:cs="宋体"/>
          <w:b/>
          <w:bCs/>
          <w:color w:val="auto"/>
          <w:spacing w:val="-2"/>
          <w:sz w:val="24"/>
          <w:szCs w:val="24"/>
          <w:highlight w:val="none"/>
        </w:rPr>
        <w:fldChar w:fldCharType="end"/>
      </w:r>
      <w:r>
        <w:rPr>
          <w:rFonts w:hint="eastAsia" w:ascii="宋体" w:hAnsi="宋体" w:eastAsia="宋体" w:cs="宋体"/>
          <w:b/>
          <w:bCs/>
          <w:color w:val="auto"/>
          <w:spacing w:val="-2"/>
          <w:sz w:val="24"/>
          <w:szCs w:val="24"/>
          <w:highlight w:val="none"/>
        </w:rPr>
        <w:t xml:space="preserve">  </w:t>
      </w:r>
      <w:r>
        <w:rPr>
          <w:rFonts w:hint="eastAsia" w:ascii="宋体" w:hAnsi="宋体" w:eastAsia="宋体" w:cs="宋体"/>
          <w:color w:val="auto"/>
          <w:spacing w:val="-2"/>
          <w:sz w:val="24"/>
          <w:szCs w:val="24"/>
          <w:highlight w:val="none"/>
        </w:rPr>
        <w:t>投标文件封面、组成</w:t>
      </w:r>
      <w:r>
        <w:rPr>
          <w:rFonts w:hint="eastAsia" w:ascii="宋体" w:hAnsi="宋体" w:eastAsia="宋体" w:cs="宋体"/>
          <w:color w:val="auto"/>
          <w:spacing w:val="-3"/>
          <w:sz w:val="24"/>
          <w:szCs w:val="24"/>
          <w:highlight w:val="none"/>
        </w:rPr>
        <w:t>内容中凡注明“签字</w:t>
      </w:r>
      <w:r>
        <w:rPr>
          <w:rFonts w:hint="eastAsia" w:ascii="宋体" w:hAnsi="宋体" w:eastAsia="宋体" w:cs="宋体"/>
          <w:color w:val="auto"/>
          <w:spacing w:val="-89"/>
          <w:sz w:val="24"/>
          <w:szCs w:val="24"/>
          <w:highlight w:val="none"/>
        </w:rPr>
        <w:t xml:space="preserve"> </w:t>
      </w:r>
      <w:r>
        <w:rPr>
          <w:rFonts w:hint="eastAsia" w:ascii="宋体" w:hAnsi="宋体" w:eastAsia="宋体" w:cs="宋体"/>
          <w:color w:val="auto"/>
          <w:spacing w:val="-3"/>
          <w:sz w:val="24"/>
          <w:szCs w:val="24"/>
          <w:highlight w:val="none"/>
        </w:rPr>
        <w:t>”处由要求的人员签字或电子</w:t>
      </w:r>
      <w:r>
        <w:rPr>
          <w:rFonts w:hint="eastAsia" w:ascii="宋体" w:hAnsi="宋体" w:eastAsia="宋体" w:cs="宋体"/>
          <w:color w:val="auto"/>
          <w:spacing w:val="-2"/>
          <w:sz w:val="24"/>
          <w:szCs w:val="24"/>
          <w:highlight w:val="none"/>
        </w:rPr>
        <w:t>签章；凡注明“签字或盖章</w:t>
      </w:r>
      <w:r>
        <w:rPr>
          <w:rFonts w:hint="eastAsia" w:ascii="宋体" w:hAnsi="宋体" w:eastAsia="宋体" w:cs="宋体"/>
          <w:color w:val="auto"/>
          <w:spacing w:val="-87"/>
          <w:sz w:val="24"/>
          <w:szCs w:val="24"/>
          <w:highlight w:val="none"/>
        </w:rPr>
        <w:t xml:space="preserve"> </w:t>
      </w:r>
      <w:r>
        <w:rPr>
          <w:rFonts w:hint="eastAsia" w:ascii="宋体" w:hAnsi="宋体" w:eastAsia="宋体" w:cs="宋体"/>
          <w:color w:val="auto"/>
          <w:spacing w:val="-2"/>
          <w:sz w:val="24"/>
          <w:szCs w:val="24"/>
          <w:highlight w:val="none"/>
        </w:rPr>
        <w:t>”处由要求的人员签字或盖其私章（电子印章</w:t>
      </w:r>
      <w:r>
        <w:rPr>
          <w:rFonts w:hint="eastAsia" w:ascii="宋体" w:hAnsi="宋体" w:eastAsia="宋体" w:cs="宋体"/>
          <w:color w:val="auto"/>
          <w:spacing w:val="2"/>
          <w:sz w:val="24"/>
          <w:szCs w:val="24"/>
          <w:highlight w:val="none"/>
        </w:rPr>
        <w:t>）；</w:t>
      </w:r>
      <w:r>
        <w:rPr>
          <w:rFonts w:hint="eastAsia" w:ascii="宋体" w:hAnsi="宋体" w:eastAsia="宋体" w:cs="宋体"/>
          <w:color w:val="auto"/>
          <w:spacing w:val="-2"/>
          <w:sz w:val="24"/>
          <w:szCs w:val="24"/>
          <w:highlight w:val="none"/>
        </w:rPr>
        <w:t>凡注明</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“签字并盖执业印章</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1"/>
          <w:sz w:val="24"/>
          <w:szCs w:val="24"/>
          <w:highlight w:val="none"/>
        </w:rPr>
        <w:t>”处由要求的人员签字并盖其执业印</w:t>
      </w:r>
      <w:r>
        <w:rPr>
          <w:rFonts w:hint="eastAsia" w:ascii="宋体" w:hAnsi="宋体" w:eastAsia="宋体" w:cs="宋体"/>
          <w:color w:val="auto"/>
          <w:spacing w:val="-2"/>
          <w:sz w:val="24"/>
          <w:szCs w:val="24"/>
          <w:highlight w:val="none"/>
        </w:rPr>
        <w:t>章。</w:t>
      </w:r>
    </w:p>
    <w:p w14:paraId="0B072D3C">
      <w:pPr>
        <w:spacing w:before="112" w:line="264" w:lineRule="auto"/>
        <w:ind w:left="13" w:right="133" w:firstLine="565"/>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"10.1.3.2"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2"/>
          <w:sz w:val="24"/>
          <w:szCs w:val="24"/>
          <w:highlight w:val="none"/>
        </w:rPr>
        <w:t>10.1.3.2</w:t>
      </w:r>
      <w:r>
        <w:rPr>
          <w:rFonts w:hint="eastAsia" w:ascii="宋体" w:hAnsi="宋体" w:eastAsia="宋体" w:cs="宋体"/>
          <w:b/>
          <w:bCs/>
          <w:color w:val="auto"/>
          <w:spacing w:val="-2"/>
          <w:sz w:val="24"/>
          <w:szCs w:val="24"/>
          <w:highlight w:val="none"/>
        </w:rPr>
        <w:fldChar w:fldCharType="end"/>
      </w:r>
      <w:r>
        <w:rPr>
          <w:rFonts w:hint="eastAsia" w:ascii="宋体" w:hAnsi="宋体" w:eastAsia="宋体" w:cs="宋体"/>
          <w:b/>
          <w:bCs/>
          <w:color w:val="auto"/>
          <w:spacing w:val="-2"/>
          <w:sz w:val="24"/>
          <w:szCs w:val="24"/>
          <w:highlight w:val="none"/>
        </w:rPr>
        <w:t xml:space="preserve">  </w:t>
      </w:r>
      <w:r>
        <w:rPr>
          <w:rFonts w:hint="eastAsia" w:ascii="宋体" w:hAnsi="宋体" w:eastAsia="宋体" w:cs="宋体"/>
          <w:color w:val="auto"/>
          <w:spacing w:val="-2"/>
          <w:sz w:val="24"/>
          <w:szCs w:val="24"/>
          <w:highlight w:val="none"/>
        </w:rPr>
        <w:t>投标文件封套、封面、组成内容中凡要求录入投标人名称且注明“盖单</w:t>
      </w:r>
      <w:r>
        <w:rPr>
          <w:rFonts w:hint="eastAsia" w:ascii="宋体" w:hAnsi="宋体" w:eastAsia="宋体" w:cs="宋体"/>
          <w:color w:val="auto"/>
          <w:spacing w:val="-3"/>
          <w:sz w:val="24"/>
          <w:szCs w:val="24"/>
          <w:highlight w:val="none"/>
        </w:rPr>
        <w:t>位章</w:t>
      </w:r>
      <w:r>
        <w:rPr>
          <w:rFonts w:hint="eastAsia" w:ascii="宋体" w:hAnsi="宋体" w:eastAsia="宋体" w:cs="宋体"/>
          <w:color w:val="auto"/>
          <w:spacing w:val="-77"/>
          <w:sz w:val="24"/>
          <w:szCs w:val="24"/>
          <w:highlight w:val="none"/>
        </w:rPr>
        <w:t xml:space="preserve"> </w:t>
      </w:r>
      <w:r>
        <w:rPr>
          <w:rFonts w:hint="eastAsia" w:ascii="宋体" w:hAnsi="宋体" w:eastAsia="宋体" w:cs="宋体"/>
          <w:color w:val="auto"/>
          <w:spacing w:val="-3"/>
          <w:sz w:val="24"/>
          <w:szCs w:val="24"/>
          <w:highlight w:val="none"/>
        </w:rPr>
        <w:t>”处盖单位法人公章（电子印章）。</w:t>
      </w:r>
    </w:p>
    <w:p w14:paraId="0CBE0BD0">
      <w:pPr>
        <w:spacing w:before="146" w:line="279" w:lineRule="auto"/>
        <w:ind w:left="16" w:right="135" w:firstLine="562"/>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"10.1.3.3"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1"/>
          <w:sz w:val="24"/>
          <w:szCs w:val="24"/>
          <w:highlight w:val="none"/>
        </w:rPr>
        <w:t>10.1.3.3</w:t>
      </w:r>
      <w:r>
        <w:rPr>
          <w:rFonts w:hint="eastAsia" w:ascii="宋体" w:hAnsi="宋体" w:eastAsia="宋体" w:cs="宋体"/>
          <w:b/>
          <w:bCs/>
          <w:color w:val="auto"/>
          <w:spacing w:val="-1"/>
          <w:sz w:val="24"/>
          <w:szCs w:val="24"/>
          <w:highlight w:val="none"/>
        </w:rPr>
        <w:fldChar w:fldCharType="end"/>
      </w:r>
      <w:r>
        <w:rPr>
          <w:rFonts w:hint="eastAsia" w:ascii="宋体" w:hAnsi="宋体" w:eastAsia="宋体" w:cs="宋体"/>
          <w:b/>
          <w:bCs/>
          <w:color w:val="auto"/>
          <w:spacing w:val="-1"/>
          <w:sz w:val="24"/>
          <w:szCs w:val="24"/>
          <w:highlight w:val="none"/>
        </w:rPr>
        <w:t xml:space="preserve">  </w:t>
      </w:r>
      <w:r>
        <w:rPr>
          <w:rFonts w:hint="eastAsia" w:ascii="宋体" w:hAnsi="宋体" w:eastAsia="宋体" w:cs="宋体"/>
          <w:color w:val="auto"/>
          <w:spacing w:val="-1"/>
          <w:sz w:val="24"/>
          <w:szCs w:val="24"/>
          <w:highlight w:val="none"/>
        </w:rPr>
        <w:t>投标文件的签字均为签字人本人亲笔署名或签章</w:t>
      </w:r>
      <w:r>
        <w:rPr>
          <w:rFonts w:hint="eastAsia" w:ascii="宋体" w:hAnsi="宋体" w:eastAsia="宋体" w:cs="宋体"/>
          <w:color w:val="auto"/>
          <w:spacing w:val="-2"/>
          <w:sz w:val="24"/>
          <w:szCs w:val="24"/>
          <w:highlight w:val="none"/>
        </w:rPr>
        <w:t>（电子印章</w:t>
      </w:r>
      <w:r>
        <w:rPr>
          <w:rFonts w:hint="eastAsia" w:ascii="宋体" w:hAnsi="宋体" w:eastAsia="宋体" w:cs="宋体"/>
          <w:color w:val="auto"/>
          <w:spacing w:val="-14"/>
          <w:sz w:val="24"/>
          <w:szCs w:val="24"/>
          <w:highlight w:val="none"/>
        </w:rPr>
        <w:t>），</w:t>
      </w:r>
      <w:r>
        <w:rPr>
          <w:rFonts w:hint="eastAsia" w:ascii="宋体" w:hAnsi="宋体" w:eastAsia="宋体" w:cs="宋体"/>
          <w:color w:val="auto"/>
          <w:spacing w:val="-2"/>
          <w:sz w:val="24"/>
          <w:szCs w:val="24"/>
          <w:highlight w:val="none"/>
        </w:rPr>
        <w:t>其余部</w:t>
      </w:r>
      <w:r>
        <w:rPr>
          <w:rFonts w:hint="eastAsia" w:ascii="宋体" w:hAnsi="宋体" w:eastAsia="宋体" w:cs="宋体"/>
          <w:color w:val="auto"/>
          <w:spacing w:val="-1"/>
          <w:sz w:val="24"/>
          <w:szCs w:val="24"/>
          <w:highlight w:val="none"/>
        </w:rPr>
        <w:t>分的复印件无须另行签字、盖章。</w:t>
      </w:r>
    </w:p>
    <w:p w14:paraId="35B67328">
      <w:pPr>
        <w:spacing w:before="155" w:line="219" w:lineRule="auto"/>
        <w:ind w:left="0" w:leftChars="0" w:firstLine="474" w:firstLineChars="200"/>
        <w:outlineLvl w:val="3"/>
        <w:rPr>
          <w:rFonts w:hint="eastAsia" w:ascii="宋体" w:hAnsi="宋体" w:eastAsia="宋体" w:cs="宋体"/>
          <w:b w:val="0"/>
          <w:bCs w:val="0"/>
          <w:color w:val="auto"/>
          <w:spacing w:val="-2"/>
          <w:sz w:val="24"/>
          <w:szCs w:val="24"/>
          <w:highlight w:val="none"/>
        </w:rPr>
      </w:pPr>
      <w:bookmarkStart w:id="46" w:name="_Toc20223"/>
      <w:bookmarkStart w:id="47" w:name="_Toc21271"/>
      <w:r>
        <w:rPr>
          <w:rFonts w:hint="eastAsia" w:ascii="宋体" w:hAnsi="宋体" w:eastAsia="宋体" w:cs="宋体"/>
          <w:b/>
          <w:bCs/>
          <w:color w:val="auto"/>
          <w:spacing w:val="-2"/>
          <w:sz w:val="24"/>
          <w:szCs w:val="24"/>
          <w:highlight w:val="none"/>
        </w:rPr>
        <w:t xml:space="preserve">10.1.3.4 </w:t>
      </w:r>
      <w:r>
        <w:rPr>
          <w:rFonts w:hint="eastAsia" w:ascii="宋体" w:hAnsi="宋体" w:eastAsia="宋体" w:cs="宋体"/>
          <w:color w:val="auto"/>
          <w:spacing w:val="-3"/>
          <w:sz w:val="24"/>
          <w:szCs w:val="24"/>
          <w:highlight w:val="none"/>
        </w:rPr>
        <w:t>联合体投标的，除《联合体协议书》外，由联合体牵头人按以上要求签亲笔署名或签章（电子印章）即可。</w:t>
      </w:r>
    </w:p>
    <w:p w14:paraId="149EA5DD">
      <w:pPr>
        <w:spacing w:before="155" w:line="219" w:lineRule="auto"/>
        <w:ind w:left="500"/>
        <w:outlineLvl w:val="3"/>
        <w:rPr>
          <w:rFonts w:hint="eastAsia" w:ascii="宋体" w:hAnsi="宋体" w:eastAsia="宋体" w:cs="宋体"/>
          <w:b/>
          <w:bCs/>
          <w:color w:val="auto"/>
          <w:sz w:val="24"/>
          <w:szCs w:val="24"/>
          <w:highlight w:val="none"/>
        </w:rPr>
      </w:pPr>
      <w:r>
        <w:rPr>
          <w:rFonts w:hint="eastAsia" w:ascii="宋体" w:hAnsi="宋体" w:eastAsia="宋体" w:cs="宋体"/>
          <w:b/>
          <w:bCs/>
          <w:color w:val="auto"/>
          <w:spacing w:val="-2"/>
          <w:sz w:val="24"/>
          <w:szCs w:val="24"/>
          <w:highlight w:val="none"/>
        </w:rPr>
        <w:t>10.2  商务标书的编制要求</w:t>
      </w:r>
      <w:bookmarkEnd w:id="46"/>
      <w:bookmarkEnd w:id="47"/>
    </w:p>
    <w:p w14:paraId="09D418EF">
      <w:pPr>
        <w:spacing w:before="157" w:line="219" w:lineRule="auto"/>
        <w:ind w:left="581"/>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10.2.1 </w:t>
      </w:r>
      <w:r>
        <w:rPr>
          <w:rFonts w:hint="eastAsia" w:ascii="宋体" w:hAnsi="宋体" w:eastAsia="宋体" w:cs="宋体"/>
          <w:color w:val="auto"/>
          <w:spacing w:val="-1"/>
          <w:sz w:val="24"/>
          <w:szCs w:val="24"/>
          <w:highlight w:val="none"/>
        </w:rPr>
        <w:t>商务标书包括但不限于以下内容：</w:t>
      </w:r>
    </w:p>
    <w:p w14:paraId="7A133846">
      <w:pPr>
        <w:spacing w:before="154" w:line="220" w:lineRule="auto"/>
        <w:ind w:left="505"/>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（1）封面（格式一</w:t>
      </w:r>
      <w:r>
        <w:rPr>
          <w:rFonts w:hint="eastAsia" w:ascii="宋体" w:hAnsi="宋体" w:eastAsia="宋体" w:cs="宋体"/>
          <w:color w:val="auto"/>
          <w:spacing w:val="2"/>
          <w:sz w:val="24"/>
          <w:szCs w:val="24"/>
          <w:highlight w:val="none"/>
        </w:rPr>
        <w:t>）；</w:t>
      </w:r>
    </w:p>
    <w:p w14:paraId="2ADBEC65">
      <w:pPr>
        <w:spacing w:before="153" w:line="222" w:lineRule="auto"/>
        <w:ind w:left="505"/>
        <w:rPr>
          <w:rFonts w:hint="eastAsia" w:ascii="宋体" w:hAnsi="宋体" w:eastAsia="宋体" w:cs="宋体"/>
          <w:color w:val="auto"/>
          <w:sz w:val="24"/>
          <w:szCs w:val="24"/>
          <w:highlight w:val="none"/>
        </w:rPr>
      </w:pPr>
      <w:r>
        <w:rPr>
          <w:rFonts w:hint="eastAsia" w:ascii="宋体" w:hAnsi="宋体" w:eastAsia="宋体" w:cs="宋体"/>
          <w:color w:val="auto"/>
          <w:spacing w:val="-13"/>
          <w:sz w:val="24"/>
          <w:szCs w:val="24"/>
          <w:highlight w:val="none"/>
        </w:rPr>
        <w:t>（2）</w:t>
      </w:r>
      <w:r>
        <w:rPr>
          <w:rFonts w:hint="eastAsia" w:ascii="宋体" w:hAnsi="宋体" w:eastAsia="宋体" w:cs="宋体"/>
          <w:color w:val="auto"/>
          <w:spacing w:val="-64"/>
          <w:sz w:val="24"/>
          <w:szCs w:val="24"/>
          <w:highlight w:val="none"/>
        </w:rPr>
        <w:t xml:space="preserve"> </w:t>
      </w:r>
      <w:r>
        <w:rPr>
          <w:rFonts w:hint="eastAsia" w:ascii="宋体" w:hAnsi="宋体" w:eastAsia="宋体" w:cs="宋体"/>
          <w:color w:val="auto"/>
          <w:spacing w:val="-13"/>
          <w:sz w:val="24"/>
          <w:szCs w:val="24"/>
          <w:highlight w:val="none"/>
        </w:rPr>
        <w:t>目录；</w:t>
      </w:r>
    </w:p>
    <w:p w14:paraId="796DB9CA">
      <w:pPr>
        <w:spacing w:before="153" w:line="220" w:lineRule="auto"/>
        <w:ind w:left="505"/>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（3）《投标函》（格式二</w:t>
      </w:r>
      <w:r>
        <w:rPr>
          <w:rFonts w:hint="eastAsia" w:ascii="宋体" w:hAnsi="宋体" w:eastAsia="宋体" w:cs="宋体"/>
          <w:color w:val="auto"/>
          <w:spacing w:val="1"/>
          <w:sz w:val="24"/>
          <w:szCs w:val="24"/>
          <w:highlight w:val="none"/>
        </w:rPr>
        <w:t>）；</w:t>
      </w:r>
    </w:p>
    <w:p w14:paraId="5EEB9573">
      <w:pPr>
        <w:spacing w:before="153" w:line="220" w:lineRule="auto"/>
        <w:ind w:left="505"/>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（4）《各项承诺一览表》（格式三</w:t>
      </w:r>
      <w:r>
        <w:rPr>
          <w:rFonts w:hint="eastAsia" w:ascii="宋体" w:hAnsi="宋体" w:eastAsia="宋体" w:cs="宋体"/>
          <w:color w:val="auto"/>
          <w:spacing w:val="5"/>
          <w:sz w:val="24"/>
          <w:szCs w:val="24"/>
          <w:highlight w:val="none"/>
        </w:rPr>
        <w:t>）；</w:t>
      </w:r>
    </w:p>
    <w:p w14:paraId="2EEF341D">
      <w:pPr>
        <w:spacing w:before="154" w:line="219" w:lineRule="auto"/>
        <w:ind w:left="505"/>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（5）《授权委托书》（格式四</w:t>
      </w:r>
      <w:r>
        <w:rPr>
          <w:rFonts w:hint="eastAsia" w:ascii="宋体" w:hAnsi="宋体" w:eastAsia="宋体" w:cs="宋体"/>
          <w:color w:val="auto"/>
          <w:spacing w:val="3"/>
          <w:sz w:val="24"/>
          <w:szCs w:val="24"/>
          <w:highlight w:val="none"/>
        </w:rPr>
        <w:t>）；</w:t>
      </w:r>
    </w:p>
    <w:p w14:paraId="7D3A1941">
      <w:pPr>
        <w:spacing w:before="156" w:line="220" w:lineRule="auto"/>
        <w:ind w:left="505"/>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（6）《法定代表人身份证明》（格式五</w:t>
      </w:r>
      <w:r>
        <w:rPr>
          <w:rFonts w:hint="eastAsia" w:ascii="宋体" w:hAnsi="宋体" w:eastAsia="宋体" w:cs="宋体"/>
          <w:color w:val="auto"/>
          <w:spacing w:val="7"/>
          <w:sz w:val="24"/>
          <w:szCs w:val="24"/>
          <w:highlight w:val="none"/>
        </w:rPr>
        <w:t>）；</w:t>
      </w:r>
    </w:p>
    <w:p w14:paraId="49C24569">
      <w:pPr>
        <w:spacing w:before="154" w:line="219" w:lineRule="auto"/>
        <w:ind w:left="505"/>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（7）《联合体协议书》（格式六）及所附资料；</w:t>
      </w:r>
    </w:p>
    <w:p w14:paraId="7065F65E">
      <w:pPr>
        <w:spacing w:before="153" w:line="309" w:lineRule="auto"/>
        <w:ind w:left="13" w:right="133" w:firstLine="49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（8）投标保证缴纳证明（投标人采用投标保证金的，附建</w:t>
      </w:r>
      <w:r>
        <w:rPr>
          <w:rFonts w:hint="eastAsia" w:ascii="宋体" w:hAnsi="宋体" w:eastAsia="宋体" w:cs="宋体"/>
          <w:color w:val="auto"/>
          <w:spacing w:val="1"/>
          <w:sz w:val="24"/>
          <w:szCs w:val="24"/>
          <w:highlight w:val="none"/>
        </w:rPr>
        <w:t>设工程交易系统《缴</w:t>
      </w:r>
      <w:r>
        <w:rPr>
          <w:rFonts w:hint="eastAsia" w:ascii="宋体" w:hAnsi="宋体" w:eastAsia="宋体" w:cs="宋体"/>
          <w:color w:val="auto"/>
          <w:spacing w:val="-1"/>
          <w:sz w:val="24"/>
          <w:szCs w:val="24"/>
          <w:highlight w:val="none"/>
        </w:rPr>
        <w:t>纳投标保证金通知书》页面截图和银行转账单彩色扫描件；采</w:t>
      </w:r>
      <w:r>
        <w:rPr>
          <w:rFonts w:hint="eastAsia" w:ascii="宋体" w:hAnsi="宋体" w:eastAsia="宋体" w:cs="宋体"/>
          <w:color w:val="auto"/>
          <w:spacing w:val="-2"/>
          <w:sz w:val="24"/>
          <w:szCs w:val="24"/>
          <w:highlight w:val="none"/>
        </w:rPr>
        <w:t>用投标保证担保的，附银行保函彩色扫描件；采用投标保证保险的，附电子保单和</w:t>
      </w:r>
      <w:r>
        <w:rPr>
          <w:rFonts w:hint="eastAsia" w:ascii="宋体" w:hAnsi="宋体" w:eastAsia="宋体" w:cs="宋体"/>
          <w:b/>
          <w:bCs/>
          <w:color w:val="auto"/>
          <w:spacing w:val="-2"/>
          <w:sz w:val="24"/>
          <w:szCs w:val="24"/>
          <w:highlight w:val="none"/>
        </w:rPr>
        <w:t>《韶关市公共资源交易一</w:t>
      </w:r>
      <w:r>
        <w:rPr>
          <w:rFonts w:hint="eastAsia" w:ascii="宋体" w:hAnsi="宋体" w:eastAsia="宋体" w:cs="宋体"/>
          <w:b/>
          <w:bCs/>
          <w:color w:val="auto"/>
          <w:spacing w:val="-3"/>
          <w:sz w:val="24"/>
          <w:szCs w:val="24"/>
          <w:highlight w:val="none"/>
        </w:rPr>
        <w:t>体化平台保证金缴纳信息》页面截图</w:t>
      </w:r>
      <w:r>
        <w:rPr>
          <w:rFonts w:hint="eastAsia" w:ascii="宋体" w:hAnsi="宋体" w:eastAsia="宋体" w:cs="宋体"/>
          <w:color w:val="auto"/>
          <w:spacing w:val="4"/>
          <w:sz w:val="24"/>
          <w:szCs w:val="24"/>
          <w:highlight w:val="none"/>
        </w:rPr>
        <w:t>）；</w:t>
      </w:r>
    </w:p>
    <w:p w14:paraId="1196EDC9">
      <w:pPr>
        <w:spacing w:before="156" w:line="219" w:lineRule="auto"/>
        <w:ind w:left="505"/>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（9）《投标人基本情况表》（格式七）及所附资料；</w:t>
      </w:r>
    </w:p>
    <w:p w14:paraId="625E3C02">
      <w:pPr>
        <w:spacing w:before="155" w:line="219" w:lineRule="auto"/>
        <w:ind w:left="505"/>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（10）《项目经理简历表》（格式八）及所附资料；</w:t>
      </w:r>
    </w:p>
    <w:p w14:paraId="43069717">
      <w:pPr>
        <w:spacing w:before="154" w:line="220" w:lineRule="auto"/>
        <w:ind w:left="505"/>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（11）《项目经理任职声明》（格式九</w:t>
      </w:r>
      <w:r>
        <w:rPr>
          <w:rFonts w:hint="eastAsia" w:ascii="宋体" w:hAnsi="宋体" w:eastAsia="宋体" w:cs="宋体"/>
          <w:color w:val="auto"/>
          <w:spacing w:val="7"/>
          <w:sz w:val="24"/>
          <w:szCs w:val="24"/>
          <w:highlight w:val="none"/>
        </w:rPr>
        <w:t>）；</w:t>
      </w:r>
    </w:p>
    <w:p w14:paraId="5600AAC3">
      <w:pPr>
        <w:spacing w:before="156" w:line="219" w:lineRule="auto"/>
        <w:ind w:left="505"/>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（12）《项目技术负责人简历表》（格式十）及所附资料；</w:t>
      </w:r>
    </w:p>
    <w:p w14:paraId="4A2E911F">
      <w:pPr>
        <w:spacing w:before="154" w:line="219" w:lineRule="auto"/>
        <w:ind w:left="505"/>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（13）《项</w:t>
      </w:r>
      <w:bookmarkStart w:id="48" w:name="OLE_LINK7"/>
      <w:r>
        <w:rPr>
          <w:rFonts w:hint="eastAsia" w:ascii="宋体" w:hAnsi="宋体" w:eastAsia="宋体" w:cs="宋体"/>
          <w:color w:val="auto"/>
          <w:spacing w:val="-1"/>
          <w:sz w:val="24"/>
          <w:szCs w:val="24"/>
          <w:highlight w:val="none"/>
        </w:rPr>
        <w:t>目管理机构组成表》（格式十一）及</w:t>
      </w:r>
      <w:bookmarkEnd w:id="48"/>
      <w:r>
        <w:rPr>
          <w:rFonts w:hint="eastAsia" w:ascii="宋体" w:hAnsi="宋体" w:eastAsia="宋体" w:cs="宋体"/>
          <w:color w:val="auto"/>
          <w:spacing w:val="-1"/>
          <w:sz w:val="24"/>
          <w:szCs w:val="24"/>
          <w:highlight w:val="none"/>
        </w:rPr>
        <w:t>所附资料；</w:t>
      </w:r>
    </w:p>
    <w:p w14:paraId="58C0C275">
      <w:pPr>
        <w:spacing w:before="155" w:line="219" w:lineRule="auto"/>
        <w:ind w:left="505"/>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（14）本节第</w:t>
      </w:r>
      <w:r>
        <w:rPr>
          <w:rFonts w:hint="eastAsia" w:ascii="宋体" w:hAnsi="宋体" w:eastAsia="宋体" w:cs="宋体"/>
          <w:color w:val="auto"/>
          <w:spacing w:val="-44"/>
          <w:sz w:val="24"/>
          <w:szCs w:val="24"/>
          <w:highlight w:val="none"/>
        </w:rPr>
        <w:t xml:space="preserve"> </w:t>
      </w:r>
      <w:r>
        <w:rPr>
          <w:rFonts w:hint="eastAsia" w:ascii="宋体" w:hAnsi="宋体" w:eastAsia="宋体" w:cs="宋体"/>
          <w:b/>
          <w:bCs/>
          <w:color w:val="auto"/>
          <w:spacing w:val="-4"/>
          <w:sz w:val="24"/>
          <w:szCs w:val="24"/>
          <w:highlight w:val="none"/>
        </w:rPr>
        <w:t>15.5.1</w:t>
      </w:r>
      <w:r>
        <w:rPr>
          <w:rFonts w:hint="eastAsia" w:ascii="宋体" w:hAnsi="宋体" w:eastAsia="宋体" w:cs="宋体"/>
          <w:color w:val="auto"/>
          <w:spacing w:val="-4"/>
          <w:sz w:val="24"/>
          <w:szCs w:val="24"/>
          <w:highlight w:val="none"/>
        </w:rPr>
        <w:t>目“评标方法</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4"/>
          <w:sz w:val="24"/>
          <w:szCs w:val="24"/>
          <w:highlight w:val="none"/>
        </w:rPr>
        <w:t>”要求提供的</w:t>
      </w:r>
      <w:r>
        <w:rPr>
          <w:rFonts w:hint="eastAsia" w:ascii="宋体" w:hAnsi="宋体" w:eastAsia="宋体" w:cs="宋体"/>
          <w:color w:val="auto"/>
          <w:spacing w:val="-5"/>
          <w:sz w:val="24"/>
          <w:szCs w:val="24"/>
          <w:highlight w:val="none"/>
        </w:rPr>
        <w:t>评审资料；</w:t>
      </w:r>
    </w:p>
    <w:p w14:paraId="47D20E97">
      <w:pPr>
        <w:spacing w:before="78" w:line="299" w:lineRule="auto"/>
        <w:ind w:left="8" w:right="61" w:firstLine="492"/>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（15）投标人认为有必要补充的其他资料。（例如投标人已经工商变更，但其企</w:t>
      </w:r>
      <w:r>
        <w:rPr>
          <w:rFonts w:hint="eastAsia" w:ascii="宋体" w:hAnsi="宋体" w:eastAsia="宋体" w:cs="宋体"/>
          <w:color w:val="auto"/>
          <w:spacing w:val="-1"/>
          <w:sz w:val="24"/>
          <w:szCs w:val="24"/>
          <w:highlight w:val="none"/>
        </w:rPr>
        <w:t>业资质证书、安全生产许可证或其员工执业资格注册证书上的企</w:t>
      </w:r>
      <w:r>
        <w:rPr>
          <w:rFonts w:hint="eastAsia" w:ascii="宋体" w:hAnsi="宋体" w:eastAsia="宋体" w:cs="宋体"/>
          <w:color w:val="auto"/>
          <w:spacing w:val="-2"/>
          <w:sz w:val="24"/>
          <w:szCs w:val="24"/>
          <w:highlight w:val="none"/>
        </w:rPr>
        <w:t>业名称未能在投标期</w:t>
      </w:r>
      <w:r>
        <w:rPr>
          <w:rFonts w:hint="eastAsia" w:ascii="宋体" w:hAnsi="宋体" w:eastAsia="宋体" w:cs="宋体"/>
          <w:color w:val="auto"/>
          <w:spacing w:val="-1"/>
          <w:sz w:val="24"/>
          <w:szCs w:val="24"/>
          <w:highlight w:val="none"/>
        </w:rPr>
        <w:t>间完成变更的书面说明和佐证材料等）</w:t>
      </w:r>
    </w:p>
    <w:p w14:paraId="24149AB2">
      <w:pPr>
        <w:spacing w:before="155" w:line="262" w:lineRule="auto"/>
        <w:ind w:left="9" w:right="61" w:firstLine="486"/>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10.2.2  </w:t>
      </w:r>
      <w:r>
        <w:rPr>
          <w:rFonts w:hint="eastAsia" w:ascii="宋体" w:hAnsi="宋体" w:eastAsia="宋体" w:cs="宋体"/>
          <w:color w:val="auto"/>
          <w:sz w:val="24"/>
          <w:szCs w:val="24"/>
          <w:highlight w:val="none"/>
        </w:rPr>
        <w:t>本节第</w:t>
      </w:r>
      <w:r>
        <w:rPr>
          <w:rFonts w:hint="eastAsia" w:ascii="宋体" w:hAnsi="宋体" w:eastAsia="宋体" w:cs="宋体"/>
          <w:color w:val="auto"/>
          <w:spacing w:val="-44"/>
          <w:sz w:val="24"/>
          <w:szCs w:val="24"/>
          <w:highlight w:val="none"/>
        </w:rPr>
        <w:t xml:space="preserve"> </w:t>
      </w:r>
      <w:r>
        <w:rPr>
          <w:rFonts w:hint="eastAsia" w:ascii="宋体" w:hAnsi="宋体" w:eastAsia="宋体" w:cs="宋体"/>
          <w:b/>
          <w:bCs/>
          <w:color w:val="auto"/>
          <w:sz w:val="24"/>
          <w:szCs w:val="24"/>
          <w:highlight w:val="none"/>
        </w:rPr>
        <w:t>10.2.1</w:t>
      </w:r>
      <w:r>
        <w:rPr>
          <w:rFonts w:hint="eastAsia" w:ascii="宋体" w:hAnsi="宋体" w:eastAsia="宋体" w:cs="宋体"/>
          <w:color w:val="auto"/>
          <w:sz w:val="24"/>
          <w:szCs w:val="24"/>
          <w:highlight w:val="none"/>
        </w:rPr>
        <w:t>目中所列出的商务标书组成内容中，第（</w:t>
      </w:r>
      <w:r>
        <w:rPr>
          <w:rFonts w:hint="eastAsia" w:ascii="宋体" w:hAnsi="宋体" w:eastAsia="宋体" w:cs="宋体"/>
          <w:color w:val="auto"/>
          <w:spacing w:val="-1"/>
          <w:sz w:val="24"/>
          <w:szCs w:val="24"/>
          <w:highlight w:val="none"/>
        </w:rPr>
        <w:t>1）至第（13）项</w:t>
      </w:r>
      <w:r>
        <w:rPr>
          <w:rFonts w:hint="eastAsia" w:ascii="宋体" w:hAnsi="宋体" w:eastAsia="宋体" w:cs="宋体"/>
          <w:color w:val="auto"/>
          <w:sz w:val="24"/>
          <w:szCs w:val="24"/>
          <w:highlight w:val="none"/>
        </w:rPr>
        <w:t>所有投标人均应提供，</w:t>
      </w:r>
      <w:r>
        <w:rPr>
          <w:rFonts w:hint="eastAsia" w:ascii="宋体" w:hAnsi="宋体" w:eastAsia="宋体" w:cs="宋体"/>
          <w:b/>
          <w:bCs/>
          <w:color w:val="auto"/>
          <w:sz w:val="24"/>
          <w:szCs w:val="24"/>
          <w:highlight w:val="none"/>
        </w:rPr>
        <w:t>但非联合体投标的，</w:t>
      </w:r>
      <w:r>
        <w:rPr>
          <w:rFonts w:hint="eastAsia" w:ascii="宋体" w:hAnsi="宋体" w:eastAsia="宋体" w:cs="宋体"/>
          <w:b/>
          <w:bCs/>
          <w:color w:val="auto"/>
          <w:spacing w:val="-1"/>
          <w:sz w:val="24"/>
          <w:szCs w:val="24"/>
          <w:highlight w:val="none"/>
        </w:rPr>
        <w:t>无需提供第（7）项内容。</w:t>
      </w:r>
    </w:p>
    <w:p w14:paraId="189FCE5F">
      <w:pPr>
        <w:spacing w:before="199" w:line="279" w:lineRule="auto"/>
        <w:ind w:right="61" w:firstLine="482" w:firstLineChars="20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10.2.3 </w:t>
      </w:r>
      <w:r>
        <w:rPr>
          <w:rFonts w:hint="eastAsia" w:ascii="宋体" w:hAnsi="宋体" w:eastAsia="宋体" w:cs="宋体"/>
          <w:color w:val="auto"/>
          <w:spacing w:val="-8"/>
          <w:sz w:val="24"/>
          <w:szCs w:val="24"/>
          <w:highlight w:val="none"/>
        </w:rPr>
        <w:t>商务标书的组成内容按本节第 10.2.1 目规定的顺序整理、编排后，逐页（页</w:t>
      </w:r>
      <w:r>
        <w:rPr>
          <w:rFonts w:hint="eastAsia" w:ascii="宋体" w:hAnsi="宋体" w:eastAsia="宋体" w:cs="宋体"/>
          <w:color w:val="auto"/>
          <w:spacing w:val="-1"/>
          <w:sz w:val="24"/>
          <w:szCs w:val="24"/>
          <w:highlight w:val="none"/>
        </w:rPr>
        <w:t>码起始从封面开始）连续标记页码。</w:t>
      </w:r>
    </w:p>
    <w:p w14:paraId="00D341F8">
      <w:pPr>
        <w:pStyle w:val="5"/>
        <w:spacing w:line="257" w:lineRule="auto"/>
        <w:rPr>
          <w:rFonts w:hint="eastAsia" w:ascii="宋体" w:hAnsi="宋体" w:eastAsia="宋体" w:cs="宋体"/>
          <w:color w:val="auto"/>
          <w:highlight w:val="none"/>
        </w:rPr>
      </w:pPr>
    </w:p>
    <w:p w14:paraId="05E2DA61">
      <w:pPr>
        <w:spacing w:before="78" w:line="219" w:lineRule="auto"/>
        <w:ind w:left="496"/>
        <w:outlineLvl w:val="3"/>
        <w:rPr>
          <w:rFonts w:hint="eastAsia" w:ascii="宋体" w:hAnsi="宋体" w:eastAsia="宋体" w:cs="宋体"/>
          <w:b/>
          <w:bCs/>
          <w:color w:val="auto"/>
          <w:sz w:val="24"/>
          <w:szCs w:val="24"/>
          <w:highlight w:val="none"/>
        </w:rPr>
      </w:pPr>
      <w:bookmarkStart w:id="49" w:name="_Toc29370"/>
      <w:bookmarkStart w:id="50" w:name="_Toc10602"/>
      <w:r>
        <w:rPr>
          <w:rFonts w:hint="eastAsia" w:ascii="宋体" w:hAnsi="宋体" w:eastAsia="宋体" w:cs="宋体"/>
          <w:b/>
          <w:bCs/>
          <w:color w:val="auto"/>
          <w:spacing w:val="-2"/>
          <w:sz w:val="24"/>
          <w:szCs w:val="24"/>
          <w:highlight w:val="none"/>
        </w:rPr>
        <w:t>10.3  经济标书的编制要求</w:t>
      </w:r>
      <w:bookmarkEnd w:id="49"/>
      <w:bookmarkEnd w:id="50"/>
    </w:p>
    <w:p w14:paraId="4D7F8054">
      <w:pPr>
        <w:spacing w:before="154" w:line="219" w:lineRule="auto"/>
        <w:ind w:left="496"/>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10.3.1  </w:t>
      </w:r>
      <w:r>
        <w:rPr>
          <w:rFonts w:hint="eastAsia" w:ascii="宋体" w:hAnsi="宋体" w:eastAsia="宋体" w:cs="宋体"/>
          <w:color w:val="auto"/>
          <w:spacing w:val="-1"/>
          <w:sz w:val="24"/>
          <w:szCs w:val="24"/>
          <w:highlight w:val="none"/>
        </w:rPr>
        <w:t>经济标书包括以下内容：</w:t>
      </w:r>
    </w:p>
    <w:p w14:paraId="047BAC7D">
      <w:pPr>
        <w:spacing w:before="156" w:line="220"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（1）封面（格式一</w:t>
      </w:r>
      <w:r>
        <w:rPr>
          <w:rFonts w:hint="eastAsia" w:ascii="宋体" w:hAnsi="宋体" w:eastAsia="宋体" w:cs="宋体"/>
          <w:color w:val="auto"/>
          <w:spacing w:val="2"/>
          <w:sz w:val="24"/>
          <w:szCs w:val="24"/>
          <w:highlight w:val="none"/>
        </w:rPr>
        <w:t>）；</w:t>
      </w:r>
    </w:p>
    <w:p w14:paraId="6558A67D">
      <w:pPr>
        <w:spacing w:before="153" w:line="222"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13"/>
          <w:sz w:val="24"/>
          <w:szCs w:val="24"/>
          <w:highlight w:val="none"/>
        </w:rPr>
        <w:t>（2）</w:t>
      </w:r>
      <w:r>
        <w:rPr>
          <w:rFonts w:hint="eastAsia" w:ascii="宋体" w:hAnsi="宋体" w:eastAsia="宋体" w:cs="宋体"/>
          <w:color w:val="auto"/>
          <w:spacing w:val="-64"/>
          <w:sz w:val="24"/>
          <w:szCs w:val="24"/>
          <w:highlight w:val="none"/>
        </w:rPr>
        <w:t xml:space="preserve"> </w:t>
      </w:r>
      <w:r>
        <w:rPr>
          <w:rFonts w:hint="eastAsia" w:ascii="宋体" w:hAnsi="宋体" w:eastAsia="宋体" w:cs="宋体"/>
          <w:color w:val="auto"/>
          <w:spacing w:val="-13"/>
          <w:sz w:val="24"/>
          <w:szCs w:val="24"/>
          <w:highlight w:val="none"/>
        </w:rPr>
        <w:t>目录；</w:t>
      </w:r>
    </w:p>
    <w:p w14:paraId="31ADD06E">
      <w:pPr>
        <w:spacing w:before="150" w:line="219"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（3）《投标总价》；</w:t>
      </w:r>
    </w:p>
    <w:p w14:paraId="0D903CB7">
      <w:pPr>
        <w:spacing w:before="157" w:line="219" w:lineRule="auto"/>
        <w:ind w:left="4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说明：《投标总价》的格式按照《建设工程工程量</w:t>
      </w:r>
      <w:r>
        <w:rPr>
          <w:rFonts w:hint="eastAsia" w:ascii="宋体" w:hAnsi="宋体" w:eastAsia="宋体" w:cs="宋体"/>
          <w:color w:val="auto"/>
          <w:spacing w:val="-1"/>
          <w:sz w:val="24"/>
          <w:szCs w:val="24"/>
          <w:highlight w:val="none"/>
        </w:rPr>
        <w:t>清单计价</w:t>
      </w:r>
      <w:r>
        <w:rPr>
          <w:rFonts w:hint="eastAsia" w:ascii="宋体" w:hAnsi="宋体" w:eastAsia="宋体" w:cs="宋体"/>
          <w:color w:val="auto"/>
          <w:spacing w:val="-1"/>
          <w:sz w:val="24"/>
          <w:szCs w:val="24"/>
          <w:highlight w:val="none"/>
          <w:lang w:val="en-US" w:eastAsia="zh-CN"/>
        </w:rPr>
        <w:t>标准</w:t>
      </w:r>
      <w:r>
        <w:rPr>
          <w:rFonts w:hint="eastAsia" w:ascii="宋体" w:hAnsi="宋体" w:eastAsia="宋体" w:cs="宋体"/>
          <w:color w:val="auto"/>
          <w:spacing w:val="-1"/>
          <w:sz w:val="24"/>
          <w:szCs w:val="24"/>
          <w:highlight w:val="none"/>
        </w:rPr>
        <w:t>》（GB50500—</w:t>
      </w:r>
    </w:p>
    <w:p w14:paraId="19D1E9E0">
      <w:pPr>
        <w:spacing w:before="155" w:line="220" w:lineRule="auto"/>
        <w:ind w:left="5"/>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20</w:t>
      </w:r>
      <w:r>
        <w:rPr>
          <w:rFonts w:hint="eastAsia" w:ascii="宋体" w:hAnsi="宋体" w:eastAsia="宋体" w:cs="宋体"/>
          <w:color w:val="auto"/>
          <w:spacing w:val="-1"/>
          <w:sz w:val="24"/>
          <w:szCs w:val="24"/>
          <w:highlight w:val="none"/>
          <w:lang w:val="en-US" w:eastAsia="zh-CN"/>
        </w:rPr>
        <w:t>24</w:t>
      </w:r>
      <w:r>
        <w:rPr>
          <w:rFonts w:hint="eastAsia" w:ascii="宋体" w:hAnsi="宋体" w:eastAsia="宋体" w:cs="宋体"/>
          <w:color w:val="auto"/>
          <w:spacing w:val="-1"/>
          <w:sz w:val="24"/>
          <w:szCs w:val="24"/>
          <w:highlight w:val="none"/>
        </w:rPr>
        <w:t>）执行，并应满足以下要求：</w:t>
      </w:r>
    </w:p>
    <w:p w14:paraId="578C4661">
      <w:pPr>
        <w:spacing w:before="150" w:line="309" w:lineRule="auto"/>
        <w:ind w:left="8" w:firstLine="482"/>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a</w:t>
      </w:r>
      <w:r>
        <w:rPr>
          <w:rFonts w:hint="eastAsia" w:ascii="宋体" w:hAnsi="宋体" w:eastAsia="宋体" w:cs="宋体"/>
          <w:b/>
          <w:bCs/>
          <w:color w:val="auto"/>
          <w:spacing w:val="-28"/>
          <w:sz w:val="24"/>
          <w:szCs w:val="24"/>
          <w:highlight w:val="none"/>
        </w:rPr>
        <w:t xml:space="preserve"> </w:t>
      </w:r>
      <w:r>
        <w:rPr>
          <w:rFonts w:hint="eastAsia" w:ascii="宋体" w:hAnsi="宋体" w:eastAsia="宋体" w:cs="宋体"/>
          <w:color w:val="auto"/>
          <w:spacing w:val="-2"/>
          <w:sz w:val="24"/>
          <w:szCs w:val="24"/>
          <w:highlight w:val="none"/>
        </w:rPr>
        <w:t>．《投标总价扉页》后应附编制人的造价工程师注册证书彩色扫描件（须扫描至变更注册栏，</w:t>
      </w:r>
      <w:r>
        <w:rPr>
          <w:rFonts w:hint="eastAsia" w:ascii="宋体" w:hAnsi="宋体" w:eastAsia="宋体" w:cs="宋体"/>
          <w:b/>
          <w:bCs/>
          <w:color w:val="auto"/>
          <w:spacing w:val="-2"/>
          <w:sz w:val="24"/>
          <w:szCs w:val="24"/>
          <w:highlight w:val="none"/>
        </w:rPr>
        <w:t>一级造价师或二级造价师均可提供电子证书</w:t>
      </w:r>
      <w:r>
        <w:rPr>
          <w:rFonts w:hint="eastAsia" w:ascii="宋体" w:hAnsi="宋体" w:eastAsia="宋体" w:cs="宋体"/>
          <w:color w:val="auto"/>
          <w:spacing w:val="-2"/>
          <w:sz w:val="24"/>
          <w:szCs w:val="24"/>
          <w:highlight w:val="none"/>
        </w:rPr>
        <w:t>）；投标人委托造价咨询单位编制《投标总价》的，在该扉页“投标人 ”栏目加盖造价</w:t>
      </w:r>
      <w:r>
        <w:rPr>
          <w:rFonts w:hint="eastAsia" w:ascii="宋体" w:hAnsi="宋体" w:eastAsia="宋体" w:cs="宋体"/>
          <w:color w:val="auto"/>
          <w:spacing w:val="-7"/>
          <w:sz w:val="24"/>
          <w:szCs w:val="24"/>
          <w:highlight w:val="none"/>
        </w:rPr>
        <w:t>咨询人公章，</w:t>
      </w:r>
      <w:r>
        <w:rPr>
          <w:rFonts w:hint="eastAsia" w:ascii="宋体" w:hAnsi="宋体" w:eastAsia="宋体" w:cs="宋体"/>
          <w:color w:val="auto"/>
          <w:spacing w:val="-1"/>
          <w:sz w:val="24"/>
          <w:szCs w:val="24"/>
          <w:highlight w:val="none"/>
        </w:rPr>
        <w:t>并在该扉页后附造价咨询人的营业执照副本彩色扫描件。</w:t>
      </w:r>
    </w:p>
    <w:p w14:paraId="5A9B40CD">
      <w:pPr>
        <w:spacing w:before="119" w:line="314" w:lineRule="auto"/>
        <w:ind w:left="10" w:right="61" w:firstLine="474"/>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b.  </w:t>
      </w:r>
      <w:r>
        <w:rPr>
          <w:rFonts w:hint="eastAsia" w:ascii="宋体" w:hAnsi="宋体" w:eastAsia="宋体" w:cs="宋体"/>
          <w:color w:val="auto"/>
          <w:spacing w:val="2"/>
          <w:sz w:val="24"/>
          <w:szCs w:val="24"/>
          <w:highlight w:val="none"/>
        </w:rPr>
        <w:t>投标人认为有必要补充的其他资料（例如关于投标总价下浮率超过</w:t>
      </w:r>
      <w:r>
        <w:rPr>
          <w:rFonts w:hint="eastAsia" w:ascii="宋体" w:hAnsi="宋体" w:eastAsia="宋体" w:cs="宋体"/>
          <w:color w:val="auto"/>
          <w:spacing w:val="-27"/>
          <w:sz w:val="24"/>
          <w:szCs w:val="24"/>
          <w:highlight w:val="none"/>
        </w:rPr>
        <w:t xml:space="preserve"> </w:t>
      </w:r>
      <w:r>
        <w:rPr>
          <w:rFonts w:hint="eastAsia" w:ascii="宋体" w:hAnsi="宋体" w:eastAsia="宋体" w:cs="宋体"/>
          <w:color w:val="auto"/>
          <w:spacing w:val="1"/>
          <w:sz w:val="24"/>
          <w:szCs w:val="24"/>
          <w:highlight w:val="none"/>
        </w:rPr>
        <w:t>15%的书</w:t>
      </w:r>
      <w:r>
        <w:rPr>
          <w:rFonts w:hint="eastAsia" w:ascii="宋体" w:hAnsi="宋体" w:eastAsia="宋体" w:cs="宋体"/>
          <w:color w:val="auto"/>
          <w:spacing w:val="-2"/>
          <w:sz w:val="24"/>
          <w:szCs w:val="24"/>
          <w:highlight w:val="none"/>
        </w:rPr>
        <w:t>面说明和佐证材料）。</w:t>
      </w:r>
    </w:p>
    <w:p w14:paraId="2F5BB681">
      <w:pPr>
        <w:spacing w:before="99" w:line="280" w:lineRule="auto"/>
        <w:ind w:left="10" w:right="63" w:firstLine="485"/>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10.3.2  </w:t>
      </w:r>
      <w:r>
        <w:rPr>
          <w:rFonts w:hint="eastAsia" w:ascii="宋体" w:hAnsi="宋体" w:eastAsia="宋体" w:cs="宋体"/>
          <w:color w:val="auto"/>
          <w:spacing w:val="-3"/>
          <w:sz w:val="24"/>
          <w:szCs w:val="24"/>
          <w:highlight w:val="none"/>
        </w:rPr>
        <w:t>本节第</w:t>
      </w:r>
      <w:r>
        <w:rPr>
          <w:rFonts w:hint="eastAsia" w:ascii="宋体" w:hAnsi="宋体" w:eastAsia="宋体" w:cs="宋体"/>
          <w:color w:val="auto"/>
          <w:spacing w:val="-38"/>
          <w:sz w:val="24"/>
          <w:szCs w:val="24"/>
          <w:highlight w:val="none"/>
        </w:rPr>
        <w:t xml:space="preserve"> </w:t>
      </w:r>
      <w:r>
        <w:rPr>
          <w:rFonts w:hint="eastAsia" w:ascii="宋体" w:hAnsi="宋体" w:eastAsia="宋体" w:cs="宋体"/>
          <w:b/>
          <w:bCs/>
          <w:color w:val="auto"/>
          <w:spacing w:val="-3"/>
          <w:sz w:val="24"/>
          <w:szCs w:val="24"/>
          <w:highlight w:val="none"/>
        </w:rPr>
        <w:t>10.3.1</w:t>
      </w:r>
      <w:r>
        <w:rPr>
          <w:rFonts w:hint="eastAsia" w:ascii="宋体" w:hAnsi="宋体" w:eastAsia="宋体" w:cs="宋体"/>
          <w:color w:val="auto"/>
          <w:spacing w:val="-3"/>
          <w:sz w:val="24"/>
          <w:szCs w:val="24"/>
          <w:highlight w:val="none"/>
        </w:rPr>
        <w:t>目中所列出的经济标书组成内容中，第（1）至第（3）项所</w:t>
      </w:r>
      <w:r>
        <w:rPr>
          <w:rFonts w:hint="eastAsia" w:ascii="宋体" w:hAnsi="宋体" w:eastAsia="宋体" w:cs="宋体"/>
          <w:color w:val="auto"/>
          <w:spacing w:val="-2"/>
          <w:sz w:val="24"/>
          <w:szCs w:val="24"/>
          <w:highlight w:val="none"/>
        </w:rPr>
        <w:t>有投标人均应提供。</w:t>
      </w:r>
    </w:p>
    <w:p w14:paraId="755A525F">
      <w:pPr>
        <w:spacing w:before="155" w:line="279" w:lineRule="auto"/>
        <w:ind w:left="8" w:right="61" w:firstLine="487"/>
        <w:rPr>
          <w:rFonts w:hint="eastAsia" w:ascii="宋体" w:hAnsi="宋体" w:eastAsia="宋体" w:cs="宋体"/>
          <w:color w:val="auto"/>
          <w:sz w:val="24"/>
          <w:szCs w:val="24"/>
          <w:highlight w:val="none"/>
        </w:rPr>
      </w:pPr>
      <w:r>
        <w:rPr>
          <w:rFonts w:hint="eastAsia" w:ascii="宋体" w:hAnsi="宋体" w:eastAsia="宋体" w:cs="宋体"/>
          <w:b/>
          <w:bCs/>
          <w:color w:val="auto"/>
          <w:spacing w:val="-10"/>
          <w:sz w:val="24"/>
          <w:szCs w:val="24"/>
          <w:highlight w:val="none"/>
        </w:rPr>
        <w:t>10.3.3</w:t>
      </w:r>
      <w:r>
        <w:rPr>
          <w:rFonts w:hint="eastAsia" w:ascii="宋体" w:hAnsi="宋体" w:eastAsia="宋体" w:cs="宋体"/>
          <w:b/>
          <w:bCs/>
          <w:color w:val="auto"/>
          <w:spacing w:val="12"/>
          <w:sz w:val="24"/>
          <w:szCs w:val="24"/>
          <w:highlight w:val="none"/>
        </w:rPr>
        <w:t xml:space="preserve"> </w:t>
      </w:r>
      <w:r>
        <w:rPr>
          <w:rFonts w:hint="eastAsia" w:ascii="宋体" w:hAnsi="宋体" w:eastAsia="宋体" w:cs="宋体"/>
          <w:color w:val="auto"/>
          <w:spacing w:val="-10"/>
          <w:sz w:val="24"/>
          <w:szCs w:val="24"/>
          <w:highlight w:val="none"/>
        </w:rPr>
        <w:t>经济标书的组成内容按本节第</w:t>
      </w:r>
      <w:r>
        <w:rPr>
          <w:rFonts w:hint="eastAsia" w:ascii="宋体" w:hAnsi="宋体" w:eastAsia="宋体" w:cs="宋体"/>
          <w:color w:val="auto"/>
          <w:spacing w:val="-33"/>
          <w:sz w:val="24"/>
          <w:szCs w:val="24"/>
          <w:highlight w:val="none"/>
        </w:rPr>
        <w:t xml:space="preserve"> </w:t>
      </w:r>
      <w:r>
        <w:rPr>
          <w:rFonts w:hint="eastAsia" w:ascii="宋体" w:hAnsi="宋体" w:eastAsia="宋体" w:cs="宋体"/>
          <w:color w:val="auto"/>
          <w:spacing w:val="-10"/>
          <w:sz w:val="24"/>
          <w:szCs w:val="24"/>
          <w:highlight w:val="none"/>
        </w:rPr>
        <w:t>10</w:t>
      </w:r>
      <w:r>
        <w:rPr>
          <w:rFonts w:hint="eastAsia" w:ascii="宋体" w:hAnsi="宋体" w:eastAsia="宋体" w:cs="宋体"/>
          <w:color w:val="auto"/>
          <w:spacing w:val="-11"/>
          <w:sz w:val="24"/>
          <w:szCs w:val="24"/>
          <w:highlight w:val="none"/>
        </w:rPr>
        <w:t>.3.1 目规定的顺序整理、编排后，逐页（页</w:t>
      </w:r>
      <w:r>
        <w:rPr>
          <w:rFonts w:hint="eastAsia" w:ascii="宋体" w:hAnsi="宋体" w:eastAsia="宋体" w:cs="宋体"/>
          <w:color w:val="auto"/>
          <w:spacing w:val="-1"/>
          <w:sz w:val="24"/>
          <w:szCs w:val="24"/>
          <w:highlight w:val="none"/>
        </w:rPr>
        <w:t>码起始从封面开始）连续标记页码。</w:t>
      </w:r>
    </w:p>
    <w:p w14:paraId="06BCCAAB">
      <w:pPr>
        <w:spacing w:before="82" w:line="213" w:lineRule="auto"/>
        <w:ind w:left="496"/>
        <w:outlineLvl w:val="3"/>
        <w:rPr>
          <w:rFonts w:hint="eastAsia" w:ascii="宋体" w:hAnsi="宋体" w:eastAsia="宋体" w:cs="宋体"/>
          <w:b/>
          <w:bCs/>
          <w:color w:val="auto"/>
          <w:sz w:val="25"/>
          <w:szCs w:val="25"/>
          <w:highlight w:val="none"/>
        </w:rPr>
      </w:pPr>
      <w:r>
        <w:rPr>
          <w:rFonts w:hint="eastAsia" w:ascii="宋体" w:hAnsi="宋体" w:eastAsia="宋体" w:cs="宋体"/>
          <w:b/>
          <w:bCs/>
          <w:color w:val="auto"/>
          <w:spacing w:val="-3"/>
          <w:sz w:val="24"/>
          <w:szCs w:val="24"/>
          <w:highlight w:val="none"/>
        </w:rPr>
        <w:t>10.4  施工组织设计的编制要求</w:t>
      </w:r>
    </w:p>
    <w:p w14:paraId="768CF899">
      <w:pPr>
        <w:spacing w:before="151" w:line="219" w:lineRule="auto"/>
        <w:ind w:left="496"/>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10.4.1 </w:t>
      </w:r>
      <w:r>
        <w:rPr>
          <w:rFonts w:hint="eastAsia" w:ascii="宋体" w:hAnsi="宋体" w:eastAsia="宋体" w:cs="宋体"/>
          <w:color w:val="auto"/>
          <w:spacing w:val="-1"/>
          <w:sz w:val="24"/>
          <w:szCs w:val="24"/>
          <w:highlight w:val="none"/>
        </w:rPr>
        <w:t>施工组织设计的编制依据包括且不限于：</w:t>
      </w:r>
    </w:p>
    <w:p w14:paraId="1E40B774">
      <w:pPr>
        <w:spacing w:before="156" w:line="219"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（1）招标文件及其答疑（或修改）公告；</w:t>
      </w:r>
    </w:p>
    <w:p w14:paraId="4975F0E4">
      <w:pPr>
        <w:spacing w:before="155" w:line="221"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（2）施工图及相关资料；</w:t>
      </w:r>
    </w:p>
    <w:p w14:paraId="6E3E7330">
      <w:pPr>
        <w:spacing w:before="152" w:line="220"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（3）施工现场情况、工程特点；</w:t>
      </w:r>
    </w:p>
    <w:p w14:paraId="1323D629">
      <w:pPr>
        <w:spacing w:before="78" w:line="220"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（4）相关法律、法规、规定；</w:t>
      </w:r>
    </w:p>
    <w:p w14:paraId="546827BB">
      <w:pPr>
        <w:spacing w:before="153" w:line="299" w:lineRule="auto"/>
        <w:ind w:left="10" w:right="211" w:firstLine="49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（5）国家、广东省、韶关市关于施工现场管理、施工工艺</w:t>
      </w:r>
      <w:r>
        <w:rPr>
          <w:rFonts w:hint="eastAsia" w:ascii="宋体" w:hAnsi="宋体" w:eastAsia="宋体" w:cs="宋体"/>
          <w:color w:val="auto"/>
          <w:spacing w:val="1"/>
          <w:sz w:val="24"/>
          <w:szCs w:val="24"/>
          <w:highlight w:val="none"/>
        </w:rPr>
        <w:t>、绿色施工、安全防</w:t>
      </w:r>
      <w:r>
        <w:rPr>
          <w:rFonts w:hint="eastAsia" w:ascii="宋体" w:hAnsi="宋体" w:eastAsia="宋体" w:cs="宋体"/>
          <w:color w:val="auto"/>
          <w:spacing w:val="-1"/>
          <w:sz w:val="24"/>
          <w:szCs w:val="24"/>
          <w:highlight w:val="none"/>
        </w:rPr>
        <w:t>护、文明施工、环境保护等方面的标准、规范、技术资料。</w:t>
      </w:r>
      <w:r>
        <w:rPr>
          <w:rFonts w:hint="eastAsia" w:ascii="宋体" w:hAnsi="宋体" w:eastAsia="宋体" w:cs="宋体"/>
          <w:color w:val="auto"/>
          <w:spacing w:val="-2"/>
          <w:sz w:val="24"/>
          <w:szCs w:val="24"/>
          <w:highlight w:val="none"/>
        </w:rPr>
        <w:t>如《广东省住房和城乡建</w:t>
      </w:r>
      <w:r>
        <w:rPr>
          <w:rFonts w:hint="eastAsia" w:ascii="宋体" w:hAnsi="宋体" w:eastAsia="宋体" w:cs="宋体"/>
          <w:color w:val="auto"/>
          <w:sz w:val="24"/>
          <w:szCs w:val="24"/>
          <w:highlight w:val="none"/>
        </w:rPr>
        <w:t>设厅绿色施工导则》《广东省建设工程施工扬尘污染防</w:t>
      </w:r>
      <w:r>
        <w:rPr>
          <w:rFonts w:hint="eastAsia" w:ascii="宋体" w:hAnsi="宋体" w:eastAsia="宋体" w:cs="宋体"/>
          <w:color w:val="auto"/>
          <w:spacing w:val="-1"/>
          <w:sz w:val="24"/>
          <w:szCs w:val="24"/>
          <w:highlight w:val="none"/>
        </w:rPr>
        <w:t>治管理办法（试行）》等；</w:t>
      </w:r>
    </w:p>
    <w:p w14:paraId="7973C375">
      <w:pPr>
        <w:spacing w:before="155" w:line="220"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（6）企业内部标准、工法。</w:t>
      </w:r>
    </w:p>
    <w:p w14:paraId="43414437">
      <w:pPr>
        <w:spacing w:before="153" w:line="220" w:lineRule="auto"/>
        <w:ind w:left="496"/>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10.4.2 </w:t>
      </w:r>
      <w:r>
        <w:rPr>
          <w:rFonts w:hint="eastAsia" w:ascii="宋体" w:hAnsi="宋体" w:eastAsia="宋体" w:cs="宋体"/>
          <w:color w:val="auto"/>
          <w:spacing w:val="-1"/>
          <w:sz w:val="24"/>
          <w:szCs w:val="24"/>
          <w:highlight w:val="none"/>
        </w:rPr>
        <w:t>施工组织设计包括但不限于以下内容：</w:t>
      </w:r>
    </w:p>
    <w:p w14:paraId="4448288D">
      <w:pPr>
        <w:spacing w:before="153" w:line="220"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（1）封面（格式一</w:t>
      </w:r>
      <w:r>
        <w:rPr>
          <w:rFonts w:hint="eastAsia" w:ascii="宋体" w:hAnsi="宋体" w:eastAsia="宋体" w:cs="宋体"/>
          <w:color w:val="auto"/>
          <w:spacing w:val="2"/>
          <w:sz w:val="24"/>
          <w:szCs w:val="24"/>
          <w:highlight w:val="none"/>
        </w:rPr>
        <w:t>）；</w:t>
      </w:r>
    </w:p>
    <w:p w14:paraId="3BC2A7E8">
      <w:pPr>
        <w:spacing w:before="156" w:line="222"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13"/>
          <w:sz w:val="24"/>
          <w:szCs w:val="24"/>
          <w:highlight w:val="none"/>
        </w:rPr>
        <w:t>（2）</w:t>
      </w:r>
      <w:r>
        <w:rPr>
          <w:rFonts w:hint="eastAsia" w:ascii="宋体" w:hAnsi="宋体" w:eastAsia="宋体" w:cs="宋体"/>
          <w:color w:val="auto"/>
          <w:spacing w:val="-64"/>
          <w:sz w:val="24"/>
          <w:szCs w:val="24"/>
          <w:highlight w:val="none"/>
        </w:rPr>
        <w:t xml:space="preserve"> </w:t>
      </w:r>
      <w:r>
        <w:rPr>
          <w:rFonts w:hint="eastAsia" w:ascii="宋体" w:hAnsi="宋体" w:eastAsia="宋体" w:cs="宋体"/>
          <w:color w:val="auto"/>
          <w:spacing w:val="-13"/>
          <w:sz w:val="24"/>
          <w:szCs w:val="24"/>
          <w:highlight w:val="none"/>
        </w:rPr>
        <w:t>目录；</w:t>
      </w:r>
    </w:p>
    <w:p w14:paraId="3D46DDF6">
      <w:pPr>
        <w:spacing w:before="150" w:line="220"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（3）总体概述（包括施工程序总体设想及施工段划分等内容</w:t>
      </w:r>
      <w:r>
        <w:rPr>
          <w:rFonts w:hint="eastAsia" w:ascii="宋体" w:hAnsi="宋体" w:eastAsia="宋体" w:cs="宋体"/>
          <w:color w:val="auto"/>
          <w:spacing w:val="2"/>
          <w:sz w:val="24"/>
          <w:szCs w:val="24"/>
          <w:highlight w:val="none"/>
        </w:rPr>
        <w:t>）；</w:t>
      </w:r>
    </w:p>
    <w:p w14:paraId="23C15B5F">
      <w:pPr>
        <w:spacing w:before="154" w:line="299" w:lineRule="auto"/>
        <w:ind w:left="9" w:right="211" w:firstLine="49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（4）施工总进度计划及保证措施（包括进度管理目标；以</w:t>
      </w:r>
      <w:r>
        <w:rPr>
          <w:rFonts w:hint="eastAsia" w:ascii="宋体" w:hAnsi="宋体" w:eastAsia="宋体" w:cs="宋体"/>
          <w:color w:val="auto"/>
          <w:spacing w:val="1"/>
          <w:sz w:val="24"/>
          <w:szCs w:val="24"/>
          <w:highlight w:val="none"/>
        </w:rPr>
        <w:t>横道图或标明关键线</w:t>
      </w:r>
      <w:r>
        <w:rPr>
          <w:rFonts w:hint="eastAsia" w:ascii="宋体" w:hAnsi="宋体" w:eastAsia="宋体" w:cs="宋体"/>
          <w:color w:val="auto"/>
          <w:spacing w:val="-1"/>
          <w:sz w:val="24"/>
          <w:szCs w:val="24"/>
          <w:highlight w:val="none"/>
        </w:rPr>
        <w:t>路的网络进度计划；保障进度计划需要的人、材、机需求计划</w:t>
      </w:r>
      <w:r>
        <w:rPr>
          <w:rFonts w:hint="eastAsia" w:ascii="宋体" w:hAnsi="宋体" w:eastAsia="宋体" w:cs="宋体"/>
          <w:color w:val="auto"/>
          <w:spacing w:val="-2"/>
          <w:sz w:val="24"/>
          <w:szCs w:val="24"/>
          <w:highlight w:val="none"/>
        </w:rPr>
        <w:t>及保证措施；违约责任承诺等内容</w:t>
      </w:r>
      <w:r>
        <w:rPr>
          <w:rFonts w:hint="eastAsia" w:ascii="宋体" w:hAnsi="宋体" w:eastAsia="宋体" w:cs="宋体"/>
          <w:color w:val="auto"/>
          <w:sz w:val="24"/>
          <w:szCs w:val="24"/>
          <w:highlight w:val="none"/>
        </w:rPr>
        <w:t>）；</w:t>
      </w:r>
    </w:p>
    <w:p w14:paraId="413C1EC3">
      <w:pPr>
        <w:spacing w:before="153" w:line="220"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（5）质量保证措施（包括质量管理目标；相应保证措施；违约责任承诺</w:t>
      </w:r>
      <w:r>
        <w:rPr>
          <w:rFonts w:hint="eastAsia" w:ascii="宋体" w:hAnsi="宋体" w:eastAsia="宋体" w:cs="宋体"/>
          <w:color w:val="auto"/>
          <w:spacing w:val="-6"/>
          <w:sz w:val="24"/>
          <w:szCs w:val="24"/>
          <w:highlight w:val="none"/>
        </w:rPr>
        <w:t>等内容</w:t>
      </w:r>
      <w:r>
        <w:rPr>
          <w:rFonts w:hint="eastAsia" w:ascii="宋体" w:hAnsi="宋体" w:eastAsia="宋体" w:cs="宋体"/>
          <w:color w:val="auto"/>
          <w:spacing w:val="-62"/>
          <w:w w:val="97"/>
          <w:sz w:val="24"/>
          <w:szCs w:val="24"/>
          <w:highlight w:val="none"/>
        </w:rPr>
        <w:t>）；</w:t>
      </w:r>
    </w:p>
    <w:p w14:paraId="63DC62FA">
      <w:pPr>
        <w:spacing w:before="156" w:line="279" w:lineRule="auto"/>
        <w:ind w:left="11" w:right="211" w:firstLine="489"/>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（6）施工技术措施（包括关键施工技术、工艺及工程项目</w:t>
      </w:r>
      <w:r>
        <w:rPr>
          <w:rFonts w:hint="eastAsia" w:ascii="宋体" w:hAnsi="宋体" w:eastAsia="宋体" w:cs="宋体"/>
          <w:color w:val="auto"/>
          <w:spacing w:val="1"/>
          <w:sz w:val="24"/>
          <w:szCs w:val="24"/>
          <w:highlight w:val="none"/>
        </w:rPr>
        <w:t>实施的重点、难点分</w:t>
      </w:r>
      <w:r>
        <w:rPr>
          <w:rFonts w:hint="eastAsia" w:ascii="宋体" w:hAnsi="宋体" w:eastAsia="宋体" w:cs="宋体"/>
          <w:color w:val="auto"/>
          <w:spacing w:val="-1"/>
          <w:sz w:val="24"/>
          <w:szCs w:val="24"/>
          <w:highlight w:val="none"/>
        </w:rPr>
        <w:t>析和解决方案；新技术应用与承诺等内容</w:t>
      </w:r>
      <w:r>
        <w:rPr>
          <w:rFonts w:hint="eastAsia" w:ascii="宋体" w:hAnsi="宋体" w:eastAsia="宋体" w:cs="宋体"/>
          <w:color w:val="auto"/>
          <w:spacing w:val="2"/>
          <w:sz w:val="24"/>
          <w:szCs w:val="24"/>
          <w:highlight w:val="none"/>
        </w:rPr>
        <w:t>）；</w:t>
      </w:r>
    </w:p>
    <w:p w14:paraId="7BB5E824">
      <w:pPr>
        <w:spacing w:before="118" w:line="297" w:lineRule="auto"/>
        <w:ind w:left="11" w:right="31" w:firstLine="489"/>
        <w:rPr>
          <w:rFonts w:hint="eastAsia" w:ascii="宋体" w:hAnsi="宋体" w:eastAsia="宋体" w:cs="宋体"/>
          <w:color w:val="auto"/>
          <w:spacing w:val="-3"/>
          <w:sz w:val="24"/>
          <w:szCs w:val="24"/>
          <w:highlight w:val="none"/>
        </w:rPr>
      </w:pPr>
      <w:r>
        <w:rPr>
          <w:rFonts w:hint="eastAsia" w:ascii="宋体" w:hAnsi="宋体" w:eastAsia="宋体" w:cs="宋体"/>
          <w:color w:val="auto"/>
          <w:spacing w:val="-1"/>
          <w:sz w:val="24"/>
          <w:szCs w:val="24"/>
          <w:highlight w:val="none"/>
        </w:rPr>
        <w:t>（7）绿色施工、安全防护、文明施工措施计划(应对建设单位组织的勘察设计等单位在施工招标文件中列出的危大工程清单(详见格式十三)进行投标文件回应，如有)</w:t>
      </w:r>
      <w:r>
        <w:rPr>
          <w:rFonts w:hint="eastAsia" w:ascii="宋体" w:hAnsi="宋体" w:eastAsia="宋体" w:cs="宋体"/>
          <w:color w:val="auto"/>
          <w:spacing w:val="-3"/>
          <w:sz w:val="24"/>
          <w:szCs w:val="24"/>
          <w:highlight w:val="none"/>
        </w:rPr>
        <w:t>；</w:t>
      </w:r>
    </w:p>
    <w:p w14:paraId="02E9B450">
      <w:pPr>
        <w:spacing w:before="118" w:line="297" w:lineRule="auto"/>
        <w:ind w:left="11" w:right="31" w:firstLine="489"/>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（8）施工现场总平面布置（</w:t>
      </w:r>
      <w:bookmarkStart w:id="51" w:name="OLE_LINK8"/>
      <w:r>
        <w:rPr>
          <w:rFonts w:hint="eastAsia" w:ascii="宋体" w:hAnsi="宋体" w:eastAsia="宋体" w:cs="宋体"/>
          <w:color w:val="auto"/>
          <w:spacing w:val="2"/>
          <w:sz w:val="24"/>
          <w:szCs w:val="24"/>
          <w:highlight w:val="none"/>
        </w:rPr>
        <w:t>投标人应递交一份施工现场总</w:t>
      </w:r>
      <w:r>
        <w:rPr>
          <w:rFonts w:hint="eastAsia" w:ascii="宋体" w:hAnsi="宋体" w:eastAsia="宋体" w:cs="宋体"/>
          <w:color w:val="auto"/>
          <w:spacing w:val="1"/>
          <w:sz w:val="24"/>
          <w:szCs w:val="24"/>
          <w:highlight w:val="none"/>
        </w:rPr>
        <w:t>平面布置图，绘出现</w:t>
      </w:r>
      <w:r>
        <w:rPr>
          <w:rFonts w:hint="eastAsia" w:ascii="宋体" w:hAnsi="宋体" w:eastAsia="宋体" w:cs="宋体"/>
          <w:color w:val="auto"/>
          <w:spacing w:val="-1"/>
          <w:sz w:val="24"/>
          <w:szCs w:val="24"/>
          <w:highlight w:val="none"/>
        </w:rPr>
        <w:t>场临时设施布置图表并附文字说明，说明临时设施、加工车间、</w:t>
      </w:r>
      <w:r>
        <w:rPr>
          <w:rFonts w:hint="eastAsia" w:ascii="宋体" w:hAnsi="宋体" w:eastAsia="宋体" w:cs="宋体"/>
          <w:color w:val="auto"/>
          <w:spacing w:val="-2"/>
          <w:sz w:val="24"/>
          <w:szCs w:val="24"/>
          <w:highlight w:val="none"/>
        </w:rPr>
        <w:t>现场办公、设备及仓</w:t>
      </w:r>
      <w:r>
        <w:rPr>
          <w:rFonts w:hint="eastAsia" w:ascii="宋体" w:hAnsi="宋体" w:eastAsia="宋体" w:cs="宋体"/>
          <w:color w:val="auto"/>
          <w:spacing w:val="-1"/>
          <w:sz w:val="24"/>
          <w:szCs w:val="24"/>
          <w:highlight w:val="none"/>
        </w:rPr>
        <w:t>储、供电、供水、卫生、生活、道路、消防等设施的情况和布置</w:t>
      </w:r>
      <w:bookmarkEnd w:id="51"/>
      <w:r>
        <w:rPr>
          <w:rFonts w:hint="eastAsia" w:ascii="宋体" w:hAnsi="宋体" w:eastAsia="宋体" w:cs="宋体"/>
          <w:color w:val="auto"/>
          <w:spacing w:val="9"/>
          <w:sz w:val="24"/>
          <w:szCs w:val="24"/>
          <w:highlight w:val="none"/>
        </w:rPr>
        <w:t>）；</w:t>
      </w:r>
    </w:p>
    <w:p w14:paraId="5E69FD0B">
      <w:pPr>
        <w:spacing w:before="155" w:line="219"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（9）项目管理机构。</w:t>
      </w:r>
    </w:p>
    <w:p w14:paraId="10315D49">
      <w:pPr>
        <w:spacing w:before="154" w:line="280" w:lineRule="auto"/>
        <w:ind w:right="211" w:firstLine="472"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（10）投标人认为有必要补充的其他内容（例如对总包管理的认识以及对专业分</w:t>
      </w:r>
      <w:r>
        <w:rPr>
          <w:rFonts w:hint="eastAsia" w:ascii="宋体" w:hAnsi="宋体" w:eastAsia="宋体" w:cs="宋体"/>
          <w:color w:val="auto"/>
          <w:spacing w:val="-1"/>
          <w:sz w:val="24"/>
          <w:szCs w:val="24"/>
          <w:highlight w:val="none"/>
        </w:rPr>
        <w:t>包工程的管理、协调、配合、服务方案）。</w:t>
      </w:r>
    </w:p>
    <w:p w14:paraId="33E7EB44">
      <w:pPr>
        <w:spacing w:before="152" w:line="279" w:lineRule="auto"/>
        <w:ind w:right="196" w:firstLine="474" w:firstLineChars="200"/>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10.4.3  </w:t>
      </w:r>
      <w:r>
        <w:rPr>
          <w:rFonts w:hint="eastAsia" w:ascii="宋体" w:hAnsi="宋体" w:eastAsia="宋体" w:cs="宋体"/>
          <w:color w:val="auto"/>
          <w:spacing w:val="-2"/>
          <w:sz w:val="24"/>
          <w:szCs w:val="24"/>
          <w:highlight w:val="none"/>
        </w:rPr>
        <w:t>本节第</w:t>
      </w:r>
      <w:r>
        <w:rPr>
          <w:rFonts w:hint="eastAsia" w:ascii="宋体" w:hAnsi="宋体" w:eastAsia="宋体" w:cs="宋体"/>
          <w:color w:val="auto"/>
          <w:spacing w:val="-44"/>
          <w:sz w:val="24"/>
          <w:szCs w:val="24"/>
          <w:highlight w:val="none"/>
        </w:rPr>
        <w:t xml:space="preserve"> </w:t>
      </w:r>
      <w:r>
        <w:rPr>
          <w:rFonts w:hint="eastAsia" w:ascii="宋体" w:hAnsi="宋体" w:eastAsia="宋体" w:cs="宋体"/>
          <w:b/>
          <w:bCs/>
          <w:color w:val="auto"/>
          <w:spacing w:val="-2"/>
          <w:sz w:val="24"/>
          <w:szCs w:val="24"/>
          <w:highlight w:val="none"/>
        </w:rPr>
        <w:t>10.4.2</w:t>
      </w:r>
      <w:r>
        <w:rPr>
          <w:rFonts w:hint="eastAsia" w:ascii="宋体" w:hAnsi="宋体" w:eastAsia="宋体" w:cs="宋体"/>
          <w:color w:val="auto"/>
          <w:spacing w:val="-2"/>
          <w:sz w:val="24"/>
          <w:szCs w:val="24"/>
          <w:highlight w:val="none"/>
        </w:rPr>
        <w:t>目中所列出</w:t>
      </w:r>
      <w:r>
        <w:rPr>
          <w:rFonts w:hint="eastAsia" w:ascii="宋体" w:hAnsi="宋体" w:eastAsia="宋体" w:cs="宋体"/>
          <w:color w:val="auto"/>
          <w:spacing w:val="-3"/>
          <w:sz w:val="24"/>
          <w:szCs w:val="24"/>
          <w:highlight w:val="none"/>
        </w:rPr>
        <w:t>的施工组织设计组成内容中，第（1）至第（9）</w:t>
      </w:r>
      <w:r>
        <w:rPr>
          <w:rFonts w:hint="eastAsia" w:ascii="宋体" w:hAnsi="宋体" w:eastAsia="宋体" w:cs="宋体"/>
          <w:color w:val="auto"/>
          <w:spacing w:val="-2"/>
          <w:sz w:val="24"/>
          <w:szCs w:val="24"/>
          <w:highlight w:val="none"/>
        </w:rPr>
        <w:t>项所有投标人均应提供。</w:t>
      </w:r>
    </w:p>
    <w:p w14:paraId="56491334">
      <w:pPr>
        <w:spacing w:before="157" w:line="279" w:lineRule="auto"/>
        <w:ind w:right="211" w:firstLine="462" w:firstLineChars="200"/>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5"/>
          <w:sz w:val="24"/>
          <w:szCs w:val="24"/>
          <w:highlight w:val="none"/>
        </w:rPr>
        <w:t xml:space="preserve">10.4.4 </w:t>
      </w:r>
      <w:r>
        <w:rPr>
          <w:rFonts w:hint="eastAsia" w:ascii="宋体" w:hAnsi="宋体" w:eastAsia="宋体" w:cs="宋体"/>
          <w:color w:val="auto"/>
          <w:spacing w:val="-5"/>
          <w:sz w:val="24"/>
          <w:szCs w:val="24"/>
          <w:highlight w:val="none"/>
        </w:rPr>
        <w:t>施工组织设计的组成内容按本节第</w:t>
      </w:r>
      <w:r>
        <w:rPr>
          <w:rFonts w:hint="eastAsia" w:ascii="宋体" w:hAnsi="宋体" w:eastAsia="宋体" w:cs="宋体"/>
          <w:color w:val="auto"/>
          <w:spacing w:val="-18"/>
          <w:sz w:val="24"/>
          <w:szCs w:val="24"/>
          <w:highlight w:val="none"/>
        </w:rPr>
        <w:t xml:space="preserve"> </w:t>
      </w:r>
      <w:r>
        <w:rPr>
          <w:rFonts w:hint="eastAsia" w:ascii="宋体" w:hAnsi="宋体" w:eastAsia="宋体" w:cs="宋体"/>
          <w:color w:val="auto"/>
          <w:spacing w:val="-5"/>
          <w:sz w:val="24"/>
          <w:szCs w:val="24"/>
          <w:highlight w:val="none"/>
        </w:rPr>
        <w:t>10.4.2 目规定的顺序整理、编排后，逐</w:t>
      </w:r>
      <w:r>
        <w:rPr>
          <w:rFonts w:hint="eastAsia" w:ascii="宋体" w:hAnsi="宋体" w:eastAsia="宋体" w:cs="宋体"/>
          <w:color w:val="auto"/>
          <w:spacing w:val="-1"/>
          <w:sz w:val="24"/>
          <w:szCs w:val="24"/>
          <w:highlight w:val="none"/>
        </w:rPr>
        <w:t>页（页码起始从封面开始）连续标记页码。</w:t>
      </w:r>
    </w:p>
    <w:p w14:paraId="702A1AEA">
      <w:pPr>
        <w:ind w:firstLine="472"/>
        <w:outlineLvl w:val="9"/>
        <w:rPr>
          <w:rFonts w:hint="eastAsia" w:ascii="宋体" w:hAnsi="宋体" w:eastAsia="宋体" w:cs="宋体"/>
          <w:color w:val="auto"/>
          <w:spacing w:val="-1"/>
          <w:sz w:val="24"/>
          <w:szCs w:val="24"/>
          <w:highlight w:val="none"/>
          <w:lang w:eastAsia="zh-CN"/>
        </w:rPr>
      </w:pPr>
      <w:r>
        <w:rPr>
          <w:rFonts w:hint="eastAsia" w:ascii="宋体" w:hAnsi="宋体" w:eastAsia="宋体" w:cs="宋体"/>
          <w:b/>
          <w:bCs/>
          <w:color w:val="auto"/>
          <w:spacing w:val="-1"/>
          <w:sz w:val="24"/>
          <w:szCs w:val="24"/>
          <w:highlight w:val="none"/>
        </w:rPr>
        <w:t>10.4.5</w:t>
      </w:r>
      <w:bookmarkStart w:id="52" w:name="OLE_LINK9"/>
      <w:r>
        <w:rPr>
          <w:rFonts w:hint="eastAsia" w:ascii="宋体" w:hAnsi="宋体" w:eastAsia="宋体" w:cs="宋体"/>
          <w:b/>
          <w:bCs/>
          <w:color w:val="auto"/>
          <w:spacing w:val="-1"/>
          <w:sz w:val="24"/>
          <w:szCs w:val="24"/>
          <w:highlight w:val="none"/>
        </w:rPr>
        <w:t xml:space="preserve"> </w:t>
      </w:r>
      <w:r>
        <w:rPr>
          <w:rFonts w:hint="eastAsia" w:ascii="宋体" w:hAnsi="宋体" w:eastAsia="宋体" w:cs="宋体"/>
          <w:color w:val="auto"/>
          <w:spacing w:val="-1"/>
          <w:sz w:val="24"/>
          <w:szCs w:val="24"/>
          <w:highlight w:val="none"/>
        </w:rPr>
        <w:t>施工组织设计的正文不得超过</w:t>
      </w:r>
      <w:r>
        <w:rPr>
          <w:rFonts w:hint="eastAsia" w:ascii="宋体" w:hAnsi="宋体" w:eastAsia="宋体" w:cs="宋体"/>
          <w:color w:val="auto"/>
          <w:spacing w:val="-1"/>
          <w:sz w:val="24"/>
          <w:szCs w:val="24"/>
          <w:highlight w:val="none"/>
          <w:u w:val="single"/>
        </w:rPr>
        <w:t xml:space="preserve"> </w:t>
      </w:r>
      <w:r>
        <w:rPr>
          <w:rFonts w:hint="eastAsia" w:ascii="宋体" w:hAnsi="宋体" w:eastAsia="宋体" w:cs="宋体"/>
          <w:color w:val="auto"/>
          <w:spacing w:val="-1"/>
          <w:sz w:val="24"/>
          <w:szCs w:val="24"/>
          <w:highlight w:val="none"/>
          <w:u w:val="single"/>
          <w:lang w:val="en-US" w:eastAsia="zh-CN"/>
        </w:rPr>
        <w:t>150</w:t>
      </w:r>
      <w:r>
        <w:rPr>
          <w:rFonts w:hint="eastAsia" w:ascii="宋体" w:hAnsi="宋体" w:eastAsia="宋体" w:cs="宋体"/>
          <w:color w:val="auto"/>
          <w:spacing w:val="-1"/>
          <w:sz w:val="24"/>
          <w:szCs w:val="24"/>
          <w:highlight w:val="none"/>
          <w:u w:val="single"/>
        </w:rPr>
        <w:t xml:space="preserve"> </w:t>
      </w:r>
      <w:r>
        <w:rPr>
          <w:rFonts w:hint="eastAsia" w:ascii="宋体" w:hAnsi="宋体" w:eastAsia="宋体" w:cs="宋体"/>
          <w:color w:val="auto"/>
          <w:spacing w:val="-1"/>
          <w:sz w:val="24"/>
          <w:szCs w:val="24"/>
          <w:highlight w:val="none"/>
        </w:rPr>
        <w:t>页</w:t>
      </w:r>
      <w:r>
        <w:rPr>
          <w:rFonts w:hint="eastAsia" w:ascii="宋体" w:hAnsi="宋体" w:eastAsia="宋体" w:cs="宋体"/>
          <w:color w:val="auto"/>
          <w:spacing w:val="-1"/>
          <w:sz w:val="24"/>
          <w:szCs w:val="24"/>
          <w:highlight w:val="none"/>
          <w:lang w:eastAsia="zh-CN"/>
        </w:rPr>
        <w:t>。</w:t>
      </w:r>
      <w:bookmarkEnd w:id="52"/>
      <w:bookmarkStart w:id="53" w:name="bookmark121"/>
      <w:bookmarkEnd w:id="53"/>
    </w:p>
    <w:p w14:paraId="1EF41116">
      <w:pPr>
        <w:keepNext w:val="0"/>
        <w:keepLines w:val="0"/>
        <w:pageBreakBefore w:val="0"/>
        <w:widowControl w:val="0"/>
        <w:kinsoku/>
        <w:wordWrap w:val="0"/>
        <w:overflowPunct/>
        <w:topLinePunct w:val="0"/>
        <w:autoSpaceDE/>
        <w:autoSpaceDN/>
        <w:bidi w:val="0"/>
        <w:adjustRightInd/>
        <w:snapToGrid/>
        <w:spacing w:line="400" w:lineRule="exact"/>
        <w:ind w:firstLine="482" w:firstLineChars="200"/>
        <w:textAlignment w:val="baseline"/>
        <w:rPr>
          <w:rFonts w:hint="eastAsia" w:ascii="宋体" w:hAnsi="宋体" w:eastAsia="宋体" w:cs="宋体"/>
          <w:b/>
          <w:bCs/>
          <w:snapToGrid w:val="0"/>
          <w:color w:val="auto"/>
          <w:kern w:val="0"/>
          <w:sz w:val="24"/>
          <w:szCs w:val="24"/>
          <w:highlight w:val="none"/>
          <w:lang w:val="en-US" w:eastAsia="zh-CN"/>
        </w:rPr>
      </w:pPr>
      <w:bookmarkStart w:id="54" w:name="_Toc20579"/>
      <w:r>
        <w:rPr>
          <w:rFonts w:hint="eastAsia" w:ascii="宋体" w:hAnsi="宋体" w:eastAsia="宋体" w:cs="宋体"/>
          <w:b/>
          <w:bCs/>
          <w:snapToGrid w:val="0"/>
          <w:color w:val="auto"/>
          <w:kern w:val="0"/>
          <w:sz w:val="24"/>
          <w:szCs w:val="24"/>
          <w:highlight w:val="none"/>
          <w:lang w:val="en-US" w:eastAsia="zh-CN"/>
        </w:rPr>
        <w:t>10.5定标文件的编制要求：</w:t>
      </w:r>
    </w:p>
    <w:p w14:paraId="21C55D8F">
      <w:pPr>
        <w:keepNext w:val="0"/>
        <w:keepLines w:val="0"/>
        <w:pageBreakBefore w:val="0"/>
        <w:widowControl w:val="0"/>
        <w:kinsoku/>
        <w:wordWrap w:val="0"/>
        <w:overflowPunct/>
        <w:topLinePunct w:val="0"/>
        <w:autoSpaceDE/>
        <w:autoSpaceDN/>
        <w:bidi w:val="0"/>
        <w:adjustRightInd/>
        <w:snapToGrid/>
        <w:spacing w:line="400" w:lineRule="exact"/>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r>
        <w:rPr>
          <w:rFonts w:hint="eastAsia" w:ascii="宋体" w:hAnsi="宋体" w:eastAsia="宋体" w:cs="宋体"/>
          <w:snapToGrid w:val="0"/>
          <w:color w:val="auto"/>
          <w:kern w:val="0"/>
          <w:sz w:val="24"/>
          <w:szCs w:val="24"/>
          <w:highlight w:val="none"/>
          <w:lang w:val="en-US" w:eastAsia="zh-CN"/>
        </w:rPr>
        <w:t>0.5</w:t>
      </w:r>
      <w:r>
        <w:rPr>
          <w:rFonts w:hint="eastAsia" w:ascii="宋体" w:hAnsi="宋体" w:eastAsia="宋体" w:cs="宋体"/>
          <w:snapToGrid w:val="0"/>
          <w:color w:val="auto"/>
          <w:kern w:val="0"/>
          <w:sz w:val="24"/>
          <w:szCs w:val="24"/>
          <w:highlight w:val="none"/>
        </w:rPr>
        <w:t xml:space="preserve">.1 </w:t>
      </w:r>
      <w:r>
        <w:rPr>
          <w:rFonts w:hint="eastAsia" w:ascii="宋体" w:hAnsi="宋体" w:eastAsia="宋体" w:cs="宋体"/>
          <w:snapToGrid w:val="0"/>
          <w:color w:val="auto"/>
          <w:kern w:val="0"/>
          <w:sz w:val="24"/>
          <w:szCs w:val="24"/>
          <w:highlight w:val="none"/>
          <w:lang w:val="en-US" w:eastAsia="zh-CN"/>
        </w:rPr>
        <w:t>定标文件</w:t>
      </w:r>
      <w:r>
        <w:rPr>
          <w:rFonts w:hint="eastAsia" w:ascii="宋体" w:hAnsi="宋体" w:eastAsia="宋体" w:cs="宋体"/>
          <w:snapToGrid w:val="0"/>
          <w:color w:val="auto"/>
          <w:kern w:val="0"/>
          <w:sz w:val="24"/>
          <w:szCs w:val="24"/>
          <w:highlight w:val="none"/>
        </w:rPr>
        <w:t>包括以下内容：</w:t>
      </w:r>
    </w:p>
    <w:p w14:paraId="6FD4CA21">
      <w:pPr>
        <w:keepNext w:val="0"/>
        <w:keepLines w:val="0"/>
        <w:pageBreakBefore w:val="0"/>
        <w:widowControl/>
        <w:kinsoku w:val="0"/>
        <w:wordWrap/>
        <w:overflowPunct/>
        <w:topLinePunct w:val="0"/>
        <w:autoSpaceDE w:val="0"/>
        <w:autoSpaceDN w:val="0"/>
        <w:bidi w:val="0"/>
        <w:adjustRightInd w:val="0"/>
        <w:snapToGrid w:val="0"/>
        <w:spacing w:before="157" w:line="320" w:lineRule="exact"/>
        <w:ind w:right="210" w:firstLine="460" w:firstLineChars="200"/>
        <w:textAlignment w:val="baseline"/>
        <w:rPr>
          <w:rFonts w:hint="eastAsia" w:ascii="宋体" w:hAnsi="宋体" w:eastAsia="宋体" w:cs="宋体"/>
          <w:color w:val="auto"/>
          <w:spacing w:val="-5"/>
          <w:sz w:val="24"/>
          <w:szCs w:val="24"/>
          <w:highlight w:val="none"/>
          <w:lang w:val="en-US" w:eastAsia="zh-CN"/>
        </w:rPr>
      </w:pPr>
      <w:r>
        <w:rPr>
          <w:rFonts w:hint="eastAsia" w:ascii="宋体" w:hAnsi="宋体" w:eastAsia="宋体" w:cs="宋体"/>
          <w:color w:val="auto"/>
          <w:spacing w:val="-5"/>
          <w:sz w:val="24"/>
          <w:szCs w:val="24"/>
          <w:highlight w:val="none"/>
          <w:lang w:val="en-US" w:eastAsia="zh-CN"/>
        </w:rPr>
        <w:t>（1）封面（格式一）</w:t>
      </w:r>
    </w:p>
    <w:p w14:paraId="5994405B">
      <w:pPr>
        <w:keepNext w:val="0"/>
        <w:keepLines w:val="0"/>
        <w:pageBreakBefore w:val="0"/>
        <w:widowControl/>
        <w:kinsoku w:val="0"/>
        <w:wordWrap/>
        <w:overflowPunct/>
        <w:topLinePunct w:val="0"/>
        <w:autoSpaceDE w:val="0"/>
        <w:autoSpaceDN w:val="0"/>
        <w:bidi w:val="0"/>
        <w:adjustRightInd w:val="0"/>
        <w:snapToGrid w:val="0"/>
        <w:spacing w:before="157" w:line="320" w:lineRule="exact"/>
        <w:ind w:right="210" w:firstLine="460" w:firstLineChars="200"/>
        <w:textAlignment w:val="baseline"/>
        <w:rPr>
          <w:rFonts w:hint="default" w:ascii="宋体" w:hAnsi="宋体" w:eastAsia="宋体" w:cs="宋体"/>
          <w:color w:val="auto"/>
          <w:spacing w:val="-5"/>
          <w:sz w:val="24"/>
          <w:szCs w:val="24"/>
          <w:highlight w:val="none"/>
          <w:lang w:val="en-US"/>
        </w:rPr>
      </w:pPr>
      <w:r>
        <w:rPr>
          <w:rFonts w:hint="eastAsia" w:ascii="宋体" w:hAnsi="宋体" w:eastAsia="宋体" w:cs="宋体"/>
          <w:color w:val="auto"/>
          <w:spacing w:val="-5"/>
          <w:sz w:val="24"/>
          <w:szCs w:val="24"/>
          <w:highlight w:val="none"/>
          <w:lang w:val="en-US" w:eastAsia="zh-CN"/>
        </w:rPr>
        <w:t>（2）助力项目承诺书（格式十六）</w:t>
      </w:r>
    </w:p>
    <w:p w14:paraId="78BAC76A">
      <w:pPr>
        <w:keepNext w:val="0"/>
        <w:keepLines w:val="0"/>
        <w:pageBreakBefore w:val="0"/>
        <w:widowControl/>
        <w:kinsoku w:val="0"/>
        <w:wordWrap/>
        <w:overflowPunct/>
        <w:topLinePunct w:val="0"/>
        <w:autoSpaceDE w:val="0"/>
        <w:autoSpaceDN w:val="0"/>
        <w:bidi w:val="0"/>
        <w:adjustRightInd w:val="0"/>
        <w:snapToGrid w:val="0"/>
        <w:spacing w:before="157" w:line="320" w:lineRule="exact"/>
        <w:ind w:right="210" w:firstLine="460" w:firstLineChars="200"/>
        <w:textAlignment w:val="baseline"/>
        <w:rPr>
          <w:rFonts w:hint="eastAsia" w:ascii="宋体" w:hAnsi="宋体" w:eastAsia="宋体" w:cs="宋体"/>
          <w:color w:val="auto"/>
          <w:spacing w:val="-5"/>
          <w:sz w:val="24"/>
          <w:szCs w:val="24"/>
          <w:highlight w:val="none"/>
        </w:rPr>
      </w:pPr>
      <w:r>
        <w:rPr>
          <w:rFonts w:hint="eastAsia" w:ascii="宋体" w:hAnsi="宋体" w:eastAsia="宋体" w:cs="宋体"/>
          <w:color w:val="auto"/>
          <w:spacing w:val="-5"/>
          <w:sz w:val="24"/>
          <w:szCs w:val="24"/>
          <w:highlight w:val="none"/>
          <w:lang w:val="en-US" w:eastAsia="zh-CN"/>
        </w:rPr>
        <w:t>（3）定标因素评审资料（格式十七）</w:t>
      </w:r>
    </w:p>
    <w:p w14:paraId="20163D0A">
      <w:pPr>
        <w:keepNext w:val="0"/>
        <w:keepLines w:val="0"/>
        <w:pageBreakBefore w:val="0"/>
        <w:widowControl w:val="0"/>
        <w:kinsoku/>
        <w:wordWrap w:val="0"/>
        <w:overflowPunct/>
        <w:topLinePunct w:val="0"/>
        <w:autoSpaceDE/>
        <w:autoSpaceDN/>
        <w:bidi w:val="0"/>
        <w:adjustRightInd/>
        <w:snapToGrid/>
        <w:spacing w:line="400" w:lineRule="exact"/>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r>
        <w:rPr>
          <w:rFonts w:hint="eastAsia" w:ascii="宋体" w:hAnsi="宋体" w:eastAsia="宋体" w:cs="宋体"/>
          <w:snapToGrid w:val="0"/>
          <w:color w:val="auto"/>
          <w:kern w:val="0"/>
          <w:sz w:val="24"/>
          <w:szCs w:val="24"/>
          <w:highlight w:val="none"/>
          <w:lang w:val="en-US" w:eastAsia="zh-CN"/>
        </w:rPr>
        <w:t>0.5</w:t>
      </w: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2</w:t>
      </w:r>
      <w:r>
        <w:rPr>
          <w:rFonts w:hint="eastAsia" w:ascii="宋体" w:hAnsi="宋体" w:eastAsia="宋体" w:cs="宋体"/>
          <w:snapToGrid w:val="0"/>
          <w:color w:val="auto"/>
          <w:kern w:val="0"/>
          <w:sz w:val="24"/>
          <w:szCs w:val="24"/>
          <w:highlight w:val="none"/>
        </w:rPr>
        <w:t xml:space="preserve"> 本节第1</w:t>
      </w:r>
      <w:r>
        <w:rPr>
          <w:rFonts w:hint="eastAsia" w:ascii="宋体" w:hAnsi="宋体" w:eastAsia="宋体" w:cs="宋体"/>
          <w:snapToGrid w:val="0"/>
          <w:color w:val="auto"/>
          <w:kern w:val="0"/>
          <w:sz w:val="24"/>
          <w:szCs w:val="24"/>
          <w:highlight w:val="none"/>
          <w:lang w:val="en-US" w:eastAsia="zh-CN"/>
        </w:rPr>
        <w:t>0.5</w:t>
      </w: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1</w:t>
      </w:r>
      <w:r>
        <w:rPr>
          <w:rFonts w:hint="eastAsia" w:ascii="宋体" w:hAnsi="宋体" w:eastAsia="宋体" w:cs="宋体"/>
          <w:snapToGrid w:val="0"/>
          <w:color w:val="auto"/>
          <w:kern w:val="0"/>
          <w:sz w:val="24"/>
          <w:szCs w:val="24"/>
          <w:highlight w:val="none"/>
        </w:rPr>
        <w:t>目中所列出的组成内容中，第（1）</w:t>
      </w:r>
      <w:r>
        <w:rPr>
          <w:rFonts w:hint="eastAsia" w:ascii="宋体" w:hAnsi="宋体" w:eastAsia="宋体" w:cs="宋体"/>
          <w:snapToGrid w:val="0"/>
          <w:color w:val="auto"/>
          <w:kern w:val="0"/>
          <w:sz w:val="24"/>
          <w:szCs w:val="24"/>
          <w:highlight w:val="none"/>
          <w:lang w:val="en-US" w:eastAsia="zh-CN"/>
        </w:rPr>
        <w:t>~（3）</w:t>
      </w:r>
      <w:r>
        <w:rPr>
          <w:rFonts w:hint="eastAsia" w:ascii="宋体" w:hAnsi="宋体" w:eastAsia="宋体" w:cs="宋体"/>
          <w:snapToGrid w:val="0"/>
          <w:color w:val="auto"/>
          <w:kern w:val="0"/>
          <w:sz w:val="24"/>
          <w:szCs w:val="24"/>
          <w:highlight w:val="none"/>
        </w:rPr>
        <w:t>项所有投标人均应提供。</w:t>
      </w:r>
    </w:p>
    <w:p w14:paraId="02DC3960">
      <w:pPr>
        <w:pStyle w:val="2"/>
        <w:keepNext/>
        <w:keepLines/>
        <w:pageBreakBefore w:val="0"/>
        <w:widowControl/>
        <w:kinsoku w:val="0"/>
        <w:wordWrap/>
        <w:overflowPunct/>
        <w:topLinePunct w:val="0"/>
        <w:autoSpaceDE w:val="0"/>
        <w:autoSpaceDN w:val="0"/>
        <w:bidi w:val="0"/>
        <w:adjustRightInd w:val="0"/>
        <w:snapToGrid w:val="0"/>
        <w:spacing w:before="0" w:beforeLines="50" w:line="375" w:lineRule="auto"/>
        <w:textAlignment w:val="baseline"/>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lang w:val="en-US" w:eastAsia="zh-CN"/>
        </w:rPr>
        <w:t xml:space="preserve">   </w:t>
      </w:r>
      <w:bookmarkEnd w:id="54"/>
      <w:bookmarkStart w:id="55" w:name="_Toc21936"/>
      <w:bookmarkStart w:id="56" w:name="_Toc10599"/>
      <w:r>
        <w:rPr>
          <w:rFonts w:hint="eastAsia" w:ascii="宋体" w:hAnsi="宋体" w:eastAsia="宋体" w:cs="宋体"/>
          <w:b/>
          <w:bCs/>
          <w:color w:val="auto"/>
          <w:spacing w:val="-9"/>
          <w:sz w:val="24"/>
          <w:szCs w:val="24"/>
          <w:highlight w:val="none"/>
        </w:rPr>
        <w:t>11.</w:t>
      </w:r>
      <w:r>
        <w:rPr>
          <w:rFonts w:hint="eastAsia" w:ascii="宋体" w:hAnsi="宋体" w:eastAsia="宋体" w:cs="宋体"/>
          <w:b/>
          <w:bCs/>
          <w:color w:val="auto"/>
          <w:spacing w:val="20"/>
          <w:sz w:val="24"/>
          <w:szCs w:val="24"/>
          <w:highlight w:val="none"/>
        </w:rPr>
        <w:t xml:space="preserve"> </w:t>
      </w:r>
      <w:r>
        <w:rPr>
          <w:rFonts w:hint="eastAsia" w:ascii="宋体" w:hAnsi="宋体" w:eastAsia="宋体" w:cs="宋体"/>
          <w:color w:val="auto"/>
          <w:spacing w:val="-9"/>
          <w:sz w:val="24"/>
          <w:szCs w:val="24"/>
          <w:highlight w:val="none"/>
        </w:rPr>
        <w:t>电子投标：</w:t>
      </w:r>
      <w:bookmarkEnd w:id="55"/>
      <w:bookmarkEnd w:id="56"/>
    </w:p>
    <w:p w14:paraId="3D405C38">
      <w:pPr>
        <w:keepNext w:val="0"/>
        <w:keepLines w:val="0"/>
        <w:pageBreakBefore w:val="0"/>
        <w:widowControl/>
        <w:kinsoku w:val="0"/>
        <w:wordWrap/>
        <w:overflowPunct/>
        <w:topLinePunct w:val="0"/>
        <w:autoSpaceDE w:val="0"/>
        <w:autoSpaceDN w:val="0"/>
        <w:bidi w:val="0"/>
        <w:adjustRightInd w:val="0"/>
        <w:snapToGrid w:val="0"/>
        <w:spacing w:line="296" w:lineRule="auto"/>
        <w:ind w:left="11" w:firstLine="488"/>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11.1  </w:t>
      </w:r>
      <w:r>
        <w:rPr>
          <w:rFonts w:hint="eastAsia" w:ascii="宋体" w:hAnsi="宋体" w:eastAsia="宋体" w:cs="宋体"/>
          <w:color w:val="auto"/>
          <w:spacing w:val="-3"/>
          <w:sz w:val="24"/>
          <w:szCs w:val="24"/>
          <w:highlight w:val="none"/>
        </w:rPr>
        <w:t>在建设工程交易系统上传加盖了电子印章的投标文件、录入相关信息及标书</w:t>
      </w:r>
      <w:r>
        <w:rPr>
          <w:rFonts w:hint="eastAsia" w:ascii="宋体" w:hAnsi="宋体" w:eastAsia="宋体" w:cs="宋体"/>
          <w:color w:val="auto"/>
          <w:spacing w:val="2"/>
          <w:sz w:val="24"/>
          <w:szCs w:val="24"/>
          <w:highlight w:val="none"/>
        </w:rPr>
        <w:t>页码信息</w:t>
      </w:r>
      <w:r>
        <w:rPr>
          <w:rFonts w:hint="eastAsia" w:ascii="宋体" w:hAnsi="宋体" w:eastAsia="宋体" w:cs="宋体"/>
          <w:color w:val="auto"/>
          <w:spacing w:val="-25"/>
          <w:sz w:val="24"/>
          <w:szCs w:val="24"/>
          <w:highlight w:val="none"/>
        </w:rPr>
        <w:t>，（</w:t>
      </w:r>
      <w:r>
        <w:rPr>
          <w:rFonts w:hint="eastAsia" w:ascii="宋体" w:hAnsi="宋体" w:eastAsia="宋体" w:cs="宋体"/>
          <w:color w:val="auto"/>
          <w:spacing w:val="2"/>
          <w:sz w:val="24"/>
          <w:szCs w:val="24"/>
          <w:highlight w:val="none"/>
        </w:rPr>
        <w:t>页码起始从封面开始）并提交投标标书。提交标书为已加密投标文件。</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2"/>
          <w:sz w:val="24"/>
          <w:szCs w:val="24"/>
          <w:highlight w:val="none"/>
        </w:rPr>
        <w:t>具体操作参照《韶关市公共资源建设工程交易系统-投标人操</w:t>
      </w:r>
      <w:r>
        <w:rPr>
          <w:rFonts w:hint="eastAsia" w:ascii="宋体" w:hAnsi="宋体" w:eastAsia="宋体" w:cs="宋体"/>
          <w:color w:val="auto"/>
          <w:spacing w:val="-3"/>
          <w:sz w:val="24"/>
          <w:szCs w:val="24"/>
          <w:highlight w:val="none"/>
        </w:rPr>
        <w:t>作指南（电子评标）》。</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本项目评标采用全流程电子化进行招标投标（投标人应根据</w:t>
      </w:r>
      <w:r>
        <w:rPr>
          <w:rFonts w:hint="eastAsia" w:ascii="宋体" w:hAnsi="宋体" w:eastAsia="宋体" w:cs="宋体"/>
          <w:color w:val="auto"/>
          <w:spacing w:val="-2"/>
          <w:sz w:val="24"/>
          <w:szCs w:val="24"/>
          <w:highlight w:val="none"/>
        </w:rPr>
        <w:t>韶关市公共资源建设工程</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交易系统进行编辑投标相关内容、按招标文件电子投标要求</w:t>
      </w:r>
      <w:r>
        <w:rPr>
          <w:rFonts w:hint="eastAsia" w:ascii="宋体" w:hAnsi="宋体" w:eastAsia="宋体" w:cs="宋体"/>
          <w:color w:val="auto"/>
          <w:spacing w:val="-2"/>
          <w:sz w:val="24"/>
          <w:szCs w:val="24"/>
          <w:highlight w:val="none"/>
        </w:rPr>
        <w:t>上传已加盖电子印章投标</w:t>
      </w:r>
      <w:r>
        <w:rPr>
          <w:rFonts w:hint="eastAsia" w:ascii="宋体" w:hAnsi="宋体" w:eastAsia="宋体" w:cs="宋体"/>
          <w:color w:val="auto"/>
          <w:spacing w:val="-1"/>
          <w:sz w:val="24"/>
          <w:szCs w:val="24"/>
          <w:highlight w:val="none"/>
        </w:rPr>
        <w:t>文件，否则将自行承担不利后果）。投标文件完成上传后，投标人应</w:t>
      </w:r>
      <w:r>
        <w:rPr>
          <w:rFonts w:hint="eastAsia" w:ascii="宋体" w:hAnsi="宋体" w:eastAsia="宋体" w:cs="宋体"/>
          <w:color w:val="auto"/>
          <w:spacing w:val="-2"/>
          <w:sz w:val="24"/>
          <w:szCs w:val="24"/>
          <w:highlight w:val="none"/>
        </w:rPr>
        <w:t>使用 CA 数字证</w:t>
      </w:r>
      <w:r>
        <w:rPr>
          <w:rFonts w:hint="eastAsia" w:ascii="宋体" w:hAnsi="宋体" w:eastAsia="宋体" w:cs="宋体"/>
          <w:color w:val="auto"/>
          <w:spacing w:val="-1"/>
          <w:sz w:val="24"/>
          <w:szCs w:val="24"/>
          <w:highlight w:val="none"/>
        </w:rPr>
        <w:t>书对投标文件进行文件加密，形成加密的投标文件并提交标书。</w:t>
      </w:r>
    </w:p>
    <w:p w14:paraId="6868FCA9">
      <w:pPr>
        <w:spacing w:before="115" w:line="286" w:lineRule="auto"/>
        <w:ind w:left="10" w:right="81" w:firstLine="485"/>
        <w:rPr>
          <w:rFonts w:hint="eastAsia" w:ascii="宋体" w:hAnsi="宋体" w:eastAsia="宋体" w:cs="宋体"/>
          <w:color w:val="auto"/>
          <w:highlight w:val="none"/>
        </w:rPr>
      </w:pPr>
      <w:r>
        <w:rPr>
          <w:rFonts w:hint="eastAsia" w:ascii="宋体" w:hAnsi="宋体" w:eastAsia="宋体" w:cs="宋体"/>
          <w:b/>
          <w:bCs/>
          <w:color w:val="auto"/>
          <w:spacing w:val="-4"/>
          <w:sz w:val="24"/>
          <w:szCs w:val="24"/>
          <w:highlight w:val="none"/>
        </w:rPr>
        <w:t>11.2</w:t>
      </w:r>
      <w:r>
        <w:rPr>
          <w:rFonts w:hint="eastAsia" w:ascii="宋体" w:hAnsi="宋体" w:eastAsia="宋体" w:cs="宋体"/>
          <w:b/>
          <w:bCs/>
          <w:color w:val="auto"/>
          <w:spacing w:val="19"/>
          <w:sz w:val="24"/>
          <w:szCs w:val="24"/>
          <w:highlight w:val="none"/>
        </w:rPr>
        <w:t xml:space="preserve">  </w:t>
      </w:r>
      <w:r>
        <w:rPr>
          <w:rFonts w:hint="eastAsia" w:ascii="宋体" w:hAnsi="宋体" w:eastAsia="宋体" w:cs="宋体"/>
          <w:color w:val="auto"/>
          <w:spacing w:val="-4"/>
          <w:sz w:val="24"/>
          <w:szCs w:val="24"/>
          <w:highlight w:val="none"/>
        </w:rPr>
        <w:t>电子投标文件的修改、撤回：在提交投标文件截止时间前，投标人可</w:t>
      </w:r>
      <w:r>
        <w:rPr>
          <w:rFonts w:hint="eastAsia" w:ascii="宋体" w:hAnsi="宋体" w:eastAsia="宋体" w:cs="宋体"/>
          <w:color w:val="auto"/>
          <w:spacing w:val="-5"/>
          <w:sz w:val="24"/>
          <w:szCs w:val="24"/>
          <w:highlight w:val="none"/>
        </w:rPr>
        <w:t>以修改</w:t>
      </w:r>
      <w:r>
        <w:rPr>
          <w:rFonts w:hint="eastAsia" w:ascii="宋体" w:hAnsi="宋体" w:eastAsia="宋体" w:cs="宋体"/>
          <w:color w:val="auto"/>
          <w:spacing w:val="-1"/>
          <w:sz w:val="24"/>
          <w:szCs w:val="24"/>
          <w:highlight w:val="none"/>
        </w:rPr>
        <w:t>或撤回未解密的电子投标文件，并于提交投标文件截止时间</w:t>
      </w:r>
      <w:r>
        <w:rPr>
          <w:rFonts w:hint="eastAsia" w:ascii="宋体" w:hAnsi="宋体" w:eastAsia="宋体" w:cs="宋体"/>
          <w:color w:val="auto"/>
          <w:spacing w:val="-2"/>
          <w:sz w:val="24"/>
          <w:szCs w:val="24"/>
          <w:highlight w:val="none"/>
        </w:rPr>
        <w:t>前将重新上传修改后的电</w:t>
      </w:r>
      <w:r>
        <w:rPr>
          <w:rFonts w:hint="eastAsia" w:ascii="宋体" w:hAnsi="宋体" w:eastAsia="宋体" w:cs="宋体"/>
          <w:color w:val="auto"/>
          <w:spacing w:val="-1"/>
          <w:sz w:val="24"/>
          <w:szCs w:val="24"/>
          <w:highlight w:val="none"/>
        </w:rPr>
        <w:t>子投标文件至系统，到达投标文件提交截止时间后投标人不</w:t>
      </w:r>
      <w:r>
        <w:rPr>
          <w:rFonts w:hint="eastAsia" w:ascii="宋体" w:hAnsi="宋体" w:eastAsia="宋体" w:cs="宋体"/>
          <w:color w:val="auto"/>
          <w:spacing w:val="-2"/>
          <w:sz w:val="24"/>
          <w:szCs w:val="24"/>
          <w:highlight w:val="none"/>
        </w:rPr>
        <w:t>得撤回、补充、修改和更换投标文件。</w:t>
      </w:r>
    </w:p>
    <w:p w14:paraId="1F5F4AB1">
      <w:pPr>
        <w:numPr>
          <w:ilvl w:val="0"/>
          <w:numId w:val="0"/>
        </w:numPr>
        <w:spacing w:before="78" w:line="220" w:lineRule="auto"/>
        <w:ind w:firstLine="446" w:firstLineChars="200"/>
        <w:outlineLvl w:val="2"/>
        <w:rPr>
          <w:rFonts w:hint="eastAsia" w:ascii="宋体" w:hAnsi="宋体" w:eastAsia="宋体" w:cs="宋体"/>
          <w:b/>
          <w:bCs/>
          <w:color w:val="auto"/>
          <w:spacing w:val="-4"/>
          <w:sz w:val="24"/>
          <w:szCs w:val="24"/>
          <w:highlight w:val="none"/>
        </w:rPr>
      </w:pPr>
      <w:bookmarkStart w:id="57" w:name="_Toc5126"/>
      <w:r>
        <w:rPr>
          <w:rFonts w:hint="eastAsia" w:ascii="宋体" w:hAnsi="宋体" w:eastAsia="宋体" w:cs="宋体"/>
          <w:b/>
          <w:bCs/>
          <w:color w:val="auto"/>
          <w:spacing w:val="-9"/>
          <w:sz w:val="24"/>
          <w:szCs w:val="24"/>
          <w:highlight w:val="none"/>
          <w:lang w:val="en-US" w:eastAsia="zh-CN"/>
        </w:rPr>
        <w:t>12.</w:t>
      </w:r>
      <w:r>
        <w:rPr>
          <w:rFonts w:hint="eastAsia" w:ascii="宋体" w:hAnsi="宋体" w:eastAsia="宋体" w:cs="宋体"/>
          <w:b/>
          <w:bCs/>
          <w:color w:val="auto"/>
          <w:spacing w:val="22"/>
          <w:w w:val="101"/>
          <w:sz w:val="24"/>
          <w:szCs w:val="24"/>
          <w:highlight w:val="none"/>
        </w:rPr>
        <w:t xml:space="preserve"> </w:t>
      </w:r>
      <w:bookmarkStart w:id="58" w:name="_Toc29834"/>
      <w:r>
        <w:rPr>
          <w:rFonts w:hint="eastAsia" w:ascii="宋体" w:hAnsi="宋体" w:eastAsia="宋体" w:cs="宋体"/>
          <w:b/>
          <w:bCs/>
          <w:color w:val="auto"/>
          <w:spacing w:val="-4"/>
          <w:sz w:val="24"/>
          <w:szCs w:val="24"/>
          <w:highlight w:val="none"/>
        </w:rPr>
        <w:t>电子投标及投标解密失败及突发情况的补救方案</w:t>
      </w:r>
      <w:bookmarkEnd w:id="57"/>
      <w:bookmarkEnd w:id="58"/>
    </w:p>
    <w:p w14:paraId="6462F20A">
      <w:pPr>
        <w:keepNext w:val="0"/>
        <w:keepLines w:val="0"/>
        <w:pageBreakBefore w:val="0"/>
        <w:widowControl/>
        <w:kinsoku w:val="0"/>
        <w:wordWrap/>
        <w:overflowPunct/>
        <w:topLinePunct w:val="0"/>
        <w:autoSpaceDE w:val="0"/>
        <w:autoSpaceDN w:val="0"/>
        <w:bidi w:val="0"/>
        <w:adjustRightInd w:val="0"/>
        <w:snapToGrid w:val="0"/>
        <w:spacing w:before="78" w:line="360" w:lineRule="auto"/>
        <w:ind w:firstLine="478"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12.1 </w:t>
      </w:r>
      <w:r>
        <w:rPr>
          <w:rFonts w:hint="eastAsia" w:ascii="宋体" w:hAnsi="宋体" w:eastAsia="宋体" w:cs="宋体"/>
          <w:color w:val="auto"/>
          <w:spacing w:val="-1"/>
          <w:sz w:val="24"/>
          <w:szCs w:val="24"/>
          <w:highlight w:val="none"/>
        </w:rPr>
        <w:t>按照交易平台关于全流程电子化项目的相</w:t>
      </w:r>
      <w:r>
        <w:rPr>
          <w:rFonts w:hint="eastAsia" w:ascii="宋体" w:hAnsi="宋体" w:eastAsia="宋体" w:cs="宋体"/>
          <w:color w:val="auto"/>
          <w:spacing w:val="-2"/>
          <w:sz w:val="24"/>
          <w:szCs w:val="24"/>
          <w:highlight w:val="none"/>
        </w:rPr>
        <w:t>关指南进行操作。详见：全国公共</w:t>
      </w:r>
      <w:r>
        <w:rPr>
          <w:rFonts w:hint="eastAsia" w:ascii="宋体" w:hAnsi="宋体" w:eastAsia="宋体" w:cs="宋体"/>
          <w:color w:val="auto"/>
          <w:spacing w:val="-1"/>
          <w:sz w:val="24"/>
          <w:szCs w:val="24"/>
          <w:highlight w:val="none"/>
        </w:rPr>
        <w:t>资源交易平台（广东省</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1"/>
          <w:sz w:val="24"/>
          <w:szCs w:val="24"/>
          <w:highlight w:val="none"/>
        </w:rPr>
        <w:t>·韶关市</w:t>
      </w:r>
      <w:r>
        <w:rPr>
          <w:rFonts w:hint="eastAsia" w:ascii="宋体" w:hAnsi="宋体" w:eastAsia="宋体" w:cs="宋体"/>
          <w:color w:val="auto"/>
          <w:spacing w:val="-26"/>
          <w:sz w:val="24"/>
          <w:szCs w:val="24"/>
          <w:highlight w:val="none"/>
        </w:rPr>
        <w:t>）（</w:t>
      </w:r>
      <w:r>
        <w:rPr>
          <w:rFonts w:hint="eastAsia" w:ascii="宋体" w:hAnsi="宋体" w:eastAsia="宋体" w:cs="宋体"/>
          <w:color w:val="auto"/>
          <w:spacing w:val="-1"/>
          <w:sz w:val="24"/>
          <w:szCs w:val="24"/>
          <w:highlight w:val="none"/>
        </w:rPr>
        <w:t>https://y</w:t>
      </w:r>
      <w:r>
        <w:rPr>
          <w:rFonts w:hint="eastAsia" w:ascii="宋体" w:hAnsi="宋体" w:eastAsia="宋体" w:cs="宋体"/>
          <w:color w:val="auto"/>
          <w:spacing w:val="-2"/>
          <w:sz w:val="24"/>
          <w:szCs w:val="24"/>
          <w:highlight w:val="none"/>
        </w:rPr>
        <w:t>gp.gdzwfw.gov.cn/ggzy-portal/#/44</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0200/index）服务指南栏目发布的最新版操作指引。</w:t>
      </w:r>
    </w:p>
    <w:p w14:paraId="5443024B">
      <w:pPr>
        <w:spacing w:before="113" w:line="220" w:lineRule="auto"/>
        <w:ind w:left="49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12.2  </w:t>
      </w:r>
      <w:r>
        <w:rPr>
          <w:rFonts w:hint="eastAsia" w:ascii="宋体" w:hAnsi="宋体" w:eastAsia="宋体" w:cs="宋体"/>
          <w:color w:val="auto"/>
          <w:spacing w:val="-2"/>
          <w:sz w:val="24"/>
          <w:szCs w:val="24"/>
          <w:highlight w:val="none"/>
        </w:rPr>
        <w:t>补救方案：</w:t>
      </w:r>
    </w:p>
    <w:p w14:paraId="67019C1A">
      <w:pPr>
        <w:spacing w:before="115" w:line="220" w:lineRule="auto"/>
        <w:ind w:left="496"/>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12.2.1  </w:t>
      </w:r>
      <w:r>
        <w:rPr>
          <w:rFonts w:hint="eastAsia" w:ascii="宋体" w:hAnsi="宋体" w:eastAsia="宋体" w:cs="宋体"/>
          <w:color w:val="auto"/>
          <w:spacing w:val="-1"/>
          <w:sz w:val="24"/>
          <w:szCs w:val="24"/>
          <w:highlight w:val="none"/>
        </w:rPr>
        <w:t>投标文件解密失败的补救方案：</w:t>
      </w:r>
    </w:p>
    <w:p w14:paraId="1EDCE6E7">
      <w:pPr>
        <w:spacing w:before="115" w:line="298" w:lineRule="auto"/>
        <w:ind w:right="81" w:firstLine="488"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在规定时间内，因投标人之外原因(指网络瘫痪、服务器损坏、交易系统故障短期无法恢复)等导致的电子投标文件解密失败，在开标现场解密环节由代理授权后，</w:t>
      </w:r>
      <w:r>
        <w:rPr>
          <w:rFonts w:hint="eastAsia" w:ascii="宋体" w:hAnsi="宋体" w:eastAsia="宋体" w:cs="宋体"/>
          <w:color w:val="auto"/>
          <w:spacing w:val="1"/>
          <w:sz w:val="24"/>
          <w:szCs w:val="24"/>
          <w:highlight w:val="none"/>
        </w:rPr>
        <w:t>解密失败投标人可在建设工程交易系统在规定时间（代理机构授权后</w:t>
      </w:r>
      <w:r>
        <w:rPr>
          <w:rFonts w:hint="eastAsia" w:ascii="宋体" w:hAnsi="宋体" w:eastAsia="宋体" w:cs="宋体"/>
          <w:color w:val="auto"/>
          <w:spacing w:val="-40"/>
          <w:sz w:val="24"/>
          <w:szCs w:val="24"/>
          <w:highlight w:val="none"/>
        </w:rPr>
        <w:t xml:space="preserve"> </w:t>
      </w:r>
      <w:r>
        <w:rPr>
          <w:rFonts w:hint="eastAsia" w:ascii="宋体" w:hAnsi="宋体" w:eastAsia="宋体" w:cs="宋体"/>
          <w:color w:val="auto"/>
          <w:spacing w:val="1"/>
          <w:sz w:val="24"/>
          <w:szCs w:val="24"/>
          <w:highlight w:val="none"/>
        </w:rPr>
        <w:t>30</w:t>
      </w:r>
      <w:r>
        <w:rPr>
          <w:rFonts w:hint="eastAsia" w:ascii="宋体" w:hAnsi="宋体" w:eastAsia="宋体" w:cs="宋体"/>
          <w:color w:val="auto"/>
          <w:spacing w:val="-43"/>
          <w:sz w:val="24"/>
          <w:szCs w:val="24"/>
          <w:highlight w:val="none"/>
        </w:rPr>
        <w:t xml:space="preserve"> </w:t>
      </w:r>
      <w:r>
        <w:rPr>
          <w:rFonts w:hint="eastAsia" w:ascii="宋体" w:hAnsi="宋体" w:eastAsia="宋体" w:cs="宋体"/>
          <w:color w:val="auto"/>
          <w:spacing w:val="1"/>
          <w:sz w:val="24"/>
          <w:szCs w:val="24"/>
          <w:highlight w:val="none"/>
        </w:rPr>
        <w:t>分钟内）内</w:t>
      </w:r>
      <w:bookmarkStart w:id="59" w:name="bookmark122"/>
      <w:bookmarkEnd w:id="59"/>
      <w:r>
        <w:rPr>
          <w:rFonts w:hint="eastAsia" w:ascii="宋体" w:hAnsi="宋体" w:eastAsia="宋体" w:cs="宋体"/>
          <w:color w:val="auto"/>
          <w:spacing w:val="-1"/>
          <w:sz w:val="24"/>
          <w:szCs w:val="24"/>
          <w:highlight w:val="none"/>
        </w:rPr>
        <w:t>重新提交投标文件继续开标程序。</w:t>
      </w:r>
    </w:p>
    <w:p w14:paraId="6A128606">
      <w:pPr>
        <w:spacing w:before="114" w:line="220" w:lineRule="auto"/>
        <w:ind w:left="496"/>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12.2.2  </w:t>
      </w:r>
      <w:r>
        <w:rPr>
          <w:rFonts w:hint="eastAsia" w:ascii="宋体" w:hAnsi="宋体" w:eastAsia="宋体" w:cs="宋体"/>
          <w:color w:val="auto"/>
          <w:spacing w:val="-1"/>
          <w:sz w:val="24"/>
          <w:szCs w:val="24"/>
          <w:highlight w:val="none"/>
        </w:rPr>
        <w:t>评标时突发情况的补救方案</w:t>
      </w:r>
    </w:p>
    <w:p w14:paraId="389EEFFD">
      <w:pPr>
        <w:spacing w:before="114" w:line="303" w:lineRule="auto"/>
        <w:ind w:right="81" w:firstLine="476"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在评标过程中，因主场或副场网络故障、电子设备或者</w:t>
      </w:r>
      <w:r>
        <w:rPr>
          <w:rFonts w:hint="eastAsia" w:ascii="宋体" w:hAnsi="宋体" w:eastAsia="宋体" w:cs="宋体"/>
          <w:color w:val="auto"/>
          <w:spacing w:val="-2"/>
          <w:sz w:val="24"/>
          <w:szCs w:val="24"/>
          <w:highlight w:val="none"/>
        </w:rPr>
        <w:t>评标系统故障，以及其他</w:t>
      </w:r>
      <w:r>
        <w:rPr>
          <w:rFonts w:hint="eastAsia" w:ascii="宋体" w:hAnsi="宋体" w:eastAsia="宋体" w:cs="宋体"/>
          <w:color w:val="auto"/>
          <w:spacing w:val="-3"/>
          <w:sz w:val="24"/>
          <w:szCs w:val="24"/>
          <w:highlight w:val="none"/>
        </w:rPr>
        <w:t>原因导致无法继续进行评标时，在</w:t>
      </w:r>
      <w:r>
        <w:rPr>
          <w:rFonts w:hint="eastAsia" w:ascii="宋体" w:hAnsi="宋体" w:eastAsia="宋体" w:cs="宋体"/>
          <w:color w:val="auto"/>
          <w:spacing w:val="-37"/>
          <w:sz w:val="24"/>
          <w:szCs w:val="24"/>
          <w:highlight w:val="none"/>
        </w:rPr>
        <w:t xml:space="preserve"> </w:t>
      </w:r>
      <w:r>
        <w:rPr>
          <w:rFonts w:hint="eastAsia" w:ascii="宋体" w:hAnsi="宋体" w:eastAsia="宋体" w:cs="宋体"/>
          <w:color w:val="auto"/>
          <w:spacing w:val="-3"/>
          <w:sz w:val="24"/>
          <w:szCs w:val="24"/>
          <w:highlight w:val="none"/>
        </w:rPr>
        <w:t>4</w:t>
      </w:r>
      <w:r>
        <w:rPr>
          <w:rFonts w:hint="eastAsia" w:ascii="宋体" w:hAnsi="宋体" w:eastAsia="宋体" w:cs="宋体"/>
          <w:color w:val="auto"/>
          <w:spacing w:val="-44"/>
          <w:sz w:val="24"/>
          <w:szCs w:val="24"/>
          <w:highlight w:val="none"/>
        </w:rPr>
        <w:t xml:space="preserve"> </w:t>
      </w:r>
      <w:r>
        <w:rPr>
          <w:rFonts w:hint="eastAsia" w:ascii="宋体" w:hAnsi="宋体" w:eastAsia="宋体" w:cs="宋体"/>
          <w:color w:val="auto"/>
          <w:spacing w:val="-3"/>
          <w:sz w:val="24"/>
          <w:szCs w:val="24"/>
          <w:highlight w:val="none"/>
        </w:rPr>
        <w:t>小时以内解除故障的可继续评标，超过</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3"/>
          <w:sz w:val="24"/>
          <w:szCs w:val="24"/>
          <w:highlight w:val="none"/>
        </w:rPr>
        <w:t>4</w:t>
      </w:r>
      <w:r>
        <w:rPr>
          <w:rFonts w:hint="eastAsia" w:ascii="宋体" w:hAnsi="宋体" w:eastAsia="宋体" w:cs="宋体"/>
          <w:color w:val="auto"/>
          <w:spacing w:val="-44"/>
          <w:sz w:val="24"/>
          <w:szCs w:val="24"/>
          <w:highlight w:val="none"/>
        </w:rPr>
        <w:t xml:space="preserve"> </w:t>
      </w:r>
      <w:r>
        <w:rPr>
          <w:rFonts w:hint="eastAsia" w:ascii="宋体" w:hAnsi="宋体" w:eastAsia="宋体" w:cs="宋体"/>
          <w:color w:val="auto"/>
          <w:spacing w:val="-3"/>
          <w:sz w:val="24"/>
          <w:szCs w:val="24"/>
          <w:highlight w:val="none"/>
        </w:rPr>
        <w:t>小时无</w:t>
      </w:r>
      <w:r>
        <w:rPr>
          <w:rFonts w:hint="eastAsia" w:ascii="宋体" w:hAnsi="宋体" w:eastAsia="宋体" w:cs="宋体"/>
          <w:color w:val="auto"/>
          <w:spacing w:val="-1"/>
          <w:sz w:val="24"/>
          <w:szCs w:val="24"/>
          <w:highlight w:val="none"/>
        </w:rPr>
        <w:t>法解除故障的，由招标人确定是否进行评标。如延期评标，</w:t>
      </w:r>
      <w:r>
        <w:rPr>
          <w:rFonts w:hint="eastAsia" w:ascii="宋体" w:hAnsi="宋体" w:eastAsia="宋体" w:cs="宋体"/>
          <w:color w:val="auto"/>
          <w:spacing w:val="-2"/>
          <w:sz w:val="24"/>
          <w:szCs w:val="24"/>
          <w:highlight w:val="none"/>
        </w:rPr>
        <w:t>招标人及参与评标活动的</w:t>
      </w:r>
      <w:r>
        <w:rPr>
          <w:rFonts w:hint="eastAsia" w:ascii="宋体" w:hAnsi="宋体" w:eastAsia="宋体" w:cs="宋体"/>
          <w:color w:val="auto"/>
          <w:spacing w:val="-1"/>
          <w:sz w:val="24"/>
          <w:szCs w:val="24"/>
          <w:highlight w:val="none"/>
        </w:rPr>
        <w:t>各方主体及其有关工作人员应当配合主场、副场做好招投标</w:t>
      </w:r>
      <w:r>
        <w:rPr>
          <w:rFonts w:hint="eastAsia" w:ascii="宋体" w:hAnsi="宋体" w:eastAsia="宋体" w:cs="宋体"/>
          <w:color w:val="auto"/>
          <w:spacing w:val="-2"/>
          <w:sz w:val="24"/>
          <w:szCs w:val="24"/>
          <w:highlight w:val="none"/>
        </w:rPr>
        <w:t>资料的封存和保密工作，</w:t>
      </w:r>
      <w:r>
        <w:rPr>
          <w:rFonts w:hint="eastAsia" w:ascii="宋体" w:hAnsi="宋体" w:eastAsia="宋体" w:cs="宋体"/>
          <w:color w:val="auto"/>
          <w:spacing w:val="-1"/>
          <w:sz w:val="24"/>
          <w:szCs w:val="24"/>
          <w:highlight w:val="none"/>
        </w:rPr>
        <w:t>另行组建评标委员会重新评标。原评标委员会成员应当对评</w:t>
      </w:r>
      <w:r>
        <w:rPr>
          <w:rFonts w:hint="eastAsia" w:ascii="宋体" w:hAnsi="宋体" w:eastAsia="宋体" w:cs="宋体"/>
          <w:color w:val="auto"/>
          <w:spacing w:val="-2"/>
          <w:sz w:val="24"/>
          <w:szCs w:val="24"/>
          <w:highlight w:val="none"/>
        </w:rPr>
        <w:t>标情况保密，不得对外透</w:t>
      </w:r>
      <w:r>
        <w:rPr>
          <w:rFonts w:hint="eastAsia" w:ascii="宋体" w:hAnsi="宋体" w:eastAsia="宋体" w:cs="宋体"/>
          <w:color w:val="auto"/>
          <w:spacing w:val="-1"/>
          <w:sz w:val="24"/>
          <w:szCs w:val="24"/>
          <w:highlight w:val="none"/>
        </w:rPr>
        <w:t>露与评标有关的任何信息与情况。</w:t>
      </w:r>
    </w:p>
    <w:p w14:paraId="432398B9">
      <w:pPr>
        <w:spacing w:before="69" w:line="324" w:lineRule="auto"/>
        <w:ind w:left="11" w:right="81" w:firstLine="484"/>
        <w:rPr>
          <w:rFonts w:hint="eastAsia" w:ascii="宋体" w:hAnsi="宋体" w:eastAsia="宋体" w:cs="宋体"/>
          <w:color w:val="auto"/>
          <w:highlight w:val="none"/>
        </w:rPr>
      </w:pPr>
      <w:r>
        <w:rPr>
          <w:rFonts w:hint="eastAsia" w:ascii="宋体" w:hAnsi="宋体" w:eastAsia="宋体" w:cs="宋体"/>
          <w:b/>
          <w:bCs/>
          <w:color w:val="auto"/>
          <w:spacing w:val="-1"/>
          <w:sz w:val="24"/>
          <w:szCs w:val="24"/>
          <w:highlight w:val="none"/>
        </w:rPr>
        <w:t xml:space="preserve">12.2.3  </w:t>
      </w:r>
      <w:r>
        <w:rPr>
          <w:rFonts w:hint="eastAsia" w:ascii="宋体" w:hAnsi="宋体" w:eastAsia="宋体" w:cs="宋体"/>
          <w:color w:val="auto"/>
          <w:spacing w:val="-1"/>
          <w:sz w:val="24"/>
          <w:szCs w:val="24"/>
          <w:highlight w:val="none"/>
        </w:rPr>
        <w:t>除发生上述情况外，开标评标均以投标人（联合体投标的，由联合体牵头人）通过交易平台网上递交的电子投标文件为准。</w:t>
      </w:r>
    </w:p>
    <w:p w14:paraId="4746E39E">
      <w:pPr>
        <w:spacing w:before="78" w:line="220" w:lineRule="auto"/>
        <w:ind w:left="496"/>
        <w:outlineLvl w:val="2"/>
        <w:rPr>
          <w:rFonts w:hint="eastAsia" w:ascii="宋体" w:hAnsi="宋体" w:eastAsia="宋体" w:cs="宋体"/>
          <w:color w:val="auto"/>
          <w:sz w:val="24"/>
          <w:szCs w:val="24"/>
          <w:highlight w:val="none"/>
        </w:rPr>
      </w:pPr>
      <w:bookmarkStart w:id="60" w:name="_Toc3957"/>
      <w:bookmarkStart w:id="61" w:name="_Toc27195"/>
      <w:r>
        <w:rPr>
          <w:rFonts w:hint="eastAsia" w:ascii="宋体" w:hAnsi="宋体" w:eastAsia="宋体" w:cs="宋体"/>
          <w:b/>
          <w:bCs/>
          <w:color w:val="auto"/>
          <w:spacing w:val="-7"/>
          <w:sz w:val="24"/>
          <w:szCs w:val="24"/>
          <w:highlight w:val="none"/>
        </w:rPr>
        <w:t>13</w:t>
      </w:r>
      <w:r>
        <w:rPr>
          <w:rFonts w:hint="eastAsia" w:ascii="宋体" w:hAnsi="宋体" w:eastAsia="宋体" w:cs="宋体"/>
          <w:b/>
          <w:bCs/>
          <w:color w:val="auto"/>
          <w:spacing w:val="-23"/>
          <w:sz w:val="24"/>
          <w:szCs w:val="24"/>
          <w:highlight w:val="none"/>
        </w:rPr>
        <w:t xml:space="preserve"> </w:t>
      </w:r>
      <w:r>
        <w:rPr>
          <w:rFonts w:hint="eastAsia" w:ascii="宋体" w:hAnsi="宋体" w:eastAsia="宋体" w:cs="宋体"/>
          <w:b/>
          <w:bCs/>
          <w:color w:val="auto"/>
          <w:spacing w:val="-7"/>
          <w:sz w:val="24"/>
          <w:szCs w:val="24"/>
          <w:highlight w:val="none"/>
        </w:rPr>
        <w:t>．投标文件的提交</w:t>
      </w:r>
      <w:bookmarkEnd w:id="60"/>
      <w:bookmarkEnd w:id="61"/>
    </w:p>
    <w:p w14:paraId="63ACB3FA">
      <w:pPr>
        <w:spacing w:before="123" w:line="278" w:lineRule="auto"/>
        <w:ind w:left="13" w:right="81" w:firstLine="482"/>
        <w:rPr>
          <w:rFonts w:hint="eastAsia" w:ascii="宋体" w:hAnsi="宋体" w:eastAsia="宋体" w:cs="宋体"/>
          <w:color w:val="auto"/>
          <w:sz w:val="24"/>
          <w:szCs w:val="24"/>
          <w:highlight w:val="none"/>
        </w:rPr>
      </w:pPr>
      <w:r>
        <w:rPr>
          <w:rFonts w:hint="eastAsia" w:ascii="宋体" w:hAnsi="宋体" w:eastAsia="宋体" w:cs="宋体"/>
          <w:b/>
          <w:bCs/>
          <w:color w:val="auto"/>
          <w:spacing w:val="-11"/>
          <w:sz w:val="24"/>
          <w:szCs w:val="24"/>
          <w:highlight w:val="none"/>
        </w:rPr>
        <w:t xml:space="preserve">13.1  </w:t>
      </w:r>
      <w:r>
        <w:rPr>
          <w:rFonts w:hint="eastAsia" w:ascii="宋体" w:hAnsi="宋体" w:eastAsia="宋体" w:cs="宋体"/>
          <w:color w:val="auto"/>
          <w:spacing w:val="-11"/>
          <w:sz w:val="24"/>
          <w:szCs w:val="24"/>
          <w:highlight w:val="none"/>
        </w:rPr>
        <w:t>在投标文件提交截止时间前，投标人通过全国公共资源交易平台（</w:t>
      </w:r>
      <w:r>
        <w:rPr>
          <w:rFonts w:hint="eastAsia" w:ascii="宋体" w:hAnsi="宋体" w:eastAsia="宋体" w:cs="宋体"/>
          <w:color w:val="auto"/>
          <w:spacing w:val="-12"/>
          <w:sz w:val="24"/>
          <w:szCs w:val="24"/>
          <w:highlight w:val="none"/>
        </w:rPr>
        <w:t>广东省</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12"/>
          <w:sz w:val="24"/>
          <w:szCs w:val="24"/>
          <w:highlight w:val="none"/>
        </w:rPr>
        <w:t>·韶</w:t>
      </w:r>
      <w:r>
        <w:rPr>
          <w:rFonts w:hint="eastAsia" w:ascii="宋体" w:hAnsi="宋体" w:eastAsia="宋体" w:cs="宋体"/>
          <w:color w:val="auto"/>
          <w:spacing w:val="-1"/>
          <w:sz w:val="24"/>
          <w:szCs w:val="24"/>
          <w:highlight w:val="none"/>
        </w:rPr>
        <w:t>关市）提交已加密投标文件。逾期提交的电子投标文</w:t>
      </w:r>
      <w:r>
        <w:rPr>
          <w:rFonts w:hint="eastAsia" w:ascii="宋体" w:hAnsi="宋体" w:eastAsia="宋体" w:cs="宋体"/>
          <w:color w:val="auto"/>
          <w:spacing w:val="-2"/>
          <w:sz w:val="24"/>
          <w:szCs w:val="24"/>
          <w:highlight w:val="none"/>
        </w:rPr>
        <w:t>件，全国公共资源交易平台（广</w:t>
      </w:r>
      <w:r>
        <w:rPr>
          <w:rFonts w:hint="eastAsia" w:ascii="宋体" w:hAnsi="宋体" w:eastAsia="宋体" w:cs="宋体"/>
          <w:color w:val="auto"/>
          <w:spacing w:val="-9"/>
          <w:sz w:val="24"/>
          <w:szCs w:val="24"/>
          <w:highlight w:val="none"/>
        </w:rPr>
        <w:t>东省</w:t>
      </w:r>
      <w:r>
        <w:rPr>
          <w:rFonts w:hint="eastAsia" w:ascii="宋体" w:hAnsi="宋体" w:eastAsia="宋体" w:cs="宋体"/>
          <w:color w:val="auto"/>
          <w:spacing w:val="-18"/>
          <w:sz w:val="24"/>
          <w:szCs w:val="24"/>
          <w:highlight w:val="none"/>
        </w:rPr>
        <w:t xml:space="preserve"> </w:t>
      </w:r>
      <w:r>
        <w:rPr>
          <w:rFonts w:hint="eastAsia" w:ascii="宋体" w:hAnsi="宋体" w:eastAsia="宋体" w:cs="宋体"/>
          <w:color w:val="auto"/>
          <w:spacing w:val="-9"/>
          <w:sz w:val="24"/>
          <w:szCs w:val="24"/>
          <w:highlight w:val="none"/>
        </w:rPr>
        <w:t>·韶关市）将予以拒收。</w:t>
      </w:r>
    </w:p>
    <w:p w14:paraId="6051D660">
      <w:pPr>
        <w:spacing w:before="115" w:line="219" w:lineRule="auto"/>
        <w:ind w:left="49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13.2  </w:t>
      </w:r>
      <w:r>
        <w:rPr>
          <w:rFonts w:hint="eastAsia" w:ascii="宋体" w:hAnsi="宋体" w:eastAsia="宋体" w:cs="宋体"/>
          <w:color w:val="auto"/>
          <w:spacing w:val="2"/>
          <w:sz w:val="24"/>
          <w:szCs w:val="24"/>
          <w:highlight w:val="none"/>
        </w:rPr>
        <w:t>提交时间和地点：见本章第二节“重要事项时间地点一览表</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w:t>
      </w:r>
    </w:p>
    <w:p w14:paraId="00486459">
      <w:pPr>
        <w:spacing w:before="113" w:line="279" w:lineRule="auto"/>
        <w:ind w:left="9" w:right="24" w:firstLine="486"/>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13.3  </w:t>
      </w:r>
      <w:r>
        <w:rPr>
          <w:rFonts w:hint="eastAsia" w:ascii="宋体" w:hAnsi="宋体" w:eastAsia="宋体" w:cs="宋体"/>
          <w:color w:val="auto"/>
          <w:spacing w:val="-1"/>
          <w:sz w:val="24"/>
          <w:szCs w:val="24"/>
          <w:highlight w:val="none"/>
        </w:rPr>
        <w:t>递交时间和地点：投标人如有招标</w:t>
      </w:r>
      <w:r>
        <w:rPr>
          <w:rFonts w:hint="eastAsia" w:ascii="宋体" w:hAnsi="宋体" w:eastAsia="宋体" w:cs="宋体"/>
          <w:color w:val="auto"/>
          <w:spacing w:val="-2"/>
          <w:sz w:val="24"/>
          <w:szCs w:val="24"/>
          <w:highlight w:val="none"/>
        </w:rPr>
        <w:t>文件要求提交的用于评审的证书、证件、证明原件（附一式两份清单</w:t>
      </w:r>
      <w:r>
        <w:rPr>
          <w:rFonts w:hint="eastAsia" w:ascii="宋体" w:hAnsi="宋体" w:eastAsia="宋体" w:cs="宋体"/>
          <w:color w:val="auto"/>
          <w:spacing w:val="11"/>
          <w:sz w:val="24"/>
          <w:szCs w:val="24"/>
          <w:highlight w:val="none"/>
        </w:rPr>
        <w:t>），</w:t>
      </w:r>
      <w:r>
        <w:rPr>
          <w:rFonts w:hint="eastAsia" w:ascii="宋体" w:hAnsi="宋体" w:eastAsia="宋体" w:cs="宋体"/>
          <w:color w:val="auto"/>
          <w:spacing w:val="-2"/>
          <w:sz w:val="24"/>
          <w:szCs w:val="24"/>
          <w:highlight w:val="none"/>
        </w:rPr>
        <w:t>由投标人法定代表人或其委托代理人在指定的时间和</w:t>
      </w:r>
      <w:r>
        <w:rPr>
          <w:rFonts w:hint="eastAsia" w:ascii="宋体" w:hAnsi="宋体" w:eastAsia="宋体" w:cs="宋体"/>
          <w:color w:val="auto"/>
          <w:spacing w:val="-1"/>
          <w:sz w:val="24"/>
          <w:szCs w:val="24"/>
          <w:highlight w:val="none"/>
        </w:rPr>
        <w:t>地点递交（见“重要事项时间地点一览表</w:t>
      </w:r>
      <w:r>
        <w:rPr>
          <w:rFonts w:hint="eastAsia" w:ascii="宋体" w:hAnsi="宋体" w:eastAsia="宋体" w:cs="宋体"/>
          <w:color w:val="auto"/>
          <w:spacing w:val="-77"/>
          <w:sz w:val="24"/>
          <w:szCs w:val="24"/>
          <w:highlight w:val="none"/>
        </w:rPr>
        <w:t xml:space="preserve"> </w:t>
      </w:r>
      <w:r>
        <w:rPr>
          <w:rFonts w:hint="eastAsia" w:ascii="宋体" w:hAnsi="宋体" w:eastAsia="宋体" w:cs="宋体"/>
          <w:color w:val="auto"/>
          <w:spacing w:val="-1"/>
          <w:sz w:val="24"/>
          <w:szCs w:val="24"/>
          <w:highlight w:val="none"/>
        </w:rPr>
        <w:t>”</w:t>
      </w:r>
      <w:r>
        <w:rPr>
          <w:rFonts w:hint="eastAsia" w:ascii="宋体" w:hAnsi="宋体" w:eastAsia="宋体" w:cs="宋体"/>
          <w:color w:val="auto"/>
          <w:spacing w:val="-2"/>
          <w:sz w:val="24"/>
          <w:szCs w:val="24"/>
          <w:highlight w:val="none"/>
        </w:rPr>
        <w:t>）。</w:t>
      </w:r>
    </w:p>
    <w:p w14:paraId="3B37374D">
      <w:pPr>
        <w:spacing w:before="112" w:line="219" w:lineRule="auto"/>
        <w:ind w:firstLine="478" w:firstLineChars="200"/>
        <w:jc w:val="both"/>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13.4  </w:t>
      </w:r>
      <w:r>
        <w:rPr>
          <w:rFonts w:hint="eastAsia" w:ascii="宋体" w:hAnsi="宋体" w:eastAsia="宋体" w:cs="宋体"/>
          <w:color w:val="auto"/>
          <w:spacing w:val="-1"/>
          <w:sz w:val="24"/>
          <w:szCs w:val="24"/>
          <w:highlight w:val="none"/>
        </w:rPr>
        <w:t>代理机构对因不可抗力事件造成的投</w:t>
      </w:r>
      <w:r>
        <w:rPr>
          <w:rFonts w:hint="eastAsia" w:ascii="宋体" w:hAnsi="宋体" w:eastAsia="宋体" w:cs="宋体"/>
          <w:color w:val="auto"/>
          <w:spacing w:val="-2"/>
          <w:sz w:val="24"/>
          <w:szCs w:val="24"/>
          <w:highlight w:val="none"/>
        </w:rPr>
        <w:t>标文件的损坏、丢失的，不承担责任。</w:t>
      </w:r>
    </w:p>
    <w:p w14:paraId="4AB75F24">
      <w:pPr>
        <w:spacing w:before="116" w:line="220" w:lineRule="auto"/>
        <w:ind w:left="496"/>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13.5</w:t>
      </w:r>
      <w:r>
        <w:rPr>
          <w:rFonts w:hint="eastAsia" w:ascii="宋体" w:hAnsi="宋体" w:eastAsia="宋体" w:cs="宋体"/>
          <w:b/>
          <w:bCs/>
          <w:color w:val="auto"/>
          <w:spacing w:val="15"/>
          <w:sz w:val="24"/>
          <w:szCs w:val="24"/>
          <w:highlight w:val="none"/>
        </w:rPr>
        <w:t xml:space="preserve">  </w:t>
      </w:r>
      <w:r>
        <w:rPr>
          <w:rFonts w:hint="eastAsia" w:ascii="宋体" w:hAnsi="宋体" w:eastAsia="宋体" w:cs="宋体"/>
          <w:color w:val="auto"/>
          <w:spacing w:val="-1"/>
          <w:sz w:val="24"/>
          <w:szCs w:val="24"/>
          <w:highlight w:val="none"/>
        </w:rPr>
        <w:t>出现下述情形之一，属于未成功提</w:t>
      </w:r>
      <w:r>
        <w:rPr>
          <w:rFonts w:hint="eastAsia" w:ascii="宋体" w:hAnsi="宋体" w:eastAsia="宋体" w:cs="宋体"/>
          <w:color w:val="auto"/>
          <w:spacing w:val="-2"/>
          <w:sz w:val="24"/>
          <w:szCs w:val="24"/>
          <w:highlight w:val="none"/>
        </w:rPr>
        <w:t>交投标文件，按无效投标处理：</w:t>
      </w:r>
    </w:p>
    <w:p w14:paraId="7078EE47">
      <w:pPr>
        <w:spacing w:before="115" w:line="219" w:lineRule="auto"/>
        <w:ind w:left="74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（1）至提交投标文件截止时，投标文件未完整上传及提交标书；</w:t>
      </w:r>
    </w:p>
    <w:p w14:paraId="182F51BA">
      <w:pPr>
        <w:spacing w:before="114" w:line="220" w:lineRule="auto"/>
        <w:ind w:left="74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（2）解密失败且在规定时间内未重新提交投标文件的；</w:t>
      </w:r>
    </w:p>
    <w:p w14:paraId="42D26110">
      <w:pPr>
        <w:spacing w:before="115" w:line="220" w:lineRule="auto"/>
        <w:ind w:left="74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（3）投标文件损坏或格式不正确的；</w:t>
      </w:r>
    </w:p>
    <w:p w14:paraId="375241E2">
      <w:pPr>
        <w:spacing w:before="115" w:line="219" w:lineRule="auto"/>
        <w:ind w:left="496"/>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13.6  </w:t>
      </w:r>
      <w:r>
        <w:rPr>
          <w:rFonts w:hint="eastAsia" w:ascii="宋体" w:hAnsi="宋体" w:eastAsia="宋体" w:cs="宋体"/>
          <w:color w:val="auto"/>
          <w:spacing w:val="-1"/>
          <w:sz w:val="24"/>
          <w:szCs w:val="24"/>
          <w:highlight w:val="none"/>
        </w:rPr>
        <w:t>联合体投标的，由联合体牵头人按以上要求递交相关资料。</w:t>
      </w:r>
    </w:p>
    <w:p w14:paraId="3A0B8A8C">
      <w:pPr>
        <w:spacing w:before="113" w:line="279" w:lineRule="auto"/>
        <w:ind w:left="9" w:right="24" w:firstLine="486"/>
        <w:rPr>
          <w:rFonts w:hint="eastAsia" w:ascii="宋体" w:hAnsi="宋体" w:eastAsia="宋体" w:cs="宋体"/>
          <w:color w:val="auto"/>
          <w:spacing w:val="-2"/>
          <w:sz w:val="24"/>
          <w:szCs w:val="24"/>
          <w:highlight w:val="none"/>
        </w:rPr>
      </w:pPr>
      <w:r>
        <w:rPr>
          <w:rFonts w:hint="eastAsia" w:ascii="宋体" w:hAnsi="宋体" w:eastAsia="宋体" w:cs="宋体"/>
          <w:b/>
          <w:bCs/>
          <w:color w:val="auto"/>
          <w:spacing w:val="-2"/>
          <w:sz w:val="24"/>
          <w:szCs w:val="24"/>
          <w:highlight w:val="none"/>
        </w:rPr>
        <w:t xml:space="preserve">13.7  </w:t>
      </w:r>
      <w:r>
        <w:rPr>
          <w:rFonts w:hint="eastAsia" w:ascii="宋体" w:hAnsi="宋体" w:eastAsia="宋体" w:cs="宋体"/>
          <w:color w:val="auto"/>
          <w:spacing w:val="-2"/>
          <w:sz w:val="24"/>
          <w:szCs w:val="24"/>
          <w:highlight w:val="none"/>
        </w:rPr>
        <w:t>招标人或其授权的招标代理机构核对、接收投标人递交的投标相关资料后，</w:t>
      </w:r>
      <w:r>
        <w:rPr>
          <w:rFonts w:hint="eastAsia" w:ascii="宋体" w:hAnsi="宋体" w:eastAsia="宋体" w:cs="宋体"/>
          <w:color w:val="auto"/>
          <w:spacing w:val="-1"/>
          <w:sz w:val="24"/>
          <w:szCs w:val="24"/>
          <w:highlight w:val="none"/>
        </w:rPr>
        <w:t>应向投标人出具标明签收</w:t>
      </w:r>
      <w:r>
        <w:rPr>
          <w:rFonts w:hint="eastAsia" w:ascii="宋体" w:hAnsi="宋体" w:eastAsia="宋体" w:cs="宋体"/>
          <w:color w:val="auto"/>
          <w:spacing w:val="-2"/>
          <w:sz w:val="24"/>
          <w:szCs w:val="24"/>
          <w:highlight w:val="none"/>
        </w:rPr>
        <w:t>人和签收时间的凭证，并妥善保管。</w:t>
      </w:r>
    </w:p>
    <w:p w14:paraId="4E2CDC3E">
      <w:pPr>
        <w:spacing w:before="113" w:line="279" w:lineRule="auto"/>
        <w:ind w:left="9" w:right="24" w:firstLine="48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13.8 </w:t>
      </w:r>
      <w:r>
        <w:rPr>
          <w:rFonts w:hint="eastAsia" w:ascii="宋体" w:hAnsi="宋体" w:eastAsia="宋体" w:cs="宋体"/>
          <w:color w:val="auto"/>
          <w:spacing w:val="-2"/>
          <w:sz w:val="24"/>
          <w:szCs w:val="24"/>
          <w:highlight w:val="none"/>
        </w:rPr>
        <w:t xml:space="preserve"> 本次招标投标有效期为</w:t>
      </w:r>
      <w:r>
        <w:rPr>
          <w:rFonts w:hint="eastAsia" w:ascii="宋体" w:hAnsi="宋体" w:eastAsia="宋体" w:cs="宋体"/>
          <w:color w:val="auto"/>
          <w:spacing w:val="-2"/>
          <w:sz w:val="24"/>
          <w:szCs w:val="24"/>
          <w:highlight w:val="none"/>
          <w:u w:val="single"/>
          <w:lang w:eastAsia="zh-CN"/>
        </w:rPr>
        <w:t>90</w:t>
      </w:r>
      <w:r>
        <w:rPr>
          <w:rFonts w:hint="eastAsia" w:ascii="宋体" w:hAnsi="宋体" w:eastAsia="宋体" w:cs="宋体"/>
          <w:color w:val="auto"/>
          <w:spacing w:val="-2"/>
          <w:sz w:val="24"/>
          <w:szCs w:val="24"/>
          <w:highlight w:val="none"/>
        </w:rPr>
        <w:t>个日历天，投标有效期从提交投标文件的截止之日起计算。在此期间，投标人不得撤销或修改其</w:t>
      </w:r>
      <w:r>
        <w:rPr>
          <w:rFonts w:hint="eastAsia" w:ascii="宋体" w:hAnsi="宋体" w:eastAsia="宋体" w:cs="宋体"/>
          <w:color w:val="auto"/>
          <w:spacing w:val="-7"/>
          <w:sz w:val="24"/>
          <w:szCs w:val="24"/>
          <w:highlight w:val="none"/>
        </w:rPr>
        <w:t>投标文件，否则其投标保证不予退还。</w:t>
      </w:r>
    </w:p>
    <w:p w14:paraId="2A2F821B">
      <w:pPr>
        <w:spacing w:before="145" w:line="221" w:lineRule="auto"/>
        <w:ind w:left="496"/>
        <w:outlineLvl w:val="2"/>
        <w:rPr>
          <w:rFonts w:hint="eastAsia" w:ascii="宋体" w:hAnsi="宋体" w:eastAsia="宋体" w:cs="宋体"/>
          <w:color w:val="auto"/>
          <w:sz w:val="24"/>
          <w:szCs w:val="24"/>
          <w:highlight w:val="none"/>
        </w:rPr>
      </w:pPr>
      <w:bookmarkStart w:id="62" w:name="_Toc8365"/>
      <w:bookmarkStart w:id="63" w:name="_Toc22047"/>
      <w:r>
        <w:rPr>
          <w:rFonts w:hint="eastAsia" w:ascii="宋体" w:hAnsi="宋体" w:eastAsia="宋体" w:cs="宋体"/>
          <w:b/>
          <w:bCs/>
          <w:color w:val="auto"/>
          <w:spacing w:val="-11"/>
          <w:sz w:val="24"/>
          <w:szCs w:val="24"/>
          <w:highlight w:val="none"/>
        </w:rPr>
        <w:t>14</w:t>
      </w:r>
      <w:r>
        <w:rPr>
          <w:rFonts w:hint="eastAsia" w:ascii="宋体" w:hAnsi="宋体" w:eastAsia="宋体" w:cs="宋体"/>
          <w:b/>
          <w:bCs/>
          <w:color w:val="auto"/>
          <w:spacing w:val="-28"/>
          <w:sz w:val="24"/>
          <w:szCs w:val="24"/>
          <w:highlight w:val="none"/>
        </w:rPr>
        <w:t xml:space="preserve"> </w:t>
      </w:r>
      <w:r>
        <w:rPr>
          <w:rFonts w:hint="eastAsia" w:ascii="宋体" w:hAnsi="宋体" w:eastAsia="宋体" w:cs="宋体"/>
          <w:b/>
          <w:bCs/>
          <w:color w:val="auto"/>
          <w:spacing w:val="-11"/>
          <w:sz w:val="24"/>
          <w:szCs w:val="24"/>
          <w:highlight w:val="none"/>
        </w:rPr>
        <w:t>．开标</w:t>
      </w:r>
      <w:bookmarkEnd w:id="62"/>
      <w:bookmarkEnd w:id="63"/>
    </w:p>
    <w:p w14:paraId="792BE085">
      <w:pPr>
        <w:spacing w:before="155" w:line="329" w:lineRule="auto"/>
        <w:ind w:left="10" w:right="81" w:firstLine="485"/>
        <w:jc w:val="both"/>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14.1  </w:t>
      </w:r>
      <w:r>
        <w:rPr>
          <w:rFonts w:hint="eastAsia" w:ascii="宋体" w:hAnsi="宋体" w:eastAsia="宋体" w:cs="宋体"/>
          <w:color w:val="auto"/>
          <w:spacing w:val="-3"/>
          <w:sz w:val="24"/>
          <w:szCs w:val="24"/>
          <w:highlight w:val="none"/>
        </w:rPr>
        <w:t>招标人邀请所有正确获取招标文件、电子投标、缴纳投标保证的投标人参加</w:t>
      </w:r>
      <w:r>
        <w:rPr>
          <w:rFonts w:hint="eastAsia" w:ascii="宋体" w:hAnsi="宋体" w:eastAsia="宋体" w:cs="宋体"/>
          <w:color w:val="auto"/>
          <w:spacing w:val="-1"/>
          <w:sz w:val="24"/>
          <w:szCs w:val="24"/>
          <w:highlight w:val="none"/>
        </w:rPr>
        <w:t>开标，投标人可自主决定是否参加。投标人可登陆交易平台</w:t>
      </w:r>
      <w:r>
        <w:rPr>
          <w:rFonts w:hint="eastAsia" w:ascii="宋体" w:hAnsi="宋体" w:eastAsia="宋体" w:cs="宋体"/>
          <w:color w:val="auto"/>
          <w:spacing w:val="-2"/>
          <w:sz w:val="24"/>
          <w:szCs w:val="24"/>
          <w:highlight w:val="none"/>
        </w:rPr>
        <w:t>观看开标实况、提出异议</w:t>
      </w:r>
      <w:r>
        <w:rPr>
          <w:rFonts w:hint="eastAsia" w:ascii="宋体" w:hAnsi="宋体" w:eastAsia="宋体" w:cs="宋体"/>
          <w:color w:val="auto"/>
          <w:spacing w:val="-1"/>
          <w:sz w:val="24"/>
          <w:szCs w:val="24"/>
          <w:highlight w:val="none"/>
        </w:rPr>
        <w:t>或进行澄清、确认等操作（具体按招标文件和系统操作手册</w:t>
      </w:r>
      <w:r>
        <w:rPr>
          <w:rFonts w:hint="eastAsia" w:ascii="宋体" w:hAnsi="宋体" w:eastAsia="宋体" w:cs="宋体"/>
          <w:color w:val="auto"/>
          <w:spacing w:val="-2"/>
          <w:sz w:val="24"/>
          <w:szCs w:val="24"/>
          <w:highlight w:val="none"/>
        </w:rPr>
        <w:t>为准）。投标人不参加开</w:t>
      </w:r>
      <w:bookmarkStart w:id="64" w:name="bookmark123"/>
      <w:bookmarkEnd w:id="64"/>
      <w:r>
        <w:rPr>
          <w:rFonts w:hint="eastAsia" w:ascii="宋体" w:hAnsi="宋体" w:eastAsia="宋体" w:cs="宋体"/>
          <w:color w:val="auto"/>
          <w:sz w:val="24"/>
          <w:szCs w:val="24"/>
          <w:highlight w:val="none"/>
        </w:rPr>
        <w:t>标的，视其默认开标结果，以及放弃在开标期间见证、</w:t>
      </w:r>
      <w:r>
        <w:rPr>
          <w:rFonts w:hint="eastAsia" w:ascii="宋体" w:hAnsi="宋体" w:eastAsia="宋体" w:cs="宋体"/>
          <w:color w:val="auto"/>
          <w:spacing w:val="-1"/>
          <w:sz w:val="24"/>
          <w:szCs w:val="24"/>
          <w:highlight w:val="none"/>
        </w:rPr>
        <w:t>监督、投诉、申辩的权利。</w:t>
      </w:r>
    </w:p>
    <w:p w14:paraId="3DC2018F">
      <w:pPr>
        <w:spacing w:before="156" w:line="219" w:lineRule="auto"/>
        <w:ind w:left="496"/>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14.1.1  </w:t>
      </w:r>
      <w:r>
        <w:rPr>
          <w:rFonts w:hint="eastAsia" w:ascii="宋体" w:hAnsi="宋体" w:eastAsia="宋体" w:cs="宋体"/>
          <w:color w:val="auto"/>
          <w:sz w:val="24"/>
          <w:szCs w:val="24"/>
          <w:highlight w:val="none"/>
        </w:rPr>
        <w:t>开标时间和地点：见本章第</w:t>
      </w:r>
      <w:r>
        <w:rPr>
          <w:rFonts w:hint="eastAsia" w:ascii="宋体" w:hAnsi="宋体" w:eastAsia="宋体" w:cs="宋体"/>
          <w:color w:val="auto"/>
          <w:spacing w:val="-1"/>
          <w:sz w:val="24"/>
          <w:szCs w:val="24"/>
          <w:highlight w:val="none"/>
        </w:rPr>
        <w:t>二节“重要事项时间地点一览表</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1"/>
          <w:sz w:val="24"/>
          <w:szCs w:val="24"/>
          <w:highlight w:val="none"/>
        </w:rPr>
        <w:t>”。</w:t>
      </w:r>
    </w:p>
    <w:p w14:paraId="652A2E38">
      <w:pPr>
        <w:keepNext w:val="0"/>
        <w:keepLines w:val="0"/>
        <w:pageBreakBefore w:val="0"/>
        <w:widowControl/>
        <w:kinsoku w:val="0"/>
        <w:wordWrap w:val="0"/>
        <w:overflowPunct/>
        <w:topLinePunct w:val="0"/>
        <w:autoSpaceDE w:val="0"/>
        <w:autoSpaceDN w:val="0"/>
        <w:bidi w:val="0"/>
        <w:adjustRightInd w:val="0"/>
        <w:snapToGrid w:val="0"/>
        <w:spacing w:before="153" w:line="320" w:lineRule="auto"/>
        <w:ind w:left="11" w:firstLine="488"/>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7"/>
          <w:sz w:val="24"/>
          <w:szCs w:val="24"/>
          <w:highlight w:val="none"/>
        </w:rPr>
        <w:t xml:space="preserve">14.1.2 </w:t>
      </w:r>
      <w:r>
        <w:rPr>
          <w:rFonts w:hint="eastAsia" w:ascii="宋体" w:hAnsi="宋体" w:eastAsia="宋体" w:cs="宋体"/>
          <w:color w:val="auto"/>
          <w:spacing w:val="-7"/>
          <w:sz w:val="24"/>
          <w:szCs w:val="24"/>
          <w:highlight w:val="none"/>
        </w:rPr>
        <w:t>开标前</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7"/>
          <w:sz w:val="24"/>
          <w:szCs w:val="24"/>
          <w:highlight w:val="none"/>
        </w:rPr>
        <w:t>24</w:t>
      </w:r>
      <w:r>
        <w:rPr>
          <w:rFonts w:hint="eastAsia" w:ascii="宋体" w:hAnsi="宋体" w:eastAsia="宋体" w:cs="宋体"/>
          <w:color w:val="auto"/>
          <w:spacing w:val="-44"/>
          <w:sz w:val="24"/>
          <w:szCs w:val="24"/>
          <w:highlight w:val="none"/>
        </w:rPr>
        <w:t xml:space="preserve"> </w:t>
      </w:r>
      <w:r>
        <w:rPr>
          <w:rFonts w:hint="eastAsia" w:ascii="宋体" w:hAnsi="宋体" w:eastAsia="宋体" w:cs="宋体"/>
          <w:color w:val="auto"/>
          <w:spacing w:val="-7"/>
          <w:sz w:val="24"/>
          <w:szCs w:val="24"/>
          <w:highlight w:val="none"/>
        </w:rPr>
        <w:t>小时，若建设工程交易系统显示缴</w:t>
      </w:r>
      <w:r>
        <w:rPr>
          <w:rFonts w:hint="eastAsia" w:ascii="宋体" w:hAnsi="宋体" w:eastAsia="宋体" w:cs="宋体"/>
          <w:color w:val="auto"/>
          <w:spacing w:val="-8"/>
          <w:sz w:val="24"/>
          <w:szCs w:val="24"/>
          <w:highlight w:val="none"/>
        </w:rPr>
        <w:t>纳投标保证（包括投标保证金、</w:t>
      </w:r>
      <w:r>
        <w:rPr>
          <w:rFonts w:hint="eastAsia" w:ascii="宋体" w:hAnsi="宋体" w:eastAsia="宋体" w:cs="宋体"/>
          <w:color w:val="auto"/>
          <w:spacing w:val="-2"/>
          <w:sz w:val="24"/>
          <w:szCs w:val="24"/>
          <w:highlight w:val="none"/>
        </w:rPr>
        <w:t>投标保证担保、投标保证保险）的投标人数量不足</w:t>
      </w:r>
      <w:r>
        <w:rPr>
          <w:rFonts w:hint="eastAsia" w:ascii="宋体" w:hAnsi="宋体" w:eastAsia="宋体" w:cs="宋体"/>
          <w:color w:val="auto"/>
          <w:spacing w:val="-42"/>
          <w:sz w:val="24"/>
          <w:szCs w:val="24"/>
          <w:highlight w:val="none"/>
        </w:rPr>
        <w:t xml:space="preserve"> </w:t>
      </w:r>
      <w:r>
        <w:rPr>
          <w:rFonts w:hint="eastAsia" w:ascii="宋体" w:hAnsi="宋体" w:eastAsia="宋体" w:cs="宋体"/>
          <w:color w:val="auto"/>
          <w:spacing w:val="-2"/>
          <w:sz w:val="24"/>
          <w:szCs w:val="24"/>
          <w:highlight w:val="none"/>
        </w:rPr>
        <w:t>3</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2"/>
          <w:sz w:val="24"/>
          <w:szCs w:val="24"/>
          <w:highlight w:val="none"/>
        </w:rPr>
        <w:t>个时，招标人将取消原定于次日</w:t>
      </w:r>
      <w:r>
        <w:rPr>
          <w:rFonts w:hint="eastAsia" w:ascii="宋体" w:hAnsi="宋体" w:eastAsia="宋体" w:cs="宋体"/>
          <w:color w:val="auto"/>
          <w:spacing w:val="-1"/>
          <w:sz w:val="24"/>
          <w:szCs w:val="24"/>
          <w:highlight w:val="none"/>
        </w:rPr>
        <w:t>召开的开标活动。投标人可在投标保证缴纳截止时间（见本章</w:t>
      </w:r>
      <w:r>
        <w:rPr>
          <w:rFonts w:hint="eastAsia" w:ascii="宋体" w:hAnsi="宋体" w:eastAsia="宋体" w:cs="宋体"/>
          <w:color w:val="auto"/>
          <w:spacing w:val="-2"/>
          <w:sz w:val="24"/>
          <w:szCs w:val="24"/>
          <w:highlight w:val="none"/>
        </w:rPr>
        <w:t>第二节“重要事项时间</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地点一览表</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1"/>
          <w:sz w:val="24"/>
          <w:szCs w:val="24"/>
          <w:highlight w:val="none"/>
        </w:rPr>
        <w:t>”）至电子投标截止时间（见本章第二节“重要事项时间地点一览</w:t>
      </w:r>
      <w:r>
        <w:rPr>
          <w:rFonts w:hint="eastAsia" w:ascii="宋体" w:hAnsi="宋体" w:eastAsia="宋体" w:cs="宋体"/>
          <w:color w:val="auto"/>
          <w:spacing w:val="-2"/>
          <w:sz w:val="24"/>
          <w:szCs w:val="24"/>
          <w:highlight w:val="none"/>
        </w:rPr>
        <w:t>表</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2"/>
          <w:sz w:val="24"/>
          <w:szCs w:val="24"/>
          <w:highlight w:val="none"/>
        </w:rPr>
        <w:t>期间登录全国公共资源交易平台（广东省</w:t>
      </w:r>
      <w:r>
        <w:rPr>
          <w:rFonts w:hint="eastAsia" w:ascii="宋体" w:hAnsi="宋体" w:eastAsia="宋体" w:cs="宋体"/>
          <w:color w:val="auto"/>
          <w:spacing w:val="-27"/>
          <w:sz w:val="24"/>
          <w:szCs w:val="24"/>
          <w:highlight w:val="none"/>
        </w:rPr>
        <w:t xml:space="preserve"> </w:t>
      </w:r>
      <w:r>
        <w:rPr>
          <w:rFonts w:hint="eastAsia" w:ascii="宋体" w:hAnsi="宋体" w:eastAsia="宋体" w:cs="宋体"/>
          <w:color w:val="auto"/>
          <w:spacing w:val="-2"/>
          <w:sz w:val="24"/>
          <w:szCs w:val="24"/>
          <w:highlight w:val="none"/>
        </w:rPr>
        <w:t>·韶关市</w:t>
      </w:r>
      <w:r>
        <w:rPr>
          <w:rFonts w:hint="eastAsia" w:ascii="宋体" w:hAnsi="宋体" w:eastAsia="宋体" w:cs="宋体"/>
          <w:color w:val="auto"/>
          <w:spacing w:val="-22"/>
          <w:sz w:val="24"/>
          <w:szCs w:val="24"/>
          <w:highlight w:val="none"/>
        </w:rPr>
        <w:t>）（</w:t>
      </w:r>
      <w:r>
        <w:rPr>
          <w:rFonts w:hint="eastAsia" w:ascii="宋体" w:hAnsi="宋体" w:eastAsia="宋体" w:cs="宋体"/>
          <w:color w:val="auto"/>
          <w:spacing w:val="-2"/>
          <w:sz w:val="24"/>
          <w:szCs w:val="24"/>
          <w:highlight w:val="none"/>
        </w:rPr>
        <w:t>https://ygp.gdzwfw.gov.cn/</w:t>
      </w:r>
      <w:r>
        <w:rPr>
          <w:rFonts w:hint="eastAsia" w:ascii="宋体" w:hAnsi="宋体" w:eastAsia="宋体" w:cs="宋体"/>
          <w:color w:val="auto"/>
          <w:sz w:val="24"/>
          <w:szCs w:val="24"/>
          <w:highlight w:val="none"/>
        </w:rPr>
        <w:t xml:space="preserve"> ggzy-portal/#/440200/index）查询是否发布了取</w:t>
      </w:r>
      <w:r>
        <w:rPr>
          <w:rFonts w:hint="eastAsia" w:ascii="宋体" w:hAnsi="宋体" w:eastAsia="宋体" w:cs="宋体"/>
          <w:color w:val="auto"/>
          <w:spacing w:val="-1"/>
          <w:sz w:val="24"/>
          <w:szCs w:val="24"/>
          <w:highlight w:val="none"/>
        </w:rPr>
        <w:t>消开标活动的相关信息。</w:t>
      </w:r>
    </w:p>
    <w:p w14:paraId="30562814">
      <w:pPr>
        <w:spacing w:before="159" w:line="319" w:lineRule="auto"/>
        <w:ind w:left="10" w:right="80" w:firstLine="496"/>
        <w:rPr>
          <w:rFonts w:hint="eastAsia" w:ascii="宋体" w:hAnsi="宋体" w:eastAsia="宋体" w:cs="宋体"/>
          <w:color w:val="auto"/>
          <w:sz w:val="24"/>
          <w:szCs w:val="24"/>
          <w:highlight w:val="none"/>
        </w:rPr>
      </w:pPr>
      <w:r>
        <w:rPr>
          <w:rFonts w:hint="eastAsia" w:ascii="宋体" w:hAnsi="宋体" w:eastAsia="宋体" w:cs="宋体"/>
          <w:b/>
          <w:bCs/>
          <w:color w:val="auto"/>
          <w:spacing w:val="-4"/>
          <w:sz w:val="24"/>
          <w:szCs w:val="24"/>
          <w:highlight w:val="none"/>
        </w:rPr>
        <w:t>14.1.3</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4"/>
          <w:sz w:val="24"/>
          <w:szCs w:val="24"/>
          <w:highlight w:val="none"/>
        </w:rPr>
        <w:t>本项目实行全流程电子化招标投标，投标人在交易平台按要求上传加盖电</w:t>
      </w:r>
      <w:r>
        <w:rPr>
          <w:rFonts w:hint="eastAsia" w:ascii="宋体" w:hAnsi="宋体" w:eastAsia="宋体" w:cs="宋体"/>
          <w:color w:val="auto"/>
          <w:spacing w:val="-1"/>
          <w:sz w:val="24"/>
          <w:szCs w:val="24"/>
          <w:highlight w:val="none"/>
        </w:rPr>
        <w:t>子印章并经加密的电子投标文件，并在交易平台录入准确的</w:t>
      </w:r>
      <w:r>
        <w:rPr>
          <w:rFonts w:hint="eastAsia" w:ascii="宋体" w:hAnsi="宋体" w:eastAsia="宋体" w:cs="宋体"/>
          <w:color w:val="auto"/>
          <w:spacing w:val="-2"/>
          <w:sz w:val="24"/>
          <w:szCs w:val="24"/>
          <w:highlight w:val="none"/>
        </w:rPr>
        <w:t>页码信息即可完成在线投</w:t>
      </w:r>
      <w:r>
        <w:rPr>
          <w:rFonts w:hint="eastAsia" w:ascii="宋体" w:hAnsi="宋体" w:eastAsia="宋体" w:cs="宋体"/>
          <w:color w:val="auto"/>
          <w:spacing w:val="-1"/>
          <w:sz w:val="24"/>
          <w:szCs w:val="24"/>
          <w:highlight w:val="none"/>
        </w:rPr>
        <w:t>标</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由于投标人原因导致未按投标截至时限上传完整投标文</w:t>
      </w:r>
      <w:r>
        <w:rPr>
          <w:rFonts w:hint="eastAsia" w:ascii="宋体" w:hAnsi="宋体" w:eastAsia="宋体" w:cs="宋体"/>
          <w:color w:val="auto"/>
          <w:spacing w:val="-2"/>
          <w:sz w:val="24"/>
          <w:szCs w:val="24"/>
          <w:highlight w:val="none"/>
        </w:rPr>
        <w:t>件、在交易平台中上传的</w:t>
      </w:r>
      <w:r>
        <w:rPr>
          <w:rFonts w:hint="eastAsia" w:ascii="宋体" w:hAnsi="宋体" w:eastAsia="宋体" w:cs="宋体"/>
          <w:color w:val="auto"/>
          <w:spacing w:val="-1"/>
          <w:sz w:val="24"/>
          <w:szCs w:val="24"/>
          <w:highlight w:val="none"/>
        </w:rPr>
        <w:t>投标文件无法解密、投标文件损坏或格式不正确、投标文件</w:t>
      </w:r>
      <w:r>
        <w:rPr>
          <w:rFonts w:hint="eastAsia" w:ascii="宋体" w:hAnsi="宋体" w:eastAsia="宋体" w:cs="宋体"/>
          <w:color w:val="auto"/>
          <w:spacing w:val="-2"/>
          <w:sz w:val="24"/>
          <w:szCs w:val="24"/>
          <w:highlight w:val="none"/>
        </w:rPr>
        <w:t>未按招标文件要求加盖电</w:t>
      </w:r>
      <w:r>
        <w:rPr>
          <w:rFonts w:hint="eastAsia" w:ascii="宋体" w:hAnsi="宋体" w:eastAsia="宋体" w:cs="宋体"/>
          <w:color w:val="auto"/>
          <w:spacing w:val="-1"/>
          <w:sz w:val="24"/>
          <w:szCs w:val="24"/>
          <w:highlight w:val="none"/>
        </w:rPr>
        <w:t>子印章或电子印章不完整、电子投标文件解密失败且未按要</w:t>
      </w:r>
      <w:r>
        <w:rPr>
          <w:rFonts w:hint="eastAsia" w:ascii="宋体" w:hAnsi="宋体" w:eastAsia="宋体" w:cs="宋体"/>
          <w:color w:val="auto"/>
          <w:spacing w:val="-2"/>
          <w:sz w:val="24"/>
          <w:szCs w:val="24"/>
          <w:highlight w:val="none"/>
        </w:rPr>
        <w:t>求上传备用投标文件等情</w:t>
      </w:r>
      <w:r>
        <w:rPr>
          <w:rFonts w:hint="eastAsia" w:ascii="宋体" w:hAnsi="宋体" w:eastAsia="宋体" w:cs="宋体"/>
          <w:color w:val="auto"/>
          <w:spacing w:val="-1"/>
          <w:sz w:val="24"/>
          <w:szCs w:val="24"/>
          <w:highlight w:val="none"/>
        </w:rPr>
        <w:t>形导致投标无效的，由投标人自行负责。</w:t>
      </w:r>
    </w:p>
    <w:p w14:paraId="16B5CEF9">
      <w:pPr>
        <w:spacing w:before="152" w:line="221" w:lineRule="auto"/>
        <w:ind w:left="49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14.2  </w:t>
      </w:r>
      <w:r>
        <w:rPr>
          <w:rFonts w:hint="eastAsia" w:ascii="宋体" w:hAnsi="宋体" w:eastAsia="宋体" w:cs="宋体"/>
          <w:color w:val="auto"/>
          <w:spacing w:val="-2"/>
          <w:sz w:val="24"/>
          <w:szCs w:val="24"/>
          <w:highlight w:val="none"/>
        </w:rPr>
        <w:t>开标程序</w:t>
      </w:r>
    </w:p>
    <w:p w14:paraId="497CFDD0">
      <w:pPr>
        <w:spacing w:before="42" w:line="219" w:lineRule="auto"/>
        <w:ind w:left="501"/>
        <w:outlineLvl w:val="9"/>
        <w:rPr>
          <w:rFonts w:hint="eastAsia" w:ascii="宋体" w:hAnsi="宋体" w:eastAsia="宋体" w:cs="宋体"/>
          <w:color w:val="auto"/>
          <w:sz w:val="24"/>
          <w:szCs w:val="24"/>
          <w:highlight w:val="none"/>
        </w:rPr>
      </w:pPr>
      <w:bookmarkStart w:id="65" w:name="_Toc15587"/>
      <w:bookmarkStart w:id="66" w:name="_Toc10291"/>
      <w:bookmarkStart w:id="67" w:name="_Toc8314"/>
      <w:bookmarkStart w:id="68" w:name="_Toc10685"/>
      <w:r>
        <w:rPr>
          <w:rFonts w:hint="eastAsia" w:ascii="宋体" w:hAnsi="宋体" w:eastAsia="宋体" w:cs="宋体"/>
          <w:color w:val="auto"/>
          <w:spacing w:val="-1"/>
          <w:sz w:val="24"/>
          <w:szCs w:val="24"/>
          <w:highlight w:val="none"/>
        </w:rPr>
        <w:t>（1）主持人（招标人代表或招标人授权的招标代理机构人员）宣读开标纪律。</w:t>
      </w:r>
      <w:bookmarkEnd w:id="65"/>
      <w:bookmarkEnd w:id="66"/>
      <w:bookmarkEnd w:id="67"/>
      <w:bookmarkEnd w:id="68"/>
    </w:p>
    <w:p w14:paraId="5EAC246A">
      <w:pPr>
        <w:spacing w:before="181" w:line="219" w:lineRule="auto"/>
        <w:ind w:left="501"/>
        <w:outlineLvl w:val="9"/>
        <w:rPr>
          <w:rFonts w:hint="eastAsia" w:ascii="宋体" w:hAnsi="宋体" w:eastAsia="宋体" w:cs="宋体"/>
          <w:color w:val="auto"/>
          <w:sz w:val="24"/>
          <w:szCs w:val="24"/>
          <w:highlight w:val="none"/>
        </w:rPr>
      </w:pPr>
      <w:bookmarkStart w:id="69" w:name="_Toc20238"/>
      <w:bookmarkStart w:id="70" w:name="_Toc2011"/>
      <w:bookmarkStart w:id="71" w:name="_Toc30853"/>
      <w:bookmarkStart w:id="72" w:name="_Toc16292"/>
      <w:r>
        <w:rPr>
          <w:rFonts w:hint="eastAsia" w:ascii="宋体" w:hAnsi="宋体" w:eastAsia="宋体" w:cs="宋体"/>
          <w:color w:val="auto"/>
          <w:spacing w:val="-1"/>
          <w:sz w:val="24"/>
          <w:szCs w:val="24"/>
          <w:highlight w:val="none"/>
        </w:rPr>
        <w:t>（2）主持人宣布唱标人、记录人、见证人、监督人等有关人员姓名。</w:t>
      </w:r>
      <w:bookmarkEnd w:id="69"/>
      <w:bookmarkEnd w:id="70"/>
      <w:bookmarkEnd w:id="71"/>
      <w:bookmarkEnd w:id="72"/>
    </w:p>
    <w:p w14:paraId="7443DF73">
      <w:pPr>
        <w:spacing w:before="183" w:line="219" w:lineRule="auto"/>
        <w:ind w:left="501"/>
        <w:outlineLvl w:val="9"/>
        <w:rPr>
          <w:rFonts w:hint="eastAsia" w:ascii="宋体" w:hAnsi="宋体" w:eastAsia="宋体" w:cs="宋体"/>
          <w:color w:val="auto"/>
          <w:sz w:val="24"/>
          <w:szCs w:val="24"/>
          <w:highlight w:val="none"/>
        </w:rPr>
      </w:pPr>
      <w:bookmarkStart w:id="73" w:name="_Toc26494"/>
      <w:bookmarkStart w:id="74" w:name="_Toc17462"/>
      <w:bookmarkStart w:id="75" w:name="_Toc31716"/>
      <w:bookmarkStart w:id="76" w:name="_Toc1974"/>
      <w:r>
        <w:rPr>
          <w:rFonts w:hint="eastAsia" w:ascii="宋体" w:hAnsi="宋体" w:eastAsia="宋体" w:cs="宋体"/>
          <w:color w:val="auto"/>
          <w:spacing w:val="-1"/>
          <w:sz w:val="24"/>
          <w:szCs w:val="24"/>
          <w:highlight w:val="none"/>
        </w:rPr>
        <w:t>（3）唱标人公布在投标截止时间前进行投标文件的投标人数量和名称</w:t>
      </w:r>
      <w:bookmarkEnd w:id="73"/>
      <w:bookmarkEnd w:id="74"/>
      <w:bookmarkEnd w:id="75"/>
      <w:bookmarkEnd w:id="76"/>
    </w:p>
    <w:p w14:paraId="3324CC32">
      <w:pPr>
        <w:spacing w:before="181" w:line="219" w:lineRule="auto"/>
        <w:ind w:left="501"/>
        <w:outlineLvl w:val="9"/>
        <w:rPr>
          <w:rFonts w:hint="eastAsia" w:ascii="宋体" w:hAnsi="宋体" w:eastAsia="宋体" w:cs="宋体"/>
          <w:color w:val="auto"/>
          <w:sz w:val="24"/>
          <w:szCs w:val="24"/>
          <w:highlight w:val="none"/>
        </w:rPr>
      </w:pPr>
      <w:bookmarkStart w:id="77" w:name="_Toc27967"/>
      <w:bookmarkStart w:id="78" w:name="_Toc8179"/>
      <w:bookmarkStart w:id="79" w:name="_Toc15860"/>
      <w:bookmarkStart w:id="80" w:name="_Toc20559"/>
      <w:r>
        <w:rPr>
          <w:rFonts w:hint="eastAsia" w:ascii="宋体" w:hAnsi="宋体" w:eastAsia="宋体" w:cs="宋体"/>
          <w:color w:val="auto"/>
          <w:spacing w:val="2"/>
          <w:sz w:val="24"/>
          <w:szCs w:val="24"/>
          <w:highlight w:val="none"/>
        </w:rPr>
        <w:t>（4）招标代理机构会同交易场所工作人员对投标人的</w:t>
      </w:r>
      <w:r>
        <w:rPr>
          <w:rFonts w:hint="eastAsia" w:ascii="宋体" w:hAnsi="宋体" w:eastAsia="宋体" w:cs="宋体"/>
          <w:color w:val="auto"/>
          <w:spacing w:val="1"/>
          <w:sz w:val="24"/>
          <w:szCs w:val="24"/>
          <w:highlight w:val="none"/>
        </w:rPr>
        <w:t>电子投标信息进行解密，</w:t>
      </w:r>
      <w:bookmarkEnd w:id="77"/>
      <w:bookmarkEnd w:id="78"/>
      <w:bookmarkEnd w:id="79"/>
      <w:bookmarkEnd w:id="80"/>
    </w:p>
    <w:p w14:paraId="2BAFEA97">
      <w:pPr>
        <w:spacing w:before="183" w:line="220" w:lineRule="auto"/>
        <w:ind w:left="12"/>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建设工程交易系统自动生成《投标保证缴纳情况表》和《开标一览表》。</w:t>
      </w:r>
    </w:p>
    <w:p w14:paraId="03A06962">
      <w:pPr>
        <w:spacing w:before="182" w:line="360" w:lineRule="auto"/>
        <w:ind w:firstLine="466" w:firstLineChars="200"/>
        <w:outlineLvl w:val="9"/>
        <w:rPr>
          <w:rFonts w:hint="eastAsia" w:ascii="宋体" w:hAnsi="宋体" w:eastAsia="宋体" w:cs="宋体"/>
          <w:color w:val="auto"/>
          <w:sz w:val="24"/>
          <w:szCs w:val="24"/>
          <w:highlight w:val="none"/>
        </w:rPr>
      </w:pPr>
      <w:bookmarkStart w:id="81" w:name="_Toc28266"/>
      <w:bookmarkStart w:id="82" w:name="_Toc2199"/>
      <w:bookmarkStart w:id="83" w:name="_Toc28812"/>
      <w:bookmarkStart w:id="84" w:name="_Toc26216"/>
      <w:r>
        <w:rPr>
          <w:rFonts w:hint="eastAsia" w:ascii="宋体" w:hAnsi="宋体" w:eastAsia="宋体" w:cs="宋体"/>
          <w:b/>
          <w:bCs/>
          <w:color w:val="auto"/>
          <w:spacing w:val="-4"/>
          <w:sz w:val="24"/>
          <w:szCs w:val="24"/>
          <w:highlight w:val="none"/>
        </w:rPr>
        <w:t>温馨提示：因本项目实行全流程电子化招标投标，投标人无须进行现场签到，可</w:t>
      </w:r>
      <w:bookmarkEnd w:id="81"/>
      <w:bookmarkEnd w:id="82"/>
      <w:bookmarkEnd w:id="83"/>
      <w:r>
        <w:rPr>
          <w:rFonts w:hint="eastAsia" w:ascii="宋体" w:hAnsi="宋体" w:eastAsia="宋体" w:cs="宋体"/>
          <w:b/>
          <w:bCs/>
          <w:color w:val="auto"/>
          <w:spacing w:val="-4"/>
          <w:sz w:val="24"/>
          <w:szCs w:val="24"/>
          <w:highlight w:val="none"/>
        </w:rPr>
        <w:t>登录交易平台观看开标实况、提出异议或进行澄清、确认等操作，对开标事项的异议</w:t>
      </w:r>
      <w:r>
        <w:rPr>
          <w:rFonts w:hint="eastAsia" w:ascii="宋体" w:hAnsi="宋体" w:eastAsia="宋体" w:cs="宋体"/>
          <w:b/>
          <w:bCs/>
          <w:color w:val="auto"/>
          <w:spacing w:val="-2"/>
          <w:sz w:val="24"/>
          <w:szCs w:val="24"/>
          <w:highlight w:val="none"/>
        </w:rPr>
        <w:t>未在开标期间提出的，招标</w:t>
      </w:r>
      <w:r>
        <w:rPr>
          <w:rFonts w:hint="eastAsia" w:ascii="宋体" w:hAnsi="宋体" w:eastAsia="宋体" w:cs="宋体"/>
          <w:b/>
          <w:bCs/>
          <w:color w:val="auto"/>
          <w:spacing w:val="-2"/>
          <w:sz w:val="24"/>
          <w:szCs w:val="24"/>
          <w:highlight w:val="none"/>
          <w:lang w:eastAsia="zh-CN"/>
        </w:rPr>
        <w:t>人不</w:t>
      </w:r>
      <w:r>
        <w:rPr>
          <w:rFonts w:hint="eastAsia" w:ascii="宋体" w:hAnsi="宋体" w:eastAsia="宋体" w:cs="宋体"/>
          <w:b/>
          <w:bCs/>
          <w:color w:val="auto"/>
          <w:spacing w:val="-2"/>
          <w:sz w:val="24"/>
          <w:szCs w:val="24"/>
          <w:highlight w:val="none"/>
        </w:rPr>
        <w:t>予受理。具体按招标文件和系统操作手册为</w:t>
      </w:r>
      <w:r>
        <w:rPr>
          <w:rFonts w:hint="eastAsia" w:ascii="宋体" w:hAnsi="宋体" w:eastAsia="宋体" w:cs="宋体"/>
          <w:b/>
          <w:bCs/>
          <w:color w:val="auto"/>
          <w:spacing w:val="-3"/>
          <w:sz w:val="24"/>
          <w:szCs w:val="24"/>
          <w:highlight w:val="none"/>
        </w:rPr>
        <w:t>准。</w:t>
      </w:r>
      <w:bookmarkEnd w:id="84"/>
    </w:p>
    <w:p w14:paraId="40440713">
      <w:pPr>
        <w:spacing w:before="143" w:line="299" w:lineRule="auto"/>
        <w:ind w:left="11" w:right="80" w:firstLine="484"/>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14.3  </w:t>
      </w:r>
      <w:r>
        <w:rPr>
          <w:rFonts w:hint="eastAsia" w:ascii="宋体" w:hAnsi="宋体" w:eastAsia="宋体" w:cs="宋体"/>
          <w:color w:val="auto"/>
          <w:spacing w:val="-3"/>
          <w:sz w:val="24"/>
          <w:szCs w:val="24"/>
          <w:highlight w:val="none"/>
        </w:rPr>
        <w:t>投标人对开标相关事项（如开标程序等）有异议的，必须在开标期间和开标</w:t>
      </w:r>
      <w:r>
        <w:rPr>
          <w:rFonts w:hint="eastAsia" w:ascii="宋体" w:hAnsi="宋体" w:eastAsia="宋体" w:cs="宋体"/>
          <w:color w:val="auto"/>
          <w:spacing w:val="-1"/>
          <w:sz w:val="24"/>
          <w:szCs w:val="24"/>
          <w:highlight w:val="none"/>
        </w:rPr>
        <w:t>现场提出，招标人或其授权的招标代理机构应当场作出答</w:t>
      </w:r>
      <w:r>
        <w:rPr>
          <w:rFonts w:hint="eastAsia" w:ascii="宋体" w:hAnsi="宋体" w:eastAsia="宋体" w:cs="宋体"/>
          <w:color w:val="auto"/>
          <w:spacing w:val="-2"/>
          <w:sz w:val="24"/>
          <w:szCs w:val="24"/>
          <w:highlight w:val="none"/>
        </w:rPr>
        <w:t>复，并记录在案。对开标事</w:t>
      </w:r>
      <w:r>
        <w:rPr>
          <w:rFonts w:hint="eastAsia" w:ascii="宋体" w:hAnsi="宋体" w:eastAsia="宋体" w:cs="宋体"/>
          <w:color w:val="auto"/>
          <w:spacing w:val="-1"/>
          <w:sz w:val="24"/>
          <w:szCs w:val="24"/>
          <w:highlight w:val="none"/>
        </w:rPr>
        <w:t>项的异议未在开标期间和开标现场提出的，招标人不予受理。</w:t>
      </w:r>
    </w:p>
    <w:p w14:paraId="203FF0F7">
      <w:pPr>
        <w:spacing w:before="155" w:line="279" w:lineRule="auto"/>
        <w:ind w:left="8" w:right="82" w:firstLine="487"/>
        <w:rPr>
          <w:rFonts w:hint="eastAsia" w:ascii="宋体" w:hAnsi="宋体" w:eastAsia="宋体" w:cs="宋体"/>
          <w:color w:val="auto"/>
          <w:highlight w:val="none"/>
        </w:rPr>
      </w:pPr>
      <w:r>
        <w:rPr>
          <w:rFonts w:hint="eastAsia" w:ascii="宋体" w:hAnsi="宋体" w:eastAsia="宋体" w:cs="宋体"/>
          <w:b/>
          <w:bCs/>
          <w:color w:val="auto"/>
          <w:spacing w:val="-1"/>
          <w:sz w:val="24"/>
          <w:szCs w:val="24"/>
          <w:highlight w:val="none"/>
        </w:rPr>
        <w:t xml:space="preserve">14.4 </w:t>
      </w:r>
      <w:r>
        <w:rPr>
          <w:rFonts w:hint="eastAsia" w:ascii="宋体" w:hAnsi="宋体" w:eastAsia="宋体" w:cs="宋体"/>
          <w:color w:val="auto"/>
          <w:spacing w:val="-1"/>
          <w:sz w:val="24"/>
          <w:szCs w:val="24"/>
          <w:highlight w:val="none"/>
        </w:rPr>
        <w:t>招标代理机构将资料原件（如有）</w:t>
      </w:r>
      <w:r>
        <w:rPr>
          <w:rFonts w:hint="eastAsia" w:ascii="宋体" w:hAnsi="宋体" w:eastAsia="宋体" w:cs="宋体"/>
          <w:color w:val="auto"/>
          <w:spacing w:val="-2"/>
          <w:sz w:val="24"/>
          <w:szCs w:val="24"/>
          <w:highlight w:val="none"/>
        </w:rPr>
        <w:t>、《开标一览表》以及其他有关资料移交评标委员会。</w:t>
      </w:r>
    </w:p>
    <w:p w14:paraId="47BF78F2">
      <w:pPr>
        <w:spacing w:before="78" w:line="221" w:lineRule="auto"/>
        <w:ind w:left="496"/>
        <w:outlineLvl w:val="2"/>
        <w:rPr>
          <w:rFonts w:hint="eastAsia" w:ascii="宋体" w:hAnsi="宋体" w:eastAsia="宋体" w:cs="宋体"/>
          <w:color w:val="auto"/>
          <w:highlight w:val="none"/>
        </w:rPr>
      </w:pPr>
      <w:bookmarkStart w:id="85" w:name="_Toc554"/>
      <w:bookmarkStart w:id="86" w:name="_Toc961"/>
      <w:r>
        <w:rPr>
          <w:rFonts w:hint="eastAsia" w:ascii="宋体" w:hAnsi="宋体" w:eastAsia="宋体" w:cs="宋体"/>
          <w:b/>
          <w:bCs/>
          <w:color w:val="auto"/>
          <w:spacing w:val="-11"/>
          <w:sz w:val="24"/>
          <w:szCs w:val="24"/>
          <w:highlight w:val="none"/>
        </w:rPr>
        <w:t>15</w:t>
      </w:r>
      <w:r>
        <w:rPr>
          <w:rFonts w:hint="eastAsia" w:ascii="宋体" w:hAnsi="宋体" w:eastAsia="宋体" w:cs="宋体"/>
          <w:b/>
          <w:bCs/>
          <w:color w:val="auto"/>
          <w:spacing w:val="-28"/>
          <w:sz w:val="24"/>
          <w:szCs w:val="24"/>
          <w:highlight w:val="none"/>
        </w:rPr>
        <w:t xml:space="preserve"> </w:t>
      </w:r>
      <w:r>
        <w:rPr>
          <w:rFonts w:hint="eastAsia" w:ascii="宋体" w:hAnsi="宋体" w:eastAsia="宋体" w:cs="宋体"/>
          <w:b/>
          <w:bCs/>
          <w:color w:val="auto"/>
          <w:spacing w:val="-11"/>
          <w:sz w:val="24"/>
          <w:szCs w:val="24"/>
          <w:highlight w:val="none"/>
        </w:rPr>
        <w:t>．评标</w:t>
      </w:r>
      <w:bookmarkEnd w:id="85"/>
      <w:bookmarkEnd w:id="86"/>
    </w:p>
    <w:p w14:paraId="5CEBE6C5">
      <w:pPr>
        <w:keepNext w:val="0"/>
        <w:keepLines w:val="0"/>
        <w:pageBreakBefore w:val="0"/>
        <w:widowControl w:val="0"/>
        <w:kinsoku/>
        <w:wordWrap w:val="0"/>
        <w:overflowPunct/>
        <w:topLinePunct w:val="0"/>
        <w:autoSpaceDE w:val="0"/>
        <w:autoSpaceDN w:val="0"/>
        <w:bidi w:val="0"/>
        <w:adjustRightInd/>
        <w:snapToGrid/>
        <w:spacing w:before="0" w:beforeLines="50" w:line="360" w:lineRule="auto"/>
        <w:ind w:firstLine="480" w:firstLineChars="200"/>
        <w:textAlignment w:val="baseline"/>
        <w:rPr>
          <w:rFonts w:hint="eastAsia" w:ascii="宋体" w:hAnsi="宋体" w:eastAsia="宋体" w:cs="宋体"/>
          <w:snapToGrid w:val="0"/>
          <w:color w:val="auto"/>
          <w:kern w:val="0"/>
          <w:sz w:val="24"/>
          <w:szCs w:val="24"/>
          <w:highlight w:val="none"/>
        </w:rPr>
      </w:pPr>
      <w:bookmarkStart w:id="87" w:name="bookmark124"/>
      <w:bookmarkEnd w:id="87"/>
      <w:r>
        <w:rPr>
          <w:rFonts w:hint="eastAsia" w:ascii="宋体" w:hAnsi="宋体" w:eastAsia="宋体" w:cs="宋体"/>
          <w:snapToGrid w:val="0"/>
          <w:color w:val="auto"/>
          <w:kern w:val="0"/>
          <w:sz w:val="24"/>
          <w:szCs w:val="24"/>
          <w:highlight w:val="none"/>
        </w:rPr>
        <w:t>评标分为初步评审和详细评审两个阶段，由评标委员会在有关部门的监督下，严格按照本招标文件指定的评标方法，对投标人的投标文件进行审查、评审。评标委员会完成评标后，评标委员会按照</w:t>
      </w:r>
      <w:r>
        <w:rPr>
          <w:rFonts w:hint="eastAsia" w:ascii="宋体" w:hAnsi="宋体" w:eastAsia="宋体" w:cs="宋体"/>
          <w:snapToGrid w:val="0"/>
          <w:color w:val="auto"/>
          <w:kern w:val="0"/>
          <w:sz w:val="24"/>
          <w:szCs w:val="24"/>
          <w:highlight w:val="none"/>
          <w:lang w:eastAsia="zh-CN"/>
        </w:rPr>
        <w:t>投标人</w:t>
      </w:r>
      <w:r>
        <w:rPr>
          <w:rFonts w:hint="eastAsia" w:ascii="宋体" w:hAnsi="宋体" w:eastAsia="宋体" w:cs="宋体"/>
          <w:snapToGrid w:val="0"/>
          <w:color w:val="auto"/>
          <w:kern w:val="0"/>
          <w:sz w:val="24"/>
          <w:szCs w:val="24"/>
          <w:highlight w:val="none"/>
        </w:rPr>
        <w:t>评审综合总得分</w:t>
      </w:r>
      <w:r>
        <w:rPr>
          <w:rFonts w:hint="eastAsia" w:ascii="宋体" w:hAnsi="宋体" w:eastAsia="宋体" w:cs="宋体"/>
          <w:snapToGrid w:val="0"/>
          <w:color w:val="auto"/>
          <w:kern w:val="0"/>
          <w:sz w:val="24"/>
          <w:szCs w:val="24"/>
          <w:highlight w:val="none"/>
          <w:lang w:eastAsia="zh-CN"/>
        </w:rPr>
        <w:t>由</w:t>
      </w:r>
      <w:r>
        <w:rPr>
          <w:rFonts w:hint="eastAsia" w:ascii="宋体" w:hAnsi="宋体" w:eastAsia="宋体" w:cs="宋体"/>
          <w:snapToGrid w:val="0"/>
          <w:color w:val="auto"/>
          <w:kern w:val="0"/>
          <w:sz w:val="24"/>
          <w:szCs w:val="24"/>
          <w:highlight w:val="none"/>
        </w:rPr>
        <w:t>高</w:t>
      </w:r>
      <w:r>
        <w:rPr>
          <w:rFonts w:hint="eastAsia" w:ascii="宋体" w:hAnsi="宋体" w:eastAsia="宋体" w:cs="宋体"/>
          <w:snapToGrid w:val="0"/>
          <w:color w:val="auto"/>
          <w:kern w:val="0"/>
          <w:sz w:val="24"/>
          <w:szCs w:val="24"/>
          <w:highlight w:val="none"/>
          <w:lang w:eastAsia="zh-CN"/>
        </w:rPr>
        <w:t>到</w:t>
      </w:r>
      <w:r>
        <w:rPr>
          <w:rFonts w:hint="eastAsia" w:ascii="宋体" w:hAnsi="宋体" w:eastAsia="宋体" w:cs="宋体"/>
          <w:snapToGrid w:val="0"/>
          <w:color w:val="auto"/>
          <w:kern w:val="0"/>
          <w:sz w:val="24"/>
          <w:szCs w:val="24"/>
          <w:highlight w:val="none"/>
        </w:rPr>
        <w:t>低的</w:t>
      </w:r>
      <w:r>
        <w:rPr>
          <w:rFonts w:hint="eastAsia" w:ascii="宋体" w:hAnsi="宋体" w:eastAsia="宋体" w:cs="宋体"/>
          <w:snapToGrid w:val="0"/>
          <w:color w:val="auto"/>
          <w:kern w:val="0"/>
          <w:sz w:val="24"/>
          <w:szCs w:val="24"/>
          <w:highlight w:val="none"/>
          <w:lang w:eastAsia="zh-CN"/>
        </w:rPr>
        <w:t>原则</w:t>
      </w:r>
      <w:r>
        <w:rPr>
          <w:rFonts w:hint="eastAsia" w:ascii="宋体" w:hAnsi="宋体" w:eastAsia="宋体" w:cs="宋体"/>
          <w:snapToGrid w:val="0"/>
          <w:color w:val="auto"/>
          <w:kern w:val="0"/>
          <w:sz w:val="24"/>
          <w:szCs w:val="24"/>
          <w:highlight w:val="none"/>
        </w:rPr>
        <w:t>,向招标人推荐</w:t>
      </w:r>
      <w:r>
        <w:rPr>
          <w:rFonts w:hint="eastAsia" w:ascii="宋体" w:hAnsi="宋体" w:eastAsia="宋体" w:cs="宋体"/>
          <w:snapToGrid w:val="0"/>
          <w:color w:val="auto"/>
          <w:kern w:val="0"/>
          <w:sz w:val="24"/>
          <w:szCs w:val="24"/>
          <w:highlight w:val="none"/>
          <w:lang w:val="en-US" w:eastAsia="zh-CN"/>
        </w:rPr>
        <w:t>已明确的</w:t>
      </w:r>
      <w:r>
        <w:rPr>
          <w:rFonts w:hint="eastAsia" w:ascii="宋体" w:hAnsi="宋体" w:eastAsia="宋体" w:cs="宋体"/>
          <w:snapToGrid w:val="0"/>
          <w:color w:val="auto"/>
          <w:kern w:val="0"/>
          <w:sz w:val="24"/>
          <w:szCs w:val="24"/>
          <w:highlight w:val="none"/>
        </w:rPr>
        <w:t>定标候选人</w:t>
      </w:r>
      <w:r>
        <w:rPr>
          <w:rFonts w:hint="eastAsia" w:ascii="宋体" w:hAnsi="宋体" w:eastAsia="宋体" w:cs="宋体"/>
          <w:snapToGrid w:val="0"/>
          <w:color w:val="auto"/>
          <w:kern w:val="0"/>
          <w:sz w:val="24"/>
          <w:szCs w:val="24"/>
          <w:highlight w:val="none"/>
          <w:lang w:eastAsia="zh-CN"/>
        </w:rPr>
        <w:t>数量</w:t>
      </w:r>
      <w:r>
        <w:rPr>
          <w:rFonts w:hint="eastAsia" w:ascii="宋体" w:hAnsi="宋体" w:eastAsia="宋体" w:cs="宋体"/>
          <w:snapToGrid w:val="0"/>
          <w:color w:val="auto"/>
          <w:kern w:val="0"/>
          <w:sz w:val="24"/>
          <w:szCs w:val="24"/>
          <w:highlight w:val="none"/>
        </w:rPr>
        <w:t>（不</w:t>
      </w:r>
      <w:r>
        <w:rPr>
          <w:rFonts w:hint="eastAsia" w:ascii="宋体" w:hAnsi="宋体" w:eastAsia="宋体" w:cs="宋体"/>
          <w:snapToGrid w:val="0"/>
          <w:color w:val="auto"/>
          <w:kern w:val="0"/>
          <w:sz w:val="24"/>
          <w:szCs w:val="24"/>
          <w:highlight w:val="none"/>
          <w:lang w:val="en-US" w:eastAsia="zh-CN"/>
        </w:rPr>
        <w:t>标明</w:t>
      </w:r>
      <w:r>
        <w:rPr>
          <w:rFonts w:hint="eastAsia" w:ascii="宋体" w:hAnsi="宋体" w:eastAsia="宋体" w:cs="宋体"/>
          <w:snapToGrid w:val="0"/>
          <w:color w:val="auto"/>
          <w:kern w:val="0"/>
          <w:sz w:val="24"/>
          <w:szCs w:val="24"/>
          <w:highlight w:val="none"/>
        </w:rPr>
        <w:t>排序），并向招标人提交由全体评标委员会成员签字的评标报告。</w:t>
      </w:r>
    </w:p>
    <w:p w14:paraId="74FE6A41">
      <w:pPr>
        <w:spacing w:before="38" w:line="219" w:lineRule="auto"/>
        <w:ind w:left="49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15.1  </w:t>
      </w:r>
      <w:r>
        <w:rPr>
          <w:rFonts w:hint="eastAsia" w:ascii="宋体" w:hAnsi="宋体" w:eastAsia="宋体" w:cs="宋体"/>
          <w:color w:val="auto"/>
          <w:spacing w:val="-2"/>
          <w:sz w:val="24"/>
          <w:szCs w:val="24"/>
          <w:highlight w:val="none"/>
        </w:rPr>
        <w:t>评标委员会</w:t>
      </w:r>
    </w:p>
    <w:p w14:paraId="7E586CA1">
      <w:pPr>
        <w:spacing w:before="155" w:line="324" w:lineRule="auto"/>
        <w:ind w:left="10" w:right="65" w:firstLine="485"/>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15.1.1 </w:t>
      </w:r>
      <w:r>
        <w:rPr>
          <w:rFonts w:hint="eastAsia" w:ascii="宋体" w:hAnsi="宋体" w:eastAsia="宋体" w:cs="宋体"/>
          <w:color w:val="auto"/>
          <w:sz w:val="24"/>
          <w:szCs w:val="24"/>
          <w:highlight w:val="none"/>
        </w:rPr>
        <w:t>评标委员会由</w:t>
      </w:r>
      <w:r>
        <w:rPr>
          <w:rFonts w:hint="eastAsia" w:ascii="宋体" w:hAnsi="宋体" w:eastAsia="宋体" w:cs="宋体"/>
          <w:color w:val="auto"/>
          <w:sz w:val="24"/>
          <w:szCs w:val="24"/>
          <w:highlight w:val="none"/>
          <w:u w:val="single"/>
        </w:rPr>
        <w:t xml:space="preserve"> 5 </w:t>
      </w:r>
      <w:r>
        <w:rPr>
          <w:rFonts w:hint="eastAsia" w:ascii="宋体" w:hAnsi="宋体" w:eastAsia="宋体" w:cs="宋体"/>
          <w:color w:val="auto"/>
          <w:sz w:val="24"/>
          <w:szCs w:val="24"/>
          <w:highlight w:val="none"/>
        </w:rPr>
        <w:t>人组成，其中招标人代表</w:t>
      </w:r>
      <w:r>
        <w:rPr>
          <w:rFonts w:hint="eastAsia" w:ascii="宋体" w:hAnsi="宋体" w:eastAsia="宋体" w:cs="宋体"/>
          <w:color w:val="auto"/>
          <w:sz w:val="24"/>
          <w:szCs w:val="24"/>
          <w:highlight w:val="none"/>
          <w:u w:val="single"/>
        </w:rPr>
        <w:t xml:space="preserve"> 0 </w:t>
      </w:r>
      <w:r>
        <w:rPr>
          <w:rFonts w:hint="eastAsia" w:ascii="宋体" w:hAnsi="宋体" w:eastAsia="宋体" w:cs="宋体"/>
          <w:color w:val="auto"/>
          <w:sz w:val="24"/>
          <w:szCs w:val="24"/>
          <w:highlight w:val="none"/>
        </w:rPr>
        <w:t>人，专家</w:t>
      </w:r>
      <w:r>
        <w:rPr>
          <w:rFonts w:hint="eastAsia" w:ascii="宋体" w:hAnsi="宋体" w:eastAsia="宋体" w:cs="宋体"/>
          <w:color w:val="auto"/>
          <w:sz w:val="24"/>
          <w:szCs w:val="24"/>
          <w:highlight w:val="none"/>
          <w:u w:val="single"/>
        </w:rPr>
        <w:t xml:space="preserve"> 5 </w:t>
      </w:r>
      <w:r>
        <w:rPr>
          <w:rFonts w:hint="eastAsia" w:ascii="宋体" w:hAnsi="宋体" w:eastAsia="宋体" w:cs="宋体"/>
          <w:color w:val="auto"/>
          <w:sz w:val="24"/>
          <w:szCs w:val="24"/>
          <w:highlight w:val="none"/>
        </w:rPr>
        <w:t>人。专家从</w:t>
      </w:r>
      <w:r>
        <w:rPr>
          <w:rFonts w:hint="eastAsia" w:ascii="宋体" w:hAnsi="宋体" w:eastAsia="宋体" w:cs="宋体"/>
          <w:color w:val="auto"/>
          <w:sz w:val="24"/>
          <w:szCs w:val="24"/>
          <w:highlight w:val="none"/>
          <w:u w:val="single"/>
        </w:rPr>
        <w:t>广东省综合评标评审专家库</w:t>
      </w:r>
      <w:r>
        <w:rPr>
          <w:rFonts w:hint="eastAsia" w:ascii="宋体" w:hAnsi="宋体" w:eastAsia="宋体" w:cs="宋体"/>
          <w:color w:val="auto"/>
          <w:sz w:val="24"/>
          <w:szCs w:val="24"/>
          <w:highlight w:val="none"/>
          <w:u w:val="single"/>
          <w:lang w:val="en-US" w:eastAsia="zh-CN"/>
        </w:rPr>
        <w:t>（</w:t>
      </w:r>
      <w:r>
        <w:rPr>
          <w:rFonts w:hint="eastAsia" w:ascii="宋体" w:hAnsi="宋体" w:eastAsia="宋体" w:cs="宋体"/>
          <w:color w:val="auto"/>
          <w:sz w:val="24"/>
          <w:szCs w:val="24"/>
          <w:highlight w:val="none"/>
          <w:u w:val="single"/>
        </w:rPr>
        <w:t>韶关区域</w:t>
      </w:r>
      <w:r>
        <w:rPr>
          <w:rFonts w:hint="eastAsia" w:ascii="宋体" w:hAnsi="宋体" w:eastAsia="宋体" w:cs="宋体"/>
          <w:color w:val="auto"/>
          <w:sz w:val="24"/>
          <w:szCs w:val="24"/>
          <w:highlight w:val="none"/>
          <w:u w:val="single"/>
          <w:lang w:val="en-US" w:eastAsia="zh-CN"/>
        </w:rPr>
        <w:t>）</w:t>
      </w:r>
      <w:r>
        <w:rPr>
          <w:rFonts w:hint="eastAsia" w:ascii="宋体" w:hAnsi="宋体" w:eastAsia="宋体" w:cs="宋体"/>
          <w:color w:val="auto"/>
          <w:sz w:val="24"/>
          <w:szCs w:val="24"/>
          <w:highlight w:val="none"/>
        </w:rPr>
        <w:t>中随机抽取，其中技术类专家</w:t>
      </w:r>
      <w:r>
        <w:rPr>
          <w:rFonts w:hint="eastAsia" w:ascii="宋体" w:hAnsi="宋体" w:eastAsia="宋体" w:cs="宋体"/>
          <w:color w:val="auto"/>
          <w:sz w:val="24"/>
          <w:szCs w:val="24"/>
          <w:highlight w:val="none"/>
          <w:u w:val="single"/>
        </w:rPr>
        <w:t xml:space="preserve"> 3 </w:t>
      </w:r>
      <w:r>
        <w:rPr>
          <w:rFonts w:hint="eastAsia" w:ascii="宋体" w:hAnsi="宋体" w:eastAsia="宋体" w:cs="宋体"/>
          <w:color w:val="auto"/>
          <w:sz w:val="24"/>
          <w:szCs w:val="24"/>
          <w:highlight w:val="none"/>
        </w:rPr>
        <w:t>人，经济类专家</w:t>
      </w:r>
      <w:r>
        <w:rPr>
          <w:rFonts w:hint="eastAsia" w:ascii="宋体" w:hAnsi="宋体" w:eastAsia="宋体" w:cs="宋体"/>
          <w:color w:val="auto"/>
          <w:sz w:val="24"/>
          <w:szCs w:val="24"/>
          <w:highlight w:val="none"/>
          <w:u w:val="single"/>
        </w:rPr>
        <w:t xml:space="preserve"> 2 </w:t>
      </w:r>
      <w:r>
        <w:rPr>
          <w:rFonts w:hint="eastAsia" w:ascii="宋体" w:hAnsi="宋体" w:eastAsia="宋体" w:cs="宋体"/>
          <w:color w:val="auto"/>
          <w:sz w:val="24"/>
          <w:szCs w:val="24"/>
          <w:highlight w:val="none"/>
        </w:rPr>
        <w:t>人。</w:t>
      </w:r>
      <w:r>
        <w:rPr>
          <w:rFonts w:hint="eastAsia" w:ascii="宋体" w:hAnsi="宋体" w:eastAsia="宋体" w:cs="宋体"/>
          <w:color w:val="auto"/>
          <w:spacing w:val="-1"/>
          <w:sz w:val="24"/>
          <w:szCs w:val="24"/>
          <w:highlight w:val="none"/>
        </w:rPr>
        <w:t>评标委员会设负责人，由评标委员会成员推举产生</w:t>
      </w:r>
      <w:r>
        <w:rPr>
          <w:rFonts w:hint="eastAsia" w:ascii="宋体" w:hAnsi="宋体" w:eastAsia="宋体" w:cs="宋体"/>
          <w:color w:val="auto"/>
          <w:spacing w:val="-2"/>
          <w:sz w:val="24"/>
          <w:szCs w:val="24"/>
          <w:highlight w:val="none"/>
        </w:rPr>
        <w:t>。评标委员会负责人与评</w:t>
      </w:r>
      <w:r>
        <w:rPr>
          <w:rFonts w:hint="eastAsia" w:ascii="宋体" w:hAnsi="宋体" w:eastAsia="宋体" w:cs="宋体"/>
          <w:color w:val="auto"/>
          <w:spacing w:val="-1"/>
          <w:sz w:val="24"/>
          <w:szCs w:val="24"/>
          <w:highlight w:val="none"/>
        </w:rPr>
        <w:t>标委员会的其他成员有同等的表决权。</w:t>
      </w:r>
    </w:p>
    <w:p w14:paraId="6E04259D">
      <w:pPr>
        <w:spacing w:before="32" w:line="280" w:lineRule="auto"/>
        <w:ind w:left="13" w:right="7" w:firstLine="561"/>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15.1.2  </w:t>
      </w:r>
      <w:r>
        <w:rPr>
          <w:rFonts w:hint="eastAsia" w:ascii="宋体" w:hAnsi="宋体" w:eastAsia="宋体" w:cs="宋体"/>
          <w:color w:val="auto"/>
          <w:spacing w:val="-2"/>
          <w:sz w:val="24"/>
          <w:szCs w:val="24"/>
          <w:highlight w:val="none"/>
        </w:rPr>
        <w:t>评标委员会应认真、公正、诚实、廉洁地履行职责。有下列情形之一的，不得担任评标委员会成员：</w:t>
      </w:r>
    </w:p>
    <w:p w14:paraId="5B6D30EB">
      <w:pPr>
        <w:spacing w:before="154" w:line="220" w:lineRule="auto"/>
        <w:ind w:left="58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（1）投标人或投标人主要负责人的近亲属；</w:t>
      </w:r>
    </w:p>
    <w:p w14:paraId="311A3C6A">
      <w:pPr>
        <w:spacing w:before="153" w:line="220" w:lineRule="auto"/>
        <w:ind w:left="58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（2）项目主管部门或者行政监督部门的人员；</w:t>
      </w:r>
    </w:p>
    <w:p w14:paraId="5160DFA2">
      <w:pPr>
        <w:spacing w:before="155" w:line="221" w:lineRule="auto"/>
        <w:ind w:left="58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（3）与投标人有经济利益关系，可能影响对投标公正评审的；</w:t>
      </w:r>
    </w:p>
    <w:p w14:paraId="62119D0A">
      <w:pPr>
        <w:spacing w:before="153" w:line="279" w:lineRule="auto"/>
        <w:ind w:left="8" w:right="65" w:firstLine="57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（4）曾因在招标、评标以及其他与招标投标有关活动中从事违法行为而受过行政处罚或刑事处罚的。</w:t>
      </w:r>
    </w:p>
    <w:p w14:paraId="029A4248">
      <w:pPr>
        <w:spacing w:before="155" w:line="219" w:lineRule="auto"/>
        <w:ind w:left="488"/>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评标委员会成员有以上情形之一的，应主动提出回避。</w:t>
      </w:r>
    </w:p>
    <w:p w14:paraId="4433A9EB">
      <w:pPr>
        <w:spacing w:before="154" w:line="279" w:lineRule="auto"/>
        <w:ind w:left="8" w:right="65" w:firstLine="487"/>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15.1.3  </w:t>
      </w:r>
      <w:r>
        <w:rPr>
          <w:rFonts w:hint="eastAsia" w:ascii="宋体" w:hAnsi="宋体" w:eastAsia="宋体" w:cs="宋体"/>
          <w:color w:val="auto"/>
          <w:spacing w:val="-1"/>
          <w:sz w:val="24"/>
          <w:szCs w:val="24"/>
          <w:highlight w:val="none"/>
        </w:rPr>
        <w:t>评标全过程实行封闭式管理，在中标结果公</w:t>
      </w:r>
      <w:r>
        <w:rPr>
          <w:rFonts w:hint="eastAsia" w:ascii="宋体" w:hAnsi="宋体" w:eastAsia="宋体" w:cs="宋体"/>
          <w:color w:val="auto"/>
          <w:spacing w:val="-2"/>
          <w:sz w:val="24"/>
          <w:szCs w:val="24"/>
          <w:highlight w:val="none"/>
        </w:rPr>
        <w:t>布前，禁止评标委员会成员以</w:t>
      </w:r>
      <w:r>
        <w:rPr>
          <w:rFonts w:hint="eastAsia" w:ascii="宋体" w:hAnsi="宋体" w:eastAsia="宋体" w:cs="宋体"/>
          <w:color w:val="auto"/>
          <w:spacing w:val="-1"/>
          <w:sz w:val="24"/>
          <w:szCs w:val="24"/>
          <w:highlight w:val="none"/>
        </w:rPr>
        <w:t>任何方式私下接触投标人。</w:t>
      </w:r>
    </w:p>
    <w:p w14:paraId="103791E4">
      <w:pPr>
        <w:spacing w:before="157" w:line="298" w:lineRule="auto"/>
        <w:ind w:left="11" w:right="65" w:firstLine="484"/>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15.1.4  </w:t>
      </w:r>
      <w:r>
        <w:rPr>
          <w:rFonts w:hint="eastAsia" w:ascii="宋体" w:hAnsi="宋体" w:eastAsia="宋体" w:cs="宋体"/>
          <w:color w:val="auto"/>
          <w:spacing w:val="-1"/>
          <w:sz w:val="24"/>
          <w:szCs w:val="24"/>
          <w:highlight w:val="none"/>
        </w:rPr>
        <w:t>在评标过程中，评标委员会可以书面形式要</w:t>
      </w:r>
      <w:r>
        <w:rPr>
          <w:rFonts w:hint="eastAsia" w:ascii="宋体" w:hAnsi="宋体" w:eastAsia="宋体" w:cs="宋体"/>
          <w:color w:val="auto"/>
          <w:spacing w:val="-2"/>
          <w:sz w:val="24"/>
          <w:szCs w:val="24"/>
          <w:highlight w:val="none"/>
        </w:rPr>
        <w:t>求投标人对所提交的投标文件</w:t>
      </w:r>
      <w:r>
        <w:rPr>
          <w:rFonts w:hint="eastAsia" w:ascii="宋体" w:hAnsi="宋体" w:eastAsia="宋体" w:cs="宋体"/>
          <w:color w:val="auto"/>
          <w:spacing w:val="-1"/>
          <w:sz w:val="24"/>
          <w:szCs w:val="24"/>
          <w:highlight w:val="none"/>
        </w:rPr>
        <w:t>中不明确的内容进行书面澄清或说明，但不接受投标人主</w:t>
      </w:r>
      <w:r>
        <w:rPr>
          <w:rFonts w:hint="eastAsia" w:ascii="宋体" w:hAnsi="宋体" w:eastAsia="宋体" w:cs="宋体"/>
          <w:color w:val="auto"/>
          <w:spacing w:val="-2"/>
          <w:sz w:val="24"/>
          <w:szCs w:val="24"/>
          <w:highlight w:val="none"/>
        </w:rPr>
        <w:t>动提出的澄清或说明。投标</w:t>
      </w:r>
      <w:r>
        <w:rPr>
          <w:rFonts w:hint="eastAsia" w:ascii="宋体" w:hAnsi="宋体" w:eastAsia="宋体" w:cs="宋体"/>
          <w:color w:val="auto"/>
          <w:spacing w:val="-1"/>
          <w:sz w:val="24"/>
          <w:szCs w:val="24"/>
          <w:highlight w:val="none"/>
        </w:rPr>
        <w:t>人的书面澄清或说明不得改变投标文件的实质性内容，并</w:t>
      </w:r>
      <w:r>
        <w:rPr>
          <w:rFonts w:hint="eastAsia" w:ascii="宋体" w:hAnsi="宋体" w:eastAsia="宋体" w:cs="宋体"/>
          <w:color w:val="auto"/>
          <w:spacing w:val="-2"/>
          <w:sz w:val="24"/>
          <w:szCs w:val="24"/>
          <w:highlight w:val="none"/>
        </w:rPr>
        <w:t>作为投标文件的组成部分。</w:t>
      </w:r>
    </w:p>
    <w:p w14:paraId="4EE9F1E7">
      <w:pPr>
        <w:spacing w:before="156" w:line="309" w:lineRule="auto"/>
        <w:ind w:left="8" w:right="65" w:firstLine="569"/>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15.1.5  </w:t>
      </w:r>
      <w:r>
        <w:rPr>
          <w:rFonts w:hint="eastAsia" w:ascii="宋体" w:hAnsi="宋体" w:eastAsia="宋体" w:cs="宋体"/>
          <w:color w:val="auto"/>
          <w:spacing w:val="-3"/>
          <w:sz w:val="24"/>
          <w:szCs w:val="24"/>
          <w:highlight w:val="none"/>
        </w:rPr>
        <w:t>在任何评标环节中，当评标委员会就某</w:t>
      </w:r>
      <w:r>
        <w:rPr>
          <w:rFonts w:hint="eastAsia" w:ascii="宋体" w:hAnsi="宋体" w:eastAsia="宋体" w:cs="宋体"/>
          <w:color w:val="auto"/>
          <w:spacing w:val="-4"/>
          <w:sz w:val="24"/>
          <w:szCs w:val="24"/>
          <w:highlight w:val="none"/>
        </w:rPr>
        <w:t>项定性的评审结论不统一、需要做</w:t>
      </w:r>
      <w:r>
        <w:rPr>
          <w:rFonts w:hint="eastAsia" w:ascii="宋体" w:hAnsi="宋体" w:eastAsia="宋体" w:cs="宋体"/>
          <w:color w:val="auto"/>
          <w:spacing w:val="-1"/>
          <w:sz w:val="24"/>
          <w:szCs w:val="24"/>
          <w:highlight w:val="none"/>
        </w:rPr>
        <w:t>出表决时，由评标委员会全体成员按照少数服从多数的原则，以</w:t>
      </w:r>
      <w:r>
        <w:rPr>
          <w:rFonts w:hint="eastAsia" w:ascii="宋体" w:hAnsi="宋体" w:eastAsia="宋体" w:cs="宋体"/>
          <w:color w:val="auto"/>
          <w:spacing w:val="-2"/>
          <w:sz w:val="24"/>
          <w:szCs w:val="24"/>
          <w:highlight w:val="none"/>
        </w:rPr>
        <w:t>记名投票方式表决。</w:t>
      </w:r>
      <w:r>
        <w:rPr>
          <w:rFonts w:hint="eastAsia" w:ascii="宋体" w:hAnsi="宋体" w:eastAsia="宋体" w:cs="宋体"/>
          <w:color w:val="auto"/>
          <w:spacing w:val="-1"/>
          <w:sz w:val="24"/>
          <w:szCs w:val="24"/>
          <w:highlight w:val="none"/>
        </w:rPr>
        <w:t>评标委员会全体成员应共同遵守和执行表决结果，严禁评标委员</w:t>
      </w:r>
      <w:r>
        <w:rPr>
          <w:rFonts w:hint="eastAsia" w:ascii="宋体" w:hAnsi="宋体" w:eastAsia="宋体" w:cs="宋体"/>
          <w:color w:val="auto"/>
          <w:spacing w:val="-2"/>
          <w:sz w:val="24"/>
          <w:szCs w:val="24"/>
          <w:highlight w:val="none"/>
        </w:rPr>
        <w:t>会任何成员将个人意</w:t>
      </w:r>
      <w:r>
        <w:rPr>
          <w:rFonts w:hint="eastAsia" w:ascii="宋体" w:hAnsi="宋体" w:eastAsia="宋体" w:cs="宋体"/>
          <w:color w:val="auto"/>
          <w:spacing w:val="-1"/>
          <w:sz w:val="24"/>
          <w:szCs w:val="24"/>
          <w:highlight w:val="none"/>
        </w:rPr>
        <w:t>见强加给他人、影响评标正常秩序和妨碍评审结论的公正性。</w:t>
      </w:r>
    </w:p>
    <w:p w14:paraId="43D102BA">
      <w:pPr>
        <w:spacing w:before="79" w:line="221" w:lineRule="auto"/>
        <w:ind w:left="577"/>
        <w:rPr>
          <w:rFonts w:hint="eastAsia" w:ascii="宋体" w:hAnsi="宋体" w:eastAsia="宋体" w:cs="宋体"/>
          <w:color w:val="auto"/>
          <w:highlight w:val="none"/>
        </w:rPr>
      </w:pPr>
      <w:r>
        <w:rPr>
          <w:rFonts w:hint="eastAsia" w:ascii="宋体" w:hAnsi="宋体" w:eastAsia="宋体" w:cs="宋体"/>
          <w:b/>
          <w:bCs/>
          <w:color w:val="auto"/>
          <w:spacing w:val="-2"/>
          <w:sz w:val="24"/>
          <w:szCs w:val="24"/>
          <w:highlight w:val="none"/>
        </w:rPr>
        <w:t xml:space="preserve">15.2  </w:t>
      </w:r>
      <w:r>
        <w:rPr>
          <w:rFonts w:hint="eastAsia" w:ascii="宋体" w:hAnsi="宋体" w:eastAsia="宋体" w:cs="宋体"/>
          <w:color w:val="auto"/>
          <w:spacing w:val="-2"/>
          <w:sz w:val="24"/>
          <w:szCs w:val="24"/>
          <w:highlight w:val="none"/>
        </w:rPr>
        <w:t>评标方法</w:t>
      </w:r>
    </w:p>
    <w:p w14:paraId="6D924BEF">
      <w:pPr>
        <w:spacing w:before="78" w:line="326" w:lineRule="auto"/>
        <w:ind w:left="231" w:right="181" w:firstLine="560"/>
        <w:rPr>
          <w:rFonts w:hint="eastAsia" w:ascii="宋体" w:hAnsi="宋体" w:eastAsia="宋体" w:cs="宋体"/>
          <w:color w:val="auto"/>
          <w:highlight w:val="none"/>
        </w:rPr>
      </w:pPr>
      <w:bookmarkStart w:id="88" w:name="bookmark125"/>
      <w:bookmarkEnd w:id="88"/>
      <w:r>
        <w:rPr>
          <w:rFonts w:hint="eastAsia" w:ascii="宋体" w:hAnsi="宋体" w:eastAsia="宋体" w:cs="宋体"/>
          <w:color w:val="auto"/>
          <w:spacing w:val="-4"/>
          <w:sz w:val="24"/>
          <w:szCs w:val="24"/>
          <w:highlight w:val="none"/>
        </w:rPr>
        <w:t>根据有关法律、法规的相关规定，结合本招标项目资金来源和规模特点，本次招</w:t>
      </w:r>
      <w:r>
        <w:rPr>
          <w:rFonts w:hint="eastAsia" w:ascii="宋体" w:hAnsi="宋体" w:eastAsia="宋体" w:cs="宋体"/>
          <w:color w:val="auto"/>
          <w:spacing w:val="-1"/>
          <w:sz w:val="24"/>
          <w:szCs w:val="24"/>
          <w:highlight w:val="none"/>
        </w:rPr>
        <w:t>标采用</w:t>
      </w:r>
      <w:r>
        <w:rPr>
          <w:rFonts w:hint="eastAsia" w:ascii="宋体" w:hAnsi="宋体" w:eastAsia="宋体" w:cs="宋体"/>
          <w:b/>
          <w:bCs/>
          <w:color w:val="auto"/>
          <w:spacing w:val="-4"/>
          <w:sz w:val="24"/>
          <w:szCs w:val="24"/>
          <w:highlight w:val="none"/>
          <w:u w:val="single"/>
        </w:rPr>
        <w:t xml:space="preserve"> 综合评估法 </w:t>
      </w:r>
      <w:r>
        <w:rPr>
          <w:rFonts w:hint="eastAsia" w:ascii="宋体" w:hAnsi="宋体" w:eastAsia="宋体" w:cs="宋体"/>
          <w:color w:val="auto"/>
          <w:spacing w:val="-4"/>
          <w:sz w:val="24"/>
          <w:szCs w:val="24"/>
          <w:highlight w:val="none"/>
          <w:u w:val="single"/>
        </w:rPr>
        <w:t>（</w:t>
      </w:r>
      <w:r>
        <w:rPr>
          <w:rFonts w:hint="eastAsia" w:ascii="宋体" w:hAnsi="宋体" w:eastAsia="宋体" w:cs="宋体"/>
          <w:color w:val="auto"/>
          <w:spacing w:val="-1"/>
          <w:sz w:val="24"/>
          <w:szCs w:val="24"/>
          <w:highlight w:val="none"/>
        </w:rPr>
        <w:t>评标方法名称）进行评标。</w:t>
      </w:r>
    </w:p>
    <w:p w14:paraId="083CCE6C">
      <w:pPr>
        <w:spacing w:before="154" w:line="269" w:lineRule="auto"/>
        <w:ind w:left="220" w:right="33" w:firstLine="496"/>
        <w:rPr>
          <w:rFonts w:hint="eastAsia" w:ascii="宋体" w:hAnsi="宋体" w:eastAsia="宋体" w:cs="宋体"/>
          <w:color w:val="auto"/>
          <w:sz w:val="25"/>
          <w:szCs w:val="25"/>
          <w:highlight w:val="none"/>
        </w:rPr>
      </w:pPr>
      <w:r>
        <w:rPr>
          <w:rFonts w:hint="eastAsia" w:ascii="宋体" w:hAnsi="宋体" w:eastAsia="宋体" w:cs="宋体"/>
          <w:b/>
          <w:bCs/>
          <w:color w:val="auto"/>
          <w:spacing w:val="-3"/>
          <w:sz w:val="24"/>
          <w:szCs w:val="24"/>
          <w:highlight w:val="none"/>
        </w:rPr>
        <w:t xml:space="preserve">15.3  </w:t>
      </w:r>
      <w:r>
        <w:rPr>
          <w:rFonts w:hint="eastAsia" w:ascii="宋体" w:hAnsi="宋体" w:eastAsia="宋体" w:cs="宋体"/>
          <w:color w:val="auto"/>
          <w:spacing w:val="-3"/>
          <w:sz w:val="24"/>
          <w:szCs w:val="24"/>
          <w:highlight w:val="none"/>
        </w:rPr>
        <w:t>评审范围：评标委员会应对所有投标人的投标文件进行评审。</w:t>
      </w:r>
    </w:p>
    <w:p w14:paraId="49E70C10">
      <w:pPr>
        <w:spacing w:before="153" w:line="220" w:lineRule="auto"/>
        <w:ind w:left="71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15.4  </w:t>
      </w:r>
      <w:r>
        <w:rPr>
          <w:rFonts w:hint="eastAsia" w:ascii="宋体" w:hAnsi="宋体" w:eastAsia="宋体" w:cs="宋体"/>
          <w:color w:val="auto"/>
          <w:spacing w:val="-2"/>
          <w:sz w:val="24"/>
          <w:szCs w:val="24"/>
          <w:highlight w:val="none"/>
        </w:rPr>
        <w:t>初步评审阶段</w:t>
      </w:r>
    </w:p>
    <w:p w14:paraId="5B763A9F">
      <w:pPr>
        <w:spacing w:before="153" w:line="220" w:lineRule="auto"/>
        <w:ind w:left="709"/>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初步评审阶段分为资格评审、形式评审和响应性评审三个环节。</w:t>
      </w:r>
    </w:p>
    <w:p w14:paraId="1198C934">
      <w:pPr>
        <w:spacing w:before="155" w:line="279" w:lineRule="auto"/>
        <w:ind w:left="719" w:right="6303" w:hanging="3"/>
        <w:rPr>
          <w:rFonts w:hint="eastAsia" w:asciiTheme="minorEastAsia" w:hAnsiTheme="minorEastAsia" w:eastAsiaTheme="minorEastAsia" w:cstheme="minorEastAsia"/>
          <w:color w:val="auto"/>
          <w:spacing w:val="-4"/>
          <w:sz w:val="24"/>
          <w:szCs w:val="24"/>
          <w:highlight w:val="none"/>
        </w:rPr>
      </w:pPr>
      <w:r>
        <w:rPr>
          <w:rFonts w:hint="eastAsia" w:ascii="宋体" w:hAnsi="宋体" w:eastAsia="宋体" w:cs="宋体"/>
          <w:b/>
          <w:bCs/>
          <w:color w:val="auto"/>
          <w:spacing w:val="-3"/>
          <w:sz w:val="24"/>
          <w:szCs w:val="24"/>
          <w:highlight w:val="none"/>
        </w:rPr>
        <w:t>15.4.1</w:t>
      </w:r>
      <w:r>
        <w:rPr>
          <w:rFonts w:hint="eastAsia" w:ascii="宋体" w:hAnsi="宋体" w:eastAsia="宋体" w:cs="宋体"/>
          <w:b/>
          <w:bCs/>
          <w:color w:val="auto"/>
          <w:spacing w:val="9"/>
          <w:sz w:val="24"/>
          <w:szCs w:val="24"/>
          <w:highlight w:val="none"/>
        </w:rPr>
        <w:t xml:space="preserve"> </w:t>
      </w:r>
      <w:r>
        <w:rPr>
          <w:rFonts w:hint="eastAsia" w:ascii="宋体" w:hAnsi="宋体" w:eastAsia="宋体" w:cs="宋体"/>
          <w:color w:val="auto"/>
          <w:spacing w:val="-2"/>
          <w:sz w:val="24"/>
          <w:szCs w:val="24"/>
          <w:highlight w:val="none"/>
        </w:rPr>
        <w:t xml:space="preserve"> </w:t>
      </w:r>
      <w:r>
        <w:rPr>
          <w:rFonts w:hint="eastAsia" w:asciiTheme="minorEastAsia" w:hAnsiTheme="minorEastAsia" w:eastAsiaTheme="minorEastAsia" w:cstheme="minorEastAsia"/>
          <w:color w:val="auto"/>
          <w:spacing w:val="-4"/>
          <w:sz w:val="24"/>
          <w:szCs w:val="24"/>
          <w:highlight w:val="none"/>
        </w:rPr>
        <w:t>资格评审环节</w:t>
      </w:r>
    </w:p>
    <w:p w14:paraId="12AA72C0">
      <w:pPr>
        <w:keepNext w:val="0"/>
        <w:keepLines w:val="0"/>
        <w:pageBreakBefore w:val="0"/>
        <w:widowControl/>
        <w:kinsoku w:val="0"/>
        <w:wordWrap/>
        <w:overflowPunct/>
        <w:topLinePunct w:val="0"/>
        <w:autoSpaceDE w:val="0"/>
        <w:autoSpaceDN w:val="0"/>
        <w:bidi w:val="0"/>
        <w:adjustRightInd w:val="0"/>
        <w:snapToGrid w:val="0"/>
        <w:spacing w:line="279" w:lineRule="auto"/>
        <w:ind w:left="720" w:right="6304" w:hanging="6"/>
        <w:textAlignment w:val="baseline"/>
        <w:rPr>
          <w:rFonts w:hint="eastAsia" w:ascii="宋体" w:hAnsi="宋体" w:eastAsia="宋体" w:cs="宋体"/>
          <w:color w:val="auto"/>
          <w:sz w:val="24"/>
          <w:szCs w:val="24"/>
          <w:highlight w:val="none"/>
        </w:rPr>
      </w:pPr>
      <w:r>
        <w:rPr>
          <w:rFonts w:hint="eastAsia" w:asciiTheme="minorEastAsia" w:hAnsiTheme="minorEastAsia" w:eastAsiaTheme="minorEastAsia" w:cstheme="minorEastAsia"/>
          <w:color w:val="auto"/>
          <w:spacing w:val="-4"/>
          <w:sz w:val="24"/>
          <w:szCs w:val="24"/>
          <w:highlight w:val="none"/>
        </w:rPr>
        <w:t>资格评审事项包括：</w:t>
      </w:r>
    </w:p>
    <w:p w14:paraId="3C2A7C1E">
      <w:pPr>
        <w:keepNext w:val="0"/>
        <w:keepLines w:val="0"/>
        <w:pageBreakBefore w:val="0"/>
        <w:widowControl/>
        <w:kinsoku w:val="0"/>
        <w:wordWrap/>
        <w:overflowPunct/>
        <w:topLinePunct w:val="0"/>
        <w:autoSpaceDE w:val="0"/>
        <w:autoSpaceDN w:val="0"/>
        <w:bidi w:val="0"/>
        <w:adjustRightInd w:val="0"/>
        <w:snapToGrid w:val="0"/>
        <w:spacing w:line="360" w:lineRule="auto"/>
        <w:ind w:left="232" w:firstLine="488"/>
        <w:textAlignment w:val="baseline"/>
        <w:rPr>
          <w:rFonts w:hint="eastAsia" w:asciiTheme="minorEastAsia" w:hAnsiTheme="minorEastAsia" w:eastAsiaTheme="minorEastAsia" w:cstheme="minorEastAsia"/>
          <w:color w:val="auto"/>
          <w:spacing w:val="-4"/>
          <w:sz w:val="24"/>
          <w:szCs w:val="24"/>
          <w:highlight w:val="none"/>
        </w:rPr>
      </w:pPr>
      <w:bookmarkStart w:id="89" w:name="_Toc22778"/>
      <w:r>
        <w:rPr>
          <w:rFonts w:hint="eastAsia" w:asciiTheme="minorEastAsia" w:hAnsiTheme="minorEastAsia" w:eastAsiaTheme="minorEastAsia" w:cstheme="minorEastAsia"/>
          <w:color w:val="auto"/>
          <w:spacing w:val="-4"/>
          <w:sz w:val="24"/>
          <w:szCs w:val="24"/>
          <w:highlight w:val="none"/>
        </w:rPr>
        <w:t>（1）投标人是否符合本章第三节第2.4条“禁止投标条款”规定。如果“禁止投标条款”包括严重失信主体名单的，投标人信用信息的获取采用现场实时查询的方式实施。由招标代理机构工作人员在评标委员会成员、交易场所工作人员共同见证下，登录信用中国网站（https://www.creditchina.gov.cn），在企业查询界面下载和打印《法人和非法人组织公共信用信息报告》，作为评审依据移交评标委员会。</w:t>
      </w:r>
    </w:p>
    <w:p w14:paraId="0BE4BA4B">
      <w:pPr>
        <w:keepNext w:val="0"/>
        <w:keepLines w:val="0"/>
        <w:pageBreakBefore w:val="0"/>
        <w:widowControl/>
        <w:kinsoku w:val="0"/>
        <w:overflowPunct/>
        <w:topLinePunct w:val="0"/>
        <w:autoSpaceDE w:val="0"/>
        <w:autoSpaceDN w:val="0"/>
        <w:bidi w:val="0"/>
        <w:adjustRightInd w:val="0"/>
        <w:snapToGrid w:val="0"/>
        <w:spacing w:line="360" w:lineRule="auto"/>
        <w:ind w:left="721"/>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1"/>
          <w:sz w:val="24"/>
          <w:szCs w:val="24"/>
          <w:highlight w:val="none"/>
        </w:rPr>
        <w:t>（2）投标人名称是否与营业执照、资质证书、安全生产许可证一致。</w:t>
      </w:r>
    </w:p>
    <w:p w14:paraId="5C81E7D4">
      <w:pPr>
        <w:keepNext w:val="0"/>
        <w:keepLines w:val="0"/>
        <w:pageBreakBefore w:val="0"/>
        <w:widowControl/>
        <w:kinsoku w:val="0"/>
        <w:wordWrap w:val="0"/>
        <w:overflowPunct/>
        <w:topLinePunct w:val="0"/>
        <w:autoSpaceDE w:val="0"/>
        <w:autoSpaceDN w:val="0"/>
        <w:bidi w:val="0"/>
        <w:adjustRightInd w:val="0"/>
        <w:snapToGrid w:val="0"/>
        <w:spacing w:line="360" w:lineRule="auto"/>
        <w:ind w:left="232" w:right="96" w:firstLine="488"/>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2"/>
          <w:sz w:val="24"/>
          <w:szCs w:val="24"/>
          <w:highlight w:val="none"/>
        </w:rPr>
        <w:t>（3）投标人的资质是否符合招标文件规定；其营业执照、资质证书、安全生产许可证（含实时网页查询页，可参考网址 https://zlaq.mohurd.gov.cn/fwmh/bjxcjgl/fwm</w:t>
      </w:r>
      <w:bookmarkStart w:id="90" w:name="bookmark126"/>
      <w:bookmarkEnd w:id="90"/>
      <w:r>
        <w:rPr>
          <w:rFonts w:hint="eastAsia" w:asciiTheme="minorEastAsia" w:hAnsiTheme="minorEastAsia" w:eastAsiaTheme="minorEastAsia" w:cstheme="minorEastAsia"/>
          <w:color w:val="auto"/>
          <w:spacing w:val="2"/>
          <w:sz w:val="24"/>
          <w:szCs w:val="24"/>
          <w:highlight w:val="none"/>
        </w:rPr>
        <w:t>h/pages/construction_safety/qyaqscxkz/qyaqscxkz）是否合法、有效、准确</w:t>
      </w:r>
      <w:r>
        <w:rPr>
          <w:rFonts w:hint="eastAsia" w:asciiTheme="minorEastAsia" w:hAnsiTheme="minorEastAsia" w:eastAsiaTheme="minorEastAsia" w:cstheme="minorEastAsia"/>
          <w:color w:val="auto"/>
          <w:spacing w:val="-1"/>
          <w:position w:val="3"/>
          <w:sz w:val="24"/>
          <w:szCs w:val="24"/>
          <w:highlight w:val="none"/>
        </w:rPr>
        <w:t>。</w:t>
      </w:r>
    </w:p>
    <w:p w14:paraId="46BDDC87">
      <w:pPr>
        <w:keepNext w:val="0"/>
        <w:keepLines w:val="0"/>
        <w:pageBreakBefore w:val="0"/>
        <w:widowControl/>
        <w:kinsoku w:val="0"/>
        <w:overflowPunct/>
        <w:topLinePunct w:val="0"/>
        <w:autoSpaceDE w:val="0"/>
        <w:autoSpaceDN w:val="0"/>
        <w:bidi w:val="0"/>
        <w:adjustRightInd w:val="0"/>
        <w:snapToGrid w:val="0"/>
        <w:spacing w:line="360" w:lineRule="auto"/>
        <w:ind w:left="501"/>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1"/>
          <w:sz w:val="24"/>
          <w:szCs w:val="24"/>
          <w:highlight w:val="none"/>
        </w:rPr>
        <w:t>（4）《项目经理简历表》中拟派项目经理是否与《开标一览表》一致。</w:t>
      </w:r>
    </w:p>
    <w:p w14:paraId="3040E94A">
      <w:pPr>
        <w:keepNext w:val="0"/>
        <w:keepLines w:val="0"/>
        <w:pageBreakBefore w:val="0"/>
        <w:widowControl/>
        <w:kinsoku w:val="0"/>
        <w:overflowPunct/>
        <w:topLinePunct w:val="0"/>
        <w:autoSpaceDE w:val="0"/>
        <w:autoSpaceDN w:val="0"/>
        <w:bidi w:val="0"/>
        <w:adjustRightInd w:val="0"/>
        <w:snapToGrid w:val="0"/>
        <w:spacing w:line="360" w:lineRule="auto"/>
        <w:ind w:left="11" w:firstLine="489"/>
        <w:textAlignment w:val="baseline"/>
        <w:rPr>
          <w:rFonts w:hint="eastAsia" w:asciiTheme="minorEastAsia" w:hAnsiTheme="minorEastAsia" w:eastAsiaTheme="minorEastAsia" w:cstheme="minorEastAsia"/>
          <w:color w:val="auto"/>
          <w:spacing w:val="-1"/>
          <w:sz w:val="24"/>
          <w:szCs w:val="24"/>
          <w:highlight w:val="none"/>
        </w:rPr>
      </w:pPr>
      <w:r>
        <w:rPr>
          <w:rFonts w:hint="eastAsia" w:asciiTheme="minorEastAsia" w:hAnsiTheme="minorEastAsia" w:eastAsiaTheme="minorEastAsia" w:cstheme="minorEastAsia"/>
          <w:color w:val="auto"/>
          <w:spacing w:val="2"/>
          <w:sz w:val="24"/>
          <w:szCs w:val="24"/>
          <w:highlight w:val="none"/>
        </w:rPr>
        <w:t>（5）拟派项目经理、项目技术负责人、专职安全员的条件</w:t>
      </w:r>
      <w:r>
        <w:rPr>
          <w:rFonts w:hint="eastAsia" w:asciiTheme="minorEastAsia" w:hAnsiTheme="minorEastAsia" w:eastAsiaTheme="minorEastAsia" w:cstheme="minorEastAsia"/>
          <w:color w:val="auto"/>
          <w:spacing w:val="1"/>
          <w:sz w:val="24"/>
          <w:szCs w:val="24"/>
          <w:highlight w:val="none"/>
        </w:rPr>
        <w:t>是否符合招标文件规</w:t>
      </w:r>
      <w:r>
        <w:rPr>
          <w:rFonts w:hint="eastAsia" w:asciiTheme="minorEastAsia" w:hAnsiTheme="minorEastAsia" w:eastAsiaTheme="minorEastAsia" w:cstheme="minorEastAsia"/>
          <w:color w:val="auto"/>
          <w:spacing w:val="-1"/>
          <w:sz w:val="24"/>
          <w:szCs w:val="24"/>
          <w:highlight w:val="none"/>
        </w:rPr>
        <w:t>定；拟派的项目经理是否在投标文件《项目经理简历表》中签字确认；项目技术负责人是否在投标文件《项目技术负责人简历表》中签字确认；项目管理机构组成人员的各类证书、证件、证明是否合法、有效、准确；是否擅自修改、遗漏《项目经理任职声明》的实质性内容。</w:t>
      </w:r>
    </w:p>
    <w:p w14:paraId="27910BA3">
      <w:pPr>
        <w:keepNext w:val="0"/>
        <w:keepLines w:val="0"/>
        <w:pageBreakBefore w:val="0"/>
        <w:widowControl/>
        <w:kinsoku w:val="0"/>
        <w:overflowPunct/>
        <w:topLinePunct w:val="0"/>
        <w:autoSpaceDE w:val="0"/>
        <w:autoSpaceDN w:val="0"/>
        <w:bidi w:val="0"/>
        <w:adjustRightInd w:val="0"/>
        <w:snapToGrid w:val="0"/>
        <w:spacing w:line="360" w:lineRule="auto"/>
        <w:ind w:left="8" w:right="2" w:firstLine="492"/>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2"/>
          <w:sz w:val="24"/>
          <w:szCs w:val="24"/>
          <w:highlight w:val="none"/>
        </w:rPr>
        <w:t>（</w:t>
      </w:r>
      <w:r>
        <w:rPr>
          <w:rFonts w:hint="eastAsia" w:asciiTheme="minorEastAsia" w:hAnsiTheme="minorEastAsia" w:eastAsiaTheme="minorEastAsia" w:cstheme="minorEastAsia"/>
          <w:color w:val="auto"/>
          <w:spacing w:val="2"/>
          <w:sz w:val="24"/>
          <w:szCs w:val="24"/>
          <w:highlight w:val="none"/>
          <w:lang w:val="en-US" w:eastAsia="zh-CN"/>
        </w:rPr>
        <w:t>6</w:t>
      </w:r>
      <w:r>
        <w:rPr>
          <w:rFonts w:hint="eastAsia" w:asciiTheme="minorEastAsia" w:hAnsiTheme="minorEastAsia" w:eastAsiaTheme="minorEastAsia" w:cstheme="minorEastAsia"/>
          <w:color w:val="auto"/>
          <w:spacing w:val="2"/>
          <w:sz w:val="24"/>
          <w:szCs w:val="24"/>
          <w:highlight w:val="none"/>
        </w:rPr>
        <w:t>）投标人为外省建筑企业的，是否按规定在“进粤</w:t>
      </w:r>
      <w:r>
        <w:rPr>
          <w:rFonts w:hint="eastAsia" w:asciiTheme="minorEastAsia" w:hAnsiTheme="minorEastAsia" w:eastAsiaTheme="minorEastAsia" w:cstheme="minorEastAsia"/>
          <w:color w:val="auto"/>
          <w:spacing w:val="1"/>
          <w:sz w:val="24"/>
          <w:szCs w:val="24"/>
          <w:highlight w:val="none"/>
        </w:rPr>
        <w:t>企业和人员诚信信息登记</w:t>
      </w:r>
      <w:r>
        <w:rPr>
          <w:rFonts w:hint="eastAsia" w:asciiTheme="minorEastAsia" w:hAnsiTheme="minorEastAsia" w:eastAsiaTheme="minorEastAsia" w:cstheme="minorEastAsia"/>
          <w:color w:val="auto"/>
          <w:spacing w:val="-2"/>
          <w:sz w:val="24"/>
          <w:szCs w:val="24"/>
          <w:highlight w:val="none"/>
        </w:rPr>
        <w:t>平台</w:t>
      </w:r>
      <w:r>
        <w:rPr>
          <w:rFonts w:hint="eastAsia" w:asciiTheme="minorEastAsia" w:hAnsiTheme="minorEastAsia" w:eastAsiaTheme="minorEastAsia" w:cstheme="minorEastAsia"/>
          <w:color w:val="auto"/>
          <w:spacing w:val="-76"/>
          <w:sz w:val="24"/>
          <w:szCs w:val="24"/>
          <w:highlight w:val="none"/>
        </w:rPr>
        <w:t xml:space="preserve"> </w:t>
      </w:r>
      <w:r>
        <w:rPr>
          <w:rFonts w:hint="eastAsia" w:asciiTheme="minorEastAsia" w:hAnsiTheme="minorEastAsia" w:eastAsiaTheme="minorEastAsia" w:cstheme="minorEastAsia"/>
          <w:color w:val="auto"/>
          <w:spacing w:val="-2"/>
          <w:sz w:val="24"/>
          <w:szCs w:val="24"/>
          <w:highlight w:val="none"/>
        </w:rPr>
        <w:t>”录入企业及其拟派人员有关信息并通过数据规范检查。</w:t>
      </w:r>
    </w:p>
    <w:p w14:paraId="5E3A3AD8">
      <w:pPr>
        <w:spacing w:before="15" w:line="360" w:lineRule="auto"/>
        <w:ind w:right="2" w:firstLine="474" w:firstLineChars="200"/>
        <w:jc w:val="both"/>
        <w:outlineLvl w:val="9"/>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2"/>
          <w:sz w:val="24"/>
          <w:szCs w:val="24"/>
          <w:highlight w:val="none"/>
        </w:rPr>
        <w:t xml:space="preserve">15.4.2 </w:t>
      </w:r>
      <w:r>
        <w:rPr>
          <w:rFonts w:hint="eastAsia" w:ascii="宋体" w:hAnsi="宋体" w:eastAsia="宋体" w:cs="宋体"/>
          <w:color w:val="auto"/>
          <w:spacing w:val="1"/>
          <w:sz w:val="24"/>
          <w:szCs w:val="24"/>
          <w:highlight w:val="none"/>
        </w:rPr>
        <w:t xml:space="preserve"> 形式评审环节</w:t>
      </w:r>
    </w:p>
    <w:p w14:paraId="720A176D">
      <w:pPr>
        <w:spacing w:before="15" w:line="360" w:lineRule="auto"/>
        <w:ind w:right="2" w:firstLine="484" w:firstLineChars="200"/>
        <w:jc w:val="both"/>
        <w:outlineLvl w:val="9"/>
        <w:rPr>
          <w:rFonts w:hint="eastAsia" w:ascii="宋体" w:hAnsi="宋体" w:eastAsia="宋体" w:cs="宋体"/>
          <w:color w:val="auto"/>
          <w:spacing w:val="1"/>
          <w:sz w:val="24"/>
          <w:szCs w:val="24"/>
          <w:highlight w:val="none"/>
          <w:lang w:eastAsia="zh-CN"/>
        </w:rPr>
      </w:pPr>
      <w:r>
        <w:rPr>
          <w:rFonts w:hint="eastAsia" w:ascii="宋体" w:hAnsi="宋体" w:eastAsia="宋体" w:cs="宋体"/>
          <w:color w:val="auto"/>
          <w:spacing w:val="1"/>
          <w:sz w:val="24"/>
          <w:szCs w:val="24"/>
          <w:highlight w:val="none"/>
        </w:rPr>
        <w:t>形式评审事</w:t>
      </w:r>
      <w:r>
        <w:rPr>
          <w:rFonts w:hint="eastAsia" w:ascii="宋体" w:hAnsi="宋体" w:eastAsia="宋体" w:cs="宋体"/>
          <w:color w:val="auto"/>
          <w:spacing w:val="1"/>
          <w:sz w:val="24"/>
          <w:szCs w:val="24"/>
          <w:highlight w:val="none"/>
          <w:lang w:eastAsia="zh-CN"/>
        </w:rPr>
        <w:t>项包括</w:t>
      </w:r>
      <w:bookmarkEnd w:id="89"/>
    </w:p>
    <w:p w14:paraId="540DEAA8">
      <w:pPr>
        <w:spacing w:before="40" w:line="360" w:lineRule="auto"/>
        <w:ind w:left="501"/>
        <w:outlineLvl w:val="9"/>
        <w:rPr>
          <w:rFonts w:hint="eastAsia" w:ascii="宋体" w:hAnsi="宋体" w:eastAsia="宋体" w:cs="宋体"/>
          <w:color w:val="auto"/>
          <w:sz w:val="24"/>
          <w:szCs w:val="24"/>
          <w:highlight w:val="none"/>
        </w:rPr>
      </w:pPr>
      <w:bookmarkStart w:id="91" w:name="_Toc20481"/>
      <w:bookmarkStart w:id="92" w:name="_Toc23632"/>
      <w:bookmarkStart w:id="93" w:name="_Toc4914"/>
      <w:bookmarkStart w:id="94" w:name="_Toc13304"/>
      <w:r>
        <w:rPr>
          <w:rFonts w:hint="eastAsia" w:ascii="宋体" w:hAnsi="宋体" w:eastAsia="宋体" w:cs="宋体"/>
          <w:color w:val="auto"/>
          <w:spacing w:val="-1"/>
          <w:sz w:val="24"/>
          <w:szCs w:val="24"/>
          <w:highlight w:val="none"/>
        </w:rPr>
        <w:t>（1）各分册是否按招标文件规定加盖电子印章。</w:t>
      </w:r>
      <w:bookmarkEnd w:id="91"/>
      <w:bookmarkEnd w:id="92"/>
      <w:bookmarkEnd w:id="93"/>
      <w:bookmarkEnd w:id="94"/>
    </w:p>
    <w:p w14:paraId="64C926F3">
      <w:pPr>
        <w:spacing w:before="15" w:line="360" w:lineRule="auto"/>
        <w:ind w:firstLine="464" w:firstLineChars="200"/>
        <w:outlineLvl w:val="9"/>
        <w:rPr>
          <w:rFonts w:hint="eastAsia" w:ascii="宋体" w:hAnsi="宋体" w:eastAsia="宋体" w:cs="宋体"/>
          <w:color w:val="auto"/>
          <w:spacing w:val="-1"/>
          <w:sz w:val="24"/>
          <w:szCs w:val="24"/>
          <w:highlight w:val="none"/>
        </w:rPr>
      </w:pPr>
      <w:bookmarkStart w:id="95" w:name="_Toc10806"/>
      <w:bookmarkStart w:id="96" w:name="_Toc28409"/>
      <w:bookmarkStart w:id="97" w:name="_Toc27432"/>
      <w:bookmarkStart w:id="98" w:name="_Toc12756"/>
      <w:r>
        <w:rPr>
          <w:rFonts w:hint="eastAsia" w:ascii="宋体" w:hAnsi="宋体" w:eastAsia="宋体" w:cs="宋体"/>
          <w:color w:val="auto"/>
          <w:spacing w:val="-4"/>
          <w:sz w:val="24"/>
          <w:szCs w:val="24"/>
          <w:highlight w:val="none"/>
        </w:rPr>
        <w:t>（2）本节第</w:t>
      </w:r>
      <w:r>
        <w:rPr>
          <w:rFonts w:hint="eastAsia" w:ascii="宋体" w:hAnsi="宋体" w:eastAsia="宋体" w:cs="宋体"/>
          <w:color w:val="auto"/>
          <w:spacing w:val="-29"/>
          <w:sz w:val="24"/>
          <w:szCs w:val="24"/>
          <w:highlight w:val="none"/>
        </w:rPr>
        <w:t xml:space="preserve"> </w:t>
      </w:r>
      <w:r>
        <w:rPr>
          <w:rFonts w:hint="eastAsia" w:ascii="宋体" w:hAnsi="宋体" w:eastAsia="宋体" w:cs="宋体"/>
          <w:color w:val="auto"/>
          <w:spacing w:val="-4"/>
          <w:sz w:val="24"/>
          <w:szCs w:val="24"/>
          <w:highlight w:val="none"/>
        </w:rPr>
        <w:t>10.2.2 目、第</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pacing w:val="-4"/>
          <w:sz w:val="24"/>
          <w:szCs w:val="24"/>
          <w:highlight w:val="none"/>
        </w:rPr>
        <w:t>10.3.2 目、第</w:t>
      </w:r>
      <w:r>
        <w:rPr>
          <w:rFonts w:hint="eastAsia" w:ascii="宋体" w:hAnsi="宋体" w:eastAsia="宋体" w:cs="宋体"/>
          <w:color w:val="auto"/>
          <w:spacing w:val="-29"/>
          <w:sz w:val="24"/>
          <w:szCs w:val="24"/>
          <w:highlight w:val="none"/>
        </w:rPr>
        <w:t xml:space="preserve"> </w:t>
      </w:r>
      <w:r>
        <w:rPr>
          <w:rFonts w:hint="eastAsia" w:ascii="宋体" w:hAnsi="宋体" w:eastAsia="宋体" w:cs="宋体"/>
          <w:color w:val="auto"/>
          <w:spacing w:val="-4"/>
          <w:sz w:val="24"/>
          <w:szCs w:val="24"/>
          <w:highlight w:val="none"/>
        </w:rPr>
        <w:t>10.4.3 目中规定</w:t>
      </w:r>
      <w:r>
        <w:rPr>
          <w:rFonts w:hint="eastAsia" w:ascii="宋体" w:hAnsi="宋体" w:eastAsia="宋体" w:cs="宋体"/>
          <w:color w:val="auto"/>
          <w:spacing w:val="-5"/>
          <w:sz w:val="24"/>
          <w:szCs w:val="24"/>
          <w:highlight w:val="none"/>
        </w:rPr>
        <w:t>的“所有投标人均应提</w:t>
      </w:r>
      <w:bookmarkEnd w:id="95"/>
      <w:bookmarkEnd w:id="96"/>
      <w:bookmarkEnd w:id="97"/>
      <w:r>
        <w:rPr>
          <w:rFonts w:hint="eastAsia" w:ascii="宋体" w:hAnsi="宋体" w:eastAsia="宋体" w:cs="宋体"/>
          <w:color w:val="auto"/>
          <w:spacing w:val="-1"/>
          <w:sz w:val="24"/>
          <w:szCs w:val="24"/>
          <w:highlight w:val="none"/>
        </w:rPr>
        <w:t>供</w:t>
      </w:r>
      <w:r>
        <w:rPr>
          <w:rFonts w:hint="eastAsia" w:ascii="宋体" w:hAnsi="宋体" w:eastAsia="宋体" w:cs="宋体"/>
          <w:color w:val="auto"/>
          <w:spacing w:val="-85"/>
          <w:sz w:val="24"/>
          <w:szCs w:val="24"/>
          <w:highlight w:val="none"/>
        </w:rPr>
        <w:t xml:space="preserve"> </w:t>
      </w:r>
      <w:r>
        <w:rPr>
          <w:rFonts w:hint="eastAsia" w:ascii="宋体" w:hAnsi="宋体" w:eastAsia="宋体" w:cs="宋体"/>
          <w:color w:val="auto"/>
          <w:spacing w:val="-1"/>
          <w:sz w:val="24"/>
          <w:szCs w:val="24"/>
          <w:highlight w:val="none"/>
        </w:rPr>
        <w:t>”的组成内容（包括该组成内容的所附资料）是否完整、齐全.</w:t>
      </w:r>
      <w:bookmarkEnd w:id="98"/>
    </w:p>
    <w:p w14:paraId="127DFB0D">
      <w:pPr>
        <w:spacing w:before="15" w:line="360" w:lineRule="auto"/>
        <w:ind w:right="2" w:firstLine="474" w:firstLineChars="200"/>
        <w:jc w:val="both"/>
        <w:outlineLvl w:val="9"/>
        <w:rPr>
          <w:rFonts w:hint="eastAsia" w:ascii="宋体" w:hAnsi="宋体" w:eastAsia="宋体" w:cs="宋体"/>
          <w:color w:val="auto"/>
          <w:spacing w:val="2"/>
          <w:sz w:val="24"/>
          <w:szCs w:val="24"/>
          <w:highlight w:val="none"/>
        </w:rPr>
      </w:pPr>
      <w:bookmarkStart w:id="99" w:name="_Toc16645"/>
      <w:bookmarkStart w:id="100" w:name="_Toc22562"/>
      <w:bookmarkStart w:id="101" w:name="_Toc22642"/>
      <w:bookmarkStart w:id="102" w:name="_Toc14202"/>
      <w:r>
        <w:rPr>
          <w:rFonts w:hint="eastAsia" w:ascii="宋体" w:hAnsi="宋体" w:eastAsia="宋体" w:cs="宋体"/>
          <w:b/>
          <w:bCs/>
          <w:color w:val="auto"/>
          <w:spacing w:val="-2"/>
          <w:sz w:val="24"/>
          <w:szCs w:val="24"/>
          <w:highlight w:val="none"/>
        </w:rPr>
        <w:t xml:space="preserve">15.4.3  </w:t>
      </w:r>
      <w:r>
        <w:rPr>
          <w:rFonts w:hint="eastAsia" w:ascii="宋体" w:hAnsi="宋体" w:eastAsia="宋体" w:cs="宋体"/>
          <w:color w:val="auto"/>
          <w:spacing w:val="2"/>
          <w:sz w:val="24"/>
          <w:szCs w:val="24"/>
          <w:highlight w:val="none"/>
        </w:rPr>
        <w:t xml:space="preserve">响应性评审环节 </w:t>
      </w:r>
    </w:p>
    <w:p w14:paraId="746226A2">
      <w:pPr>
        <w:spacing w:before="15" w:line="360" w:lineRule="auto"/>
        <w:ind w:right="2" w:firstLine="488" w:firstLineChars="200"/>
        <w:jc w:val="both"/>
        <w:outlineLvl w:val="9"/>
        <w:rPr>
          <w:rFonts w:hint="eastAsia" w:ascii="宋体" w:hAnsi="宋体" w:eastAsia="宋体" w:cs="宋体"/>
          <w:color w:val="auto"/>
          <w:spacing w:val="1"/>
          <w:sz w:val="24"/>
          <w:szCs w:val="24"/>
          <w:highlight w:val="none"/>
        </w:rPr>
      </w:pPr>
      <w:r>
        <w:rPr>
          <w:rFonts w:hint="eastAsia" w:ascii="宋体" w:hAnsi="宋体" w:eastAsia="宋体" w:cs="宋体"/>
          <w:color w:val="auto"/>
          <w:spacing w:val="2"/>
          <w:sz w:val="24"/>
          <w:szCs w:val="24"/>
          <w:highlight w:val="none"/>
        </w:rPr>
        <w:t>响应性评项包括：</w:t>
      </w:r>
      <w:bookmarkEnd w:id="99"/>
      <w:bookmarkEnd w:id="100"/>
      <w:bookmarkEnd w:id="101"/>
      <w:bookmarkEnd w:id="102"/>
    </w:p>
    <w:p w14:paraId="7C2C97F5">
      <w:pPr>
        <w:keepNext w:val="0"/>
        <w:keepLines w:val="0"/>
        <w:pageBreakBefore w:val="0"/>
        <w:widowControl/>
        <w:kinsoku w:val="0"/>
        <w:wordWrap/>
        <w:overflowPunct/>
        <w:topLinePunct w:val="0"/>
        <w:autoSpaceDE w:val="0"/>
        <w:autoSpaceDN w:val="0"/>
        <w:bidi w:val="0"/>
        <w:adjustRightInd w:val="0"/>
        <w:snapToGrid w:val="0"/>
        <w:spacing w:line="360" w:lineRule="auto"/>
        <w:ind w:left="11" w:firstLine="493"/>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（1）投标有效期、质量标准、工期等是否响应招标文件实</w:t>
      </w:r>
      <w:r>
        <w:rPr>
          <w:rFonts w:hint="eastAsia" w:ascii="宋体" w:hAnsi="宋体" w:eastAsia="宋体" w:cs="宋体"/>
          <w:color w:val="auto"/>
          <w:spacing w:val="1"/>
          <w:sz w:val="24"/>
          <w:szCs w:val="24"/>
          <w:highlight w:val="none"/>
        </w:rPr>
        <w:t>质性要求；是否擅自</w:t>
      </w:r>
      <w:r>
        <w:rPr>
          <w:rFonts w:hint="eastAsia" w:ascii="宋体" w:hAnsi="宋体" w:eastAsia="宋体" w:cs="宋体"/>
          <w:color w:val="auto"/>
          <w:spacing w:val="-1"/>
          <w:sz w:val="24"/>
          <w:szCs w:val="24"/>
          <w:highlight w:val="none"/>
        </w:rPr>
        <w:t>修改、遗漏《投标函》《各项承诺一览表》的实质性内容。</w:t>
      </w:r>
    </w:p>
    <w:p w14:paraId="0FC3EBE0">
      <w:pPr>
        <w:keepNext w:val="0"/>
        <w:keepLines w:val="0"/>
        <w:pageBreakBefore w:val="0"/>
        <w:widowControl/>
        <w:kinsoku w:val="0"/>
        <w:wordWrap/>
        <w:overflowPunct/>
        <w:topLinePunct w:val="0"/>
        <w:autoSpaceDE w:val="0"/>
        <w:autoSpaceDN w:val="0"/>
        <w:bidi w:val="0"/>
        <w:adjustRightInd w:val="0"/>
        <w:snapToGrid w:val="0"/>
        <w:spacing w:line="360" w:lineRule="auto"/>
        <w:ind w:left="499"/>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（2）编制《投标总价》的造价工程师，其注册证书是否合法、有效。</w:t>
      </w:r>
    </w:p>
    <w:p w14:paraId="7272F12D">
      <w:pPr>
        <w:keepNext w:val="0"/>
        <w:keepLines w:val="0"/>
        <w:pageBreakBefore w:val="0"/>
        <w:widowControl/>
        <w:kinsoku w:val="0"/>
        <w:wordWrap/>
        <w:overflowPunct/>
        <w:topLinePunct w:val="0"/>
        <w:autoSpaceDE w:val="0"/>
        <w:autoSpaceDN w:val="0"/>
        <w:bidi w:val="0"/>
        <w:adjustRightInd w:val="0"/>
        <w:snapToGrid w:val="0"/>
        <w:spacing w:line="360" w:lineRule="auto"/>
        <w:ind w:left="23" w:right="0" w:firstLine="482"/>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（3）投标人委托造价咨询单位编制《投标总价》的，是否在《投标总价扉页》“投标人</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1"/>
          <w:sz w:val="24"/>
          <w:szCs w:val="24"/>
          <w:highlight w:val="none"/>
        </w:rPr>
        <w:t>”栏目加盖造价咨询人公章；是否提供</w:t>
      </w:r>
      <w:r>
        <w:rPr>
          <w:rFonts w:hint="eastAsia" w:ascii="宋体" w:hAnsi="宋体" w:eastAsia="宋体" w:cs="宋体"/>
          <w:color w:val="auto"/>
          <w:sz w:val="24"/>
          <w:szCs w:val="24"/>
          <w:highlight w:val="none"/>
        </w:rPr>
        <w:t>造价咨询人的营业执照</w:t>
      </w:r>
      <w:r>
        <w:rPr>
          <w:rFonts w:hint="eastAsia" w:ascii="宋体" w:hAnsi="宋体" w:eastAsia="宋体" w:cs="宋体"/>
          <w:color w:val="auto"/>
          <w:spacing w:val="-2"/>
          <w:sz w:val="24"/>
          <w:szCs w:val="24"/>
          <w:highlight w:val="none"/>
        </w:rPr>
        <w:t>副本彩色扫描件；</w:t>
      </w:r>
    </w:p>
    <w:p w14:paraId="1684033F">
      <w:pPr>
        <w:keepNext w:val="0"/>
        <w:keepLines w:val="0"/>
        <w:pageBreakBefore w:val="0"/>
        <w:widowControl/>
        <w:kinsoku w:val="0"/>
        <w:wordWrap/>
        <w:overflowPunct/>
        <w:topLinePunct w:val="0"/>
        <w:autoSpaceDE w:val="0"/>
        <w:autoSpaceDN w:val="0"/>
        <w:bidi w:val="0"/>
        <w:adjustRightInd w:val="0"/>
        <w:snapToGrid w:val="0"/>
        <w:spacing w:line="360" w:lineRule="auto"/>
        <w:ind w:left="11" w:firstLine="493"/>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（4）投标总价是否唯一；投标总价是否超出</w:t>
      </w:r>
      <w:r>
        <w:rPr>
          <w:rFonts w:hint="eastAsia" w:ascii="宋体" w:hAnsi="宋体" w:eastAsia="宋体" w:cs="宋体"/>
          <w:b/>
          <w:bCs/>
          <w:color w:val="auto"/>
          <w:spacing w:val="1"/>
          <w:sz w:val="24"/>
          <w:szCs w:val="24"/>
          <w:highlight w:val="none"/>
          <w:lang w:val="en-US" w:eastAsia="zh-CN"/>
        </w:rPr>
        <w:t>最高投标限价</w:t>
      </w:r>
      <w:r>
        <w:rPr>
          <w:rFonts w:hint="eastAsia" w:ascii="宋体" w:hAnsi="宋体" w:eastAsia="宋体" w:cs="宋体"/>
          <w:color w:val="auto"/>
          <w:spacing w:val="1"/>
          <w:sz w:val="24"/>
          <w:szCs w:val="24"/>
          <w:highlight w:val="none"/>
        </w:rPr>
        <w:t>；</w:t>
      </w:r>
      <w:r>
        <w:rPr>
          <w:rFonts w:hint="eastAsia" w:ascii="宋体" w:hAnsi="宋体" w:eastAsia="宋体" w:cs="宋体"/>
          <w:b/>
          <w:bCs/>
          <w:color w:val="auto"/>
          <w:spacing w:val="1"/>
          <w:sz w:val="24"/>
          <w:szCs w:val="24"/>
          <w:highlight w:val="none"/>
        </w:rPr>
        <w:t>安全生产措施费</w:t>
      </w:r>
      <w:r>
        <w:rPr>
          <w:rFonts w:hint="eastAsia" w:ascii="宋体" w:hAnsi="宋体" w:eastAsia="宋体" w:cs="宋体"/>
          <w:color w:val="auto"/>
          <w:spacing w:val="-1"/>
          <w:sz w:val="24"/>
          <w:szCs w:val="24"/>
          <w:highlight w:val="none"/>
        </w:rPr>
        <w:t>是否达到最低要求；暂列金额、暂估价是否按照招标工</w:t>
      </w:r>
      <w:r>
        <w:rPr>
          <w:rFonts w:hint="eastAsia" w:ascii="宋体" w:hAnsi="宋体" w:eastAsia="宋体" w:cs="宋体"/>
          <w:color w:val="auto"/>
          <w:spacing w:val="-2"/>
          <w:sz w:val="24"/>
          <w:szCs w:val="24"/>
          <w:highlight w:val="none"/>
        </w:rPr>
        <w:t>程量清单统一报价；投</w:t>
      </w:r>
      <w:r>
        <w:rPr>
          <w:rFonts w:hint="eastAsia" w:ascii="宋体" w:hAnsi="宋体" w:eastAsia="宋体" w:cs="宋体"/>
          <w:color w:val="auto"/>
          <w:spacing w:val="-1"/>
          <w:sz w:val="24"/>
          <w:szCs w:val="24"/>
          <w:highlight w:val="none"/>
        </w:rPr>
        <w:t>标人是否以低于成本的价格竞标。</w:t>
      </w:r>
    </w:p>
    <w:p w14:paraId="07EB7BBE">
      <w:pPr>
        <w:spacing w:before="38" w:line="360" w:lineRule="auto"/>
        <w:ind w:right="2" w:firstLine="474" w:firstLineChars="200"/>
        <w:jc w:val="both"/>
        <w:rPr>
          <w:rFonts w:hint="eastAsia" w:ascii="宋体" w:hAnsi="宋体" w:eastAsia="宋体" w:cs="宋体"/>
          <w:color w:val="auto"/>
          <w:position w:val="-8"/>
          <w:sz w:val="24"/>
          <w:szCs w:val="24"/>
          <w:highlight w:val="none"/>
        </w:rPr>
      </w:pPr>
      <w:r>
        <w:rPr>
          <w:rFonts w:hint="eastAsia" w:ascii="宋体" w:hAnsi="宋体" w:eastAsia="宋体" w:cs="宋体"/>
          <w:b/>
          <w:bCs/>
          <w:color w:val="auto"/>
          <w:spacing w:val="-2"/>
          <w:sz w:val="24"/>
          <w:szCs w:val="24"/>
          <w:highlight w:val="none"/>
        </w:rPr>
        <w:t>注：如果某投标人的投标总价下浮率超过</w:t>
      </w:r>
      <w:r>
        <w:rPr>
          <w:rFonts w:hint="eastAsia" w:ascii="宋体" w:hAnsi="宋体" w:eastAsia="宋体" w:cs="宋体"/>
          <w:color w:val="auto"/>
          <w:spacing w:val="-41"/>
          <w:sz w:val="24"/>
          <w:szCs w:val="24"/>
          <w:highlight w:val="none"/>
        </w:rPr>
        <w:t xml:space="preserve"> </w:t>
      </w:r>
      <w:r>
        <w:rPr>
          <w:rFonts w:hint="eastAsia" w:ascii="宋体" w:hAnsi="宋体" w:eastAsia="宋体" w:cs="宋体"/>
          <w:b/>
          <w:bCs/>
          <w:color w:val="auto"/>
          <w:spacing w:val="-2"/>
          <w:sz w:val="24"/>
          <w:szCs w:val="24"/>
          <w:highlight w:val="none"/>
        </w:rPr>
        <w:t>15%</w:t>
      </w:r>
      <w:r>
        <w:rPr>
          <w:rFonts w:hint="eastAsia" w:ascii="宋体" w:hAnsi="宋体" w:eastAsia="宋体" w:cs="宋体"/>
          <w:b/>
          <w:bCs/>
          <w:color w:val="auto"/>
          <w:spacing w:val="-32"/>
          <w:sz w:val="24"/>
          <w:szCs w:val="24"/>
          <w:highlight w:val="none"/>
        </w:rPr>
        <w:t xml:space="preserve"> </w:t>
      </w:r>
      <w:r>
        <w:rPr>
          <w:rFonts w:hint="eastAsia" w:ascii="宋体" w:hAnsi="宋体" w:eastAsia="宋体" w:cs="宋体"/>
          <w:b/>
          <w:bCs/>
          <w:color w:val="auto"/>
          <w:spacing w:val="-2"/>
          <w:sz w:val="24"/>
          <w:szCs w:val="24"/>
          <w:highlight w:val="none"/>
        </w:rPr>
        <w:t>，又未提供</w:t>
      </w:r>
      <w:r>
        <w:rPr>
          <w:rFonts w:hint="eastAsia" w:ascii="宋体" w:hAnsi="宋体" w:eastAsia="宋体" w:cs="宋体"/>
          <w:b/>
          <w:bCs/>
          <w:color w:val="auto"/>
          <w:spacing w:val="-3"/>
          <w:sz w:val="24"/>
          <w:szCs w:val="24"/>
          <w:highlight w:val="none"/>
        </w:rPr>
        <w:t>相应书面说明和佐证</w:t>
      </w:r>
      <w:bookmarkStart w:id="103" w:name="bookmark127"/>
      <w:bookmarkEnd w:id="103"/>
      <w:r>
        <w:rPr>
          <w:rFonts w:hint="eastAsia" w:ascii="宋体" w:hAnsi="宋体" w:eastAsia="宋体" w:cs="宋体"/>
          <w:b/>
          <w:bCs/>
          <w:color w:val="auto"/>
          <w:spacing w:val="-4"/>
          <w:sz w:val="24"/>
          <w:szCs w:val="24"/>
          <w:highlight w:val="none"/>
        </w:rPr>
        <w:t>材料或提供的书面说明和佐证材料不能令人信服的，评标委员会应认定其以低于成本</w:t>
      </w:r>
      <w:r>
        <w:rPr>
          <w:rFonts w:hint="eastAsia" w:ascii="宋体" w:hAnsi="宋体" w:eastAsia="宋体" w:cs="宋体"/>
          <w:b/>
          <w:bCs/>
          <w:color w:val="auto"/>
          <w:spacing w:val="-9"/>
          <w:sz w:val="24"/>
          <w:szCs w:val="24"/>
          <w:highlight w:val="none"/>
        </w:rPr>
        <w:t>的价格竞标，并否决其投标。评</w:t>
      </w:r>
      <w:r>
        <w:rPr>
          <w:rFonts w:hint="eastAsia" w:ascii="宋体" w:hAnsi="宋体" w:eastAsia="宋体" w:cs="宋体"/>
          <w:b/>
          <w:bCs/>
          <w:color w:val="auto"/>
          <w:spacing w:val="-4"/>
          <w:sz w:val="24"/>
          <w:szCs w:val="24"/>
          <w:highlight w:val="none"/>
        </w:rPr>
        <w:t>标委员会接受该投标人的投标总价而未否决其投标的， 应在评标报告中说明判断理由。投标总价下浮率＝（1－投标总价÷</w:t>
      </w:r>
      <w:r>
        <w:rPr>
          <w:rFonts w:hint="eastAsia" w:ascii="宋体" w:hAnsi="宋体" w:eastAsia="宋体" w:cs="宋体"/>
          <w:b/>
          <w:bCs/>
          <w:color w:val="auto"/>
          <w:spacing w:val="-4"/>
          <w:sz w:val="24"/>
          <w:szCs w:val="24"/>
          <w:highlight w:val="none"/>
          <w:lang w:eastAsia="zh-CN"/>
        </w:rPr>
        <w:t>最高投标限价</w:t>
      </w:r>
      <w:r>
        <w:rPr>
          <w:rFonts w:hint="eastAsia" w:ascii="宋体" w:hAnsi="宋体" w:eastAsia="宋体" w:cs="宋体"/>
          <w:b/>
          <w:bCs/>
          <w:color w:val="auto"/>
          <w:spacing w:val="-4"/>
          <w:sz w:val="24"/>
          <w:szCs w:val="24"/>
          <w:highlight w:val="none"/>
        </w:rPr>
        <w:t>）×100% 。</w:t>
      </w:r>
    </w:p>
    <w:p w14:paraId="1B4A1888">
      <w:pPr>
        <w:spacing w:before="157" w:line="360" w:lineRule="auto"/>
        <w:ind w:left="11" w:right="114" w:firstLine="505" w:firstLineChars="209"/>
        <w:jc w:val="both"/>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（5）施工组织设计的质量、进度保障措施是否符合国</w:t>
      </w:r>
      <w:r>
        <w:rPr>
          <w:rFonts w:hint="eastAsia" w:ascii="宋体" w:hAnsi="宋体" w:eastAsia="宋体" w:cs="宋体"/>
          <w:color w:val="auto"/>
          <w:sz w:val="24"/>
          <w:szCs w:val="24"/>
          <w:highlight w:val="none"/>
        </w:rPr>
        <w:t>家和省市现行有关规</w:t>
      </w:r>
      <w:r>
        <w:rPr>
          <w:rFonts w:hint="eastAsia" w:ascii="宋体" w:hAnsi="宋体" w:eastAsia="宋体" w:cs="宋体"/>
          <w:color w:val="auto"/>
          <w:spacing w:val="-1"/>
          <w:sz w:val="24"/>
          <w:szCs w:val="24"/>
          <w:highlight w:val="none"/>
        </w:rPr>
        <w:t>范、规定、标准，是否能实现工程质量、进度管理目标。</w:t>
      </w:r>
    </w:p>
    <w:p w14:paraId="123D5255">
      <w:pPr>
        <w:spacing w:before="82" w:line="211" w:lineRule="auto"/>
        <w:ind w:left="580"/>
        <w:outlineLvl w:val="9"/>
        <w:rPr>
          <w:rFonts w:hint="eastAsia" w:ascii="宋体" w:hAnsi="宋体" w:eastAsia="宋体" w:cs="宋体"/>
          <w:color w:val="auto"/>
          <w:sz w:val="25"/>
          <w:szCs w:val="25"/>
          <w:highlight w:val="none"/>
        </w:rPr>
      </w:pPr>
      <w:bookmarkStart w:id="104" w:name="_Toc18204"/>
      <w:bookmarkStart w:id="105" w:name="_Toc32114"/>
      <w:bookmarkStart w:id="106" w:name="_Toc15367"/>
      <w:bookmarkStart w:id="107" w:name="_Toc19814"/>
      <w:r>
        <w:rPr>
          <w:rFonts w:hint="eastAsia" w:ascii="宋体" w:hAnsi="宋体" w:eastAsia="宋体" w:cs="宋体"/>
          <w:b/>
          <w:bCs/>
          <w:color w:val="auto"/>
          <w:spacing w:val="-3"/>
          <w:sz w:val="24"/>
          <w:szCs w:val="24"/>
          <w:highlight w:val="none"/>
        </w:rPr>
        <w:t xml:space="preserve">15.4.4  </w:t>
      </w:r>
      <w:r>
        <w:rPr>
          <w:rFonts w:hint="eastAsia" w:ascii="宋体" w:hAnsi="宋体" w:eastAsia="宋体" w:cs="宋体"/>
          <w:color w:val="auto"/>
          <w:spacing w:val="-3"/>
          <w:sz w:val="24"/>
          <w:szCs w:val="24"/>
          <w:highlight w:val="none"/>
        </w:rPr>
        <w:t>否决投标说明</w:t>
      </w:r>
      <w:bookmarkEnd w:id="104"/>
      <w:bookmarkEnd w:id="105"/>
      <w:bookmarkEnd w:id="106"/>
      <w:bookmarkEnd w:id="107"/>
    </w:p>
    <w:p w14:paraId="0A7D0F98">
      <w:pPr>
        <w:spacing w:before="152" w:line="333" w:lineRule="auto"/>
        <w:ind w:left="11" w:right="175" w:firstLine="561"/>
        <w:rPr>
          <w:rFonts w:hint="eastAsia" w:ascii="宋体" w:hAnsi="宋体" w:eastAsia="宋体" w:cs="宋体"/>
          <w:color w:val="auto"/>
          <w:highlight w:val="none"/>
        </w:rPr>
      </w:pPr>
      <w:r>
        <w:rPr>
          <w:rFonts w:hint="eastAsia" w:ascii="宋体" w:hAnsi="宋体" w:eastAsia="宋体" w:cs="宋体"/>
          <w:color w:val="auto"/>
          <w:spacing w:val="-5"/>
          <w:sz w:val="24"/>
          <w:szCs w:val="24"/>
          <w:highlight w:val="none"/>
        </w:rPr>
        <w:t>初步评审阶段各个环节否决投标的全部条件，在本章第四节“否决投标条件</w:t>
      </w:r>
      <w:r>
        <w:rPr>
          <w:rFonts w:hint="eastAsia" w:ascii="宋体" w:hAnsi="宋体" w:eastAsia="宋体" w:cs="宋体"/>
          <w:color w:val="auto"/>
          <w:spacing w:val="-73"/>
          <w:sz w:val="24"/>
          <w:szCs w:val="24"/>
          <w:highlight w:val="none"/>
        </w:rPr>
        <w:t xml:space="preserve"> </w:t>
      </w:r>
      <w:r>
        <w:rPr>
          <w:rFonts w:hint="eastAsia" w:ascii="宋体" w:hAnsi="宋体" w:eastAsia="宋体" w:cs="宋体"/>
          <w:color w:val="auto"/>
          <w:spacing w:val="-5"/>
          <w:sz w:val="24"/>
          <w:szCs w:val="24"/>
          <w:highlight w:val="none"/>
        </w:rPr>
        <w:t>”第</w:t>
      </w:r>
      <w:r>
        <w:rPr>
          <w:rFonts w:hint="eastAsia" w:ascii="宋体" w:hAnsi="宋体" w:eastAsia="宋体" w:cs="宋体"/>
          <w:b/>
          <w:bCs/>
          <w:color w:val="auto"/>
          <w:sz w:val="24"/>
          <w:szCs w:val="24"/>
          <w:highlight w:val="none"/>
        </w:rPr>
        <w:t>1</w:t>
      </w:r>
      <w:r>
        <w:rPr>
          <w:rFonts w:hint="eastAsia" w:ascii="宋体" w:hAnsi="宋体" w:eastAsia="宋体" w:cs="宋体"/>
          <w:color w:val="auto"/>
          <w:sz w:val="24"/>
          <w:szCs w:val="24"/>
          <w:highlight w:val="none"/>
        </w:rPr>
        <w:t>条至第</w:t>
      </w:r>
      <w:r>
        <w:rPr>
          <w:rFonts w:hint="eastAsia" w:ascii="宋体" w:hAnsi="宋体" w:eastAsia="宋体" w:cs="宋体"/>
          <w:color w:val="auto"/>
          <w:spacing w:val="-46"/>
          <w:sz w:val="24"/>
          <w:szCs w:val="24"/>
          <w:highlight w:val="none"/>
        </w:rPr>
        <w:t xml:space="preserve"> </w:t>
      </w:r>
      <w:r>
        <w:rPr>
          <w:rFonts w:hint="eastAsia" w:ascii="宋体" w:hAnsi="宋体" w:eastAsia="宋体" w:cs="宋体"/>
          <w:b/>
          <w:bCs/>
          <w:color w:val="auto"/>
          <w:sz w:val="24"/>
          <w:szCs w:val="24"/>
          <w:highlight w:val="none"/>
        </w:rPr>
        <w:t>4</w:t>
      </w:r>
      <w:r>
        <w:rPr>
          <w:rFonts w:hint="eastAsia" w:ascii="宋体" w:hAnsi="宋体" w:eastAsia="宋体" w:cs="宋体"/>
          <w:color w:val="auto"/>
          <w:sz w:val="24"/>
          <w:szCs w:val="24"/>
          <w:highlight w:val="none"/>
        </w:rPr>
        <w:t>条中集中列示。投标人有其中所列任何一种情形的，由评标委员会否决其</w:t>
      </w:r>
      <w:r>
        <w:rPr>
          <w:rFonts w:hint="eastAsia" w:ascii="宋体" w:hAnsi="宋体" w:eastAsia="宋体" w:cs="宋体"/>
          <w:color w:val="auto"/>
          <w:spacing w:val="-1"/>
          <w:sz w:val="24"/>
          <w:szCs w:val="24"/>
          <w:highlight w:val="none"/>
        </w:rPr>
        <w:t>投标。在初步评审阶段任何环节被否决的投标人，不进入下一环</w:t>
      </w:r>
      <w:r>
        <w:rPr>
          <w:rFonts w:hint="eastAsia" w:ascii="宋体" w:hAnsi="宋体" w:eastAsia="宋体" w:cs="宋体"/>
          <w:color w:val="auto"/>
          <w:spacing w:val="-2"/>
          <w:sz w:val="24"/>
          <w:szCs w:val="24"/>
          <w:highlight w:val="none"/>
        </w:rPr>
        <w:t>节（或阶段）评审。</w:t>
      </w:r>
      <w:r>
        <w:rPr>
          <w:rFonts w:hint="eastAsia" w:ascii="宋体" w:hAnsi="宋体" w:eastAsia="宋体" w:cs="宋体"/>
          <w:color w:val="auto"/>
          <w:spacing w:val="-1"/>
          <w:sz w:val="24"/>
          <w:szCs w:val="24"/>
          <w:highlight w:val="none"/>
        </w:rPr>
        <w:t>在初步评审阶段任何环节。</w:t>
      </w:r>
      <w:r>
        <w:rPr>
          <w:rFonts w:hint="eastAsia" w:ascii="宋体" w:hAnsi="宋体" w:eastAsia="宋体" w:cs="宋体"/>
          <w:color w:val="auto"/>
          <w:sz w:val="24"/>
          <w:szCs w:val="24"/>
          <w:highlight w:val="none"/>
        </w:rPr>
        <w:t>评标委员会经评审，认为所有投标都不符合招标文件要求的，可否决所有投标，项目的所有投标被否决的，招标人应依法重新组织招标。</w:t>
      </w:r>
    </w:p>
    <w:p w14:paraId="4AB68C11">
      <w:pPr>
        <w:spacing w:before="78" w:line="221" w:lineRule="auto"/>
        <w:ind w:left="577"/>
        <w:rPr>
          <w:rFonts w:hint="eastAsia" w:ascii="宋体" w:hAnsi="宋体" w:eastAsia="宋体" w:cs="宋体"/>
          <w:color w:val="auto"/>
          <w:sz w:val="24"/>
          <w:szCs w:val="24"/>
          <w:highlight w:val="none"/>
        </w:rPr>
      </w:pPr>
      <w:r>
        <w:rPr>
          <w:rFonts w:hint="eastAsia" w:ascii="宋体" w:hAnsi="宋体" w:eastAsia="宋体" w:cs="宋体"/>
          <w:color w:val="auto"/>
          <w:highlight w:val="none"/>
        </w:rPr>
        <w:drawing>
          <wp:anchor distT="0" distB="0" distL="114300" distR="114300" simplePos="0" relativeHeight="251661312" behindDoc="1" locked="0" layoutInCell="1" allowOverlap="1">
            <wp:simplePos x="0" y="0"/>
            <wp:positionH relativeFrom="column">
              <wp:posOffset>4789170</wp:posOffset>
            </wp:positionH>
            <wp:positionV relativeFrom="paragraph">
              <wp:posOffset>236220</wp:posOffset>
            </wp:positionV>
            <wp:extent cx="6350" cy="279400"/>
            <wp:effectExtent l="0" t="0" r="0" b="0"/>
            <wp:wrapNone/>
            <wp:docPr id="31" name="IM 46"/>
            <wp:cNvGraphicFramePr/>
            <a:graphic xmlns:a="http://schemas.openxmlformats.org/drawingml/2006/main">
              <a:graphicData uri="http://schemas.openxmlformats.org/drawingml/2006/picture">
                <pic:pic xmlns:pic="http://schemas.openxmlformats.org/drawingml/2006/picture">
                  <pic:nvPicPr>
                    <pic:cNvPr id="31" name="IM 46"/>
                    <pic:cNvPicPr/>
                  </pic:nvPicPr>
                  <pic:blipFill>
                    <a:blip r:embed="rId28"/>
                    <a:stretch>
                      <a:fillRect/>
                    </a:stretch>
                  </pic:blipFill>
                  <pic:spPr>
                    <a:xfrm>
                      <a:off x="0" y="0"/>
                      <a:ext cx="6350" cy="279400"/>
                    </a:xfrm>
                    <a:prstGeom prst="rect">
                      <a:avLst/>
                    </a:prstGeom>
                    <a:noFill/>
                    <a:ln>
                      <a:noFill/>
                    </a:ln>
                  </pic:spPr>
                </pic:pic>
              </a:graphicData>
            </a:graphic>
          </wp:anchor>
        </w:drawing>
      </w:r>
      <w:bookmarkStart w:id="108" w:name="bookmark128"/>
      <w:bookmarkEnd w:id="108"/>
      <w:r>
        <w:rPr>
          <w:rFonts w:hint="eastAsia" w:ascii="宋体" w:hAnsi="宋体" w:eastAsia="宋体" w:cs="宋体"/>
          <w:b/>
          <w:bCs/>
          <w:color w:val="auto"/>
          <w:spacing w:val="-2"/>
          <w:sz w:val="24"/>
          <w:szCs w:val="24"/>
          <w:highlight w:val="none"/>
        </w:rPr>
        <w:t xml:space="preserve">15.5  </w:t>
      </w:r>
      <w:r>
        <w:rPr>
          <w:rFonts w:hint="eastAsia" w:ascii="宋体" w:hAnsi="宋体" w:eastAsia="宋体" w:cs="宋体"/>
          <w:color w:val="auto"/>
          <w:spacing w:val="-2"/>
          <w:sz w:val="24"/>
          <w:szCs w:val="24"/>
          <w:highlight w:val="none"/>
        </w:rPr>
        <w:t>详细评审阶段</w:t>
      </w:r>
    </w:p>
    <w:p w14:paraId="21AA4981">
      <w:pPr>
        <w:spacing w:before="81" w:line="211" w:lineRule="auto"/>
        <w:ind w:left="498"/>
        <w:outlineLvl w:val="9"/>
        <w:rPr>
          <w:rFonts w:hint="eastAsia" w:ascii="宋体" w:hAnsi="宋体" w:eastAsia="宋体" w:cs="宋体"/>
          <w:color w:val="auto"/>
          <w:sz w:val="25"/>
          <w:szCs w:val="25"/>
          <w:highlight w:val="none"/>
        </w:rPr>
      </w:pPr>
      <w:bookmarkStart w:id="109" w:name="_Toc28572"/>
      <w:bookmarkStart w:id="110" w:name="_Toc4119"/>
      <w:bookmarkStart w:id="111" w:name="_Toc14991"/>
      <w:bookmarkStart w:id="112" w:name="_Toc10503"/>
      <w:r>
        <w:rPr>
          <w:rFonts w:hint="eastAsia" w:ascii="宋体" w:hAnsi="宋体" w:eastAsia="宋体" w:cs="宋体"/>
          <w:b/>
          <w:bCs/>
          <w:color w:val="auto"/>
          <w:spacing w:val="-3"/>
          <w:sz w:val="24"/>
          <w:szCs w:val="24"/>
          <w:highlight w:val="none"/>
        </w:rPr>
        <w:t xml:space="preserve">15.5.1  </w:t>
      </w:r>
      <w:r>
        <w:rPr>
          <w:rFonts w:hint="eastAsia" w:ascii="宋体" w:hAnsi="宋体" w:eastAsia="宋体" w:cs="宋体"/>
          <w:color w:val="auto"/>
          <w:spacing w:val="-3"/>
          <w:sz w:val="24"/>
          <w:szCs w:val="24"/>
          <w:highlight w:val="none"/>
        </w:rPr>
        <w:t>“综合评估法</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3"/>
          <w:sz w:val="24"/>
          <w:szCs w:val="24"/>
          <w:highlight w:val="none"/>
        </w:rPr>
        <w:t>”评审程序</w:t>
      </w:r>
      <w:bookmarkEnd w:id="109"/>
      <w:bookmarkEnd w:id="110"/>
      <w:bookmarkEnd w:id="111"/>
      <w:bookmarkEnd w:id="112"/>
    </w:p>
    <w:p w14:paraId="5801B40B">
      <w:pPr>
        <w:spacing w:before="152" w:line="329" w:lineRule="auto"/>
        <w:ind w:left="14" w:right="81" w:firstLine="476"/>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评审内容分为商务技术和投标报价两大部分。其中，商</w:t>
      </w:r>
      <w:r>
        <w:rPr>
          <w:rFonts w:hint="eastAsia" w:ascii="宋体" w:hAnsi="宋体" w:eastAsia="宋体" w:cs="宋体"/>
          <w:color w:val="auto"/>
          <w:spacing w:val="-2"/>
          <w:sz w:val="24"/>
          <w:szCs w:val="24"/>
          <w:highlight w:val="none"/>
        </w:rPr>
        <w:t>务技术合计满分</w:t>
      </w:r>
      <w:r>
        <w:rPr>
          <w:rFonts w:hint="eastAsia" w:ascii="宋体" w:hAnsi="宋体" w:eastAsia="宋体" w:cs="宋体"/>
          <w:color w:val="auto"/>
          <w:spacing w:val="-2"/>
          <w:sz w:val="24"/>
          <w:szCs w:val="24"/>
          <w:highlight w:val="none"/>
          <w:lang w:eastAsia="zh-CN"/>
        </w:rPr>
        <w:t>100</w:t>
      </w:r>
      <w:r>
        <w:rPr>
          <w:rFonts w:hint="eastAsia" w:ascii="宋体" w:hAnsi="宋体" w:eastAsia="宋体" w:cs="宋体"/>
          <w:color w:val="auto"/>
          <w:spacing w:val="-2"/>
          <w:sz w:val="24"/>
          <w:szCs w:val="24"/>
          <w:highlight w:val="none"/>
        </w:rPr>
        <w:t>分，权重</w:t>
      </w:r>
      <w:r>
        <w:rPr>
          <w:rFonts w:hint="eastAsia" w:ascii="宋体" w:hAnsi="宋体" w:eastAsia="宋体" w:cs="宋体"/>
          <w:color w:val="auto"/>
          <w:spacing w:val="-3"/>
          <w:sz w:val="24"/>
          <w:szCs w:val="24"/>
          <w:highlight w:val="none"/>
        </w:rPr>
        <w:t>为</w:t>
      </w:r>
      <w:r>
        <w:rPr>
          <w:rFonts w:hint="eastAsia" w:ascii="宋体" w:hAnsi="宋体" w:eastAsia="宋体" w:cs="宋体"/>
          <w:color w:val="auto"/>
          <w:spacing w:val="-3"/>
          <w:sz w:val="24"/>
          <w:szCs w:val="24"/>
          <w:highlight w:val="none"/>
          <w:lang w:eastAsia="zh-CN"/>
        </w:rPr>
        <w:t>40</w:t>
      </w:r>
      <w:r>
        <w:rPr>
          <w:rFonts w:hint="eastAsia" w:ascii="宋体" w:hAnsi="宋体" w:eastAsia="宋体" w:cs="宋体"/>
          <w:color w:val="auto"/>
          <w:spacing w:val="-3"/>
          <w:sz w:val="24"/>
          <w:szCs w:val="24"/>
          <w:highlight w:val="none"/>
        </w:rPr>
        <w:t>%；投标报价满分</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pacing w:val="-3"/>
          <w:sz w:val="24"/>
          <w:szCs w:val="24"/>
          <w:highlight w:val="none"/>
        </w:rPr>
        <w:t>100 分，权重为</w:t>
      </w:r>
      <w:r>
        <w:rPr>
          <w:rFonts w:hint="eastAsia" w:ascii="宋体" w:hAnsi="宋体" w:eastAsia="宋体" w:cs="宋体"/>
          <w:color w:val="auto"/>
          <w:spacing w:val="-3"/>
          <w:sz w:val="24"/>
          <w:szCs w:val="24"/>
          <w:highlight w:val="none"/>
          <w:lang w:eastAsia="zh-CN"/>
        </w:rPr>
        <w:t>60</w:t>
      </w:r>
      <w:r>
        <w:rPr>
          <w:rFonts w:hint="eastAsia" w:ascii="宋体" w:hAnsi="宋体" w:eastAsia="宋体" w:cs="宋体"/>
          <w:color w:val="auto"/>
          <w:spacing w:val="-3"/>
          <w:sz w:val="24"/>
          <w:szCs w:val="24"/>
          <w:highlight w:val="none"/>
        </w:rPr>
        <w:t>%</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3"/>
          <w:sz w:val="24"/>
          <w:szCs w:val="24"/>
          <w:highlight w:val="none"/>
        </w:rPr>
        <w:t>。两大部分权重之和应为</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pacing w:val="-3"/>
          <w:sz w:val="24"/>
          <w:szCs w:val="24"/>
          <w:highlight w:val="none"/>
        </w:rPr>
        <w:t>100%。</w:t>
      </w:r>
    </w:p>
    <w:p w14:paraId="7F93F86E">
      <w:pPr>
        <w:spacing w:before="153" w:line="324" w:lineRule="auto"/>
        <w:ind w:left="14" w:right="81" w:firstLine="49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除特别注明外，综合得分以及商务技术得分、投标报价得分的中间过程计算值和</w:t>
      </w:r>
      <w:r>
        <w:rPr>
          <w:rFonts w:hint="eastAsia" w:ascii="宋体" w:hAnsi="宋体" w:eastAsia="宋体" w:cs="宋体"/>
          <w:color w:val="auto"/>
          <w:spacing w:val="-4"/>
          <w:sz w:val="24"/>
          <w:szCs w:val="24"/>
          <w:highlight w:val="none"/>
        </w:rPr>
        <w:t>最终值，均按“</w:t>
      </w:r>
      <w:r>
        <w:rPr>
          <w:rFonts w:hint="eastAsia" w:ascii="宋体" w:hAnsi="宋体" w:eastAsia="宋体" w:cs="宋体"/>
          <w:color w:val="auto"/>
          <w:spacing w:val="-78"/>
          <w:sz w:val="24"/>
          <w:szCs w:val="24"/>
          <w:highlight w:val="none"/>
        </w:rPr>
        <w:t xml:space="preserve"> </w:t>
      </w:r>
      <w:r>
        <w:rPr>
          <w:rFonts w:hint="eastAsia" w:ascii="宋体" w:hAnsi="宋体" w:eastAsia="宋体" w:cs="宋体"/>
          <w:color w:val="auto"/>
          <w:spacing w:val="-4"/>
          <w:sz w:val="24"/>
          <w:szCs w:val="24"/>
          <w:highlight w:val="none"/>
        </w:rPr>
        <w:t>四舍五入</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4"/>
          <w:sz w:val="24"/>
          <w:szCs w:val="24"/>
          <w:highlight w:val="none"/>
        </w:rPr>
        <w:t>”原则精确到两位小数。</w:t>
      </w:r>
    </w:p>
    <w:p w14:paraId="1F4AF271">
      <w:pPr>
        <w:spacing w:before="38" w:line="220" w:lineRule="auto"/>
        <w:ind w:left="503"/>
        <w:outlineLvl w:val="9"/>
        <w:rPr>
          <w:rFonts w:hint="eastAsia" w:ascii="宋体" w:hAnsi="宋体" w:eastAsia="宋体" w:cs="宋体"/>
          <w:color w:val="auto"/>
          <w:sz w:val="24"/>
          <w:szCs w:val="24"/>
          <w:highlight w:val="none"/>
        </w:rPr>
      </w:pPr>
      <w:bookmarkStart w:id="113" w:name="_Toc17510"/>
      <w:bookmarkStart w:id="114" w:name="_Toc22949"/>
      <w:bookmarkStart w:id="115" w:name="_Toc18029"/>
      <w:bookmarkStart w:id="116" w:name="_Toc10398"/>
      <w:r>
        <w:rPr>
          <w:rFonts w:hint="eastAsia" w:ascii="宋体" w:hAnsi="宋体" w:eastAsia="宋体" w:cs="宋体"/>
          <w:color w:val="auto"/>
          <w:spacing w:val="-3"/>
          <w:sz w:val="24"/>
          <w:szCs w:val="24"/>
          <w:highlight w:val="none"/>
        </w:rPr>
        <w:t>（1）商务技术得分</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3"/>
          <w:sz w:val="24"/>
          <w:szCs w:val="24"/>
          <w:highlight w:val="none"/>
        </w:rPr>
        <w:t>M</w:t>
      </w:r>
      <w:bookmarkEnd w:id="113"/>
      <w:bookmarkEnd w:id="114"/>
      <w:bookmarkEnd w:id="115"/>
      <w:bookmarkEnd w:id="116"/>
    </w:p>
    <w:p w14:paraId="392026E4">
      <w:pPr>
        <w:spacing w:before="153" w:line="279" w:lineRule="auto"/>
        <w:ind w:left="15" w:right="81" w:firstLine="477"/>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a</w:t>
      </w:r>
      <w:r>
        <w:rPr>
          <w:rFonts w:hint="eastAsia" w:ascii="宋体" w:hAnsi="宋体" w:eastAsia="宋体" w:cs="宋体"/>
          <w:b/>
          <w:bCs/>
          <w:color w:val="auto"/>
          <w:spacing w:val="-24"/>
          <w:sz w:val="24"/>
          <w:szCs w:val="24"/>
          <w:highlight w:val="none"/>
        </w:rPr>
        <w:t xml:space="preserve"> </w:t>
      </w:r>
      <w:r>
        <w:rPr>
          <w:rFonts w:hint="eastAsia" w:ascii="宋体" w:hAnsi="宋体" w:eastAsia="宋体" w:cs="宋体"/>
          <w:color w:val="auto"/>
          <w:spacing w:val="1"/>
          <w:sz w:val="24"/>
          <w:szCs w:val="24"/>
          <w:highlight w:val="none"/>
        </w:rPr>
        <w:t>．评标委员会按照《综合评分表》商务部分指定的评分标准对各评分因素进行</w:t>
      </w:r>
      <w:r>
        <w:rPr>
          <w:rFonts w:hint="eastAsia" w:ascii="宋体" w:hAnsi="宋体" w:eastAsia="宋体" w:cs="宋体"/>
          <w:color w:val="auto"/>
          <w:spacing w:val="-1"/>
          <w:sz w:val="24"/>
          <w:szCs w:val="24"/>
          <w:highlight w:val="none"/>
        </w:rPr>
        <w:t>打分。各评分因素得分之和即为某投标人的商务得分</w:t>
      </w:r>
      <w:r>
        <w:rPr>
          <w:rFonts w:hint="eastAsia" w:ascii="宋体" w:hAnsi="宋体" w:eastAsia="宋体" w:cs="宋体"/>
          <w:color w:val="auto"/>
          <w:spacing w:val="-45"/>
          <w:sz w:val="24"/>
          <w:szCs w:val="24"/>
          <w:highlight w:val="none"/>
        </w:rPr>
        <w:t xml:space="preserve"> </w:t>
      </w:r>
      <w:r>
        <w:rPr>
          <w:rFonts w:hint="eastAsia" w:ascii="宋体" w:hAnsi="宋体" w:eastAsia="宋体" w:cs="宋体"/>
          <w:color w:val="auto"/>
          <w:spacing w:val="-1"/>
          <w:sz w:val="24"/>
          <w:szCs w:val="24"/>
          <w:highlight w:val="none"/>
        </w:rPr>
        <w:t>M</w:t>
      </w:r>
      <w:r>
        <w:rPr>
          <w:rFonts w:hint="eastAsia" w:ascii="宋体" w:hAnsi="宋体" w:eastAsia="宋体" w:cs="宋体"/>
          <w:color w:val="auto"/>
          <w:spacing w:val="-1"/>
          <w:position w:val="-1"/>
          <w:sz w:val="15"/>
          <w:szCs w:val="15"/>
          <w:highlight w:val="none"/>
        </w:rPr>
        <w:t>1</w:t>
      </w:r>
      <w:r>
        <w:rPr>
          <w:rFonts w:hint="eastAsia" w:ascii="宋体" w:hAnsi="宋体" w:eastAsia="宋体" w:cs="宋体"/>
          <w:color w:val="auto"/>
          <w:spacing w:val="-1"/>
          <w:sz w:val="24"/>
          <w:szCs w:val="24"/>
          <w:highlight w:val="none"/>
        </w:rPr>
        <w:t>。</w:t>
      </w:r>
    </w:p>
    <w:p w14:paraId="2881815B">
      <w:pPr>
        <w:spacing w:before="154" w:line="299" w:lineRule="auto"/>
        <w:ind w:left="12" w:right="81" w:firstLine="474"/>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b</w:t>
      </w:r>
      <w:r>
        <w:rPr>
          <w:rFonts w:hint="eastAsia" w:ascii="宋体" w:hAnsi="宋体" w:eastAsia="宋体" w:cs="宋体"/>
          <w:b/>
          <w:bCs/>
          <w:color w:val="auto"/>
          <w:spacing w:val="-27"/>
          <w:sz w:val="24"/>
          <w:szCs w:val="24"/>
          <w:highlight w:val="none"/>
        </w:rPr>
        <w:t xml:space="preserve"> </w:t>
      </w:r>
      <w:r>
        <w:rPr>
          <w:rFonts w:hint="eastAsia" w:ascii="宋体" w:hAnsi="宋体" w:eastAsia="宋体" w:cs="宋体"/>
          <w:color w:val="auto"/>
          <w:spacing w:val="1"/>
          <w:sz w:val="24"/>
          <w:szCs w:val="24"/>
          <w:highlight w:val="none"/>
        </w:rPr>
        <w:t>．评标委员会各成员独立按照《综合评分表》技术部分（施工组织设</w:t>
      </w:r>
      <w:r>
        <w:rPr>
          <w:rFonts w:hint="eastAsia" w:ascii="宋体" w:hAnsi="宋体" w:eastAsia="宋体" w:cs="宋体"/>
          <w:color w:val="auto"/>
          <w:sz w:val="24"/>
          <w:szCs w:val="24"/>
          <w:highlight w:val="none"/>
        </w:rPr>
        <w:t>计）指定</w:t>
      </w:r>
      <w:r>
        <w:rPr>
          <w:rFonts w:hint="eastAsia" w:ascii="宋体" w:hAnsi="宋体" w:eastAsia="宋体" w:cs="宋体"/>
          <w:color w:val="auto"/>
          <w:spacing w:val="-1"/>
          <w:sz w:val="24"/>
          <w:szCs w:val="24"/>
          <w:highlight w:val="none"/>
        </w:rPr>
        <w:t>的评分标准对各评分因素进行打分，累加后得出技术评分。</w:t>
      </w:r>
      <w:r>
        <w:rPr>
          <w:rFonts w:hint="eastAsia" w:ascii="宋体" w:hAnsi="宋体" w:eastAsia="宋体" w:cs="宋体"/>
          <w:color w:val="auto"/>
          <w:spacing w:val="-2"/>
          <w:sz w:val="24"/>
          <w:szCs w:val="24"/>
          <w:highlight w:val="none"/>
        </w:rPr>
        <w:t>将评标委员会所有成员的</w:t>
      </w:r>
      <w:r>
        <w:rPr>
          <w:rFonts w:hint="eastAsia" w:ascii="宋体" w:hAnsi="宋体" w:eastAsia="宋体" w:cs="宋体"/>
          <w:color w:val="auto"/>
          <w:sz w:val="24"/>
          <w:szCs w:val="24"/>
          <w:highlight w:val="none"/>
        </w:rPr>
        <w:t>技术评分去掉最高分和最低分后，取算术平均值，即</w:t>
      </w:r>
      <w:r>
        <w:rPr>
          <w:rFonts w:hint="eastAsia" w:ascii="宋体" w:hAnsi="宋体" w:eastAsia="宋体" w:cs="宋体"/>
          <w:color w:val="auto"/>
          <w:spacing w:val="-1"/>
          <w:sz w:val="24"/>
          <w:szCs w:val="24"/>
          <w:highlight w:val="none"/>
        </w:rPr>
        <w:t>为某投标人的技术得分</w:t>
      </w:r>
      <w:r>
        <w:rPr>
          <w:rFonts w:hint="eastAsia" w:ascii="宋体" w:hAnsi="宋体" w:eastAsia="宋体" w:cs="宋体"/>
          <w:color w:val="auto"/>
          <w:spacing w:val="-56"/>
          <w:sz w:val="24"/>
          <w:szCs w:val="24"/>
          <w:highlight w:val="none"/>
        </w:rPr>
        <w:t xml:space="preserve"> </w:t>
      </w:r>
      <w:r>
        <w:rPr>
          <w:rFonts w:hint="eastAsia" w:ascii="宋体" w:hAnsi="宋体" w:eastAsia="宋体" w:cs="宋体"/>
          <w:color w:val="auto"/>
          <w:spacing w:val="-1"/>
          <w:sz w:val="24"/>
          <w:szCs w:val="24"/>
          <w:highlight w:val="none"/>
        </w:rPr>
        <w:t>M</w:t>
      </w:r>
      <w:r>
        <w:rPr>
          <w:rFonts w:hint="eastAsia" w:ascii="宋体" w:hAnsi="宋体" w:eastAsia="宋体" w:cs="宋体"/>
          <w:color w:val="auto"/>
          <w:spacing w:val="-1"/>
          <w:position w:val="-1"/>
          <w:sz w:val="15"/>
          <w:szCs w:val="15"/>
          <w:highlight w:val="none"/>
        </w:rPr>
        <w:t>2</w:t>
      </w:r>
      <w:r>
        <w:rPr>
          <w:rFonts w:hint="eastAsia" w:ascii="宋体" w:hAnsi="宋体" w:eastAsia="宋体" w:cs="宋体"/>
          <w:color w:val="auto"/>
          <w:spacing w:val="-1"/>
          <w:sz w:val="24"/>
          <w:szCs w:val="24"/>
          <w:highlight w:val="none"/>
        </w:rPr>
        <w:t>。</w:t>
      </w:r>
    </w:p>
    <w:p w14:paraId="16A785CF">
      <w:pPr>
        <w:spacing w:before="155" w:line="231" w:lineRule="auto"/>
        <w:ind w:left="491"/>
        <w:rPr>
          <w:rFonts w:hint="eastAsia" w:ascii="宋体" w:hAnsi="宋体" w:eastAsia="宋体" w:cs="宋体"/>
          <w:color w:val="auto"/>
          <w:sz w:val="15"/>
          <w:szCs w:val="15"/>
          <w:highlight w:val="none"/>
        </w:rPr>
      </w:pPr>
      <w:r>
        <w:rPr>
          <w:rFonts w:hint="eastAsia" w:ascii="宋体" w:hAnsi="宋体" w:eastAsia="宋体" w:cs="宋体"/>
          <w:b/>
          <w:bCs/>
          <w:color w:val="auto"/>
          <w:spacing w:val="-12"/>
          <w:sz w:val="24"/>
          <w:szCs w:val="24"/>
          <w:highlight w:val="none"/>
        </w:rPr>
        <w:t>c</w:t>
      </w:r>
      <w:r>
        <w:rPr>
          <w:rFonts w:hint="eastAsia" w:ascii="宋体" w:hAnsi="宋体" w:eastAsia="宋体" w:cs="宋体"/>
          <w:b/>
          <w:bCs/>
          <w:color w:val="auto"/>
          <w:spacing w:val="-27"/>
          <w:sz w:val="24"/>
          <w:szCs w:val="24"/>
          <w:highlight w:val="none"/>
        </w:rPr>
        <w:t xml:space="preserve"> </w:t>
      </w:r>
      <w:r>
        <w:rPr>
          <w:rFonts w:hint="eastAsia" w:ascii="宋体" w:hAnsi="宋体" w:eastAsia="宋体" w:cs="宋体"/>
          <w:color w:val="auto"/>
          <w:spacing w:val="-12"/>
          <w:sz w:val="24"/>
          <w:szCs w:val="24"/>
          <w:highlight w:val="none"/>
        </w:rPr>
        <w:t>．M</w:t>
      </w:r>
      <w:r>
        <w:rPr>
          <w:rFonts w:hint="eastAsia" w:ascii="宋体" w:hAnsi="宋体" w:eastAsia="宋体" w:cs="宋体"/>
          <w:color w:val="auto"/>
          <w:spacing w:val="-27"/>
          <w:sz w:val="24"/>
          <w:szCs w:val="24"/>
          <w:highlight w:val="none"/>
        </w:rPr>
        <w:t xml:space="preserve"> </w:t>
      </w:r>
      <w:r>
        <w:rPr>
          <w:rFonts w:hint="eastAsia" w:ascii="宋体" w:hAnsi="宋体" w:eastAsia="宋体" w:cs="宋体"/>
          <w:color w:val="auto"/>
          <w:spacing w:val="-12"/>
          <w:sz w:val="24"/>
          <w:szCs w:val="24"/>
          <w:highlight w:val="none"/>
        </w:rPr>
        <w:t>＝M</w:t>
      </w:r>
      <w:r>
        <w:rPr>
          <w:rFonts w:hint="eastAsia" w:ascii="宋体" w:hAnsi="宋体" w:eastAsia="宋体" w:cs="宋体"/>
          <w:color w:val="auto"/>
          <w:spacing w:val="-12"/>
          <w:position w:val="-1"/>
          <w:sz w:val="15"/>
          <w:szCs w:val="15"/>
          <w:highlight w:val="none"/>
        </w:rPr>
        <w:t>1</w:t>
      </w:r>
      <w:r>
        <w:rPr>
          <w:rFonts w:hint="eastAsia" w:ascii="宋体" w:hAnsi="宋体" w:eastAsia="宋体" w:cs="宋体"/>
          <w:color w:val="auto"/>
          <w:sz w:val="24"/>
          <w:szCs w:val="24"/>
          <w:highlight w:val="none"/>
        </w:rPr>
        <w:t>＋M</w:t>
      </w:r>
      <w:r>
        <w:rPr>
          <w:rFonts w:hint="eastAsia" w:ascii="宋体" w:hAnsi="宋体" w:eastAsia="宋体" w:cs="宋体"/>
          <w:color w:val="auto"/>
          <w:position w:val="-1"/>
          <w:sz w:val="15"/>
          <w:szCs w:val="15"/>
          <w:highlight w:val="none"/>
        </w:rPr>
        <w:t>2</w:t>
      </w:r>
    </w:p>
    <w:p w14:paraId="0A2F9F5C">
      <w:pPr>
        <w:spacing w:before="139" w:line="220" w:lineRule="auto"/>
        <w:ind w:left="496"/>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式中：M</w:t>
      </w:r>
      <w:r>
        <w:rPr>
          <w:rFonts w:hint="eastAsia" w:ascii="宋体" w:hAnsi="宋体" w:eastAsia="宋体" w:cs="宋体"/>
          <w:color w:val="auto"/>
          <w:spacing w:val="-1"/>
          <w:position w:val="-1"/>
          <w:sz w:val="15"/>
          <w:szCs w:val="15"/>
          <w:highlight w:val="none"/>
        </w:rPr>
        <w:t>1</w:t>
      </w:r>
      <w:r>
        <w:rPr>
          <w:rFonts w:hint="eastAsia" w:ascii="宋体" w:hAnsi="宋体" w:eastAsia="宋体" w:cs="宋体"/>
          <w:color w:val="auto"/>
          <w:spacing w:val="12"/>
          <w:w w:val="101"/>
          <w:position w:val="-1"/>
          <w:sz w:val="15"/>
          <w:szCs w:val="15"/>
          <w:highlight w:val="none"/>
        </w:rPr>
        <w:t xml:space="preserve"> </w:t>
      </w:r>
      <w:r>
        <w:rPr>
          <w:rFonts w:hint="eastAsia" w:ascii="宋体" w:hAnsi="宋体" w:eastAsia="宋体" w:cs="宋体"/>
          <w:color w:val="auto"/>
          <w:spacing w:val="-1"/>
          <w:sz w:val="24"/>
          <w:szCs w:val="24"/>
          <w:highlight w:val="none"/>
        </w:rPr>
        <w:t>为某投标人的商务得分，M</w:t>
      </w:r>
      <w:r>
        <w:rPr>
          <w:rFonts w:hint="eastAsia" w:ascii="宋体" w:hAnsi="宋体" w:eastAsia="宋体" w:cs="宋体"/>
          <w:color w:val="auto"/>
          <w:spacing w:val="-1"/>
          <w:position w:val="-1"/>
          <w:sz w:val="15"/>
          <w:szCs w:val="15"/>
          <w:highlight w:val="none"/>
        </w:rPr>
        <w:t>2</w:t>
      </w:r>
      <w:r>
        <w:rPr>
          <w:rFonts w:hint="eastAsia" w:ascii="宋体" w:hAnsi="宋体" w:eastAsia="宋体" w:cs="宋体"/>
          <w:color w:val="auto"/>
          <w:spacing w:val="12"/>
          <w:position w:val="-1"/>
          <w:sz w:val="15"/>
          <w:szCs w:val="15"/>
          <w:highlight w:val="none"/>
        </w:rPr>
        <w:t xml:space="preserve"> </w:t>
      </w:r>
      <w:r>
        <w:rPr>
          <w:rFonts w:hint="eastAsia" w:ascii="宋体" w:hAnsi="宋体" w:eastAsia="宋体" w:cs="宋体"/>
          <w:color w:val="auto"/>
          <w:spacing w:val="-1"/>
          <w:sz w:val="24"/>
          <w:szCs w:val="24"/>
          <w:highlight w:val="none"/>
        </w:rPr>
        <w:t>为某投标人的</w:t>
      </w:r>
      <w:r>
        <w:rPr>
          <w:rFonts w:hint="eastAsia" w:ascii="宋体" w:hAnsi="宋体" w:eastAsia="宋体" w:cs="宋体"/>
          <w:color w:val="auto"/>
          <w:spacing w:val="-2"/>
          <w:sz w:val="24"/>
          <w:szCs w:val="24"/>
          <w:highlight w:val="none"/>
        </w:rPr>
        <w:t>技术得分。</w:t>
      </w:r>
    </w:p>
    <w:p w14:paraId="48783CD0">
      <w:pPr>
        <w:spacing w:before="153" w:line="219" w:lineRule="auto"/>
        <w:ind w:left="503"/>
        <w:outlineLvl w:val="9"/>
        <w:rPr>
          <w:rFonts w:hint="eastAsia" w:ascii="宋体" w:hAnsi="宋体" w:eastAsia="宋体" w:cs="宋体"/>
          <w:color w:val="auto"/>
          <w:sz w:val="24"/>
          <w:szCs w:val="24"/>
          <w:highlight w:val="none"/>
        </w:rPr>
      </w:pPr>
      <w:bookmarkStart w:id="117" w:name="_Toc27609"/>
      <w:bookmarkStart w:id="118" w:name="_Toc3958"/>
      <w:bookmarkStart w:id="119" w:name="_Toc16136"/>
      <w:bookmarkStart w:id="120" w:name="_Toc14059"/>
      <w:r>
        <w:rPr>
          <w:rFonts w:hint="eastAsia" w:ascii="宋体" w:hAnsi="宋体" w:eastAsia="宋体" w:cs="宋体"/>
          <w:color w:val="auto"/>
          <w:spacing w:val="-2"/>
          <w:sz w:val="24"/>
          <w:szCs w:val="24"/>
          <w:highlight w:val="none"/>
        </w:rPr>
        <w:t>（2）投标报价得分</w:t>
      </w:r>
      <w:r>
        <w:rPr>
          <w:rFonts w:hint="eastAsia" w:ascii="宋体" w:hAnsi="宋体" w:eastAsia="宋体" w:cs="宋体"/>
          <w:color w:val="auto"/>
          <w:spacing w:val="-62"/>
          <w:sz w:val="24"/>
          <w:szCs w:val="24"/>
          <w:highlight w:val="none"/>
        </w:rPr>
        <w:t xml:space="preserve"> </w:t>
      </w:r>
      <w:r>
        <w:rPr>
          <w:rFonts w:hint="eastAsia" w:ascii="宋体" w:hAnsi="宋体" w:eastAsia="宋体" w:cs="宋体"/>
          <w:color w:val="auto"/>
          <w:spacing w:val="-2"/>
          <w:sz w:val="24"/>
          <w:szCs w:val="24"/>
          <w:highlight w:val="none"/>
        </w:rPr>
        <w:t>N</w:t>
      </w:r>
      <w:bookmarkEnd w:id="117"/>
      <w:bookmarkEnd w:id="118"/>
      <w:bookmarkEnd w:id="119"/>
      <w:bookmarkEnd w:id="120"/>
    </w:p>
    <w:p w14:paraId="32CC3A83">
      <w:pPr>
        <w:spacing w:before="157" w:line="219" w:lineRule="auto"/>
        <w:ind w:firstLine="470" w:firstLineChars="200"/>
        <w:jc w:val="both"/>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a</w:t>
      </w:r>
      <w:r>
        <w:rPr>
          <w:rFonts w:hint="eastAsia" w:ascii="宋体" w:hAnsi="宋体" w:eastAsia="宋体" w:cs="宋体"/>
          <w:b/>
          <w:bCs/>
          <w:color w:val="auto"/>
          <w:spacing w:val="-29"/>
          <w:sz w:val="24"/>
          <w:szCs w:val="24"/>
          <w:highlight w:val="none"/>
        </w:rPr>
        <w:t xml:space="preserve"> </w:t>
      </w:r>
      <w:r>
        <w:rPr>
          <w:rFonts w:hint="eastAsia" w:ascii="宋体" w:hAnsi="宋体" w:eastAsia="宋体" w:cs="宋体"/>
          <w:color w:val="auto"/>
          <w:spacing w:val="-3"/>
          <w:sz w:val="24"/>
          <w:szCs w:val="24"/>
          <w:highlight w:val="none"/>
        </w:rPr>
        <w:t>．评标委员会按照《综合评分表》投标报价部分指定的方法计</w:t>
      </w:r>
      <w:r>
        <w:rPr>
          <w:rFonts w:hint="eastAsia" w:ascii="宋体" w:hAnsi="宋体" w:eastAsia="宋体" w:cs="宋体"/>
          <w:color w:val="auto"/>
          <w:spacing w:val="-4"/>
          <w:sz w:val="24"/>
          <w:szCs w:val="24"/>
          <w:highlight w:val="none"/>
        </w:rPr>
        <w:t>算评标基准价</w:t>
      </w:r>
      <w:r>
        <w:rPr>
          <w:rFonts w:hint="eastAsia" w:ascii="宋体" w:hAnsi="宋体" w:eastAsia="宋体" w:cs="宋体"/>
          <w:color w:val="auto"/>
          <w:spacing w:val="-55"/>
          <w:sz w:val="24"/>
          <w:szCs w:val="24"/>
          <w:highlight w:val="none"/>
        </w:rPr>
        <w:t xml:space="preserve"> </w:t>
      </w:r>
      <w:r>
        <w:rPr>
          <w:rFonts w:hint="eastAsia" w:ascii="宋体" w:hAnsi="宋体" w:eastAsia="宋体" w:cs="宋体"/>
          <w:color w:val="auto"/>
          <w:spacing w:val="-4"/>
          <w:sz w:val="24"/>
          <w:szCs w:val="24"/>
          <w:highlight w:val="none"/>
        </w:rPr>
        <w:t>D。</w:t>
      </w:r>
    </w:p>
    <w:p w14:paraId="244C81B9">
      <w:pPr>
        <w:spacing w:before="155" w:line="299" w:lineRule="auto"/>
        <w:ind w:left="12" w:right="83" w:firstLine="474"/>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b</w:t>
      </w:r>
      <w:r>
        <w:rPr>
          <w:rFonts w:hint="eastAsia" w:ascii="宋体" w:hAnsi="宋体" w:eastAsia="宋体" w:cs="宋体"/>
          <w:b/>
          <w:bCs/>
          <w:color w:val="auto"/>
          <w:spacing w:val="-20"/>
          <w:sz w:val="24"/>
          <w:szCs w:val="24"/>
          <w:highlight w:val="none"/>
        </w:rPr>
        <w:t xml:space="preserve"> </w:t>
      </w:r>
      <w:r>
        <w:rPr>
          <w:rFonts w:hint="eastAsia" w:ascii="宋体" w:hAnsi="宋体" w:eastAsia="宋体" w:cs="宋体"/>
          <w:color w:val="auto"/>
          <w:sz w:val="24"/>
          <w:szCs w:val="24"/>
          <w:highlight w:val="none"/>
        </w:rPr>
        <w:t>．采用内插法计算某投标人的投标报价得分</w:t>
      </w:r>
      <w:r>
        <w:rPr>
          <w:rFonts w:hint="eastAsia" w:ascii="宋体" w:hAnsi="宋体" w:eastAsia="宋体" w:cs="宋体"/>
          <w:color w:val="auto"/>
          <w:spacing w:val="-60"/>
          <w:sz w:val="24"/>
          <w:szCs w:val="24"/>
          <w:highlight w:val="none"/>
        </w:rPr>
        <w:t xml:space="preserve"> </w:t>
      </w:r>
      <w:r>
        <w:rPr>
          <w:rFonts w:hint="eastAsia" w:ascii="宋体" w:hAnsi="宋体" w:eastAsia="宋体" w:cs="宋体"/>
          <w:color w:val="auto"/>
          <w:sz w:val="24"/>
          <w:szCs w:val="24"/>
          <w:highlight w:val="none"/>
        </w:rPr>
        <w:t>N</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z w:val="24"/>
          <w:szCs w:val="24"/>
          <w:highlight w:val="none"/>
        </w:rPr>
        <w:t>，即当投标人的投标总价等于评</w:t>
      </w:r>
      <w:r>
        <w:rPr>
          <w:rFonts w:hint="eastAsia" w:ascii="宋体" w:hAnsi="宋体" w:eastAsia="宋体" w:cs="宋体"/>
          <w:color w:val="auto"/>
          <w:spacing w:val="-1"/>
          <w:sz w:val="24"/>
          <w:szCs w:val="24"/>
          <w:highlight w:val="none"/>
        </w:rPr>
        <w:t>标基准价时得</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pacing w:val="-1"/>
          <w:sz w:val="24"/>
          <w:szCs w:val="24"/>
          <w:highlight w:val="none"/>
        </w:rPr>
        <w:t>100分，每高于评标基准价一个百分点扣</w:t>
      </w:r>
      <w:r>
        <w:rPr>
          <w:rFonts w:hint="eastAsia" w:ascii="宋体" w:hAnsi="宋体" w:eastAsia="宋体" w:cs="宋体"/>
          <w:color w:val="auto"/>
          <w:spacing w:val="-44"/>
          <w:sz w:val="24"/>
          <w:szCs w:val="24"/>
          <w:highlight w:val="none"/>
        </w:rPr>
        <w:t xml:space="preserve"> </w:t>
      </w:r>
      <w:r>
        <w:rPr>
          <w:rFonts w:hint="eastAsia" w:ascii="宋体" w:hAnsi="宋体" w:eastAsia="宋体" w:cs="宋体"/>
          <w:b/>
          <w:bCs/>
          <w:color w:val="auto"/>
          <w:spacing w:val="-1"/>
          <w:sz w:val="24"/>
          <w:szCs w:val="24"/>
          <w:highlight w:val="none"/>
        </w:rPr>
        <w:t xml:space="preserve">1分,  </w:t>
      </w:r>
      <w:r>
        <w:rPr>
          <w:rFonts w:hint="eastAsia" w:ascii="宋体" w:hAnsi="宋体" w:eastAsia="宋体" w:cs="宋体"/>
          <w:color w:val="auto"/>
          <w:spacing w:val="-2"/>
          <w:sz w:val="24"/>
          <w:szCs w:val="24"/>
          <w:highlight w:val="none"/>
        </w:rPr>
        <w:t>每低于评标基准价一个百分点扣</w:t>
      </w:r>
      <w:r>
        <w:rPr>
          <w:rFonts w:hint="eastAsia" w:ascii="宋体" w:hAnsi="宋体" w:eastAsia="宋体" w:cs="宋体"/>
          <w:color w:val="auto"/>
          <w:spacing w:val="-34"/>
          <w:sz w:val="24"/>
          <w:szCs w:val="24"/>
          <w:highlight w:val="none"/>
        </w:rPr>
        <w:t xml:space="preserve"> </w:t>
      </w:r>
      <w:r>
        <w:rPr>
          <w:rFonts w:hint="eastAsia" w:ascii="宋体" w:hAnsi="宋体" w:eastAsia="宋体" w:cs="宋体"/>
          <w:b/>
          <w:bCs/>
          <w:color w:val="auto"/>
          <w:spacing w:val="-2"/>
          <w:sz w:val="24"/>
          <w:szCs w:val="24"/>
          <w:highlight w:val="none"/>
        </w:rPr>
        <w:t>0.5 分</w:t>
      </w:r>
      <w:r>
        <w:rPr>
          <w:rFonts w:hint="eastAsia" w:ascii="宋体" w:hAnsi="宋体" w:eastAsia="宋体" w:cs="宋体"/>
          <w:color w:val="auto"/>
          <w:spacing w:val="-2"/>
          <w:sz w:val="24"/>
          <w:szCs w:val="24"/>
          <w:highlight w:val="none"/>
        </w:rPr>
        <w:t>，扣完为止。公式如下：</w:t>
      </w:r>
    </w:p>
    <w:p w14:paraId="7BBB0CF5">
      <w:pPr>
        <w:spacing w:before="118" w:line="333" w:lineRule="exact"/>
        <w:ind w:left="2418"/>
        <w:rPr>
          <w:rFonts w:hint="eastAsia" w:ascii="宋体" w:hAnsi="宋体" w:eastAsia="宋体" w:cs="宋体"/>
          <w:color w:val="auto"/>
          <w:sz w:val="24"/>
          <w:szCs w:val="24"/>
          <w:highlight w:val="none"/>
        </w:rPr>
      </w:pPr>
      <w:r>
        <w:rPr>
          <w:rFonts w:hint="eastAsia" w:ascii="宋体" w:hAnsi="宋体" w:eastAsia="宋体" w:cs="宋体"/>
          <w:color w:val="auto"/>
          <w:spacing w:val="-6"/>
          <w:position w:val="3"/>
          <w:sz w:val="24"/>
          <w:szCs w:val="24"/>
          <w:highlight w:val="none"/>
        </w:rPr>
        <w:t>N</w:t>
      </w:r>
      <w:r>
        <w:rPr>
          <w:rFonts w:hint="eastAsia" w:ascii="宋体" w:hAnsi="宋体" w:eastAsia="宋体" w:cs="宋体"/>
          <w:color w:val="auto"/>
          <w:spacing w:val="-27"/>
          <w:position w:val="3"/>
          <w:sz w:val="24"/>
          <w:szCs w:val="24"/>
          <w:highlight w:val="none"/>
        </w:rPr>
        <w:t xml:space="preserve"> </w:t>
      </w:r>
      <w:r>
        <w:rPr>
          <w:rFonts w:hint="eastAsia" w:ascii="宋体" w:hAnsi="宋体" w:eastAsia="宋体" w:cs="宋体"/>
          <w:color w:val="auto"/>
          <w:spacing w:val="-6"/>
          <w:position w:val="3"/>
          <w:sz w:val="24"/>
          <w:szCs w:val="24"/>
          <w:highlight w:val="none"/>
        </w:rPr>
        <w:t>＝100</w:t>
      </w:r>
      <w:r>
        <w:rPr>
          <w:rFonts w:hint="eastAsia" w:ascii="宋体" w:hAnsi="宋体" w:eastAsia="宋体" w:cs="宋体"/>
          <w:color w:val="auto"/>
          <w:spacing w:val="-12"/>
          <w:position w:val="3"/>
          <w:sz w:val="24"/>
          <w:szCs w:val="24"/>
          <w:highlight w:val="none"/>
        </w:rPr>
        <w:t>－（</w:t>
      </w:r>
      <w:r>
        <w:rPr>
          <w:rFonts w:hint="eastAsia" w:ascii="宋体" w:hAnsi="宋体" w:eastAsia="宋体" w:cs="宋体"/>
          <w:color w:val="auto"/>
          <w:spacing w:val="-6"/>
          <w:position w:val="3"/>
          <w:sz w:val="24"/>
          <w:szCs w:val="24"/>
          <w:highlight w:val="none"/>
        </w:rPr>
        <w:t>|  Di－D</w:t>
      </w:r>
      <w:r>
        <w:rPr>
          <w:rFonts w:hint="eastAsia" w:ascii="宋体" w:hAnsi="宋体" w:eastAsia="宋体" w:cs="宋体"/>
          <w:color w:val="auto"/>
          <w:spacing w:val="9"/>
          <w:position w:val="3"/>
          <w:sz w:val="24"/>
          <w:szCs w:val="24"/>
          <w:highlight w:val="none"/>
        </w:rPr>
        <w:t xml:space="preserve"> </w:t>
      </w:r>
      <w:r>
        <w:rPr>
          <w:rFonts w:hint="eastAsia" w:ascii="宋体" w:hAnsi="宋体" w:eastAsia="宋体" w:cs="宋体"/>
          <w:color w:val="auto"/>
          <w:spacing w:val="-6"/>
          <w:position w:val="3"/>
          <w:sz w:val="24"/>
          <w:szCs w:val="24"/>
          <w:highlight w:val="none"/>
        </w:rPr>
        <w:t>|</w:t>
      </w:r>
      <w:r>
        <w:rPr>
          <w:rFonts w:hint="eastAsia" w:ascii="宋体" w:hAnsi="宋体" w:eastAsia="宋体" w:cs="宋体"/>
          <w:color w:val="auto"/>
          <w:spacing w:val="17"/>
          <w:position w:val="3"/>
          <w:sz w:val="24"/>
          <w:szCs w:val="24"/>
          <w:highlight w:val="none"/>
        </w:rPr>
        <w:t xml:space="preserve"> </w:t>
      </w:r>
      <w:r>
        <w:rPr>
          <w:rFonts w:hint="eastAsia" w:ascii="宋体" w:hAnsi="宋体" w:eastAsia="宋体" w:cs="宋体"/>
          <w:color w:val="auto"/>
          <w:spacing w:val="-6"/>
          <w:position w:val="3"/>
          <w:sz w:val="24"/>
          <w:szCs w:val="24"/>
          <w:highlight w:val="none"/>
        </w:rPr>
        <w:t>÷D）</w:t>
      </w:r>
      <w:r>
        <w:rPr>
          <w:rFonts w:hint="eastAsia" w:ascii="宋体" w:hAnsi="宋体" w:eastAsia="宋体" w:cs="宋体"/>
          <w:color w:val="auto"/>
          <w:spacing w:val="-75"/>
          <w:position w:val="3"/>
          <w:sz w:val="24"/>
          <w:szCs w:val="24"/>
          <w:highlight w:val="none"/>
        </w:rPr>
        <w:t xml:space="preserve"> </w:t>
      </w:r>
      <w:r>
        <w:rPr>
          <w:rFonts w:hint="eastAsia" w:ascii="宋体" w:hAnsi="宋体" w:eastAsia="宋体" w:cs="宋体"/>
          <w:color w:val="auto"/>
          <w:spacing w:val="-6"/>
          <w:position w:val="3"/>
          <w:sz w:val="24"/>
          <w:szCs w:val="24"/>
          <w:highlight w:val="none"/>
        </w:rPr>
        <w:t>×</w:t>
      </w:r>
      <w:r>
        <w:rPr>
          <w:rFonts w:hint="eastAsia" w:ascii="宋体" w:hAnsi="宋体" w:eastAsia="宋体" w:cs="宋体"/>
          <w:color w:val="auto"/>
          <w:spacing w:val="-92"/>
          <w:position w:val="3"/>
          <w:sz w:val="24"/>
          <w:szCs w:val="24"/>
          <w:highlight w:val="none"/>
        </w:rPr>
        <w:t xml:space="preserve"> </w:t>
      </w:r>
      <w:r>
        <w:rPr>
          <w:rFonts w:hint="eastAsia" w:ascii="宋体" w:hAnsi="宋体" w:eastAsia="宋体" w:cs="宋体"/>
          <w:color w:val="auto"/>
          <w:spacing w:val="-6"/>
          <w:position w:val="3"/>
          <w:sz w:val="24"/>
          <w:szCs w:val="24"/>
          <w:highlight w:val="none"/>
        </w:rPr>
        <w:t>100×E</w:t>
      </w:r>
    </w:p>
    <w:p w14:paraId="2D2C5A9B">
      <w:pPr>
        <w:spacing w:before="106" w:line="316" w:lineRule="auto"/>
        <w:ind w:left="7" w:right="17" w:firstLine="489"/>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式中：D 为评标基准价；Di</w:t>
      </w:r>
      <w:r>
        <w:rPr>
          <w:rFonts w:hint="eastAsia" w:ascii="宋体" w:hAnsi="宋体" w:eastAsia="宋体" w:cs="宋体"/>
          <w:color w:val="auto"/>
          <w:spacing w:val="13"/>
          <w:sz w:val="24"/>
          <w:szCs w:val="24"/>
          <w:highlight w:val="none"/>
        </w:rPr>
        <w:t xml:space="preserve"> </w:t>
      </w:r>
      <w:r>
        <w:rPr>
          <w:rFonts w:hint="eastAsia" w:ascii="宋体" w:hAnsi="宋体" w:eastAsia="宋体" w:cs="宋体"/>
          <w:color w:val="auto"/>
          <w:spacing w:val="-9"/>
          <w:sz w:val="24"/>
          <w:szCs w:val="24"/>
          <w:highlight w:val="none"/>
        </w:rPr>
        <w:t>为某投标人的投标总价；E</w:t>
      </w:r>
      <w:r>
        <w:rPr>
          <w:rFonts w:hint="eastAsia" w:ascii="宋体" w:hAnsi="宋体" w:eastAsia="宋体" w:cs="宋体"/>
          <w:color w:val="auto"/>
          <w:spacing w:val="12"/>
          <w:sz w:val="24"/>
          <w:szCs w:val="24"/>
          <w:highlight w:val="none"/>
        </w:rPr>
        <w:t xml:space="preserve"> </w:t>
      </w:r>
      <w:r>
        <w:rPr>
          <w:rFonts w:hint="eastAsia" w:ascii="宋体" w:hAnsi="宋体" w:eastAsia="宋体" w:cs="宋体"/>
          <w:color w:val="auto"/>
          <w:spacing w:val="-9"/>
          <w:sz w:val="24"/>
          <w:szCs w:val="24"/>
          <w:highlight w:val="none"/>
        </w:rPr>
        <w:t>为扣分因子，当</w:t>
      </w:r>
      <w:r>
        <w:rPr>
          <w:rFonts w:hint="eastAsia" w:ascii="宋体" w:hAnsi="宋体" w:eastAsia="宋体" w:cs="宋体"/>
          <w:color w:val="auto"/>
          <w:spacing w:val="-56"/>
          <w:sz w:val="24"/>
          <w:szCs w:val="24"/>
          <w:highlight w:val="none"/>
        </w:rPr>
        <w:t xml:space="preserve"> </w:t>
      </w:r>
      <w:r>
        <w:rPr>
          <w:rFonts w:hint="eastAsia" w:ascii="宋体" w:hAnsi="宋体" w:eastAsia="宋体" w:cs="宋体"/>
          <w:color w:val="auto"/>
          <w:spacing w:val="-9"/>
          <w:sz w:val="24"/>
          <w:szCs w:val="24"/>
          <w:highlight w:val="none"/>
        </w:rPr>
        <w:t>Di＞D</w:t>
      </w:r>
      <w:r>
        <w:rPr>
          <w:rFonts w:hint="eastAsia" w:ascii="宋体" w:hAnsi="宋体" w:eastAsia="宋体" w:cs="宋体"/>
          <w:color w:val="auto"/>
          <w:spacing w:val="22"/>
          <w:w w:val="101"/>
          <w:sz w:val="24"/>
          <w:szCs w:val="24"/>
          <w:highlight w:val="none"/>
        </w:rPr>
        <w:t xml:space="preserve"> </w:t>
      </w:r>
      <w:r>
        <w:rPr>
          <w:rFonts w:hint="eastAsia" w:ascii="宋体" w:hAnsi="宋体" w:eastAsia="宋体" w:cs="宋体"/>
          <w:color w:val="auto"/>
          <w:spacing w:val="-10"/>
          <w:sz w:val="24"/>
          <w:szCs w:val="24"/>
          <w:highlight w:val="none"/>
        </w:rPr>
        <w:t>时，</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8"/>
          <w:sz w:val="24"/>
          <w:szCs w:val="24"/>
          <w:highlight w:val="none"/>
        </w:rPr>
        <w:t>E</w:t>
      </w:r>
      <w:r>
        <w:rPr>
          <w:rFonts w:hint="eastAsia" w:ascii="宋体" w:hAnsi="宋体" w:eastAsia="宋体" w:cs="宋体"/>
          <w:color w:val="auto"/>
          <w:spacing w:val="-24"/>
          <w:sz w:val="24"/>
          <w:szCs w:val="24"/>
          <w:highlight w:val="none"/>
        </w:rPr>
        <w:t xml:space="preserve"> </w:t>
      </w:r>
      <w:r>
        <w:rPr>
          <w:rFonts w:hint="eastAsia" w:ascii="宋体" w:hAnsi="宋体" w:eastAsia="宋体" w:cs="宋体"/>
          <w:color w:val="auto"/>
          <w:spacing w:val="-8"/>
          <w:sz w:val="24"/>
          <w:szCs w:val="24"/>
          <w:highlight w:val="none"/>
        </w:rPr>
        <w:t>＝</w:t>
      </w:r>
      <w:r>
        <w:rPr>
          <w:rFonts w:hint="eastAsia" w:ascii="宋体" w:hAnsi="宋体" w:eastAsia="宋体" w:cs="宋体"/>
          <w:b/>
          <w:bCs/>
          <w:color w:val="auto"/>
          <w:spacing w:val="-8"/>
          <w:sz w:val="24"/>
          <w:szCs w:val="24"/>
          <w:highlight w:val="none"/>
        </w:rPr>
        <w:t>1</w:t>
      </w:r>
      <w:r>
        <w:rPr>
          <w:rFonts w:hint="eastAsia" w:ascii="宋体" w:hAnsi="宋体" w:eastAsia="宋体" w:cs="宋体"/>
          <w:b/>
          <w:bCs/>
          <w:color w:val="auto"/>
          <w:spacing w:val="-30"/>
          <w:sz w:val="24"/>
          <w:szCs w:val="24"/>
          <w:highlight w:val="none"/>
        </w:rPr>
        <w:t xml:space="preserve"> </w:t>
      </w:r>
      <w:r>
        <w:rPr>
          <w:rFonts w:hint="eastAsia" w:ascii="宋体" w:hAnsi="宋体" w:eastAsia="宋体" w:cs="宋体"/>
          <w:b/>
          <w:bCs/>
          <w:color w:val="auto"/>
          <w:spacing w:val="-8"/>
          <w:sz w:val="24"/>
          <w:szCs w:val="24"/>
          <w:highlight w:val="none"/>
        </w:rPr>
        <w:t>；</w:t>
      </w:r>
      <w:r>
        <w:rPr>
          <w:rFonts w:hint="eastAsia" w:ascii="宋体" w:hAnsi="宋体" w:eastAsia="宋体" w:cs="宋体"/>
          <w:color w:val="auto"/>
          <w:spacing w:val="-8"/>
          <w:sz w:val="24"/>
          <w:szCs w:val="24"/>
          <w:highlight w:val="none"/>
        </w:rPr>
        <w:t>当</w:t>
      </w:r>
      <w:r>
        <w:rPr>
          <w:rFonts w:hint="eastAsia" w:ascii="宋体" w:hAnsi="宋体" w:eastAsia="宋体" w:cs="宋体"/>
          <w:color w:val="auto"/>
          <w:spacing w:val="-56"/>
          <w:sz w:val="24"/>
          <w:szCs w:val="24"/>
          <w:highlight w:val="none"/>
        </w:rPr>
        <w:t xml:space="preserve"> </w:t>
      </w:r>
      <w:r>
        <w:rPr>
          <w:rFonts w:hint="eastAsia" w:ascii="宋体" w:hAnsi="宋体" w:eastAsia="宋体" w:cs="宋体"/>
          <w:color w:val="auto"/>
          <w:spacing w:val="-8"/>
          <w:sz w:val="24"/>
          <w:szCs w:val="24"/>
          <w:highlight w:val="none"/>
        </w:rPr>
        <w:t>Di＜D</w:t>
      </w:r>
      <w:r>
        <w:rPr>
          <w:rFonts w:hint="eastAsia" w:ascii="宋体" w:hAnsi="宋体" w:eastAsia="宋体" w:cs="宋体"/>
          <w:color w:val="auto"/>
          <w:spacing w:val="20"/>
          <w:w w:val="101"/>
          <w:sz w:val="24"/>
          <w:szCs w:val="24"/>
          <w:highlight w:val="none"/>
        </w:rPr>
        <w:t xml:space="preserve"> </w:t>
      </w:r>
      <w:r>
        <w:rPr>
          <w:rFonts w:hint="eastAsia" w:ascii="宋体" w:hAnsi="宋体" w:eastAsia="宋体" w:cs="宋体"/>
          <w:color w:val="auto"/>
          <w:spacing w:val="-8"/>
          <w:sz w:val="24"/>
          <w:szCs w:val="24"/>
          <w:highlight w:val="none"/>
        </w:rPr>
        <w:t>时，E</w:t>
      </w:r>
      <w:r>
        <w:rPr>
          <w:rFonts w:hint="eastAsia" w:ascii="宋体" w:hAnsi="宋体" w:eastAsia="宋体" w:cs="宋体"/>
          <w:color w:val="auto"/>
          <w:spacing w:val="-27"/>
          <w:sz w:val="24"/>
          <w:szCs w:val="24"/>
          <w:highlight w:val="none"/>
        </w:rPr>
        <w:t xml:space="preserve"> </w:t>
      </w:r>
      <w:r>
        <w:rPr>
          <w:rFonts w:hint="eastAsia" w:ascii="宋体" w:hAnsi="宋体" w:eastAsia="宋体" w:cs="宋体"/>
          <w:b/>
          <w:bCs/>
          <w:color w:val="auto"/>
          <w:spacing w:val="-8"/>
          <w:sz w:val="24"/>
          <w:szCs w:val="24"/>
          <w:highlight w:val="none"/>
        </w:rPr>
        <w:t>＝0.5。</w:t>
      </w:r>
    </w:p>
    <w:p w14:paraId="25245EA0">
      <w:pPr>
        <w:spacing w:before="95" w:line="220" w:lineRule="auto"/>
        <w:ind w:left="503"/>
        <w:outlineLvl w:val="9"/>
        <w:rPr>
          <w:rFonts w:hint="eastAsia" w:ascii="宋体" w:hAnsi="宋体" w:eastAsia="宋体" w:cs="宋体"/>
          <w:color w:val="auto"/>
          <w:sz w:val="24"/>
          <w:szCs w:val="24"/>
          <w:highlight w:val="none"/>
        </w:rPr>
      </w:pPr>
      <w:bookmarkStart w:id="121" w:name="_Toc4990"/>
      <w:bookmarkStart w:id="122" w:name="_Toc576"/>
      <w:bookmarkStart w:id="123" w:name="_Toc3861"/>
      <w:bookmarkStart w:id="124" w:name="_Toc7915"/>
      <w:r>
        <w:rPr>
          <w:rFonts w:hint="eastAsia" w:ascii="宋体" w:hAnsi="宋体" w:eastAsia="宋体" w:cs="宋体"/>
          <w:color w:val="auto"/>
          <w:spacing w:val="-3"/>
          <w:sz w:val="24"/>
          <w:szCs w:val="24"/>
          <w:highlight w:val="none"/>
        </w:rPr>
        <w:t>（3）综合得分</w:t>
      </w:r>
      <w:bookmarkEnd w:id="121"/>
      <w:bookmarkEnd w:id="122"/>
      <w:bookmarkEnd w:id="123"/>
      <w:bookmarkEnd w:id="124"/>
    </w:p>
    <w:p w14:paraId="0F362937">
      <w:pPr>
        <w:spacing w:before="153" w:line="220" w:lineRule="auto"/>
        <w:ind w:left="494"/>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综合得分换算为百分制，满分</w:t>
      </w:r>
      <w:r>
        <w:rPr>
          <w:rFonts w:hint="eastAsia" w:ascii="宋体" w:hAnsi="宋体" w:eastAsia="宋体" w:cs="宋体"/>
          <w:color w:val="auto"/>
          <w:spacing w:val="-26"/>
          <w:sz w:val="24"/>
          <w:szCs w:val="24"/>
          <w:highlight w:val="none"/>
        </w:rPr>
        <w:t xml:space="preserve"> </w:t>
      </w:r>
      <w:r>
        <w:rPr>
          <w:rFonts w:hint="eastAsia" w:ascii="宋体" w:hAnsi="宋体" w:eastAsia="宋体" w:cs="宋体"/>
          <w:color w:val="auto"/>
          <w:spacing w:val="-2"/>
          <w:sz w:val="24"/>
          <w:szCs w:val="24"/>
          <w:highlight w:val="none"/>
        </w:rPr>
        <w:t>100 分，公式如下：</w:t>
      </w:r>
    </w:p>
    <w:p w14:paraId="0C5D7075">
      <w:pPr>
        <w:spacing w:before="155" w:line="324" w:lineRule="auto"/>
        <w:ind w:left="496" w:right="532" w:hanging="33"/>
        <w:rPr>
          <w:rFonts w:hint="eastAsia" w:ascii="宋体" w:hAnsi="宋体" w:eastAsia="宋体" w:cs="宋体"/>
          <w:color w:val="auto"/>
          <w:spacing w:val="-1"/>
          <w:sz w:val="24"/>
          <w:szCs w:val="24"/>
          <w:highlight w:val="none"/>
        </w:rPr>
      </w:pPr>
      <w:r>
        <w:rPr>
          <w:rFonts w:hint="eastAsia" w:ascii="宋体" w:hAnsi="宋体" w:eastAsia="宋体" w:cs="宋体"/>
          <w:color w:val="auto"/>
          <w:sz w:val="24"/>
          <w:szCs w:val="24"/>
          <w:highlight w:val="none"/>
        </w:rPr>
        <w:t>综合得分＝M÷商务技术合计满分×100</w:t>
      </w:r>
      <w:r>
        <w:rPr>
          <w:rFonts w:hint="eastAsia" w:ascii="宋体" w:hAnsi="宋体" w:eastAsia="宋体" w:cs="宋体"/>
          <w:color w:val="auto"/>
          <w:spacing w:val="-1"/>
          <w:sz w:val="24"/>
          <w:szCs w:val="24"/>
          <w:highlight w:val="none"/>
        </w:rPr>
        <w:t>×商务技术权重＋N×投标报价权重</w:t>
      </w:r>
    </w:p>
    <w:p w14:paraId="22FAA7C0">
      <w:pPr>
        <w:spacing w:before="155" w:line="324" w:lineRule="auto"/>
        <w:ind w:left="496" w:right="532" w:hanging="33"/>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式中：M 为商务技术得分，N 为投标报价得分。</w:t>
      </w:r>
    </w:p>
    <w:p w14:paraId="31F4B4FC">
      <w:pPr>
        <w:spacing w:before="78" w:line="329" w:lineRule="auto"/>
        <w:ind w:left="276" w:right="263" w:hanging="1"/>
        <w:jc w:val="both"/>
        <w:rPr>
          <w:rFonts w:hint="eastAsia" w:ascii="宋体" w:hAnsi="宋体" w:eastAsia="宋体" w:cs="宋体"/>
          <w:b/>
          <w:bCs/>
          <w:color w:val="auto"/>
          <w:spacing w:val="2"/>
          <w:sz w:val="24"/>
          <w:szCs w:val="24"/>
          <w:highlight w:val="none"/>
        </w:rPr>
      </w:pPr>
      <w:bookmarkStart w:id="125" w:name="_Toc32384"/>
      <w:bookmarkStart w:id="126" w:name="_Toc2885"/>
      <w:bookmarkStart w:id="127" w:name="_Toc30671"/>
      <w:bookmarkStart w:id="128" w:name="_Toc25214"/>
      <w:r>
        <w:rPr>
          <w:rFonts w:hint="eastAsia" w:ascii="宋体" w:hAnsi="宋体" w:eastAsia="宋体" w:cs="宋体"/>
          <w:b/>
          <w:bCs/>
          <w:color w:val="auto"/>
          <w:spacing w:val="2"/>
          <w:sz w:val="24"/>
          <w:szCs w:val="24"/>
          <w:highlight w:val="none"/>
        </w:rPr>
        <w:t>（4）</w:t>
      </w:r>
      <w:bookmarkEnd w:id="125"/>
      <w:bookmarkEnd w:id="126"/>
      <w:bookmarkEnd w:id="127"/>
      <w:bookmarkEnd w:id="128"/>
      <w:r>
        <w:rPr>
          <w:rFonts w:hint="eastAsia" w:ascii="宋体" w:hAnsi="宋体" w:eastAsia="宋体" w:cs="宋体"/>
          <w:b/>
          <w:bCs/>
          <w:color w:val="auto"/>
          <w:spacing w:val="2"/>
          <w:sz w:val="24"/>
          <w:szCs w:val="24"/>
          <w:highlight w:val="none"/>
        </w:rPr>
        <w:t>评标委员会根据招标文件规定的评分细则，对招标文件中的各评审因素进行评审、比较、打分，将得分前5名不排序（按企业统一社会信用代码后4位大小排位）的的投标人作为定标候选人推荐给招标人，并对每个定标候选人的优势、风险等评审情况进行说明。当投标人综合总得分相同时，以报价低为前；当投标人综合总得分相同且报价相同时，由评标委员会投票确定排前。</w:t>
      </w:r>
    </w:p>
    <w:p w14:paraId="70C32CE3">
      <w:pPr>
        <w:spacing w:before="78" w:line="329" w:lineRule="auto"/>
        <w:ind w:right="263" w:firstLine="490" w:firstLineChars="200"/>
        <w:jc w:val="both"/>
        <w:rPr>
          <w:rFonts w:hint="eastAsia" w:ascii="宋体" w:hAnsi="宋体" w:eastAsia="宋体" w:cs="宋体"/>
          <w:b/>
          <w:bCs/>
          <w:color w:val="auto"/>
          <w:sz w:val="24"/>
          <w:szCs w:val="24"/>
          <w:highlight w:val="none"/>
        </w:rPr>
      </w:pPr>
      <w:r>
        <w:rPr>
          <w:rFonts w:hint="eastAsia" w:ascii="宋体" w:hAnsi="宋体" w:eastAsia="宋体" w:cs="宋体"/>
          <w:b/>
          <w:bCs/>
          <w:color w:val="auto"/>
          <w:spacing w:val="2"/>
          <w:sz w:val="24"/>
          <w:szCs w:val="24"/>
          <w:highlight w:val="none"/>
        </w:rPr>
        <w:t>定标候选人得分只作为评标委员会的推荐依据，不作为定标委员会对中标候选人排序的依据。当有效投标人数量不足5名但满足法定要求时，所有通过评审的有效投标人均应作为定标候选人。</w:t>
      </w:r>
    </w:p>
    <w:p w14:paraId="018D3E19">
      <w:pPr>
        <w:pStyle w:val="5"/>
        <w:spacing w:line="304" w:lineRule="auto"/>
        <w:rPr>
          <w:rFonts w:hint="eastAsia" w:ascii="宋体" w:hAnsi="宋体" w:eastAsia="宋体" w:cs="宋体"/>
          <w:color w:val="auto"/>
          <w:highlight w:val="none"/>
        </w:rPr>
      </w:pPr>
    </w:p>
    <w:p w14:paraId="2C7B650C">
      <w:pPr>
        <w:rPr>
          <w:rFonts w:hint="eastAsia"/>
          <w:color w:val="auto"/>
          <w:highlight w:val="none"/>
        </w:rPr>
      </w:pPr>
    </w:p>
    <w:p w14:paraId="1DAED1C9">
      <w:pPr>
        <w:rPr>
          <w:rFonts w:hint="eastAsia" w:ascii="宋体" w:hAnsi="宋体" w:eastAsia="宋体" w:cs="宋体"/>
          <w:b/>
          <w:bCs/>
          <w:color w:val="auto"/>
          <w:spacing w:val="-6"/>
          <w:sz w:val="30"/>
          <w:szCs w:val="30"/>
          <w:highlight w:val="none"/>
        </w:rPr>
      </w:pPr>
      <w:bookmarkStart w:id="129" w:name="_Toc3020"/>
      <w:bookmarkStart w:id="130" w:name="_Toc16801"/>
      <w:bookmarkStart w:id="131" w:name="_Toc17375"/>
    </w:p>
    <w:p w14:paraId="40D4E59D">
      <w:pPr>
        <w:spacing w:before="98" w:line="221" w:lineRule="auto"/>
        <w:ind w:left="4248"/>
        <w:outlineLvl w:val="9"/>
        <w:rPr>
          <w:rFonts w:hint="eastAsia" w:ascii="宋体" w:hAnsi="宋体" w:eastAsia="宋体" w:cs="宋体"/>
          <w:b/>
          <w:bCs/>
          <w:color w:val="auto"/>
          <w:spacing w:val="-6"/>
          <w:sz w:val="30"/>
          <w:szCs w:val="30"/>
          <w:highlight w:val="none"/>
        </w:rPr>
      </w:pPr>
      <w:r>
        <w:rPr>
          <w:rFonts w:hint="eastAsia" w:ascii="宋体" w:hAnsi="宋体" w:eastAsia="宋体" w:cs="宋体"/>
          <w:b/>
          <w:bCs/>
          <w:color w:val="auto"/>
          <w:spacing w:val="-6"/>
          <w:sz w:val="30"/>
          <w:szCs w:val="30"/>
          <w:highlight w:val="none"/>
        </w:rPr>
        <w:t>综合评分表</w:t>
      </w:r>
      <w:bookmarkEnd w:id="129"/>
      <w:bookmarkEnd w:id="130"/>
      <w:bookmarkEnd w:id="131"/>
    </w:p>
    <w:tbl>
      <w:tblPr>
        <w:tblStyle w:val="14"/>
        <w:tblW w:w="1042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491"/>
        <w:gridCol w:w="168"/>
        <w:gridCol w:w="3700"/>
        <w:gridCol w:w="5065"/>
      </w:tblGrid>
      <w:tr w14:paraId="5FB657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1" w:hRule="exact"/>
          <w:jc w:val="center"/>
        </w:trPr>
        <w:tc>
          <w:tcPr>
            <w:tcW w:w="10424" w:type="dxa"/>
            <w:gridSpan w:val="4"/>
            <w:tcBorders>
              <w:top w:val="single" w:color="auto" w:sz="4" w:space="0"/>
              <w:left w:val="single" w:color="auto" w:sz="4" w:space="0"/>
              <w:bottom w:val="single" w:color="auto" w:sz="4" w:space="0"/>
              <w:right w:val="single" w:color="auto" w:sz="4" w:space="0"/>
            </w:tcBorders>
            <w:shd w:val="clear" w:color="auto" w:fill="D7D7D7"/>
            <w:noWrap w:val="0"/>
            <w:vAlign w:val="center"/>
          </w:tcPr>
          <w:p w14:paraId="248FBA9C">
            <w:pPr>
              <w:pStyle w:val="5"/>
              <w:keepNext w:val="0"/>
              <w:keepLines w:val="0"/>
              <w:pageBreakBefore w:val="0"/>
              <w:widowControl w:val="0"/>
              <w:tabs>
                <w:tab w:val="left" w:pos="1354"/>
                <w:tab w:val="left" w:pos="1459"/>
                <w:tab w:val="center" w:pos="3902"/>
                <w:tab w:val="right" w:pos="7805"/>
              </w:tabs>
              <w:kinsoku/>
              <w:wordWrap w:val="0"/>
              <w:overflowPunct/>
              <w:topLinePunct w:val="0"/>
              <w:autoSpaceDE/>
              <w:autoSpaceDN/>
              <w:bidi w:val="0"/>
              <w:adjustRightInd w:val="0"/>
              <w:snapToGrid w:val="0"/>
              <w:spacing w:before="0" w:beforeLines="0" w:after="0" w:afterLines="0" w:line="440" w:lineRule="exact"/>
              <w:ind w:left="0" w:leftChars="0" w:right="0" w:rightChars="0" w:firstLine="0" w:firstLineChars="0"/>
              <w:jc w:val="both"/>
              <w:textAlignment w:val="auto"/>
              <w:rPr>
                <w:rFonts w:hint="eastAsia" w:ascii="宋体" w:hAnsi="宋体" w:eastAsia="宋体" w:cs="宋体"/>
                <w:b/>
                <w:bCs/>
                <w:caps w:val="0"/>
                <w:smallCaps w:val="0"/>
                <w:snapToGrid w:val="0"/>
                <w:color w:val="auto"/>
                <w:spacing w:val="0"/>
                <w:kern w:val="0"/>
                <w:sz w:val="24"/>
                <w:szCs w:val="24"/>
                <w:highlight w:val="none"/>
                <w:lang w:eastAsia="zh-CN"/>
              </w:rPr>
            </w:pPr>
            <w:bookmarkStart w:id="132" w:name="_Toc5769"/>
            <w:bookmarkStart w:id="133" w:name="_Toc9725"/>
            <w:bookmarkStart w:id="134" w:name="_Toc31744"/>
            <w:bookmarkStart w:id="135" w:name="_Toc17436"/>
            <w:r>
              <w:rPr>
                <w:rFonts w:hint="eastAsia" w:ascii="宋体" w:hAnsi="宋体" w:eastAsia="宋体" w:cs="宋体"/>
                <w:b/>
                <w:bCs/>
                <w:caps w:val="0"/>
                <w:smallCaps w:val="0"/>
                <w:snapToGrid w:val="0"/>
                <w:color w:val="auto"/>
                <w:spacing w:val="0"/>
                <w:kern w:val="0"/>
                <w:sz w:val="24"/>
                <w:szCs w:val="24"/>
                <w:highlight w:val="none"/>
                <w:lang w:eastAsia="zh-CN"/>
              </w:rPr>
              <w:t>商务部分，满分：</w:t>
            </w:r>
            <w:r>
              <w:rPr>
                <w:rFonts w:hint="eastAsia" w:ascii="宋体" w:hAnsi="宋体" w:eastAsia="宋体" w:cs="宋体"/>
                <w:b/>
                <w:bCs/>
                <w:caps w:val="0"/>
                <w:smallCaps w:val="0"/>
                <w:snapToGrid w:val="0"/>
                <w:color w:val="auto"/>
                <w:spacing w:val="0"/>
                <w:kern w:val="0"/>
                <w:sz w:val="24"/>
                <w:szCs w:val="24"/>
                <w:highlight w:val="none"/>
                <w:u w:val="single"/>
                <w:lang w:val="en-US" w:eastAsia="zh-CN"/>
              </w:rPr>
              <w:t xml:space="preserve"> 80 </w:t>
            </w:r>
            <w:r>
              <w:rPr>
                <w:rFonts w:hint="eastAsia" w:ascii="宋体" w:hAnsi="宋体" w:eastAsia="宋体" w:cs="宋体"/>
                <w:b/>
                <w:bCs/>
                <w:caps w:val="0"/>
                <w:smallCaps w:val="0"/>
                <w:snapToGrid w:val="0"/>
                <w:color w:val="auto"/>
                <w:spacing w:val="0"/>
                <w:kern w:val="0"/>
                <w:sz w:val="24"/>
                <w:szCs w:val="24"/>
                <w:highlight w:val="none"/>
                <w:lang w:val="en-US" w:eastAsia="zh-CN"/>
              </w:rPr>
              <w:t>分。</w:t>
            </w:r>
          </w:p>
        </w:tc>
      </w:tr>
      <w:tr w14:paraId="336260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1" w:hRule="exact"/>
          <w:jc w:val="center"/>
        </w:trPr>
        <w:tc>
          <w:tcPr>
            <w:tcW w:w="1491" w:type="dxa"/>
            <w:tcBorders>
              <w:top w:val="single" w:color="auto" w:sz="4" w:space="0"/>
              <w:left w:val="single" w:color="auto" w:sz="4" w:space="0"/>
              <w:bottom w:val="single" w:color="auto" w:sz="4" w:space="0"/>
              <w:right w:val="single" w:color="auto" w:sz="4" w:space="0"/>
            </w:tcBorders>
            <w:noWrap w:val="0"/>
            <w:vAlign w:val="center"/>
          </w:tcPr>
          <w:p w14:paraId="7835041F">
            <w:pPr>
              <w:pStyle w:val="5"/>
              <w:keepNext w:val="0"/>
              <w:keepLines w:val="0"/>
              <w:pageBreakBefore w:val="0"/>
              <w:widowControl w:val="0"/>
              <w:tabs>
                <w:tab w:val="left" w:pos="1354"/>
                <w:tab w:val="left" w:pos="1459"/>
                <w:tab w:val="center" w:pos="3902"/>
                <w:tab w:val="right" w:pos="7805"/>
              </w:tabs>
              <w:kinsoku/>
              <w:wordWrap w:val="0"/>
              <w:overflowPunct/>
              <w:topLinePunct w:val="0"/>
              <w:autoSpaceDE/>
              <w:autoSpaceDN/>
              <w:bidi w:val="0"/>
              <w:adjustRightInd w:val="0"/>
              <w:snapToGrid w:val="0"/>
              <w:spacing w:before="0" w:beforeLines="0" w:after="0" w:afterLines="0" w:line="440" w:lineRule="exact"/>
              <w:ind w:left="0" w:leftChars="0" w:right="0" w:rightChars="0" w:firstLine="0" w:firstLineChars="0"/>
              <w:jc w:val="center"/>
              <w:textAlignment w:val="auto"/>
              <w:rPr>
                <w:rFonts w:hint="eastAsia" w:ascii="宋体" w:hAnsi="宋体" w:eastAsia="宋体" w:cs="宋体"/>
                <w:b/>
                <w:bCs/>
                <w:caps w:val="0"/>
                <w:smallCaps w:val="0"/>
                <w:snapToGrid w:val="0"/>
                <w:color w:val="auto"/>
                <w:spacing w:val="0"/>
                <w:kern w:val="0"/>
                <w:sz w:val="24"/>
                <w:szCs w:val="24"/>
                <w:highlight w:val="none"/>
                <w:lang w:eastAsia="zh-CN"/>
              </w:rPr>
            </w:pPr>
            <w:r>
              <w:rPr>
                <w:rFonts w:hint="eastAsia" w:ascii="宋体" w:hAnsi="宋体" w:eastAsia="宋体" w:cs="宋体"/>
                <w:b/>
                <w:bCs/>
                <w:caps w:val="0"/>
                <w:smallCaps w:val="0"/>
                <w:snapToGrid w:val="0"/>
                <w:color w:val="auto"/>
                <w:spacing w:val="0"/>
                <w:kern w:val="0"/>
                <w:sz w:val="24"/>
                <w:szCs w:val="24"/>
                <w:highlight w:val="none"/>
                <w:lang w:eastAsia="zh-CN"/>
              </w:rPr>
              <w:t>评分因素</w:t>
            </w:r>
          </w:p>
        </w:tc>
        <w:tc>
          <w:tcPr>
            <w:tcW w:w="3868" w:type="dxa"/>
            <w:gridSpan w:val="2"/>
            <w:tcBorders>
              <w:top w:val="single" w:color="auto" w:sz="4" w:space="0"/>
              <w:left w:val="single" w:color="auto" w:sz="4" w:space="0"/>
              <w:bottom w:val="single" w:color="auto" w:sz="4" w:space="0"/>
              <w:right w:val="single" w:color="auto" w:sz="4" w:space="0"/>
            </w:tcBorders>
            <w:noWrap w:val="0"/>
            <w:vAlign w:val="center"/>
          </w:tcPr>
          <w:p w14:paraId="5109D750">
            <w:pPr>
              <w:pStyle w:val="5"/>
              <w:keepNext w:val="0"/>
              <w:keepLines w:val="0"/>
              <w:pageBreakBefore w:val="0"/>
              <w:widowControl w:val="0"/>
              <w:tabs>
                <w:tab w:val="left" w:pos="1354"/>
                <w:tab w:val="left" w:pos="1459"/>
                <w:tab w:val="center" w:pos="3902"/>
                <w:tab w:val="right" w:pos="7805"/>
              </w:tabs>
              <w:kinsoku/>
              <w:wordWrap w:val="0"/>
              <w:overflowPunct/>
              <w:topLinePunct w:val="0"/>
              <w:autoSpaceDE/>
              <w:autoSpaceDN/>
              <w:bidi w:val="0"/>
              <w:adjustRightInd w:val="0"/>
              <w:snapToGrid w:val="0"/>
              <w:spacing w:before="0" w:beforeLines="0" w:after="0" w:afterLines="0" w:line="440" w:lineRule="exact"/>
              <w:ind w:left="0" w:leftChars="0" w:right="0" w:rightChars="0" w:firstLine="0" w:firstLineChars="0"/>
              <w:jc w:val="center"/>
              <w:textAlignment w:val="auto"/>
              <w:rPr>
                <w:rFonts w:hint="eastAsia" w:ascii="宋体" w:hAnsi="宋体" w:eastAsia="宋体" w:cs="宋体"/>
                <w:b/>
                <w:bCs/>
                <w:caps w:val="0"/>
                <w:smallCaps w:val="0"/>
                <w:snapToGrid w:val="0"/>
                <w:color w:val="auto"/>
                <w:spacing w:val="0"/>
                <w:kern w:val="0"/>
                <w:sz w:val="24"/>
                <w:szCs w:val="24"/>
                <w:highlight w:val="none"/>
                <w:lang w:eastAsia="zh-CN"/>
              </w:rPr>
            </w:pPr>
            <w:r>
              <w:rPr>
                <w:rFonts w:hint="eastAsia" w:ascii="宋体" w:hAnsi="宋体" w:eastAsia="宋体" w:cs="宋体"/>
                <w:b/>
                <w:bCs/>
                <w:caps w:val="0"/>
                <w:smallCaps w:val="0"/>
                <w:snapToGrid w:val="0"/>
                <w:color w:val="auto"/>
                <w:spacing w:val="0"/>
                <w:kern w:val="0"/>
                <w:sz w:val="24"/>
                <w:szCs w:val="24"/>
                <w:highlight w:val="none"/>
                <w:lang w:eastAsia="zh-CN"/>
              </w:rPr>
              <w:t>评分标准</w:t>
            </w:r>
          </w:p>
        </w:tc>
        <w:tc>
          <w:tcPr>
            <w:tcW w:w="5065" w:type="dxa"/>
            <w:tcBorders>
              <w:top w:val="single" w:color="auto" w:sz="4" w:space="0"/>
              <w:left w:val="single" w:color="auto" w:sz="4" w:space="0"/>
              <w:bottom w:val="single" w:color="auto" w:sz="4" w:space="0"/>
              <w:right w:val="single" w:color="auto" w:sz="4" w:space="0"/>
            </w:tcBorders>
            <w:noWrap w:val="0"/>
            <w:vAlign w:val="center"/>
          </w:tcPr>
          <w:p w14:paraId="72014B04">
            <w:pPr>
              <w:pStyle w:val="5"/>
              <w:keepNext w:val="0"/>
              <w:keepLines w:val="0"/>
              <w:pageBreakBefore w:val="0"/>
              <w:widowControl w:val="0"/>
              <w:tabs>
                <w:tab w:val="left" w:pos="1354"/>
                <w:tab w:val="left" w:pos="1459"/>
                <w:tab w:val="center" w:pos="3902"/>
                <w:tab w:val="right" w:pos="7805"/>
              </w:tabs>
              <w:kinsoku/>
              <w:wordWrap w:val="0"/>
              <w:overflowPunct/>
              <w:topLinePunct w:val="0"/>
              <w:autoSpaceDE/>
              <w:autoSpaceDN/>
              <w:bidi w:val="0"/>
              <w:adjustRightInd w:val="0"/>
              <w:snapToGrid w:val="0"/>
              <w:spacing w:before="0" w:beforeLines="0" w:after="0" w:afterLines="0" w:line="440" w:lineRule="exact"/>
              <w:ind w:left="0" w:leftChars="0" w:right="0" w:rightChars="0" w:firstLine="0" w:firstLineChars="0"/>
              <w:jc w:val="center"/>
              <w:textAlignment w:val="auto"/>
              <w:rPr>
                <w:rFonts w:hint="eastAsia" w:ascii="宋体" w:hAnsi="宋体" w:eastAsia="宋体" w:cs="宋体"/>
                <w:b/>
                <w:bCs/>
                <w:caps w:val="0"/>
                <w:smallCaps w:val="0"/>
                <w:snapToGrid w:val="0"/>
                <w:color w:val="auto"/>
                <w:spacing w:val="0"/>
                <w:kern w:val="0"/>
                <w:sz w:val="24"/>
                <w:szCs w:val="24"/>
                <w:highlight w:val="none"/>
                <w:lang w:val="en-US" w:eastAsia="zh-CN"/>
              </w:rPr>
            </w:pPr>
            <w:r>
              <w:rPr>
                <w:rFonts w:hint="eastAsia" w:ascii="宋体" w:hAnsi="宋体" w:eastAsia="宋体" w:cs="宋体"/>
                <w:b/>
                <w:bCs/>
                <w:caps w:val="0"/>
                <w:smallCaps w:val="0"/>
                <w:snapToGrid w:val="0"/>
                <w:color w:val="auto"/>
                <w:spacing w:val="0"/>
                <w:kern w:val="0"/>
                <w:sz w:val="24"/>
                <w:szCs w:val="24"/>
                <w:highlight w:val="none"/>
                <w:lang w:val="en-US" w:eastAsia="zh-CN"/>
              </w:rPr>
              <w:t>备注</w:t>
            </w:r>
          </w:p>
        </w:tc>
      </w:tr>
      <w:tr w14:paraId="5BE333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21" w:hRule="atLeast"/>
          <w:jc w:val="center"/>
        </w:trPr>
        <w:tc>
          <w:tcPr>
            <w:tcW w:w="1491" w:type="dxa"/>
            <w:tcBorders>
              <w:top w:val="single" w:color="auto" w:sz="4" w:space="0"/>
              <w:left w:val="single" w:color="auto" w:sz="4" w:space="0"/>
              <w:bottom w:val="single" w:color="auto" w:sz="4" w:space="0"/>
              <w:right w:val="single" w:color="auto" w:sz="4" w:space="0"/>
            </w:tcBorders>
            <w:noWrap w:val="0"/>
            <w:vAlign w:val="center"/>
          </w:tcPr>
          <w:p w14:paraId="7819ADA1">
            <w:pPr>
              <w:pStyle w:val="5"/>
              <w:keepNext w:val="0"/>
              <w:keepLines w:val="0"/>
              <w:pageBreakBefore w:val="0"/>
              <w:widowControl w:val="0"/>
              <w:kinsoku/>
              <w:wordWrap w:val="0"/>
              <w:overflowPunct/>
              <w:topLinePunct w:val="0"/>
              <w:autoSpaceDE/>
              <w:autoSpaceDN/>
              <w:bidi w:val="0"/>
              <w:adjustRightInd w:val="0"/>
              <w:snapToGrid w:val="0"/>
              <w:spacing w:after="0" w:line="288" w:lineRule="auto"/>
              <w:jc w:val="center"/>
              <w:textAlignment w:val="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企业奖项</w:t>
            </w:r>
          </w:p>
          <w:p w14:paraId="796CA053">
            <w:pPr>
              <w:pStyle w:val="5"/>
              <w:keepNext w:val="0"/>
              <w:keepLines w:val="0"/>
              <w:pageBreakBefore w:val="0"/>
              <w:widowControl w:val="0"/>
              <w:kinsoku/>
              <w:wordWrap w:val="0"/>
              <w:overflowPunct/>
              <w:topLinePunct w:val="0"/>
              <w:autoSpaceDE/>
              <w:autoSpaceDN/>
              <w:bidi w:val="0"/>
              <w:adjustRightInd w:val="0"/>
              <w:snapToGrid w:val="0"/>
              <w:spacing w:after="0" w:line="288" w:lineRule="auto"/>
              <w:jc w:val="center"/>
              <w:textAlignment w:val="auto"/>
              <w:rPr>
                <w:rFonts w:hint="eastAsia" w:ascii="宋体" w:hAnsi="宋体" w:eastAsia="宋体" w:cs="宋体"/>
                <w:snapToGrid w:val="0"/>
                <w:color w:val="auto"/>
                <w:kern w:val="0"/>
                <w:sz w:val="22"/>
                <w:szCs w:val="22"/>
                <w:highlight w:val="none"/>
                <w:lang w:val="en-US" w:eastAsia="zh-CN" w:bidi="ar-SA"/>
              </w:rPr>
            </w:pPr>
            <w:r>
              <w:rPr>
                <w:rFonts w:hint="eastAsia" w:ascii="宋体" w:hAnsi="宋体" w:eastAsia="宋体" w:cs="宋体"/>
                <w:snapToGrid w:val="0"/>
                <w:color w:val="auto"/>
                <w:kern w:val="0"/>
                <w:sz w:val="22"/>
                <w:szCs w:val="22"/>
                <w:highlight w:val="none"/>
              </w:rPr>
              <w:t>（</w:t>
            </w:r>
            <w:r>
              <w:rPr>
                <w:rFonts w:hint="eastAsia" w:asciiTheme="minorEastAsia" w:hAnsiTheme="minorEastAsia" w:eastAsiaTheme="minorEastAsia" w:cstheme="minorEastAsia"/>
                <w:snapToGrid w:val="0"/>
                <w:color w:val="auto"/>
                <w:kern w:val="0"/>
                <w:sz w:val="22"/>
                <w:szCs w:val="22"/>
                <w:highlight w:val="none"/>
              </w:rPr>
              <w:t>1</w:t>
            </w:r>
            <w:r>
              <w:rPr>
                <w:rFonts w:hint="eastAsia" w:asciiTheme="minorEastAsia" w:hAnsiTheme="minorEastAsia" w:eastAsiaTheme="minorEastAsia" w:cstheme="minorEastAsia"/>
                <w:snapToGrid w:val="0"/>
                <w:color w:val="auto"/>
                <w:kern w:val="0"/>
                <w:sz w:val="22"/>
                <w:szCs w:val="22"/>
                <w:highlight w:val="none"/>
                <w:lang w:val="en-US" w:eastAsia="zh-CN"/>
              </w:rPr>
              <w:t>0</w:t>
            </w:r>
            <w:r>
              <w:rPr>
                <w:rFonts w:hint="eastAsia" w:ascii="宋体" w:hAnsi="宋体" w:eastAsia="宋体" w:cs="宋体"/>
                <w:snapToGrid w:val="0"/>
                <w:color w:val="auto"/>
                <w:kern w:val="0"/>
                <w:sz w:val="22"/>
                <w:szCs w:val="22"/>
                <w:highlight w:val="none"/>
              </w:rPr>
              <w:t>分）</w:t>
            </w:r>
          </w:p>
        </w:tc>
        <w:tc>
          <w:tcPr>
            <w:tcW w:w="3868" w:type="dxa"/>
            <w:gridSpan w:val="2"/>
            <w:tcBorders>
              <w:top w:val="single" w:color="auto" w:sz="4" w:space="0"/>
              <w:left w:val="single" w:color="auto" w:sz="4" w:space="0"/>
              <w:bottom w:val="single" w:color="auto" w:sz="4" w:space="0"/>
              <w:right w:val="single" w:color="auto" w:sz="4" w:space="0"/>
            </w:tcBorders>
            <w:noWrap w:val="0"/>
            <w:vAlign w:val="center"/>
          </w:tcPr>
          <w:p w14:paraId="151F940C">
            <w:pPr>
              <w:pStyle w:val="5"/>
              <w:keepNext w:val="0"/>
              <w:keepLines w:val="0"/>
              <w:pageBreakBefore w:val="0"/>
              <w:wordWrap w:val="0"/>
              <w:overflowPunct/>
              <w:topLinePunct w:val="0"/>
              <w:bidi w:val="0"/>
              <w:adjustRightInd w:val="0"/>
              <w:snapToGrid w:val="0"/>
              <w:spacing w:after="0" w:line="400" w:lineRule="exact"/>
              <w:rPr>
                <w:rFonts w:hint="eastAsia" w:asciiTheme="minorEastAsia" w:hAnsiTheme="minorEastAsia" w:eastAsiaTheme="minorEastAsia" w:cstheme="minorEastAsia"/>
                <w:snapToGrid w:val="0"/>
                <w:color w:val="auto"/>
                <w:kern w:val="0"/>
                <w:sz w:val="22"/>
                <w:szCs w:val="22"/>
                <w:highlight w:val="none"/>
              </w:rPr>
            </w:pPr>
            <w:r>
              <w:rPr>
                <w:rFonts w:hint="eastAsia" w:asciiTheme="minorEastAsia" w:hAnsiTheme="minorEastAsia" w:eastAsiaTheme="minorEastAsia" w:cstheme="minorEastAsia"/>
                <w:snapToGrid w:val="0"/>
                <w:color w:val="auto"/>
                <w:kern w:val="0"/>
                <w:sz w:val="22"/>
                <w:szCs w:val="22"/>
                <w:highlight w:val="none"/>
              </w:rPr>
              <w:t>企业近年来（20</w:t>
            </w:r>
            <w:r>
              <w:rPr>
                <w:rFonts w:hint="eastAsia" w:asciiTheme="minorEastAsia" w:hAnsiTheme="minorEastAsia" w:eastAsiaTheme="minorEastAsia" w:cstheme="minorEastAsia"/>
                <w:snapToGrid w:val="0"/>
                <w:color w:val="auto"/>
                <w:kern w:val="0"/>
                <w:sz w:val="22"/>
                <w:szCs w:val="22"/>
                <w:highlight w:val="none"/>
                <w:lang w:val="en-US" w:eastAsia="zh-CN"/>
              </w:rPr>
              <w:t>23</w:t>
            </w:r>
            <w:r>
              <w:rPr>
                <w:rFonts w:hint="eastAsia" w:asciiTheme="minorEastAsia" w:hAnsiTheme="minorEastAsia" w:eastAsiaTheme="minorEastAsia" w:cstheme="minorEastAsia"/>
                <w:snapToGrid w:val="0"/>
                <w:color w:val="auto"/>
                <w:kern w:val="0"/>
                <w:sz w:val="22"/>
                <w:szCs w:val="22"/>
                <w:highlight w:val="none"/>
              </w:rPr>
              <w:t>年1月1日至今）获得</w:t>
            </w:r>
            <w:r>
              <w:rPr>
                <w:rFonts w:hint="eastAsia" w:asciiTheme="minorEastAsia" w:hAnsiTheme="minorEastAsia" w:eastAsiaTheme="minorEastAsia" w:cstheme="minorEastAsia"/>
                <w:snapToGrid w:val="0"/>
                <w:color w:val="auto"/>
                <w:kern w:val="0"/>
                <w:sz w:val="22"/>
                <w:szCs w:val="22"/>
                <w:highlight w:val="none"/>
                <w:u w:val="single"/>
              </w:rPr>
              <w:t xml:space="preserve"> </w:t>
            </w:r>
            <w:r>
              <w:rPr>
                <w:rFonts w:hint="eastAsia" w:asciiTheme="minorEastAsia" w:hAnsiTheme="minorEastAsia" w:eastAsiaTheme="minorEastAsia" w:cstheme="minorEastAsia"/>
                <w:snapToGrid w:val="0"/>
                <w:color w:val="auto"/>
                <w:kern w:val="0"/>
                <w:sz w:val="22"/>
                <w:szCs w:val="22"/>
                <w:highlight w:val="none"/>
                <w:u w:val="single"/>
                <w:lang w:val="en-US" w:eastAsia="zh-CN"/>
              </w:rPr>
              <w:t>房屋建筑或</w:t>
            </w:r>
            <w:r>
              <w:rPr>
                <w:rFonts w:hint="eastAsia" w:asciiTheme="minorEastAsia" w:hAnsiTheme="minorEastAsia" w:eastAsiaTheme="minorEastAsia" w:cstheme="minorEastAsia"/>
                <w:snapToGrid w:val="0"/>
                <w:color w:val="auto"/>
                <w:kern w:val="0"/>
                <w:sz w:val="22"/>
                <w:szCs w:val="22"/>
                <w:highlight w:val="none"/>
                <w:u w:val="single"/>
              </w:rPr>
              <w:t xml:space="preserve">市政 </w:t>
            </w:r>
            <w:r>
              <w:rPr>
                <w:rFonts w:hint="eastAsia" w:asciiTheme="minorEastAsia" w:hAnsiTheme="minorEastAsia" w:eastAsiaTheme="minorEastAsia" w:cstheme="minorEastAsia"/>
                <w:snapToGrid w:val="0"/>
                <w:color w:val="auto"/>
                <w:kern w:val="0"/>
                <w:sz w:val="22"/>
                <w:szCs w:val="22"/>
                <w:highlight w:val="none"/>
              </w:rPr>
              <w:t>工程类奖项情况</w:t>
            </w:r>
            <w:r>
              <w:rPr>
                <w:rFonts w:hint="eastAsia" w:asciiTheme="minorEastAsia" w:hAnsiTheme="minorEastAsia" w:eastAsiaTheme="minorEastAsia" w:cstheme="minorEastAsia"/>
                <w:snapToGrid w:val="0"/>
                <w:color w:val="auto"/>
                <w:kern w:val="0"/>
                <w:sz w:val="22"/>
                <w:szCs w:val="22"/>
                <w:highlight w:val="none"/>
                <w:lang w:eastAsia="zh-CN"/>
              </w:rPr>
              <w:t>（</w:t>
            </w:r>
            <w:r>
              <w:rPr>
                <w:rFonts w:hint="eastAsia" w:asciiTheme="minorEastAsia" w:hAnsiTheme="minorEastAsia" w:eastAsiaTheme="minorEastAsia" w:cstheme="minorEastAsia"/>
                <w:snapToGrid w:val="0"/>
                <w:color w:val="auto"/>
                <w:kern w:val="0"/>
                <w:sz w:val="22"/>
                <w:szCs w:val="22"/>
                <w:highlight w:val="none"/>
                <w:lang w:val="en-US" w:eastAsia="zh-CN"/>
              </w:rPr>
              <w:t>不含参建奖项</w:t>
            </w:r>
            <w:r>
              <w:rPr>
                <w:rFonts w:hint="eastAsia" w:asciiTheme="minorEastAsia" w:hAnsiTheme="minorEastAsia" w:eastAsiaTheme="minorEastAsia" w:cstheme="minorEastAsia"/>
                <w:snapToGrid w:val="0"/>
                <w:color w:val="auto"/>
                <w:kern w:val="0"/>
                <w:sz w:val="22"/>
                <w:szCs w:val="22"/>
                <w:highlight w:val="none"/>
                <w:lang w:eastAsia="zh-CN"/>
              </w:rPr>
              <w:t>）</w:t>
            </w:r>
            <w:r>
              <w:rPr>
                <w:rFonts w:hint="eastAsia" w:asciiTheme="minorEastAsia" w:hAnsiTheme="minorEastAsia" w:eastAsiaTheme="minorEastAsia" w:cstheme="minorEastAsia"/>
                <w:snapToGrid w:val="0"/>
                <w:color w:val="auto"/>
                <w:kern w:val="0"/>
                <w:sz w:val="22"/>
                <w:szCs w:val="22"/>
                <w:highlight w:val="none"/>
              </w:rPr>
              <w:t>：</w:t>
            </w:r>
          </w:p>
          <w:p w14:paraId="4A675574">
            <w:pPr>
              <w:keepNext w:val="0"/>
              <w:keepLines w:val="0"/>
              <w:pageBreakBefore w:val="0"/>
              <w:overflowPunct/>
              <w:topLinePunct w:val="0"/>
              <w:bidi w:val="0"/>
              <w:adjustRightInd w:val="0"/>
              <w:snapToGrid w:val="0"/>
              <w:spacing w:before="65" w:line="400" w:lineRule="exact"/>
              <w:ind w:right="106"/>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pacing w:val="8"/>
                <w:sz w:val="22"/>
                <w:szCs w:val="22"/>
                <w:highlight w:val="none"/>
              </w:rPr>
              <w:t>1</w:t>
            </w:r>
            <w:r>
              <w:rPr>
                <w:rFonts w:hint="eastAsia" w:asciiTheme="minorEastAsia" w:hAnsiTheme="minorEastAsia" w:eastAsiaTheme="minorEastAsia" w:cstheme="minorEastAsia"/>
                <w:color w:val="auto"/>
                <w:spacing w:val="-12"/>
                <w:sz w:val="22"/>
                <w:szCs w:val="22"/>
                <w:highlight w:val="none"/>
                <w:lang w:val="en-US" w:eastAsia="zh-CN"/>
              </w:rPr>
              <w:t>.</w:t>
            </w:r>
            <w:r>
              <w:rPr>
                <w:rFonts w:hint="eastAsia" w:asciiTheme="minorEastAsia" w:hAnsiTheme="minorEastAsia" w:eastAsiaTheme="minorEastAsia" w:cstheme="minorEastAsia"/>
                <w:color w:val="auto"/>
                <w:spacing w:val="8"/>
                <w:sz w:val="22"/>
                <w:szCs w:val="22"/>
                <w:highlight w:val="none"/>
              </w:rPr>
              <w:t>获得国家级奖项的，每个得</w:t>
            </w:r>
            <w:r>
              <w:rPr>
                <w:rFonts w:hint="eastAsia" w:asciiTheme="minorEastAsia" w:hAnsiTheme="minorEastAsia" w:eastAsiaTheme="minorEastAsia" w:cstheme="minorEastAsia"/>
                <w:color w:val="auto"/>
                <w:spacing w:val="8"/>
                <w:sz w:val="22"/>
                <w:szCs w:val="22"/>
                <w:highlight w:val="none"/>
                <w:u w:val="single"/>
                <w:lang w:val="en-US" w:eastAsia="zh-CN"/>
              </w:rPr>
              <w:t>8</w:t>
            </w:r>
            <w:r>
              <w:rPr>
                <w:rFonts w:hint="eastAsia" w:asciiTheme="minorEastAsia" w:hAnsiTheme="minorEastAsia" w:eastAsiaTheme="minorEastAsia" w:cstheme="minorEastAsia"/>
                <w:color w:val="auto"/>
                <w:spacing w:val="-1"/>
                <w:sz w:val="22"/>
                <w:szCs w:val="22"/>
                <w:highlight w:val="none"/>
              </w:rPr>
              <w:t>分。</w:t>
            </w:r>
          </w:p>
          <w:p w14:paraId="5C617CCE">
            <w:pPr>
              <w:keepNext w:val="0"/>
              <w:keepLines w:val="0"/>
              <w:pageBreakBefore w:val="0"/>
              <w:overflowPunct/>
              <w:topLinePunct w:val="0"/>
              <w:bidi w:val="0"/>
              <w:adjustRightInd w:val="0"/>
              <w:snapToGrid w:val="0"/>
              <w:spacing w:before="150" w:line="400" w:lineRule="exact"/>
              <w:ind w:right="10"/>
              <w:jc w:val="left"/>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pacing w:val="3"/>
                <w:sz w:val="22"/>
                <w:szCs w:val="22"/>
                <w:highlight w:val="none"/>
              </w:rPr>
              <w:t>2</w:t>
            </w:r>
            <w:r>
              <w:rPr>
                <w:rFonts w:hint="eastAsia" w:asciiTheme="minorEastAsia" w:hAnsiTheme="minorEastAsia" w:eastAsiaTheme="minorEastAsia" w:cstheme="minorEastAsia"/>
                <w:color w:val="auto"/>
                <w:spacing w:val="-12"/>
                <w:sz w:val="22"/>
                <w:szCs w:val="22"/>
                <w:highlight w:val="none"/>
                <w:lang w:val="en-US" w:eastAsia="zh-CN"/>
              </w:rPr>
              <w:t>.</w:t>
            </w:r>
            <w:r>
              <w:rPr>
                <w:rFonts w:hint="eastAsia" w:asciiTheme="minorEastAsia" w:hAnsiTheme="minorEastAsia" w:eastAsiaTheme="minorEastAsia" w:cstheme="minorEastAsia"/>
                <w:color w:val="auto"/>
                <w:spacing w:val="3"/>
                <w:sz w:val="22"/>
                <w:szCs w:val="22"/>
                <w:highlight w:val="none"/>
              </w:rPr>
              <w:t>获得省级奖项的，每个得</w:t>
            </w:r>
            <w:r>
              <w:rPr>
                <w:rFonts w:hint="eastAsia" w:asciiTheme="minorEastAsia" w:hAnsiTheme="minorEastAsia" w:eastAsiaTheme="minorEastAsia" w:cstheme="minorEastAsia"/>
                <w:color w:val="auto"/>
                <w:spacing w:val="3"/>
                <w:sz w:val="22"/>
                <w:szCs w:val="22"/>
                <w:highlight w:val="none"/>
                <w:u w:val="single"/>
                <w:lang w:val="en-US" w:eastAsia="zh-CN"/>
              </w:rPr>
              <w:t xml:space="preserve"> 4</w:t>
            </w:r>
            <w:r>
              <w:rPr>
                <w:rFonts w:hint="eastAsia" w:asciiTheme="minorEastAsia" w:hAnsiTheme="minorEastAsia" w:eastAsiaTheme="minorEastAsia" w:cstheme="minorEastAsia"/>
                <w:color w:val="auto"/>
                <w:spacing w:val="3"/>
                <w:sz w:val="22"/>
                <w:szCs w:val="22"/>
                <w:highlight w:val="none"/>
              </w:rPr>
              <w:t>分。</w:t>
            </w:r>
          </w:p>
          <w:p w14:paraId="4BE654BB">
            <w:pPr>
              <w:keepNext w:val="0"/>
              <w:keepLines w:val="0"/>
              <w:pageBreakBefore w:val="0"/>
              <w:overflowPunct/>
              <w:topLinePunct w:val="0"/>
              <w:bidi w:val="0"/>
              <w:adjustRightInd w:val="0"/>
              <w:snapToGrid w:val="0"/>
              <w:spacing w:before="152" w:line="400" w:lineRule="exact"/>
              <w:ind w:right="106"/>
              <w:jc w:val="left"/>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pacing w:val="8"/>
                <w:sz w:val="22"/>
                <w:szCs w:val="22"/>
                <w:highlight w:val="none"/>
              </w:rPr>
              <w:t>3</w:t>
            </w:r>
            <w:r>
              <w:rPr>
                <w:rFonts w:hint="eastAsia" w:asciiTheme="minorEastAsia" w:hAnsiTheme="minorEastAsia" w:eastAsiaTheme="minorEastAsia" w:cstheme="minorEastAsia"/>
                <w:color w:val="auto"/>
                <w:spacing w:val="-4"/>
                <w:sz w:val="22"/>
                <w:szCs w:val="22"/>
                <w:highlight w:val="none"/>
                <w:lang w:val="en-US" w:eastAsia="zh-CN"/>
              </w:rPr>
              <w:t>.</w:t>
            </w:r>
            <w:r>
              <w:rPr>
                <w:rFonts w:hint="eastAsia" w:asciiTheme="minorEastAsia" w:hAnsiTheme="minorEastAsia" w:eastAsiaTheme="minorEastAsia" w:cstheme="minorEastAsia"/>
                <w:color w:val="auto"/>
                <w:spacing w:val="8"/>
                <w:sz w:val="22"/>
                <w:szCs w:val="22"/>
                <w:highlight w:val="none"/>
              </w:rPr>
              <w:t>获得地市级奖项的，每个得</w:t>
            </w:r>
            <w:r>
              <w:rPr>
                <w:rFonts w:hint="eastAsia" w:asciiTheme="minorEastAsia" w:hAnsiTheme="minorEastAsia" w:eastAsiaTheme="minorEastAsia" w:cstheme="minorEastAsia"/>
                <w:color w:val="auto"/>
                <w:spacing w:val="8"/>
                <w:sz w:val="22"/>
                <w:szCs w:val="22"/>
                <w:highlight w:val="none"/>
                <w:u w:val="single"/>
                <w:lang w:val="en-US" w:eastAsia="zh-CN"/>
              </w:rPr>
              <w:t>2</w:t>
            </w:r>
            <w:r>
              <w:rPr>
                <w:rFonts w:hint="eastAsia" w:asciiTheme="minorEastAsia" w:hAnsiTheme="minorEastAsia" w:eastAsiaTheme="minorEastAsia" w:cstheme="minorEastAsia"/>
                <w:color w:val="auto"/>
                <w:spacing w:val="-1"/>
                <w:sz w:val="22"/>
                <w:szCs w:val="22"/>
                <w:highlight w:val="none"/>
              </w:rPr>
              <w:t>分。</w:t>
            </w:r>
          </w:p>
          <w:p w14:paraId="6E584BC7">
            <w:pPr>
              <w:keepNext w:val="0"/>
              <w:keepLines w:val="0"/>
              <w:pageBreakBefore w:val="0"/>
              <w:overflowPunct/>
              <w:topLinePunct w:val="0"/>
              <w:bidi w:val="0"/>
              <w:adjustRightInd w:val="0"/>
              <w:snapToGrid w:val="0"/>
              <w:spacing w:before="150" w:line="400" w:lineRule="exact"/>
              <w:ind w:right="13"/>
              <w:jc w:val="left"/>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pacing w:val="-1"/>
                <w:sz w:val="22"/>
                <w:szCs w:val="22"/>
                <w:highlight w:val="none"/>
              </w:rPr>
              <w:t>4</w:t>
            </w:r>
            <w:r>
              <w:rPr>
                <w:rFonts w:hint="eastAsia" w:asciiTheme="minorEastAsia" w:hAnsiTheme="minorEastAsia" w:eastAsiaTheme="minorEastAsia" w:cstheme="minorEastAsia"/>
                <w:color w:val="auto"/>
                <w:spacing w:val="-1"/>
                <w:sz w:val="22"/>
                <w:szCs w:val="22"/>
                <w:highlight w:val="none"/>
                <w:lang w:val="en-US" w:eastAsia="zh-CN"/>
              </w:rPr>
              <w:t>.</w:t>
            </w:r>
            <w:r>
              <w:rPr>
                <w:rFonts w:hint="eastAsia" w:asciiTheme="minorEastAsia" w:hAnsiTheme="minorEastAsia" w:eastAsiaTheme="minorEastAsia" w:cstheme="minorEastAsia"/>
                <w:color w:val="auto"/>
                <w:spacing w:val="-1"/>
                <w:sz w:val="22"/>
                <w:szCs w:val="22"/>
                <w:highlight w:val="none"/>
              </w:rPr>
              <w:t>以上奖项均未获得的，不予计分。</w:t>
            </w:r>
          </w:p>
          <w:p w14:paraId="68A4BFE8">
            <w:pPr>
              <w:pStyle w:val="5"/>
              <w:keepNext w:val="0"/>
              <w:keepLines w:val="0"/>
              <w:pageBreakBefore w:val="0"/>
              <w:widowControl w:val="0"/>
              <w:kinsoku/>
              <w:wordWrap w:val="0"/>
              <w:overflowPunct/>
              <w:topLinePunct w:val="0"/>
              <w:autoSpaceDE/>
              <w:autoSpaceDN/>
              <w:bidi w:val="0"/>
              <w:adjustRightInd w:val="0"/>
              <w:snapToGrid w:val="0"/>
              <w:spacing w:after="0" w:line="400" w:lineRule="exact"/>
              <w:textAlignment w:val="auto"/>
              <w:rPr>
                <w:rFonts w:hint="eastAsia" w:ascii="宋体" w:hAnsi="宋体" w:eastAsia="宋体" w:cs="宋体"/>
                <w:snapToGrid w:val="0"/>
                <w:color w:val="auto"/>
                <w:kern w:val="0"/>
                <w:sz w:val="22"/>
                <w:szCs w:val="22"/>
                <w:highlight w:val="none"/>
                <w:lang w:val="en-US" w:eastAsia="zh-CN" w:bidi="ar-SA"/>
              </w:rPr>
            </w:pPr>
            <w:r>
              <w:rPr>
                <w:rFonts w:hint="eastAsia" w:asciiTheme="minorEastAsia" w:hAnsiTheme="minorEastAsia" w:eastAsiaTheme="minorEastAsia" w:cstheme="minorEastAsia"/>
                <w:color w:val="auto"/>
                <w:sz w:val="22"/>
                <w:szCs w:val="22"/>
                <w:highlight w:val="none"/>
              </w:rPr>
              <w:t>5</w:t>
            </w:r>
            <w:r>
              <w:rPr>
                <w:rFonts w:hint="eastAsia" w:asciiTheme="minorEastAsia" w:hAnsiTheme="minorEastAsia" w:eastAsiaTheme="minorEastAsia" w:cstheme="minorEastAsia"/>
                <w:color w:val="auto"/>
                <w:spacing w:val="-14"/>
                <w:sz w:val="22"/>
                <w:szCs w:val="22"/>
                <w:highlight w:val="none"/>
                <w:lang w:val="en-US" w:eastAsia="zh-CN"/>
              </w:rPr>
              <w:t>.</w:t>
            </w:r>
            <w:r>
              <w:rPr>
                <w:rFonts w:hint="eastAsia" w:asciiTheme="minorEastAsia" w:hAnsiTheme="minorEastAsia" w:eastAsiaTheme="minorEastAsia" w:cstheme="minorEastAsia"/>
                <w:color w:val="auto"/>
                <w:sz w:val="22"/>
                <w:szCs w:val="22"/>
                <w:highlight w:val="none"/>
              </w:rPr>
              <w:t>本项最高得</w:t>
            </w:r>
            <w:r>
              <w:rPr>
                <w:rFonts w:hint="eastAsia" w:asciiTheme="minorEastAsia" w:hAnsiTheme="minorEastAsia" w:eastAsiaTheme="minorEastAsia" w:cstheme="minorEastAsia"/>
                <w:color w:val="auto"/>
                <w:spacing w:val="-23"/>
                <w:sz w:val="22"/>
                <w:szCs w:val="22"/>
                <w:highlight w:val="none"/>
              </w:rPr>
              <w:t xml:space="preserve"> </w:t>
            </w:r>
            <w:r>
              <w:rPr>
                <w:rFonts w:hint="eastAsia" w:asciiTheme="minorEastAsia" w:hAnsiTheme="minorEastAsia" w:eastAsiaTheme="minorEastAsia" w:cstheme="minorEastAsia"/>
                <w:color w:val="auto"/>
                <w:sz w:val="22"/>
                <w:szCs w:val="22"/>
                <w:highlight w:val="none"/>
                <w:u w:val="single"/>
              </w:rPr>
              <w:t>10</w:t>
            </w:r>
            <w:r>
              <w:rPr>
                <w:rFonts w:hint="eastAsia" w:asciiTheme="minorEastAsia" w:hAnsiTheme="minorEastAsia" w:eastAsiaTheme="minorEastAsia" w:cstheme="minorEastAsia"/>
                <w:color w:val="auto"/>
                <w:spacing w:val="14"/>
                <w:w w:val="101"/>
                <w:sz w:val="22"/>
                <w:szCs w:val="22"/>
                <w:highlight w:val="none"/>
                <w:u w:val="single"/>
              </w:rPr>
              <w:t xml:space="preserve"> </w:t>
            </w:r>
            <w:r>
              <w:rPr>
                <w:rFonts w:hint="eastAsia" w:asciiTheme="minorEastAsia" w:hAnsiTheme="minorEastAsia" w:eastAsiaTheme="minorEastAsia" w:cstheme="minorEastAsia"/>
                <w:color w:val="auto"/>
                <w:sz w:val="22"/>
                <w:szCs w:val="22"/>
                <w:highlight w:val="none"/>
              </w:rPr>
              <w:t>分。</w:t>
            </w:r>
          </w:p>
        </w:tc>
        <w:tc>
          <w:tcPr>
            <w:tcW w:w="5065" w:type="dxa"/>
            <w:tcBorders>
              <w:top w:val="single" w:color="auto" w:sz="4" w:space="0"/>
              <w:left w:val="single" w:color="auto" w:sz="4" w:space="0"/>
              <w:bottom w:val="single" w:color="auto" w:sz="4" w:space="0"/>
              <w:right w:val="single" w:color="auto" w:sz="4" w:space="0"/>
            </w:tcBorders>
            <w:noWrap w:val="0"/>
            <w:vAlign w:val="center"/>
          </w:tcPr>
          <w:p w14:paraId="6E96961D">
            <w:pPr>
              <w:pStyle w:val="5"/>
              <w:wordWrap w:val="0"/>
              <w:adjustRightInd w:val="0"/>
              <w:snapToGrid w:val="0"/>
              <w:spacing w:after="0" w:line="400" w:lineRule="exact"/>
              <w:rPr>
                <w:rFonts w:hint="eastAsia" w:asciiTheme="minorEastAsia" w:hAnsiTheme="minorEastAsia" w:eastAsiaTheme="minorEastAsia" w:cstheme="minorEastAsia"/>
                <w:snapToGrid w:val="0"/>
                <w:color w:val="auto"/>
                <w:kern w:val="0"/>
                <w:sz w:val="22"/>
                <w:szCs w:val="22"/>
                <w:highlight w:val="none"/>
                <w:lang w:val="en-US" w:eastAsia="zh-CN"/>
              </w:rPr>
            </w:pPr>
            <w:r>
              <w:rPr>
                <w:rFonts w:hint="eastAsia" w:asciiTheme="minorEastAsia" w:hAnsiTheme="minorEastAsia" w:eastAsiaTheme="minorEastAsia" w:cstheme="minorEastAsia"/>
                <w:snapToGrid w:val="0"/>
                <w:color w:val="auto"/>
                <w:kern w:val="0"/>
                <w:sz w:val="22"/>
                <w:szCs w:val="22"/>
                <w:highlight w:val="none"/>
                <w:lang w:val="en-US" w:eastAsia="zh-CN"/>
              </w:rPr>
              <w:t>1.允许投标人提交多个业绩，但同一业绩只按最高级别奖项计分一次。</w:t>
            </w:r>
          </w:p>
          <w:p w14:paraId="2138D191">
            <w:pPr>
              <w:pStyle w:val="5"/>
              <w:wordWrap w:val="0"/>
              <w:adjustRightInd w:val="0"/>
              <w:snapToGrid w:val="0"/>
              <w:spacing w:after="0" w:line="400" w:lineRule="exact"/>
              <w:rPr>
                <w:rFonts w:hint="eastAsia" w:asciiTheme="minorEastAsia" w:hAnsiTheme="minorEastAsia" w:eastAsiaTheme="minorEastAsia" w:cstheme="minorEastAsia"/>
                <w:b/>
                <w:bCs/>
                <w:snapToGrid w:val="0"/>
                <w:color w:val="auto"/>
                <w:kern w:val="0"/>
                <w:sz w:val="22"/>
                <w:szCs w:val="22"/>
                <w:highlight w:val="none"/>
                <w:lang w:val="en-US" w:eastAsia="zh-CN"/>
              </w:rPr>
            </w:pPr>
            <w:r>
              <w:rPr>
                <w:rFonts w:hint="eastAsia" w:asciiTheme="minorEastAsia" w:hAnsiTheme="minorEastAsia" w:eastAsiaTheme="minorEastAsia" w:cstheme="minorEastAsia"/>
                <w:b/>
                <w:bCs/>
                <w:snapToGrid w:val="0"/>
                <w:color w:val="auto"/>
                <w:kern w:val="0"/>
                <w:sz w:val="22"/>
                <w:szCs w:val="22"/>
                <w:highlight w:val="none"/>
                <w:lang w:val="en-US" w:eastAsia="zh-CN"/>
              </w:rPr>
              <w:t>2.需附有关奖项证明彩色扫描件，同时提供原件供核对（奖项证明为电子证书的除外）。</w:t>
            </w:r>
          </w:p>
          <w:p w14:paraId="3BE36F88">
            <w:pPr>
              <w:pStyle w:val="5"/>
              <w:wordWrap w:val="0"/>
              <w:adjustRightInd w:val="0"/>
              <w:snapToGrid w:val="0"/>
              <w:spacing w:after="0" w:line="400" w:lineRule="exact"/>
              <w:rPr>
                <w:rFonts w:hint="eastAsia" w:asciiTheme="minorEastAsia" w:hAnsiTheme="minorEastAsia" w:eastAsiaTheme="minorEastAsia" w:cstheme="minorEastAsia"/>
                <w:snapToGrid w:val="0"/>
                <w:color w:val="auto"/>
                <w:kern w:val="0"/>
                <w:sz w:val="22"/>
                <w:szCs w:val="22"/>
                <w:highlight w:val="none"/>
                <w:lang w:val="en-US" w:eastAsia="zh-CN"/>
              </w:rPr>
            </w:pPr>
            <w:r>
              <w:rPr>
                <w:rFonts w:hint="eastAsia" w:asciiTheme="minorEastAsia" w:hAnsiTheme="minorEastAsia" w:eastAsiaTheme="minorEastAsia" w:cstheme="minorEastAsia"/>
                <w:snapToGrid w:val="0"/>
                <w:color w:val="auto"/>
                <w:kern w:val="0"/>
                <w:sz w:val="22"/>
                <w:szCs w:val="22"/>
                <w:highlight w:val="none"/>
                <w:lang w:val="en-US" w:eastAsia="zh-CN"/>
              </w:rPr>
              <w:t>3.颁发机构限定以下范围：</w:t>
            </w:r>
          </w:p>
          <w:p w14:paraId="271C19D7">
            <w:pPr>
              <w:pStyle w:val="5"/>
              <w:wordWrap w:val="0"/>
              <w:adjustRightInd w:val="0"/>
              <w:snapToGrid w:val="0"/>
              <w:spacing w:after="0" w:line="400" w:lineRule="exact"/>
              <w:rPr>
                <w:rFonts w:hint="eastAsia" w:asciiTheme="minorEastAsia" w:hAnsiTheme="minorEastAsia" w:eastAsiaTheme="minorEastAsia" w:cstheme="minorEastAsia"/>
                <w:snapToGrid w:val="0"/>
                <w:color w:val="auto"/>
                <w:kern w:val="0"/>
                <w:sz w:val="22"/>
                <w:szCs w:val="22"/>
                <w:highlight w:val="none"/>
                <w:u w:val="single"/>
                <w:lang w:val="en-US" w:eastAsia="zh-CN"/>
              </w:rPr>
            </w:pPr>
            <w:r>
              <w:rPr>
                <w:rFonts w:hint="eastAsia" w:asciiTheme="minorEastAsia" w:hAnsiTheme="minorEastAsia" w:eastAsiaTheme="minorEastAsia" w:cstheme="minorEastAsia"/>
                <w:snapToGrid w:val="0"/>
                <w:color w:val="auto"/>
                <w:kern w:val="0"/>
                <w:sz w:val="22"/>
                <w:szCs w:val="22"/>
                <w:highlight w:val="none"/>
                <w:lang w:val="en-US" w:eastAsia="zh-CN"/>
              </w:rPr>
              <w:t>①国家级奖项：</w:t>
            </w:r>
            <w:r>
              <w:rPr>
                <w:rFonts w:hint="eastAsia" w:asciiTheme="minorEastAsia" w:hAnsiTheme="minorEastAsia" w:eastAsiaTheme="minorEastAsia" w:cstheme="minorEastAsia"/>
                <w:snapToGrid w:val="0"/>
                <w:color w:val="auto"/>
                <w:kern w:val="0"/>
                <w:sz w:val="22"/>
                <w:szCs w:val="22"/>
                <w:highlight w:val="none"/>
                <w:u w:val="single"/>
                <w:lang w:val="en-US" w:eastAsia="zh-CN"/>
              </w:rPr>
              <w:t>国务院、住建部、中国建筑业协会、中国建筑安全协会、中国市政行业协会（相关协会需经民政部门备案）；</w:t>
            </w:r>
          </w:p>
          <w:p w14:paraId="4CFEB107">
            <w:pPr>
              <w:pStyle w:val="5"/>
              <w:wordWrap w:val="0"/>
              <w:adjustRightInd w:val="0"/>
              <w:snapToGrid w:val="0"/>
              <w:spacing w:after="0" w:line="400" w:lineRule="exact"/>
              <w:rPr>
                <w:rFonts w:hint="eastAsia" w:asciiTheme="minorEastAsia" w:hAnsiTheme="minorEastAsia" w:eastAsiaTheme="minorEastAsia" w:cstheme="minorEastAsia"/>
                <w:snapToGrid w:val="0"/>
                <w:color w:val="auto"/>
                <w:kern w:val="0"/>
                <w:sz w:val="22"/>
                <w:szCs w:val="22"/>
                <w:highlight w:val="none"/>
                <w:lang w:val="en-US" w:eastAsia="zh-CN"/>
              </w:rPr>
            </w:pPr>
            <w:r>
              <w:rPr>
                <w:rFonts w:hint="eastAsia" w:asciiTheme="minorEastAsia" w:hAnsiTheme="minorEastAsia" w:eastAsiaTheme="minorEastAsia" w:cstheme="minorEastAsia"/>
                <w:snapToGrid w:val="0"/>
                <w:color w:val="auto"/>
                <w:kern w:val="0"/>
                <w:sz w:val="22"/>
                <w:szCs w:val="22"/>
                <w:highlight w:val="none"/>
                <w:lang w:val="en-US" w:eastAsia="zh-CN"/>
              </w:rPr>
              <w:t>②省级奖项：</w:t>
            </w:r>
            <w:r>
              <w:rPr>
                <w:rFonts w:hint="eastAsia" w:asciiTheme="minorEastAsia" w:hAnsiTheme="minorEastAsia" w:eastAsiaTheme="minorEastAsia" w:cstheme="minorEastAsia"/>
                <w:snapToGrid w:val="0"/>
                <w:color w:val="auto"/>
                <w:kern w:val="0"/>
                <w:sz w:val="22"/>
                <w:szCs w:val="22"/>
                <w:highlight w:val="none"/>
                <w:u w:val="single"/>
                <w:lang w:val="en-US" w:eastAsia="zh-CN"/>
              </w:rPr>
              <w:t>省级建设行政主管部门、省级建筑行业协会、省级建筑安全协会、省级市政行业协会（相关协会需经民政部门备案）；</w:t>
            </w:r>
          </w:p>
          <w:p w14:paraId="58A48BEB">
            <w:pPr>
              <w:pStyle w:val="5"/>
              <w:wordWrap w:val="0"/>
              <w:adjustRightInd w:val="0"/>
              <w:snapToGrid w:val="0"/>
              <w:spacing w:after="0" w:line="400" w:lineRule="exact"/>
              <w:rPr>
                <w:rFonts w:hint="eastAsia" w:asciiTheme="minorEastAsia" w:hAnsiTheme="minorEastAsia" w:eastAsiaTheme="minorEastAsia" w:cstheme="minorEastAsia"/>
                <w:snapToGrid w:val="0"/>
                <w:color w:val="auto"/>
                <w:kern w:val="0"/>
                <w:sz w:val="22"/>
                <w:szCs w:val="22"/>
                <w:highlight w:val="none"/>
                <w:u w:val="single"/>
                <w:lang w:val="en-US" w:eastAsia="zh-CN"/>
              </w:rPr>
            </w:pPr>
            <w:r>
              <w:rPr>
                <w:rFonts w:hint="eastAsia" w:asciiTheme="minorEastAsia" w:hAnsiTheme="minorEastAsia" w:eastAsiaTheme="minorEastAsia" w:cstheme="minorEastAsia"/>
                <w:snapToGrid w:val="0"/>
                <w:color w:val="auto"/>
                <w:kern w:val="0"/>
                <w:sz w:val="22"/>
                <w:szCs w:val="22"/>
                <w:highlight w:val="none"/>
                <w:lang w:val="en-US" w:eastAsia="zh-CN"/>
              </w:rPr>
              <w:t>③地市级奖项：</w:t>
            </w:r>
            <w:r>
              <w:rPr>
                <w:rFonts w:hint="eastAsia" w:asciiTheme="minorEastAsia" w:hAnsiTheme="minorEastAsia" w:eastAsiaTheme="minorEastAsia" w:cstheme="minorEastAsia"/>
                <w:snapToGrid w:val="0"/>
                <w:color w:val="auto"/>
                <w:kern w:val="0"/>
                <w:sz w:val="22"/>
                <w:szCs w:val="22"/>
                <w:highlight w:val="none"/>
                <w:u w:val="single"/>
                <w:lang w:val="en-US" w:eastAsia="zh-CN"/>
              </w:rPr>
              <w:t>市级建设行政主管部门、市级建筑行业协会、市级建筑安全协会、市级市政类行业协会（相关协会需经民政部门备案）。</w:t>
            </w:r>
          </w:p>
          <w:p w14:paraId="2A574403">
            <w:pPr>
              <w:pStyle w:val="5"/>
              <w:wordWrap w:val="0"/>
              <w:adjustRightInd w:val="0"/>
              <w:snapToGrid w:val="0"/>
              <w:spacing w:after="0" w:line="400" w:lineRule="exact"/>
              <w:rPr>
                <w:rFonts w:hint="eastAsia" w:asciiTheme="minorEastAsia" w:hAnsiTheme="minorEastAsia" w:eastAsiaTheme="minorEastAsia" w:cstheme="minorEastAsia"/>
                <w:snapToGrid w:val="0"/>
                <w:color w:val="auto"/>
                <w:kern w:val="0"/>
                <w:sz w:val="22"/>
                <w:szCs w:val="22"/>
                <w:highlight w:val="none"/>
                <w:lang w:val="en-US" w:eastAsia="zh-CN"/>
              </w:rPr>
            </w:pPr>
            <w:r>
              <w:rPr>
                <w:rFonts w:hint="eastAsia" w:asciiTheme="minorEastAsia" w:hAnsiTheme="minorEastAsia" w:eastAsiaTheme="minorEastAsia" w:cstheme="minorEastAsia"/>
                <w:snapToGrid w:val="0"/>
                <w:color w:val="auto"/>
                <w:kern w:val="0"/>
                <w:sz w:val="22"/>
                <w:szCs w:val="22"/>
                <w:highlight w:val="none"/>
                <w:lang w:val="en-US" w:eastAsia="zh-CN"/>
              </w:rPr>
              <w:t>4.获奖时间以奖项证明的落款日期为准。</w:t>
            </w:r>
          </w:p>
          <w:p w14:paraId="0EA7EE55">
            <w:pPr>
              <w:pStyle w:val="5"/>
              <w:wordWrap w:val="0"/>
              <w:adjustRightInd w:val="0"/>
              <w:snapToGrid w:val="0"/>
              <w:spacing w:after="0" w:line="400" w:lineRule="exact"/>
              <w:rPr>
                <w:rFonts w:hint="eastAsia" w:asciiTheme="minorEastAsia" w:hAnsiTheme="minorEastAsia" w:eastAsiaTheme="minorEastAsia" w:cstheme="minorEastAsia"/>
                <w:snapToGrid w:val="0"/>
                <w:color w:val="auto"/>
                <w:kern w:val="0"/>
                <w:sz w:val="22"/>
                <w:szCs w:val="22"/>
                <w:highlight w:val="none"/>
                <w:lang w:val="en-US" w:eastAsia="zh-CN"/>
              </w:rPr>
            </w:pPr>
            <w:r>
              <w:rPr>
                <w:rFonts w:hint="eastAsia" w:asciiTheme="minorEastAsia" w:hAnsiTheme="minorEastAsia" w:eastAsiaTheme="minorEastAsia" w:cstheme="minorEastAsia"/>
                <w:snapToGrid w:val="0"/>
                <w:color w:val="auto"/>
                <w:kern w:val="0"/>
                <w:sz w:val="22"/>
                <w:szCs w:val="22"/>
                <w:highlight w:val="none"/>
                <w:lang w:val="en-US" w:eastAsia="zh-CN"/>
              </w:rPr>
              <w:t>5．任一奖项有以下情形之一的，该奖项视为无效，不予计分：</w:t>
            </w:r>
          </w:p>
          <w:p w14:paraId="7C16BBC9">
            <w:pPr>
              <w:pStyle w:val="5"/>
              <w:wordWrap w:val="0"/>
              <w:adjustRightInd w:val="0"/>
              <w:snapToGrid w:val="0"/>
              <w:spacing w:after="0" w:line="400" w:lineRule="exact"/>
              <w:rPr>
                <w:rFonts w:hint="eastAsia" w:asciiTheme="minorEastAsia" w:hAnsiTheme="minorEastAsia" w:eastAsiaTheme="minorEastAsia" w:cstheme="minorEastAsia"/>
                <w:snapToGrid w:val="0"/>
                <w:color w:val="auto"/>
                <w:kern w:val="0"/>
                <w:sz w:val="22"/>
                <w:szCs w:val="22"/>
                <w:highlight w:val="none"/>
                <w:lang w:val="en-US" w:eastAsia="zh-CN"/>
              </w:rPr>
            </w:pPr>
            <w:r>
              <w:rPr>
                <w:rFonts w:hint="eastAsia" w:asciiTheme="minorEastAsia" w:hAnsiTheme="minorEastAsia" w:eastAsiaTheme="minorEastAsia" w:cstheme="minorEastAsia"/>
                <w:snapToGrid w:val="0"/>
                <w:color w:val="auto"/>
                <w:kern w:val="0"/>
                <w:sz w:val="22"/>
                <w:szCs w:val="22"/>
                <w:highlight w:val="none"/>
                <w:lang w:val="en-US" w:eastAsia="zh-CN"/>
              </w:rPr>
              <w:t>①未提供奖项原件的；</w:t>
            </w:r>
          </w:p>
          <w:p w14:paraId="05ABD85A">
            <w:pPr>
              <w:pStyle w:val="5"/>
              <w:wordWrap w:val="0"/>
              <w:adjustRightInd w:val="0"/>
              <w:snapToGrid w:val="0"/>
              <w:spacing w:after="0" w:line="400" w:lineRule="exact"/>
              <w:rPr>
                <w:rFonts w:hint="eastAsia" w:asciiTheme="minorEastAsia" w:hAnsiTheme="minorEastAsia" w:eastAsiaTheme="minorEastAsia" w:cstheme="minorEastAsia"/>
                <w:snapToGrid w:val="0"/>
                <w:color w:val="auto"/>
                <w:kern w:val="0"/>
                <w:sz w:val="22"/>
                <w:szCs w:val="22"/>
                <w:highlight w:val="none"/>
                <w:lang w:val="en-US" w:eastAsia="zh-CN"/>
              </w:rPr>
            </w:pPr>
            <w:r>
              <w:rPr>
                <w:rFonts w:hint="eastAsia" w:asciiTheme="minorEastAsia" w:hAnsiTheme="minorEastAsia" w:eastAsiaTheme="minorEastAsia" w:cstheme="minorEastAsia"/>
                <w:snapToGrid w:val="0"/>
                <w:color w:val="auto"/>
                <w:kern w:val="0"/>
                <w:sz w:val="22"/>
                <w:szCs w:val="22"/>
                <w:highlight w:val="none"/>
                <w:lang w:val="en-US" w:eastAsia="zh-CN"/>
              </w:rPr>
              <w:t>②奖项不属于指定类别的；</w:t>
            </w:r>
          </w:p>
          <w:p w14:paraId="0E8FA8BD">
            <w:pPr>
              <w:pStyle w:val="5"/>
              <w:wordWrap w:val="0"/>
              <w:adjustRightInd w:val="0"/>
              <w:snapToGrid w:val="0"/>
              <w:spacing w:after="0" w:line="400" w:lineRule="exact"/>
              <w:rPr>
                <w:rFonts w:hint="eastAsia" w:asciiTheme="minorEastAsia" w:hAnsiTheme="minorEastAsia" w:eastAsiaTheme="minorEastAsia" w:cstheme="minorEastAsia"/>
                <w:snapToGrid w:val="0"/>
                <w:color w:val="auto"/>
                <w:kern w:val="0"/>
                <w:sz w:val="22"/>
                <w:szCs w:val="22"/>
                <w:highlight w:val="none"/>
                <w:lang w:val="en-US" w:eastAsia="zh-CN"/>
              </w:rPr>
            </w:pPr>
            <w:r>
              <w:rPr>
                <w:rFonts w:hint="eastAsia" w:asciiTheme="minorEastAsia" w:hAnsiTheme="minorEastAsia" w:eastAsiaTheme="minorEastAsia" w:cstheme="minorEastAsia"/>
                <w:snapToGrid w:val="0"/>
                <w:color w:val="auto"/>
                <w:kern w:val="0"/>
                <w:sz w:val="22"/>
                <w:szCs w:val="22"/>
                <w:highlight w:val="none"/>
                <w:lang w:val="en-US" w:eastAsia="zh-CN"/>
              </w:rPr>
              <w:t>③颁发机构不符合要求的；</w:t>
            </w:r>
          </w:p>
          <w:p w14:paraId="71E7BF92">
            <w:pPr>
              <w:pStyle w:val="5"/>
              <w:wordWrap w:val="0"/>
              <w:adjustRightInd w:val="0"/>
              <w:snapToGrid w:val="0"/>
              <w:spacing w:after="0" w:line="400" w:lineRule="exact"/>
              <w:rPr>
                <w:rFonts w:hint="eastAsia" w:asciiTheme="minorEastAsia" w:hAnsiTheme="minorEastAsia" w:eastAsiaTheme="minorEastAsia" w:cstheme="minorEastAsia"/>
                <w:snapToGrid w:val="0"/>
                <w:color w:val="auto"/>
                <w:kern w:val="0"/>
                <w:sz w:val="22"/>
                <w:szCs w:val="22"/>
                <w:highlight w:val="none"/>
                <w:lang w:val="en-US" w:eastAsia="zh-CN"/>
              </w:rPr>
            </w:pPr>
            <w:r>
              <w:rPr>
                <w:rFonts w:hint="eastAsia" w:asciiTheme="minorEastAsia" w:hAnsiTheme="minorEastAsia" w:eastAsiaTheme="minorEastAsia" w:cstheme="minorEastAsia"/>
                <w:snapToGrid w:val="0"/>
                <w:color w:val="auto"/>
                <w:kern w:val="0"/>
                <w:sz w:val="22"/>
                <w:szCs w:val="22"/>
                <w:highlight w:val="none"/>
                <w:lang w:val="en-US" w:eastAsia="zh-CN"/>
              </w:rPr>
              <w:t>④获奖时间不符合要求的。</w:t>
            </w:r>
          </w:p>
          <w:p w14:paraId="12456380">
            <w:pPr>
              <w:pStyle w:val="5"/>
              <w:wordWrap w:val="0"/>
              <w:spacing w:line="400" w:lineRule="exact"/>
              <w:rPr>
                <w:rFonts w:hint="eastAsia"/>
                <w:color w:val="auto"/>
                <w:sz w:val="22"/>
                <w:szCs w:val="22"/>
                <w:highlight w:val="none"/>
                <w:lang w:val="en-US" w:eastAsia="zh-CN"/>
              </w:rPr>
            </w:pPr>
            <w:r>
              <w:rPr>
                <w:rFonts w:hint="eastAsia" w:asciiTheme="minorEastAsia" w:hAnsiTheme="minorEastAsia" w:eastAsiaTheme="minorEastAsia" w:cstheme="minorEastAsia"/>
                <w:b/>
                <w:bCs/>
                <w:snapToGrid w:val="0"/>
                <w:color w:val="auto"/>
                <w:kern w:val="0"/>
                <w:sz w:val="22"/>
                <w:szCs w:val="22"/>
                <w:highlight w:val="none"/>
                <w:lang w:val="en-US" w:eastAsia="zh-CN"/>
              </w:rPr>
              <w:t>说明：以上所称“要求 ”均指本表评分标准及备注的要求，下同。</w:t>
            </w:r>
          </w:p>
        </w:tc>
      </w:tr>
      <w:tr w14:paraId="48A4B9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60" w:hRule="atLeast"/>
          <w:jc w:val="center"/>
        </w:trPr>
        <w:tc>
          <w:tcPr>
            <w:tcW w:w="1491" w:type="dxa"/>
            <w:tcBorders>
              <w:top w:val="single" w:color="auto" w:sz="4" w:space="0"/>
              <w:left w:val="single" w:color="auto" w:sz="4" w:space="0"/>
              <w:bottom w:val="single" w:color="auto" w:sz="4" w:space="0"/>
              <w:right w:val="single" w:color="auto" w:sz="4" w:space="0"/>
            </w:tcBorders>
            <w:noWrap w:val="0"/>
            <w:vAlign w:val="center"/>
          </w:tcPr>
          <w:p w14:paraId="0570DD20">
            <w:pPr>
              <w:pStyle w:val="5"/>
              <w:keepNext w:val="0"/>
              <w:keepLines w:val="0"/>
              <w:pageBreakBefore w:val="0"/>
              <w:widowControl w:val="0"/>
              <w:kinsoku/>
              <w:wordWrap w:val="0"/>
              <w:overflowPunct/>
              <w:topLinePunct w:val="0"/>
              <w:autoSpaceDE/>
              <w:autoSpaceDN/>
              <w:bidi w:val="0"/>
              <w:adjustRightInd w:val="0"/>
              <w:snapToGrid w:val="0"/>
              <w:spacing w:after="0" w:line="288" w:lineRule="auto"/>
              <w:jc w:val="center"/>
              <w:textAlignment w:val="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项目经理</w:t>
            </w:r>
          </w:p>
          <w:p w14:paraId="3981C759">
            <w:pPr>
              <w:pStyle w:val="5"/>
              <w:keepNext w:val="0"/>
              <w:keepLines w:val="0"/>
              <w:pageBreakBefore w:val="0"/>
              <w:widowControl w:val="0"/>
              <w:kinsoku/>
              <w:wordWrap w:val="0"/>
              <w:overflowPunct/>
              <w:topLinePunct w:val="0"/>
              <w:autoSpaceDE/>
              <w:autoSpaceDN/>
              <w:bidi w:val="0"/>
              <w:adjustRightInd w:val="0"/>
              <w:snapToGrid w:val="0"/>
              <w:spacing w:after="0" w:line="288" w:lineRule="auto"/>
              <w:jc w:val="center"/>
              <w:textAlignment w:val="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综合素质</w:t>
            </w:r>
          </w:p>
          <w:p w14:paraId="59BC31CC">
            <w:pPr>
              <w:pStyle w:val="5"/>
              <w:keepNext w:val="0"/>
              <w:keepLines w:val="0"/>
              <w:pageBreakBefore w:val="0"/>
              <w:widowControl w:val="0"/>
              <w:kinsoku/>
              <w:wordWrap w:val="0"/>
              <w:overflowPunct/>
              <w:topLinePunct w:val="0"/>
              <w:autoSpaceDE/>
              <w:autoSpaceDN/>
              <w:bidi w:val="0"/>
              <w:adjustRightInd w:val="0"/>
              <w:snapToGrid w:val="0"/>
              <w:spacing w:after="0" w:line="288" w:lineRule="auto"/>
              <w:jc w:val="center"/>
              <w:textAlignment w:val="auto"/>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snapToGrid w:val="0"/>
                <w:color w:val="auto"/>
                <w:kern w:val="0"/>
                <w:sz w:val="22"/>
                <w:szCs w:val="22"/>
                <w:highlight w:val="none"/>
              </w:rPr>
              <w:t>（10分）</w:t>
            </w:r>
          </w:p>
        </w:tc>
        <w:tc>
          <w:tcPr>
            <w:tcW w:w="3868" w:type="dxa"/>
            <w:gridSpan w:val="2"/>
            <w:tcBorders>
              <w:top w:val="single" w:color="auto" w:sz="4" w:space="0"/>
              <w:left w:val="single" w:color="auto" w:sz="4" w:space="0"/>
              <w:bottom w:val="single" w:color="auto" w:sz="4" w:space="0"/>
              <w:right w:val="single" w:color="auto" w:sz="4" w:space="0"/>
            </w:tcBorders>
            <w:noWrap w:val="0"/>
            <w:vAlign w:val="center"/>
          </w:tcPr>
          <w:p w14:paraId="36E79CB2">
            <w:pPr>
              <w:pStyle w:val="5"/>
              <w:keepNext w:val="0"/>
              <w:keepLines w:val="0"/>
              <w:pageBreakBefore w:val="0"/>
              <w:widowControl w:val="0"/>
              <w:kinsoku/>
              <w:wordWrap w:val="0"/>
              <w:overflowPunct/>
              <w:topLinePunct w:val="0"/>
              <w:autoSpaceDE/>
              <w:autoSpaceDN/>
              <w:bidi w:val="0"/>
              <w:adjustRightInd w:val="0"/>
              <w:snapToGrid w:val="0"/>
              <w:spacing w:after="0" w:line="288" w:lineRule="auto"/>
              <w:textAlignment w:val="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项目经理具备</w:t>
            </w:r>
            <w:r>
              <w:rPr>
                <w:rFonts w:hint="eastAsia" w:ascii="宋体" w:hAnsi="宋体" w:eastAsia="宋体" w:cs="宋体"/>
                <w:snapToGrid w:val="0"/>
                <w:color w:val="auto"/>
                <w:kern w:val="0"/>
                <w:sz w:val="22"/>
                <w:szCs w:val="22"/>
                <w:highlight w:val="none"/>
                <w:lang w:val="en-US" w:eastAsia="zh-CN"/>
              </w:rPr>
              <w:t>建筑工程或市政公用工程</w:t>
            </w:r>
            <w:r>
              <w:rPr>
                <w:rFonts w:hint="eastAsia" w:ascii="宋体" w:hAnsi="宋体" w:eastAsia="宋体" w:cs="宋体"/>
                <w:snapToGrid w:val="0"/>
                <w:color w:val="auto"/>
                <w:kern w:val="0"/>
                <w:sz w:val="22"/>
                <w:szCs w:val="22"/>
                <w:highlight w:val="none"/>
              </w:rPr>
              <w:t>类技术职称情况：</w:t>
            </w:r>
          </w:p>
          <w:p w14:paraId="2C80F617">
            <w:pPr>
              <w:widowControl w:val="0"/>
              <w:numPr>
                <w:ilvl w:val="0"/>
                <w:numId w:val="0"/>
              </w:numPr>
              <w:wordWrap w:val="0"/>
              <w:adjustRightInd w:val="0"/>
              <w:snapToGrid w:val="0"/>
              <w:spacing w:after="0" w:afterLines="0" w:afterAutospacing="0" w:line="400" w:lineRule="exact"/>
              <w:jc w:val="both"/>
              <w:rPr>
                <w:rFonts w:hint="eastAsia" w:ascii="宋体" w:hAnsi="宋体" w:eastAsia="宋体" w:cs="宋体"/>
                <w:snapToGrid w:val="0"/>
                <w:color w:val="auto"/>
                <w:kern w:val="0"/>
                <w:sz w:val="22"/>
                <w:szCs w:val="22"/>
                <w:highlight w:val="none"/>
                <w:lang w:val="en-US" w:eastAsia="zh-CN" w:bidi="ar-SA"/>
              </w:rPr>
            </w:pPr>
            <w:r>
              <w:rPr>
                <w:rFonts w:hint="eastAsia" w:ascii="宋体" w:hAnsi="宋体" w:eastAsia="宋体" w:cs="宋体"/>
                <w:snapToGrid w:val="0"/>
                <w:color w:val="auto"/>
                <w:kern w:val="0"/>
                <w:sz w:val="22"/>
                <w:szCs w:val="22"/>
                <w:highlight w:val="none"/>
                <w:lang w:val="en-US" w:eastAsia="zh-CN" w:bidi="ar-SA"/>
              </w:rPr>
              <w:t>1.具备中级工程师或以上职称的，得</w:t>
            </w:r>
            <w:r>
              <w:rPr>
                <w:rFonts w:hint="eastAsia" w:ascii="宋体" w:hAnsi="宋体" w:eastAsia="宋体" w:cs="宋体"/>
                <w:snapToGrid w:val="0"/>
                <w:color w:val="auto"/>
                <w:kern w:val="0"/>
                <w:sz w:val="22"/>
                <w:szCs w:val="22"/>
                <w:highlight w:val="none"/>
                <w:u w:val="single"/>
                <w:lang w:val="en-US" w:eastAsia="zh-CN" w:bidi="ar-SA"/>
              </w:rPr>
              <w:t>10</w:t>
            </w:r>
            <w:r>
              <w:rPr>
                <w:rFonts w:hint="eastAsia" w:ascii="宋体" w:hAnsi="宋体" w:eastAsia="宋体" w:cs="宋体"/>
                <w:snapToGrid w:val="0"/>
                <w:color w:val="auto"/>
                <w:kern w:val="0"/>
                <w:sz w:val="22"/>
                <w:szCs w:val="22"/>
                <w:highlight w:val="none"/>
                <w:lang w:val="en-US" w:eastAsia="zh-CN" w:bidi="ar-SA"/>
              </w:rPr>
              <w:t>分。</w:t>
            </w:r>
          </w:p>
          <w:p w14:paraId="6E74D567">
            <w:pPr>
              <w:widowControl w:val="0"/>
              <w:numPr>
                <w:ilvl w:val="0"/>
                <w:numId w:val="0"/>
              </w:numPr>
              <w:wordWrap w:val="0"/>
              <w:adjustRightInd w:val="0"/>
              <w:snapToGrid w:val="0"/>
              <w:spacing w:after="0" w:afterLines="0" w:afterAutospacing="0" w:line="400" w:lineRule="exact"/>
              <w:jc w:val="both"/>
              <w:rPr>
                <w:rFonts w:hint="eastAsia" w:ascii="宋体" w:hAnsi="宋体" w:eastAsia="宋体" w:cs="宋体"/>
                <w:snapToGrid w:val="0"/>
                <w:color w:val="auto"/>
                <w:kern w:val="0"/>
                <w:sz w:val="22"/>
                <w:szCs w:val="22"/>
                <w:highlight w:val="none"/>
                <w:lang w:val="en-US" w:eastAsia="zh-CN" w:bidi="ar-SA"/>
              </w:rPr>
            </w:pPr>
            <w:r>
              <w:rPr>
                <w:rFonts w:hint="eastAsia" w:ascii="宋体" w:hAnsi="宋体" w:eastAsia="宋体" w:cs="宋体"/>
                <w:snapToGrid w:val="0"/>
                <w:color w:val="auto"/>
                <w:kern w:val="0"/>
                <w:sz w:val="22"/>
                <w:szCs w:val="22"/>
                <w:highlight w:val="none"/>
                <w:lang w:val="en-US" w:eastAsia="zh-CN" w:bidi="ar-SA"/>
              </w:rPr>
              <w:t xml:space="preserve">2.具备助理工程师职称的，得 </w:t>
            </w:r>
            <w:r>
              <w:rPr>
                <w:rFonts w:hint="eastAsia" w:ascii="宋体" w:hAnsi="宋体" w:eastAsia="宋体" w:cs="宋体"/>
                <w:snapToGrid w:val="0"/>
                <w:color w:val="auto"/>
                <w:kern w:val="0"/>
                <w:sz w:val="22"/>
                <w:szCs w:val="22"/>
                <w:highlight w:val="none"/>
                <w:u w:val="single"/>
                <w:lang w:val="en-US" w:eastAsia="zh-CN" w:bidi="ar-SA"/>
              </w:rPr>
              <w:t>5</w:t>
            </w:r>
            <w:r>
              <w:rPr>
                <w:rFonts w:hint="eastAsia" w:ascii="宋体" w:hAnsi="宋体" w:eastAsia="宋体" w:cs="宋体"/>
                <w:snapToGrid w:val="0"/>
                <w:color w:val="auto"/>
                <w:kern w:val="0"/>
                <w:sz w:val="22"/>
                <w:szCs w:val="22"/>
                <w:highlight w:val="none"/>
                <w:lang w:val="en-US" w:eastAsia="zh-CN" w:bidi="ar-SA"/>
              </w:rPr>
              <w:t>分。</w:t>
            </w:r>
          </w:p>
          <w:p w14:paraId="6029FC63">
            <w:pPr>
              <w:pStyle w:val="5"/>
              <w:keepNext w:val="0"/>
              <w:keepLines w:val="0"/>
              <w:pageBreakBefore w:val="0"/>
              <w:widowControl w:val="0"/>
              <w:kinsoku/>
              <w:wordWrap w:val="0"/>
              <w:overflowPunct/>
              <w:topLinePunct w:val="0"/>
              <w:autoSpaceDE/>
              <w:autoSpaceDN/>
              <w:bidi w:val="0"/>
              <w:adjustRightInd w:val="0"/>
              <w:snapToGrid w:val="0"/>
              <w:spacing w:after="0" w:line="288" w:lineRule="auto"/>
              <w:textAlignment w:val="auto"/>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snapToGrid w:val="0"/>
                <w:color w:val="auto"/>
                <w:kern w:val="0"/>
                <w:sz w:val="22"/>
                <w:szCs w:val="22"/>
                <w:highlight w:val="none"/>
                <w:lang w:val="en-US" w:eastAsia="zh-CN" w:bidi="ar"/>
              </w:rPr>
              <w:t>3.</w:t>
            </w:r>
            <w:r>
              <w:rPr>
                <w:rFonts w:hint="eastAsia" w:ascii="宋体" w:hAnsi="宋体" w:eastAsia="宋体" w:cs="宋体"/>
                <w:snapToGrid w:val="0"/>
                <w:color w:val="auto"/>
                <w:kern w:val="0"/>
                <w:sz w:val="22"/>
                <w:szCs w:val="22"/>
                <w:highlight w:val="none"/>
                <w:lang w:val="en-US" w:eastAsia="zh-CN" w:bidi="ar-SA"/>
              </w:rPr>
              <w:t>不具备以上职称的，或未提供职称证原件的，不予计分。</w:t>
            </w:r>
          </w:p>
        </w:tc>
        <w:tc>
          <w:tcPr>
            <w:tcW w:w="5065" w:type="dxa"/>
            <w:tcBorders>
              <w:top w:val="single" w:color="auto" w:sz="4" w:space="0"/>
              <w:left w:val="single" w:color="auto" w:sz="4" w:space="0"/>
              <w:bottom w:val="single" w:color="auto" w:sz="4" w:space="0"/>
              <w:right w:val="single" w:color="auto" w:sz="4" w:space="0"/>
            </w:tcBorders>
            <w:noWrap w:val="0"/>
            <w:vAlign w:val="center"/>
          </w:tcPr>
          <w:p w14:paraId="054270A2">
            <w:pPr>
              <w:pStyle w:val="5"/>
              <w:keepNext w:val="0"/>
              <w:keepLines w:val="0"/>
              <w:pageBreakBefore w:val="0"/>
              <w:widowControl w:val="0"/>
              <w:kinsoku/>
              <w:wordWrap w:val="0"/>
              <w:overflowPunct/>
              <w:topLinePunct w:val="0"/>
              <w:autoSpaceDE/>
              <w:autoSpaceDN/>
              <w:bidi w:val="0"/>
              <w:adjustRightInd w:val="0"/>
              <w:snapToGrid w:val="0"/>
              <w:spacing w:after="0" w:line="288" w:lineRule="auto"/>
              <w:textAlignment w:val="auto"/>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Theme="minorEastAsia" w:hAnsiTheme="minorEastAsia" w:eastAsiaTheme="minorEastAsia" w:cstheme="minorEastAsia"/>
                <w:b w:val="0"/>
                <w:bCs w:val="0"/>
                <w:snapToGrid w:val="0"/>
                <w:color w:val="auto"/>
                <w:kern w:val="0"/>
                <w:sz w:val="22"/>
                <w:szCs w:val="22"/>
                <w:highlight w:val="none"/>
                <w:lang w:val="en-US" w:eastAsia="zh-CN"/>
              </w:rPr>
              <w:t>1.</w:t>
            </w:r>
            <w:r>
              <w:rPr>
                <w:rFonts w:hint="eastAsia" w:asciiTheme="minorEastAsia" w:hAnsiTheme="minorEastAsia" w:eastAsiaTheme="minorEastAsia" w:cstheme="minorEastAsia"/>
                <w:b/>
                <w:bCs/>
                <w:snapToGrid w:val="0"/>
                <w:color w:val="auto"/>
                <w:kern w:val="0"/>
                <w:sz w:val="22"/>
                <w:szCs w:val="22"/>
                <w:highlight w:val="none"/>
                <w:lang w:val="en-US" w:eastAsia="zh-CN"/>
              </w:rPr>
              <w:t>需附职称证彩色扫描件，同时提供原件供核对（职称证书为电子证书的除外）。</w:t>
            </w:r>
          </w:p>
        </w:tc>
      </w:tr>
      <w:tr w14:paraId="6DE89D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1" w:hRule="atLeast"/>
          <w:jc w:val="center"/>
        </w:trPr>
        <w:tc>
          <w:tcPr>
            <w:tcW w:w="1491" w:type="dxa"/>
            <w:tcBorders>
              <w:top w:val="single" w:color="auto" w:sz="4" w:space="0"/>
              <w:left w:val="single" w:color="auto" w:sz="4" w:space="0"/>
              <w:bottom w:val="single" w:color="auto" w:sz="4" w:space="0"/>
              <w:right w:val="single" w:color="auto" w:sz="4" w:space="0"/>
            </w:tcBorders>
            <w:noWrap w:val="0"/>
            <w:vAlign w:val="center"/>
          </w:tcPr>
          <w:p w14:paraId="36F9EDF4">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企业业绩</w:t>
            </w:r>
          </w:p>
          <w:p w14:paraId="3F795168">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lang w:val="en-US" w:eastAsia="zh-CN" w:bidi="ar-SA"/>
              </w:rPr>
            </w:pPr>
            <w:r>
              <w:rPr>
                <w:rFonts w:hint="eastAsia" w:ascii="宋体" w:hAnsi="宋体" w:eastAsia="宋体" w:cs="宋体"/>
                <w:snapToGrid w:val="0"/>
                <w:color w:val="auto"/>
                <w:kern w:val="0"/>
                <w:sz w:val="22"/>
                <w:szCs w:val="22"/>
                <w:highlight w:val="none"/>
              </w:rPr>
              <w:t>（1</w:t>
            </w:r>
            <w:r>
              <w:rPr>
                <w:rFonts w:hint="eastAsia" w:ascii="宋体" w:hAnsi="宋体" w:eastAsia="宋体" w:cs="宋体"/>
                <w:snapToGrid w:val="0"/>
                <w:color w:val="auto"/>
                <w:kern w:val="0"/>
                <w:sz w:val="22"/>
                <w:szCs w:val="22"/>
                <w:highlight w:val="none"/>
                <w:lang w:val="en-US" w:eastAsia="zh-CN"/>
              </w:rPr>
              <w:t>5</w:t>
            </w:r>
            <w:r>
              <w:rPr>
                <w:rFonts w:hint="eastAsia" w:ascii="宋体" w:hAnsi="宋体" w:eastAsia="宋体" w:cs="宋体"/>
                <w:snapToGrid w:val="0"/>
                <w:color w:val="auto"/>
                <w:kern w:val="0"/>
                <w:sz w:val="22"/>
                <w:szCs w:val="22"/>
                <w:highlight w:val="none"/>
              </w:rPr>
              <w:t>分）</w:t>
            </w:r>
          </w:p>
        </w:tc>
        <w:tc>
          <w:tcPr>
            <w:tcW w:w="3868" w:type="dxa"/>
            <w:gridSpan w:val="2"/>
            <w:tcBorders>
              <w:top w:val="single" w:color="auto" w:sz="4" w:space="0"/>
              <w:left w:val="single" w:color="auto" w:sz="4" w:space="0"/>
              <w:bottom w:val="single" w:color="auto" w:sz="4" w:space="0"/>
              <w:right w:val="single" w:color="auto" w:sz="4" w:space="0"/>
            </w:tcBorders>
            <w:noWrap w:val="0"/>
            <w:vAlign w:val="center"/>
          </w:tcPr>
          <w:p w14:paraId="4D4F4DF8">
            <w:pPr>
              <w:wordWrap w:val="0"/>
              <w:adjustRightInd w:val="0"/>
              <w:snapToGrid w:val="0"/>
              <w:spacing w:line="400" w:lineRule="exac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企业近年来（202</w:t>
            </w:r>
            <w:r>
              <w:rPr>
                <w:rFonts w:hint="eastAsia" w:ascii="宋体" w:hAnsi="宋体" w:eastAsia="宋体" w:cs="宋体"/>
                <w:snapToGrid w:val="0"/>
                <w:color w:val="auto"/>
                <w:kern w:val="0"/>
                <w:sz w:val="22"/>
                <w:szCs w:val="22"/>
                <w:highlight w:val="none"/>
                <w:lang w:val="en-US" w:eastAsia="zh-CN"/>
              </w:rPr>
              <w:t>3</w:t>
            </w:r>
            <w:r>
              <w:rPr>
                <w:rFonts w:hint="eastAsia" w:ascii="宋体" w:hAnsi="宋体" w:eastAsia="宋体" w:cs="宋体"/>
                <w:snapToGrid w:val="0"/>
                <w:color w:val="auto"/>
                <w:kern w:val="0"/>
                <w:sz w:val="22"/>
                <w:szCs w:val="22"/>
                <w:highlight w:val="none"/>
              </w:rPr>
              <w:t>年1月1日至今）业绩情况：</w:t>
            </w:r>
          </w:p>
          <w:p w14:paraId="7C02531D">
            <w:pPr>
              <w:wordWrap w:val="0"/>
              <w:adjustRightInd w:val="0"/>
              <w:snapToGrid w:val="0"/>
              <w:spacing w:line="400" w:lineRule="exac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w:t>
            </w:r>
            <w:r>
              <w:rPr>
                <w:rFonts w:hint="eastAsia" w:ascii="宋体" w:hAnsi="宋体" w:eastAsia="宋体" w:cs="宋体"/>
                <w:snapToGrid w:val="0"/>
                <w:color w:val="auto"/>
                <w:kern w:val="0"/>
                <w:sz w:val="22"/>
                <w:szCs w:val="22"/>
                <w:highlight w:val="none"/>
                <w:u w:val="single"/>
              </w:rPr>
              <w:t xml:space="preserve"> </w:t>
            </w:r>
            <w:r>
              <w:rPr>
                <w:rFonts w:hint="eastAsia" w:ascii="宋体" w:hAnsi="宋体" w:eastAsia="宋体" w:cs="宋体"/>
                <w:snapToGrid w:val="0"/>
                <w:color w:val="auto"/>
                <w:kern w:val="0"/>
                <w:sz w:val="22"/>
                <w:szCs w:val="22"/>
                <w:highlight w:val="none"/>
                <w:u w:val="single"/>
                <w:lang w:val="en-US" w:eastAsia="zh-CN"/>
              </w:rPr>
              <w:t>完成</w:t>
            </w:r>
            <w:r>
              <w:rPr>
                <w:rFonts w:hint="eastAsia" w:ascii="宋体" w:hAnsi="宋体" w:eastAsia="宋体" w:cs="宋体"/>
                <w:snapToGrid w:val="0"/>
                <w:color w:val="auto"/>
                <w:kern w:val="0"/>
                <w:sz w:val="22"/>
                <w:szCs w:val="22"/>
                <w:highlight w:val="none"/>
              </w:rPr>
              <w:t xml:space="preserve"> 过类似工程的，每个得</w:t>
            </w:r>
            <w:r>
              <w:rPr>
                <w:rFonts w:hint="eastAsia" w:ascii="宋体" w:hAnsi="宋体" w:eastAsia="宋体" w:cs="宋体"/>
                <w:snapToGrid w:val="0"/>
                <w:color w:val="auto"/>
                <w:kern w:val="0"/>
                <w:sz w:val="22"/>
                <w:szCs w:val="22"/>
                <w:highlight w:val="none"/>
                <w:u w:val="single"/>
              </w:rPr>
              <w:t>5</w:t>
            </w:r>
            <w:r>
              <w:rPr>
                <w:rFonts w:hint="eastAsia" w:ascii="宋体" w:hAnsi="宋体" w:eastAsia="宋体" w:cs="宋体"/>
                <w:snapToGrid w:val="0"/>
                <w:color w:val="auto"/>
                <w:kern w:val="0"/>
                <w:sz w:val="22"/>
                <w:szCs w:val="22"/>
                <w:highlight w:val="none"/>
              </w:rPr>
              <w:t>分；</w:t>
            </w:r>
          </w:p>
          <w:p w14:paraId="0AE96A9C">
            <w:pPr>
              <w:wordWrap w:val="0"/>
              <w:adjustRightInd w:val="0"/>
              <w:snapToGrid w:val="0"/>
              <w:spacing w:line="400" w:lineRule="exac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 xml:space="preserve">2. </w:t>
            </w:r>
            <w:r>
              <w:rPr>
                <w:rFonts w:hint="eastAsia" w:ascii="宋体" w:hAnsi="宋体" w:eastAsia="宋体" w:cs="宋体"/>
                <w:snapToGrid w:val="0"/>
                <w:color w:val="auto"/>
                <w:kern w:val="0"/>
                <w:sz w:val="22"/>
                <w:szCs w:val="22"/>
                <w:highlight w:val="none"/>
                <w:u w:val="single"/>
                <w:lang w:val="en-US" w:eastAsia="zh-CN"/>
              </w:rPr>
              <w:t>未完成</w:t>
            </w:r>
            <w:r>
              <w:rPr>
                <w:rFonts w:hint="eastAsia" w:ascii="宋体" w:hAnsi="宋体" w:eastAsia="宋体" w:cs="宋体"/>
                <w:snapToGrid w:val="0"/>
                <w:color w:val="auto"/>
                <w:kern w:val="0"/>
                <w:sz w:val="22"/>
                <w:szCs w:val="22"/>
                <w:highlight w:val="none"/>
              </w:rPr>
              <w:t xml:space="preserve"> 过类似工程的，不予计分。</w:t>
            </w:r>
          </w:p>
          <w:p w14:paraId="0C8FFAF8">
            <w:pPr>
              <w:wordWrap w:val="0"/>
              <w:adjustRightInd w:val="0"/>
              <w:snapToGrid w:val="0"/>
              <w:spacing w:line="400" w:lineRule="exact"/>
              <w:rPr>
                <w:rFonts w:hint="eastAsia" w:ascii="宋体" w:hAnsi="宋体" w:eastAsia="宋体" w:cs="宋体"/>
                <w:snapToGrid w:val="0"/>
                <w:color w:val="auto"/>
                <w:kern w:val="0"/>
                <w:sz w:val="22"/>
                <w:szCs w:val="22"/>
                <w:highlight w:val="none"/>
                <w:lang w:val="en-US" w:eastAsia="zh-CN" w:bidi="ar-SA"/>
              </w:rPr>
            </w:pPr>
            <w:r>
              <w:rPr>
                <w:rFonts w:hint="eastAsia" w:ascii="宋体" w:hAnsi="宋体" w:eastAsia="宋体" w:cs="宋体"/>
                <w:snapToGrid w:val="0"/>
                <w:color w:val="auto"/>
                <w:kern w:val="0"/>
                <w:sz w:val="22"/>
                <w:szCs w:val="22"/>
                <w:highlight w:val="none"/>
              </w:rPr>
              <w:t>3.本项最高得</w:t>
            </w:r>
            <w:r>
              <w:rPr>
                <w:rFonts w:hint="eastAsia" w:ascii="宋体" w:hAnsi="宋体" w:eastAsia="宋体" w:cs="宋体"/>
                <w:snapToGrid w:val="0"/>
                <w:color w:val="auto"/>
                <w:kern w:val="0"/>
                <w:sz w:val="22"/>
                <w:szCs w:val="22"/>
                <w:highlight w:val="none"/>
                <w:u w:val="single"/>
              </w:rPr>
              <w:t>1</w:t>
            </w:r>
            <w:r>
              <w:rPr>
                <w:rFonts w:hint="eastAsia" w:ascii="宋体" w:hAnsi="宋体" w:eastAsia="宋体" w:cs="宋体"/>
                <w:snapToGrid w:val="0"/>
                <w:color w:val="auto"/>
                <w:kern w:val="0"/>
                <w:sz w:val="22"/>
                <w:szCs w:val="22"/>
                <w:highlight w:val="none"/>
                <w:u w:val="single"/>
                <w:lang w:val="en-US" w:eastAsia="zh-CN"/>
              </w:rPr>
              <w:t>5</w:t>
            </w:r>
            <w:r>
              <w:rPr>
                <w:rFonts w:hint="eastAsia" w:ascii="宋体" w:hAnsi="宋体" w:eastAsia="宋体" w:cs="宋体"/>
                <w:snapToGrid w:val="0"/>
                <w:color w:val="auto"/>
                <w:kern w:val="0"/>
                <w:sz w:val="22"/>
                <w:szCs w:val="22"/>
                <w:highlight w:val="none"/>
              </w:rPr>
              <w:t xml:space="preserve">分。 </w:t>
            </w:r>
          </w:p>
        </w:tc>
        <w:tc>
          <w:tcPr>
            <w:tcW w:w="5065" w:type="dxa"/>
            <w:tcBorders>
              <w:top w:val="single" w:color="auto" w:sz="4" w:space="0"/>
              <w:left w:val="single" w:color="auto" w:sz="4" w:space="0"/>
              <w:bottom w:val="single" w:color="auto" w:sz="4" w:space="0"/>
              <w:right w:val="single" w:color="auto" w:sz="4" w:space="0"/>
            </w:tcBorders>
            <w:noWrap w:val="0"/>
            <w:vAlign w:val="center"/>
          </w:tcPr>
          <w:p w14:paraId="556A109B">
            <w:pPr>
              <w:pStyle w:val="5"/>
              <w:wordWrap w:val="0"/>
              <w:adjustRightInd w:val="0"/>
              <w:snapToGrid w:val="0"/>
              <w:spacing w:after="0" w:line="400" w:lineRule="exact"/>
              <w:rPr>
                <w:rFonts w:hint="eastAsia" w:asciiTheme="minorEastAsia" w:hAnsiTheme="minorEastAsia" w:eastAsiaTheme="minorEastAsia" w:cstheme="minorEastAsia"/>
                <w:snapToGrid w:val="0"/>
                <w:color w:val="auto"/>
                <w:kern w:val="0"/>
                <w:sz w:val="22"/>
                <w:szCs w:val="22"/>
                <w:highlight w:val="none"/>
                <w:lang w:val="en-US" w:eastAsia="zh-CN"/>
              </w:rPr>
            </w:pPr>
            <w:r>
              <w:rPr>
                <w:rFonts w:hint="eastAsia" w:asciiTheme="minorEastAsia" w:hAnsiTheme="minorEastAsia" w:eastAsiaTheme="minorEastAsia" w:cstheme="minorEastAsia"/>
                <w:snapToGrid w:val="0"/>
                <w:color w:val="auto"/>
                <w:kern w:val="0"/>
                <w:sz w:val="22"/>
                <w:szCs w:val="22"/>
                <w:highlight w:val="none"/>
                <w:lang w:val="en-US" w:eastAsia="zh-CN"/>
              </w:rPr>
              <w:t>1.类似工程指</w:t>
            </w:r>
            <w:r>
              <w:rPr>
                <w:rFonts w:hint="eastAsia" w:asciiTheme="minorEastAsia" w:hAnsiTheme="minorEastAsia" w:eastAsiaTheme="minorEastAsia" w:cstheme="minorEastAsia"/>
                <w:snapToGrid w:val="0"/>
                <w:color w:val="auto"/>
                <w:kern w:val="0"/>
                <w:sz w:val="22"/>
                <w:szCs w:val="22"/>
                <w:highlight w:val="none"/>
                <w:u w:val="single"/>
                <w:lang w:val="en-US" w:eastAsia="zh-CN"/>
              </w:rPr>
              <w:t>：单项工程造价</w:t>
            </w:r>
            <w:r>
              <w:rPr>
                <w:rFonts w:hint="default" w:ascii="Arial" w:hAnsi="Arial" w:cs="Arial" w:eastAsiaTheme="minorEastAsia"/>
                <w:snapToGrid w:val="0"/>
                <w:color w:val="auto"/>
                <w:kern w:val="0"/>
                <w:sz w:val="22"/>
                <w:szCs w:val="22"/>
                <w:highlight w:val="none"/>
                <w:u w:val="single"/>
                <w:lang w:val="en-US" w:eastAsia="zh-CN"/>
              </w:rPr>
              <w:t>≥</w:t>
            </w:r>
            <w:r>
              <w:rPr>
                <w:rFonts w:hint="eastAsia" w:asciiTheme="minorEastAsia" w:hAnsiTheme="minorEastAsia" w:eastAsiaTheme="minorEastAsia" w:cstheme="minorEastAsia"/>
                <w:snapToGrid w:val="0"/>
                <w:color w:val="auto"/>
                <w:kern w:val="0"/>
                <w:sz w:val="22"/>
                <w:szCs w:val="22"/>
                <w:highlight w:val="none"/>
                <w:u w:val="single"/>
                <w:lang w:val="en-US" w:eastAsia="zh-CN"/>
              </w:rPr>
              <w:t>1000万元的房建或市政类工程</w:t>
            </w:r>
            <w:r>
              <w:rPr>
                <w:rFonts w:hint="eastAsia" w:asciiTheme="minorEastAsia" w:hAnsiTheme="minorEastAsia" w:eastAsiaTheme="minorEastAsia" w:cstheme="minorEastAsia"/>
                <w:snapToGrid w:val="0"/>
                <w:color w:val="auto"/>
                <w:kern w:val="0"/>
                <w:sz w:val="22"/>
                <w:szCs w:val="22"/>
                <w:highlight w:val="none"/>
                <w:lang w:val="en-US" w:eastAsia="zh-CN"/>
              </w:rPr>
              <w:t>；</w:t>
            </w:r>
          </w:p>
          <w:p w14:paraId="31E276AF">
            <w:pPr>
              <w:widowControl w:val="0"/>
              <w:wordWrap w:val="0"/>
              <w:adjustRightInd w:val="0"/>
              <w:snapToGrid w:val="0"/>
              <w:spacing w:after="0" w:line="288" w:lineRule="auto"/>
              <w:jc w:val="both"/>
              <w:rPr>
                <w:rFonts w:ascii="宋体" w:hAnsi="宋体" w:eastAsia="宋体" w:cs="宋体"/>
                <w:b w:val="0"/>
                <w:bCs w:val="0"/>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w:t>2.需附有关业绩（仅限于以施工总承包单位身份参建的项目）：中标通知书及竣工验收报告彩色扫描件，</w:t>
            </w:r>
            <w:r>
              <w:rPr>
                <w:rFonts w:hint="eastAsia" w:ascii="宋体" w:hAnsi="宋体" w:eastAsia="宋体" w:cs="宋体"/>
                <w:b/>
                <w:bCs/>
                <w:color w:val="auto"/>
                <w:kern w:val="2"/>
                <w:sz w:val="22"/>
                <w:szCs w:val="22"/>
                <w:highlight w:val="none"/>
                <w:lang w:val="en-US" w:eastAsia="zh-CN" w:bidi="ar-SA"/>
              </w:rPr>
              <w:t>同时提供原件供核对</w:t>
            </w:r>
            <w:r>
              <w:rPr>
                <w:rFonts w:hint="eastAsia" w:ascii="宋体" w:hAnsi="宋体" w:eastAsia="宋体" w:cs="宋体"/>
                <w:b w:val="0"/>
                <w:bCs w:val="0"/>
                <w:color w:val="auto"/>
                <w:kern w:val="2"/>
                <w:sz w:val="22"/>
                <w:szCs w:val="22"/>
                <w:highlight w:val="none"/>
                <w:lang w:val="en-US" w:eastAsia="zh-CN" w:bidi="ar-SA"/>
              </w:rPr>
              <w:t>（中标通知书为电子证书的除外）。</w:t>
            </w:r>
          </w:p>
          <w:p w14:paraId="23991342">
            <w:pPr>
              <w:widowControl w:val="0"/>
              <w:wordWrap w:val="0"/>
              <w:adjustRightInd w:val="0"/>
              <w:snapToGrid w:val="0"/>
              <w:spacing w:after="0" w:line="288" w:lineRule="auto"/>
              <w:jc w:val="both"/>
              <w:rPr>
                <w:rFonts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w:t>3.业绩时间以</w:t>
            </w:r>
            <w:r>
              <w:rPr>
                <w:rFonts w:ascii="宋体" w:hAnsi="宋体" w:eastAsia="宋体" w:cs="宋体"/>
                <w:color w:val="auto"/>
                <w:kern w:val="2"/>
                <w:sz w:val="22"/>
                <w:szCs w:val="22"/>
                <w:highlight w:val="none"/>
                <w:lang w:val="en-US" w:eastAsia="zh-CN" w:bidi="ar-SA"/>
              </w:rPr>
              <w:t>竣工验收报告</w:t>
            </w:r>
            <w:r>
              <w:rPr>
                <w:rFonts w:hint="eastAsia" w:ascii="宋体" w:hAnsi="宋体" w:eastAsia="宋体" w:cs="宋体"/>
                <w:color w:val="auto"/>
                <w:kern w:val="2"/>
                <w:sz w:val="22"/>
                <w:szCs w:val="22"/>
                <w:highlight w:val="none"/>
                <w:lang w:val="en-US" w:eastAsia="zh-CN" w:bidi="ar-SA"/>
              </w:rPr>
              <w:t>日期为准。</w:t>
            </w:r>
          </w:p>
          <w:p w14:paraId="22548A40">
            <w:pPr>
              <w:widowControl w:val="0"/>
              <w:wordWrap w:val="0"/>
              <w:adjustRightInd w:val="0"/>
              <w:snapToGrid w:val="0"/>
              <w:spacing w:after="0" w:line="288" w:lineRule="auto"/>
              <w:jc w:val="both"/>
              <w:rPr>
                <w:rFonts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w:t>4.任一业绩有以下情形之一的，该业绩视为无效，不予计分：</w:t>
            </w:r>
          </w:p>
          <w:p w14:paraId="71F8098B">
            <w:pPr>
              <w:widowControl w:val="0"/>
              <w:wordWrap w:val="0"/>
              <w:adjustRightInd w:val="0"/>
              <w:snapToGrid w:val="0"/>
              <w:spacing w:after="0" w:line="288" w:lineRule="auto"/>
              <w:jc w:val="both"/>
              <w:rPr>
                <w:rFonts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w:t>①未提供业绩证明材料原件的；</w:t>
            </w:r>
          </w:p>
          <w:p w14:paraId="72EED8B3">
            <w:pPr>
              <w:widowControl w:val="0"/>
              <w:wordWrap w:val="0"/>
              <w:adjustRightInd w:val="0"/>
              <w:snapToGrid w:val="0"/>
              <w:spacing w:after="0" w:line="288" w:lineRule="auto"/>
              <w:jc w:val="both"/>
              <w:rPr>
                <w:rFonts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w:t>②业绩不属于类似工程的；</w:t>
            </w:r>
          </w:p>
          <w:p w14:paraId="7B3DDA17">
            <w:pPr>
              <w:widowControl w:val="0"/>
              <w:wordWrap w:val="0"/>
              <w:adjustRightInd w:val="0"/>
              <w:snapToGrid w:val="0"/>
              <w:spacing w:after="0" w:line="288" w:lineRule="auto"/>
              <w:jc w:val="both"/>
              <w:rPr>
                <w:rFonts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w:t>③不是以指定身份参建的；</w:t>
            </w:r>
          </w:p>
          <w:p w14:paraId="3BA40904">
            <w:pPr>
              <w:widowControl w:val="0"/>
              <w:wordWrap w:val="0"/>
              <w:adjustRightInd w:val="0"/>
              <w:snapToGrid w:val="0"/>
              <w:spacing w:after="0" w:line="288" w:lineRule="auto"/>
              <w:jc w:val="both"/>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w:t>④业绩时间不符合要求的；</w:t>
            </w:r>
          </w:p>
          <w:p w14:paraId="0D96B9E8">
            <w:pPr>
              <w:wordWrap w:val="0"/>
              <w:adjustRightInd w:val="0"/>
              <w:snapToGrid w:val="0"/>
              <w:spacing w:line="400" w:lineRule="exact"/>
              <w:rPr>
                <w:rFonts w:hint="eastAsia" w:ascii="宋体" w:hAnsi="宋体" w:eastAsia="宋体" w:cs="宋体"/>
                <w:snapToGrid w:val="0"/>
                <w:color w:val="auto"/>
                <w:kern w:val="0"/>
                <w:sz w:val="22"/>
                <w:szCs w:val="22"/>
                <w:highlight w:val="none"/>
                <w:lang w:val="en-US" w:eastAsia="zh-CN"/>
              </w:rPr>
            </w:pPr>
            <w:r>
              <w:rPr>
                <w:rFonts w:hint="eastAsia" w:ascii="宋体" w:hAnsi="宋体" w:eastAsia="宋体" w:cs="宋体"/>
                <w:color w:val="auto"/>
                <w:kern w:val="2"/>
                <w:sz w:val="22"/>
                <w:szCs w:val="22"/>
                <w:highlight w:val="none"/>
                <w:lang w:val="en-US" w:eastAsia="zh-CN" w:bidi="ar-SA"/>
              </w:rPr>
              <w:t>⑤业绩未竣工验收的。</w:t>
            </w:r>
          </w:p>
        </w:tc>
      </w:tr>
      <w:tr w14:paraId="2BFACC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42" w:hRule="atLeast"/>
          <w:jc w:val="center"/>
        </w:trPr>
        <w:tc>
          <w:tcPr>
            <w:tcW w:w="1491" w:type="dxa"/>
            <w:tcBorders>
              <w:top w:val="single" w:color="auto" w:sz="4" w:space="0"/>
              <w:left w:val="single" w:color="auto" w:sz="4" w:space="0"/>
              <w:bottom w:val="single" w:color="auto" w:sz="4" w:space="0"/>
              <w:right w:val="single" w:color="auto" w:sz="4" w:space="0"/>
            </w:tcBorders>
            <w:noWrap w:val="0"/>
            <w:vAlign w:val="center"/>
          </w:tcPr>
          <w:p w14:paraId="58D6E642">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企业银行</w:t>
            </w:r>
          </w:p>
          <w:p w14:paraId="19A6E1CD">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资信评级</w:t>
            </w:r>
          </w:p>
          <w:p w14:paraId="60CDC59A">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lang w:val="en-US" w:eastAsia="zh-CN" w:bidi="ar-SA"/>
              </w:rPr>
            </w:pPr>
            <w:r>
              <w:rPr>
                <w:rFonts w:hint="eastAsia" w:ascii="宋体" w:hAnsi="宋体" w:eastAsia="宋体" w:cs="宋体"/>
                <w:snapToGrid w:val="0"/>
                <w:color w:val="auto"/>
                <w:kern w:val="0"/>
                <w:sz w:val="22"/>
                <w:szCs w:val="22"/>
                <w:highlight w:val="none"/>
              </w:rPr>
              <w:t>（</w:t>
            </w:r>
            <w:r>
              <w:rPr>
                <w:rFonts w:hint="eastAsia" w:ascii="宋体" w:hAnsi="宋体" w:eastAsia="宋体" w:cs="宋体"/>
                <w:snapToGrid w:val="0"/>
                <w:color w:val="auto"/>
                <w:kern w:val="0"/>
                <w:sz w:val="22"/>
                <w:szCs w:val="22"/>
                <w:highlight w:val="none"/>
                <w:lang w:val="en-US" w:eastAsia="zh-CN"/>
              </w:rPr>
              <w:t>5</w:t>
            </w:r>
            <w:r>
              <w:rPr>
                <w:rFonts w:hint="eastAsia" w:ascii="宋体" w:hAnsi="宋体" w:eastAsia="宋体" w:cs="宋体"/>
                <w:snapToGrid w:val="0"/>
                <w:color w:val="auto"/>
                <w:kern w:val="0"/>
                <w:sz w:val="22"/>
                <w:szCs w:val="22"/>
                <w:highlight w:val="none"/>
              </w:rPr>
              <w:t>分）</w:t>
            </w:r>
          </w:p>
        </w:tc>
        <w:tc>
          <w:tcPr>
            <w:tcW w:w="3868" w:type="dxa"/>
            <w:gridSpan w:val="2"/>
            <w:tcBorders>
              <w:top w:val="single" w:color="auto" w:sz="4" w:space="0"/>
              <w:left w:val="single" w:color="auto" w:sz="4" w:space="0"/>
              <w:bottom w:val="single" w:color="auto" w:sz="4" w:space="0"/>
              <w:right w:val="single" w:color="auto" w:sz="4" w:space="0"/>
            </w:tcBorders>
            <w:noWrap w:val="0"/>
            <w:vAlign w:val="center"/>
          </w:tcPr>
          <w:p w14:paraId="136001D6">
            <w:pPr>
              <w:wordWrap w:val="0"/>
              <w:adjustRightInd w:val="0"/>
              <w:snapToGrid w:val="0"/>
              <w:spacing w:line="400" w:lineRule="exact"/>
              <w:rPr>
                <w:rFonts w:hint="eastAsia" w:ascii="宋体" w:hAnsi="宋体" w:eastAsia="宋体" w:cs="宋体"/>
                <w:snapToGrid w:val="0"/>
                <w:color w:val="auto"/>
                <w:kern w:val="0"/>
                <w:sz w:val="22"/>
                <w:szCs w:val="22"/>
                <w:highlight w:val="none"/>
              </w:rPr>
            </w:pPr>
            <w:r>
              <w:rPr>
                <w:rFonts w:hint="eastAsia" w:asciiTheme="minorEastAsia" w:hAnsiTheme="minorEastAsia" w:eastAsiaTheme="minorEastAsia" w:cstheme="minorEastAsia"/>
                <w:color w:val="auto"/>
                <w:sz w:val="22"/>
                <w:szCs w:val="22"/>
                <w:highlight w:val="none"/>
              </w:rPr>
              <w:t>1</w:t>
            </w:r>
            <w:r>
              <w:rPr>
                <w:rFonts w:hint="eastAsia" w:ascii="宋体" w:hAnsi="宋体" w:eastAsia="宋体" w:cs="宋体"/>
                <w:snapToGrid w:val="0"/>
                <w:color w:val="auto"/>
                <w:kern w:val="0"/>
                <w:sz w:val="22"/>
                <w:szCs w:val="22"/>
                <w:highlight w:val="none"/>
              </w:rPr>
              <w:t>.银行资信评级AAA的，得</w:t>
            </w:r>
            <w:r>
              <w:rPr>
                <w:rFonts w:hint="eastAsia" w:ascii="宋体" w:hAnsi="宋体" w:eastAsia="宋体" w:cs="宋体"/>
                <w:snapToGrid w:val="0"/>
                <w:color w:val="auto"/>
                <w:kern w:val="0"/>
                <w:sz w:val="22"/>
                <w:szCs w:val="22"/>
                <w:highlight w:val="none"/>
                <w:u w:val="single"/>
                <w:lang w:val="en-US" w:eastAsia="zh-CN"/>
              </w:rPr>
              <w:t>5</w:t>
            </w:r>
            <w:r>
              <w:rPr>
                <w:rFonts w:hint="eastAsia" w:ascii="宋体" w:hAnsi="宋体" w:eastAsia="宋体" w:cs="宋体"/>
                <w:snapToGrid w:val="0"/>
                <w:color w:val="auto"/>
                <w:kern w:val="0"/>
                <w:sz w:val="22"/>
                <w:szCs w:val="22"/>
                <w:highlight w:val="none"/>
              </w:rPr>
              <w:t>分。</w:t>
            </w:r>
          </w:p>
          <w:p w14:paraId="24BD58E6">
            <w:pPr>
              <w:wordWrap w:val="0"/>
              <w:adjustRightInd w:val="0"/>
              <w:snapToGrid w:val="0"/>
              <w:spacing w:line="400" w:lineRule="exac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2.银行资信评级AA（含AA＋、AA－）的，得</w:t>
            </w:r>
            <w:r>
              <w:rPr>
                <w:rFonts w:hint="eastAsia" w:ascii="宋体" w:hAnsi="宋体" w:eastAsia="宋体" w:cs="宋体"/>
                <w:snapToGrid w:val="0"/>
                <w:color w:val="auto"/>
                <w:kern w:val="0"/>
                <w:sz w:val="22"/>
                <w:szCs w:val="22"/>
                <w:highlight w:val="none"/>
                <w:u w:val="single"/>
                <w:lang w:val="en-US" w:eastAsia="zh-CN"/>
              </w:rPr>
              <w:t>3</w:t>
            </w:r>
            <w:r>
              <w:rPr>
                <w:rFonts w:hint="eastAsia" w:ascii="宋体" w:hAnsi="宋体" w:eastAsia="宋体" w:cs="宋体"/>
                <w:snapToGrid w:val="0"/>
                <w:color w:val="auto"/>
                <w:kern w:val="0"/>
                <w:sz w:val="22"/>
                <w:szCs w:val="22"/>
                <w:highlight w:val="none"/>
              </w:rPr>
              <w:t>分。</w:t>
            </w:r>
          </w:p>
          <w:p w14:paraId="44AAA695">
            <w:pPr>
              <w:wordWrap w:val="0"/>
              <w:adjustRightInd w:val="0"/>
              <w:snapToGrid w:val="0"/>
              <w:spacing w:line="400" w:lineRule="exac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3.银行资信评级A（含A＋、A－）的，得</w:t>
            </w:r>
            <w:r>
              <w:rPr>
                <w:rFonts w:hint="eastAsia" w:ascii="宋体" w:hAnsi="宋体" w:eastAsia="宋体" w:cs="宋体"/>
                <w:snapToGrid w:val="0"/>
                <w:color w:val="auto"/>
                <w:kern w:val="0"/>
                <w:sz w:val="22"/>
                <w:szCs w:val="22"/>
                <w:highlight w:val="none"/>
                <w:u w:val="single"/>
                <w:lang w:val="en-US" w:eastAsia="zh-CN"/>
              </w:rPr>
              <w:t>1</w:t>
            </w:r>
            <w:r>
              <w:rPr>
                <w:rFonts w:hint="eastAsia" w:ascii="宋体" w:hAnsi="宋体" w:eastAsia="宋体" w:cs="宋体"/>
                <w:snapToGrid w:val="0"/>
                <w:color w:val="auto"/>
                <w:kern w:val="0"/>
                <w:sz w:val="22"/>
                <w:szCs w:val="22"/>
                <w:highlight w:val="none"/>
              </w:rPr>
              <w:t>分。</w:t>
            </w:r>
          </w:p>
          <w:p w14:paraId="70FB9FBE">
            <w:pPr>
              <w:wordWrap w:val="0"/>
              <w:adjustRightInd w:val="0"/>
              <w:snapToGrid w:val="0"/>
              <w:spacing w:line="400" w:lineRule="exact"/>
              <w:rPr>
                <w:rFonts w:hint="eastAsia" w:ascii="宋体" w:hAnsi="宋体" w:eastAsia="宋体" w:cs="宋体"/>
                <w:snapToGrid w:val="0"/>
                <w:color w:val="auto"/>
                <w:kern w:val="0"/>
                <w:sz w:val="22"/>
                <w:szCs w:val="22"/>
                <w:highlight w:val="none"/>
                <w:lang w:val="en-US" w:eastAsia="zh-CN" w:bidi="ar-SA"/>
              </w:rPr>
            </w:pPr>
            <w:r>
              <w:rPr>
                <w:rFonts w:hint="eastAsia" w:ascii="宋体" w:hAnsi="宋体" w:eastAsia="宋体" w:cs="宋体"/>
                <w:snapToGrid w:val="0"/>
                <w:color w:val="auto"/>
                <w:kern w:val="0"/>
                <w:sz w:val="22"/>
                <w:szCs w:val="22"/>
                <w:highlight w:val="none"/>
              </w:rPr>
              <w:t>4.未获得过以上评级的，或评级证书</w:t>
            </w:r>
            <w:r>
              <w:rPr>
                <w:rFonts w:hint="eastAsia" w:ascii="宋体" w:hAnsi="宋体" w:eastAsia="宋体" w:cs="宋体"/>
                <w:snapToGrid w:val="0"/>
                <w:color w:val="auto"/>
                <w:kern w:val="0"/>
                <w:sz w:val="22"/>
                <w:szCs w:val="22"/>
                <w:highlight w:val="none"/>
                <w:lang w:val="en-US" w:eastAsia="zh-CN"/>
              </w:rPr>
              <w:t>（证明）</w:t>
            </w:r>
            <w:r>
              <w:rPr>
                <w:rFonts w:hint="eastAsia" w:ascii="宋体" w:hAnsi="宋体" w:eastAsia="宋体" w:cs="宋体"/>
                <w:snapToGrid w:val="0"/>
                <w:color w:val="auto"/>
                <w:kern w:val="0"/>
                <w:sz w:val="22"/>
                <w:szCs w:val="22"/>
                <w:highlight w:val="none"/>
              </w:rPr>
              <w:t>无效的，不予计分。</w:t>
            </w:r>
          </w:p>
        </w:tc>
        <w:tc>
          <w:tcPr>
            <w:tcW w:w="5065" w:type="dxa"/>
            <w:tcBorders>
              <w:top w:val="single" w:color="auto" w:sz="4" w:space="0"/>
              <w:left w:val="single" w:color="auto" w:sz="4" w:space="0"/>
              <w:bottom w:val="single" w:color="auto" w:sz="4" w:space="0"/>
              <w:right w:val="single" w:color="auto" w:sz="4" w:space="0"/>
            </w:tcBorders>
            <w:noWrap w:val="0"/>
            <w:vAlign w:val="center"/>
          </w:tcPr>
          <w:p w14:paraId="7CBA1D98">
            <w:pPr>
              <w:pStyle w:val="5"/>
              <w:wordWrap w:val="0"/>
              <w:adjustRightInd w:val="0"/>
              <w:snapToGrid w:val="0"/>
              <w:spacing w:after="0" w:line="400" w:lineRule="exact"/>
              <w:rPr>
                <w:rFonts w:hint="eastAsia" w:asciiTheme="minorEastAsia" w:hAnsiTheme="minorEastAsia" w:eastAsiaTheme="minorEastAsia" w:cstheme="minorEastAsia"/>
                <w:b w:val="0"/>
                <w:bCs w:val="0"/>
                <w:snapToGrid w:val="0"/>
                <w:color w:val="auto"/>
                <w:kern w:val="0"/>
                <w:sz w:val="22"/>
                <w:szCs w:val="22"/>
                <w:highlight w:val="none"/>
                <w:lang w:val="en-US" w:eastAsia="zh-CN"/>
              </w:rPr>
            </w:pPr>
            <w:r>
              <w:rPr>
                <w:rFonts w:hint="eastAsia" w:asciiTheme="minorEastAsia" w:hAnsiTheme="minorEastAsia" w:eastAsiaTheme="minorEastAsia" w:cstheme="minorEastAsia"/>
                <w:b w:val="0"/>
                <w:bCs w:val="0"/>
                <w:snapToGrid w:val="0"/>
                <w:color w:val="auto"/>
                <w:kern w:val="0"/>
                <w:sz w:val="22"/>
                <w:szCs w:val="22"/>
                <w:highlight w:val="none"/>
                <w:lang w:val="en-US" w:eastAsia="zh-CN"/>
              </w:rPr>
              <w:t>1.需附在有效期内的资信（信用）评级（等级）证书（证明）扫描件，</w:t>
            </w:r>
            <w:r>
              <w:rPr>
                <w:rFonts w:hint="eastAsia" w:asciiTheme="minorEastAsia" w:hAnsiTheme="minorEastAsia" w:eastAsiaTheme="minorEastAsia" w:cstheme="minorEastAsia"/>
                <w:b/>
                <w:bCs/>
                <w:snapToGrid w:val="0"/>
                <w:color w:val="auto"/>
                <w:kern w:val="0"/>
                <w:sz w:val="22"/>
                <w:szCs w:val="22"/>
                <w:highlight w:val="none"/>
                <w:lang w:val="en-US" w:eastAsia="zh-CN"/>
              </w:rPr>
              <w:t>同时提供原件供核对</w:t>
            </w:r>
            <w:r>
              <w:rPr>
                <w:rFonts w:hint="eastAsia" w:asciiTheme="minorEastAsia" w:hAnsiTheme="minorEastAsia" w:eastAsiaTheme="minorEastAsia" w:cstheme="minorEastAsia"/>
                <w:b w:val="0"/>
                <w:bCs w:val="0"/>
                <w:snapToGrid w:val="0"/>
                <w:color w:val="auto"/>
                <w:kern w:val="0"/>
                <w:sz w:val="22"/>
                <w:szCs w:val="22"/>
                <w:highlight w:val="none"/>
                <w:lang w:val="en-US" w:eastAsia="zh-CN"/>
              </w:rPr>
              <w:t>（证书为电子证书的除外）。</w:t>
            </w:r>
          </w:p>
          <w:p w14:paraId="18182839">
            <w:pPr>
              <w:pStyle w:val="5"/>
              <w:wordWrap w:val="0"/>
              <w:adjustRightInd w:val="0"/>
              <w:snapToGrid w:val="0"/>
              <w:spacing w:after="0" w:line="400" w:lineRule="exact"/>
              <w:rPr>
                <w:rFonts w:hint="eastAsia" w:asciiTheme="minorEastAsia" w:hAnsiTheme="minorEastAsia" w:eastAsiaTheme="minorEastAsia" w:cstheme="minorEastAsia"/>
                <w:snapToGrid w:val="0"/>
                <w:color w:val="auto"/>
                <w:kern w:val="0"/>
                <w:sz w:val="22"/>
                <w:szCs w:val="22"/>
                <w:highlight w:val="none"/>
                <w:lang w:val="en-US" w:eastAsia="zh-CN"/>
              </w:rPr>
            </w:pPr>
            <w:r>
              <w:rPr>
                <w:rFonts w:hint="eastAsia" w:asciiTheme="minorEastAsia" w:hAnsiTheme="minorEastAsia" w:eastAsiaTheme="minorEastAsia" w:cstheme="minorEastAsia"/>
                <w:snapToGrid w:val="0"/>
                <w:color w:val="auto"/>
                <w:kern w:val="0"/>
                <w:sz w:val="22"/>
                <w:szCs w:val="22"/>
                <w:highlight w:val="none"/>
                <w:lang w:val="en-US" w:eastAsia="zh-CN"/>
              </w:rPr>
              <w:t>2.评级（等级）证书须由</w:t>
            </w:r>
            <w:r>
              <w:rPr>
                <w:rFonts w:hint="eastAsia" w:asciiTheme="minorEastAsia" w:hAnsiTheme="minorEastAsia" w:eastAsiaTheme="minorEastAsia" w:cstheme="minorEastAsia"/>
                <w:snapToGrid w:val="0"/>
                <w:color w:val="auto"/>
                <w:kern w:val="0"/>
                <w:sz w:val="22"/>
                <w:szCs w:val="22"/>
                <w:highlight w:val="none"/>
                <w:u w:val="single"/>
                <w:lang w:val="en-US" w:eastAsia="zh-CN"/>
              </w:rPr>
              <w:t>企业基本账户开户银行</w:t>
            </w:r>
            <w:r>
              <w:rPr>
                <w:rFonts w:hint="eastAsia" w:asciiTheme="minorEastAsia" w:hAnsiTheme="minorEastAsia" w:eastAsiaTheme="minorEastAsia" w:cstheme="minorEastAsia"/>
                <w:snapToGrid w:val="0"/>
                <w:color w:val="auto"/>
                <w:kern w:val="0"/>
                <w:sz w:val="22"/>
                <w:szCs w:val="22"/>
                <w:highlight w:val="none"/>
                <w:lang w:val="en-US" w:eastAsia="zh-CN"/>
              </w:rPr>
              <w:t>出具。</w:t>
            </w:r>
          </w:p>
          <w:p w14:paraId="0B049664">
            <w:pPr>
              <w:pStyle w:val="5"/>
              <w:wordWrap w:val="0"/>
              <w:adjustRightInd w:val="0"/>
              <w:snapToGrid w:val="0"/>
              <w:spacing w:after="0" w:line="400" w:lineRule="exact"/>
              <w:rPr>
                <w:rFonts w:hint="eastAsia" w:asciiTheme="minorEastAsia" w:hAnsiTheme="minorEastAsia" w:eastAsiaTheme="minorEastAsia" w:cstheme="minorEastAsia"/>
                <w:snapToGrid w:val="0"/>
                <w:color w:val="auto"/>
                <w:kern w:val="0"/>
                <w:sz w:val="22"/>
                <w:szCs w:val="22"/>
                <w:highlight w:val="none"/>
                <w:lang w:val="en-US" w:eastAsia="zh-CN"/>
              </w:rPr>
            </w:pPr>
            <w:r>
              <w:rPr>
                <w:rFonts w:hint="eastAsia" w:asciiTheme="minorEastAsia" w:hAnsiTheme="minorEastAsia" w:eastAsiaTheme="minorEastAsia" w:cstheme="minorEastAsia"/>
                <w:snapToGrid w:val="0"/>
                <w:color w:val="auto"/>
                <w:kern w:val="0"/>
                <w:sz w:val="22"/>
                <w:szCs w:val="22"/>
                <w:highlight w:val="none"/>
                <w:lang w:val="en-US" w:eastAsia="zh-CN"/>
              </w:rPr>
              <w:t>3.评级（等级）证书（证明）有以下情形之一的，视为无效：</w:t>
            </w:r>
          </w:p>
          <w:p w14:paraId="4ED4FD0A">
            <w:pPr>
              <w:pStyle w:val="5"/>
              <w:wordWrap w:val="0"/>
              <w:adjustRightInd w:val="0"/>
              <w:snapToGrid w:val="0"/>
              <w:spacing w:after="0" w:line="400" w:lineRule="exact"/>
              <w:rPr>
                <w:rFonts w:hint="eastAsia" w:asciiTheme="minorEastAsia" w:hAnsiTheme="minorEastAsia" w:eastAsiaTheme="minorEastAsia" w:cstheme="minorEastAsia"/>
                <w:snapToGrid w:val="0"/>
                <w:color w:val="auto"/>
                <w:kern w:val="0"/>
                <w:sz w:val="22"/>
                <w:szCs w:val="22"/>
                <w:highlight w:val="none"/>
                <w:lang w:val="en-US" w:eastAsia="zh-CN"/>
              </w:rPr>
            </w:pPr>
            <w:r>
              <w:rPr>
                <w:rFonts w:hint="eastAsia" w:asciiTheme="minorEastAsia" w:hAnsiTheme="minorEastAsia" w:eastAsiaTheme="minorEastAsia" w:cstheme="minorEastAsia"/>
                <w:snapToGrid w:val="0"/>
                <w:color w:val="auto"/>
                <w:kern w:val="0"/>
                <w:sz w:val="22"/>
                <w:szCs w:val="22"/>
                <w:highlight w:val="none"/>
                <w:lang w:val="en-US" w:eastAsia="zh-CN"/>
              </w:rPr>
              <w:t>①未提供评级（等级）证书（证明）</w:t>
            </w:r>
            <w:r>
              <w:rPr>
                <w:rFonts w:hint="eastAsia" w:asciiTheme="minorEastAsia" w:hAnsiTheme="minorEastAsia" w:eastAsiaTheme="minorEastAsia" w:cstheme="minorEastAsia"/>
                <w:b/>
                <w:bCs/>
                <w:snapToGrid w:val="0"/>
                <w:color w:val="auto"/>
                <w:kern w:val="0"/>
                <w:sz w:val="22"/>
                <w:szCs w:val="22"/>
                <w:highlight w:val="none"/>
                <w:lang w:val="en-US" w:eastAsia="zh-CN"/>
              </w:rPr>
              <w:t>原件</w:t>
            </w:r>
            <w:r>
              <w:rPr>
                <w:rFonts w:hint="eastAsia" w:asciiTheme="minorEastAsia" w:hAnsiTheme="minorEastAsia" w:eastAsiaTheme="minorEastAsia" w:cstheme="minorEastAsia"/>
                <w:snapToGrid w:val="0"/>
                <w:color w:val="auto"/>
                <w:kern w:val="0"/>
                <w:sz w:val="22"/>
                <w:szCs w:val="22"/>
                <w:highlight w:val="none"/>
                <w:lang w:val="en-US" w:eastAsia="zh-CN"/>
              </w:rPr>
              <w:t>的；</w:t>
            </w:r>
          </w:p>
          <w:p w14:paraId="05969430">
            <w:pPr>
              <w:pStyle w:val="5"/>
              <w:wordWrap w:val="0"/>
              <w:adjustRightInd w:val="0"/>
              <w:snapToGrid w:val="0"/>
              <w:spacing w:after="0" w:line="400" w:lineRule="exact"/>
              <w:rPr>
                <w:rFonts w:hint="eastAsia" w:asciiTheme="minorEastAsia" w:hAnsiTheme="minorEastAsia" w:eastAsiaTheme="minorEastAsia" w:cstheme="minorEastAsia"/>
                <w:snapToGrid w:val="0"/>
                <w:color w:val="auto"/>
                <w:kern w:val="0"/>
                <w:sz w:val="22"/>
                <w:szCs w:val="22"/>
                <w:highlight w:val="none"/>
                <w:lang w:val="en-US" w:eastAsia="zh-CN"/>
              </w:rPr>
            </w:pPr>
            <w:r>
              <w:rPr>
                <w:rFonts w:hint="eastAsia" w:asciiTheme="minorEastAsia" w:hAnsiTheme="minorEastAsia" w:eastAsiaTheme="minorEastAsia" w:cstheme="minorEastAsia"/>
                <w:snapToGrid w:val="0"/>
                <w:color w:val="auto"/>
                <w:kern w:val="0"/>
                <w:sz w:val="22"/>
                <w:szCs w:val="22"/>
                <w:highlight w:val="none"/>
                <w:lang w:val="en-US" w:eastAsia="zh-CN"/>
              </w:rPr>
              <w:t>②评级（等级）证书（证明）不在有效期内的；</w:t>
            </w:r>
          </w:p>
          <w:p w14:paraId="1A29D38C">
            <w:pPr>
              <w:wordWrap w:val="0"/>
              <w:adjustRightInd w:val="0"/>
              <w:snapToGrid w:val="0"/>
              <w:rPr>
                <w:rFonts w:hint="eastAsia" w:ascii="宋体" w:hAnsi="宋体" w:eastAsia="宋体" w:cs="宋体"/>
                <w:snapToGrid w:val="0"/>
                <w:color w:val="auto"/>
                <w:kern w:val="0"/>
                <w:sz w:val="22"/>
                <w:szCs w:val="22"/>
                <w:highlight w:val="none"/>
                <w:lang w:val="en-US" w:eastAsia="zh-CN"/>
              </w:rPr>
            </w:pPr>
            <w:r>
              <w:rPr>
                <w:rFonts w:hint="eastAsia" w:asciiTheme="minorEastAsia" w:hAnsiTheme="minorEastAsia" w:eastAsiaTheme="minorEastAsia" w:cstheme="minorEastAsia"/>
                <w:snapToGrid w:val="0"/>
                <w:color w:val="auto"/>
                <w:kern w:val="0"/>
                <w:sz w:val="22"/>
                <w:szCs w:val="22"/>
                <w:highlight w:val="none"/>
                <w:lang w:val="en-US" w:eastAsia="zh-CN"/>
              </w:rPr>
              <w:t>③出具机构不符合要求的；</w:t>
            </w:r>
          </w:p>
        </w:tc>
      </w:tr>
      <w:tr w14:paraId="7B3EB3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74" w:hRule="atLeast"/>
          <w:jc w:val="center"/>
        </w:trPr>
        <w:tc>
          <w:tcPr>
            <w:tcW w:w="1491" w:type="dxa"/>
            <w:tcBorders>
              <w:top w:val="single" w:color="auto" w:sz="4" w:space="0"/>
              <w:left w:val="single" w:color="auto" w:sz="4" w:space="0"/>
              <w:bottom w:val="single" w:color="auto" w:sz="4" w:space="0"/>
              <w:right w:val="single" w:color="auto" w:sz="4" w:space="0"/>
            </w:tcBorders>
            <w:noWrap w:val="0"/>
            <w:vAlign w:val="center"/>
          </w:tcPr>
          <w:p w14:paraId="0C46EF7B">
            <w:pPr>
              <w:pStyle w:val="5"/>
              <w:wordWrap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企业管理</w:t>
            </w:r>
          </w:p>
          <w:p w14:paraId="5DAFA798">
            <w:pPr>
              <w:pStyle w:val="5"/>
              <w:wordWrap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体系认证</w:t>
            </w:r>
          </w:p>
          <w:p w14:paraId="70BB20E6">
            <w:pPr>
              <w:pStyle w:val="5"/>
              <w:wordWrap w:val="0"/>
              <w:spacing w:line="400" w:lineRule="exact"/>
              <w:jc w:val="center"/>
              <w:rPr>
                <w:rFonts w:hint="eastAsia" w:ascii="宋体" w:hAnsi="宋体" w:eastAsia="宋体" w:cs="宋体"/>
                <w:snapToGrid w:val="0"/>
                <w:color w:val="auto"/>
                <w:kern w:val="0"/>
                <w:sz w:val="22"/>
                <w:szCs w:val="22"/>
                <w:highlight w:val="none"/>
                <w:lang w:val="en-US" w:eastAsia="zh-CN" w:bidi="ar-SA"/>
              </w:rPr>
            </w:pPr>
            <w:r>
              <w:rPr>
                <w:rFonts w:hint="eastAsia" w:ascii="宋体" w:hAnsi="宋体" w:eastAsia="宋体" w:cs="宋体"/>
                <w:snapToGrid w:val="0"/>
                <w:color w:val="auto"/>
                <w:kern w:val="0"/>
                <w:sz w:val="22"/>
                <w:szCs w:val="22"/>
                <w:highlight w:val="none"/>
              </w:rPr>
              <w:t>（</w:t>
            </w:r>
            <w:r>
              <w:rPr>
                <w:rFonts w:hint="eastAsia" w:ascii="宋体" w:hAnsi="宋体" w:eastAsia="宋体" w:cs="宋体"/>
                <w:b/>
                <w:bCs/>
                <w:snapToGrid w:val="0"/>
                <w:color w:val="auto"/>
                <w:kern w:val="0"/>
                <w:sz w:val="22"/>
                <w:szCs w:val="22"/>
                <w:highlight w:val="none"/>
              </w:rPr>
              <w:t>6</w:t>
            </w:r>
            <w:r>
              <w:rPr>
                <w:rFonts w:hint="eastAsia" w:ascii="宋体" w:hAnsi="宋体" w:eastAsia="宋体" w:cs="宋体"/>
                <w:snapToGrid w:val="0"/>
                <w:color w:val="auto"/>
                <w:kern w:val="0"/>
                <w:sz w:val="22"/>
                <w:szCs w:val="22"/>
                <w:highlight w:val="none"/>
              </w:rPr>
              <w:t>分）</w:t>
            </w:r>
          </w:p>
        </w:tc>
        <w:tc>
          <w:tcPr>
            <w:tcW w:w="3868" w:type="dxa"/>
            <w:gridSpan w:val="2"/>
            <w:tcBorders>
              <w:top w:val="single" w:color="auto" w:sz="4" w:space="0"/>
              <w:left w:val="single" w:color="auto" w:sz="4" w:space="0"/>
              <w:bottom w:val="single" w:color="auto" w:sz="4" w:space="0"/>
              <w:right w:val="single" w:color="auto" w:sz="4" w:space="0"/>
            </w:tcBorders>
            <w:noWrap w:val="0"/>
            <w:vAlign w:val="center"/>
          </w:tcPr>
          <w:p w14:paraId="1AA76037">
            <w:pPr>
              <w:pStyle w:val="5"/>
              <w:wordWrap w:val="0"/>
              <w:spacing w:line="400" w:lineRule="exac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1．质量管理体系认证、职业健康安全管理体系认证、环境管理体系认证中，每获得1项认证得</w:t>
            </w:r>
            <w:r>
              <w:rPr>
                <w:rFonts w:hint="eastAsia" w:ascii="宋体" w:hAnsi="宋体" w:eastAsia="宋体" w:cs="宋体"/>
                <w:snapToGrid w:val="0"/>
                <w:color w:val="auto"/>
                <w:kern w:val="0"/>
                <w:sz w:val="22"/>
                <w:szCs w:val="22"/>
                <w:highlight w:val="none"/>
                <w:u w:val="single"/>
              </w:rPr>
              <w:t>2</w:t>
            </w:r>
            <w:r>
              <w:rPr>
                <w:rFonts w:hint="eastAsia" w:ascii="宋体" w:hAnsi="宋体" w:eastAsia="宋体" w:cs="宋体"/>
                <w:snapToGrid w:val="0"/>
                <w:color w:val="auto"/>
                <w:kern w:val="0"/>
                <w:sz w:val="22"/>
                <w:szCs w:val="22"/>
                <w:highlight w:val="none"/>
              </w:rPr>
              <w:t>分，最高得</w:t>
            </w:r>
            <w:r>
              <w:rPr>
                <w:rFonts w:hint="eastAsia" w:ascii="宋体" w:hAnsi="宋体" w:eastAsia="宋体" w:cs="宋体"/>
                <w:b/>
                <w:bCs/>
                <w:snapToGrid w:val="0"/>
                <w:color w:val="auto"/>
                <w:kern w:val="0"/>
                <w:sz w:val="22"/>
                <w:szCs w:val="22"/>
                <w:highlight w:val="none"/>
                <w:u w:val="single"/>
              </w:rPr>
              <w:t>6</w:t>
            </w:r>
            <w:r>
              <w:rPr>
                <w:rFonts w:hint="eastAsia" w:ascii="宋体" w:hAnsi="宋体" w:eastAsia="宋体" w:cs="宋体"/>
                <w:snapToGrid w:val="0"/>
                <w:color w:val="auto"/>
                <w:kern w:val="0"/>
                <w:sz w:val="22"/>
                <w:szCs w:val="22"/>
                <w:highlight w:val="none"/>
              </w:rPr>
              <w:t>分。</w:t>
            </w:r>
          </w:p>
          <w:p w14:paraId="70862E31">
            <w:pPr>
              <w:pStyle w:val="5"/>
              <w:wordWrap w:val="0"/>
              <w:spacing w:line="400" w:lineRule="exact"/>
              <w:rPr>
                <w:rFonts w:hint="eastAsia" w:ascii="宋体" w:hAnsi="宋体" w:eastAsia="宋体" w:cs="宋体"/>
                <w:snapToGrid w:val="0"/>
                <w:color w:val="auto"/>
                <w:kern w:val="0"/>
                <w:sz w:val="22"/>
                <w:szCs w:val="22"/>
                <w:highlight w:val="none"/>
                <w:lang w:val="en-US" w:eastAsia="zh-CN" w:bidi="ar-SA"/>
              </w:rPr>
            </w:pPr>
            <w:r>
              <w:rPr>
                <w:rFonts w:hint="eastAsia" w:ascii="宋体" w:hAnsi="宋体" w:eastAsia="宋体" w:cs="宋体"/>
                <w:snapToGrid w:val="0"/>
                <w:color w:val="auto"/>
                <w:kern w:val="0"/>
                <w:sz w:val="22"/>
                <w:szCs w:val="22"/>
                <w:highlight w:val="none"/>
              </w:rPr>
              <w:t>2．未获得以上认证的，不予计分。</w:t>
            </w:r>
          </w:p>
        </w:tc>
        <w:tc>
          <w:tcPr>
            <w:tcW w:w="5065" w:type="dxa"/>
            <w:tcBorders>
              <w:top w:val="single" w:color="auto" w:sz="4" w:space="0"/>
              <w:left w:val="single" w:color="auto" w:sz="4" w:space="0"/>
              <w:bottom w:val="single" w:color="auto" w:sz="4" w:space="0"/>
              <w:right w:val="single" w:color="auto" w:sz="4" w:space="0"/>
            </w:tcBorders>
            <w:noWrap w:val="0"/>
            <w:vAlign w:val="center"/>
          </w:tcPr>
          <w:p w14:paraId="30ED1A68">
            <w:pPr>
              <w:rPr>
                <w:rFonts w:hint="eastAsia" w:asciiTheme="minorEastAsia" w:hAnsiTheme="minorEastAsia" w:eastAsiaTheme="minorEastAsia" w:cstheme="minorEastAsia"/>
                <w:b/>
                <w:bCs/>
                <w:color w:val="auto"/>
                <w:sz w:val="22"/>
                <w:szCs w:val="22"/>
                <w:highlight w:val="none"/>
              </w:rPr>
            </w:pPr>
            <w:r>
              <w:rPr>
                <w:rFonts w:hint="eastAsia" w:asciiTheme="minorEastAsia" w:hAnsiTheme="minorEastAsia" w:eastAsiaTheme="minorEastAsia" w:cstheme="minorEastAsia"/>
                <w:b w:val="0"/>
                <w:bCs w:val="0"/>
                <w:color w:val="auto"/>
                <w:sz w:val="22"/>
                <w:szCs w:val="22"/>
                <w:highlight w:val="none"/>
              </w:rPr>
              <w:t>1.需附在有效期内的认证证书彩色扫描件，</w:t>
            </w:r>
            <w:r>
              <w:rPr>
                <w:rFonts w:hint="eastAsia" w:asciiTheme="minorEastAsia" w:hAnsiTheme="minorEastAsia" w:eastAsiaTheme="minorEastAsia" w:cstheme="minorEastAsia"/>
                <w:b/>
                <w:bCs/>
                <w:color w:val="auto"/>
                <w:sz w:val="22"/>
                <w:szCs w:val="22"/>
                <w:highlight w:val="none"/>
              </w:rPr>
              <w:t>同时提供原件供核对（</w:t>
            </w:r>
            <w:r>
              <w:rPr>
                <w:rFonts w:hint="eastAsia" w:asciiTheme="minorEastAsia" w:hAnsiTheme="minorEastAsia" w:eastAsiaTheme="minorEastAsia" w:cstheme="minorEastAsia"/>
                <w:b w:val="0"/>
                <w:bCs w:val="0"/>
                <w:color w:val="auto"/>
                <w:sz w:val="22"/>
                <w:szCs w:val="22"/>
                <w:highlight w:val="none"/>
              </w:rPr>
              <w:t>认证证</w:t>
            </w:r>
            <w:r>
              <w:rPr>
                <w:rFonts w:hint="eastAsia" w:asciiTheme="minorEastAsia" w:hAnsiTheme="minorEastAsia" w:eastAsiaTheme="minorEastAsia" w:cstheme="minorEastAsia"/>
                <w:b w:val="0"/>
                <w:bCs w:val="0"/>
                <w:color w:val="auto"/>
                <w:sz w:val="22"/>
                <w:szCs w:val="22"/>
                <w:highlight w:val="none"/>
                <w:lang w:val="en-US" w:eastAsia="zh-CN"/>
              </w:rPr>
              <w:t>书为</w:t>
            </w:r>
            <w:r>
              <w:rPr>
                <w:rFonts w:hint="eastAsia" w:asciiTheme="minorEastAsia" w:hAnsiTheme="minorEastAsia" w:eastAsiaTheme="minorEastAsia" w:cstheme="minorEastAsia"/>
                <w:b w:val="0"/>
                <w:bCs w:val="0"/>
                <w:color w:val="auto"/>
                <w:sz w:val="22"/>
                <w:szCs w:val="22"/>
                <w:highlight w:val="none"/>
              </w:rPr>
              <w:t>电子证书</w:t>
            </w:r>
            <w:r>
              <w:rPr>
                <w:rFonts w:hint="eastAsia" w:asciiTheme="minorEastAsia" w:hAnsiTheme="minorEastAsia" w:eastAsiaTheme="minorEastAsia" w:cstheme="minorEastAsia"/>
                <w:b w:val="0"/>
                <w:bCs w:val="0"/>
                <w:color w:val="auto"/>
                <w:sz w:val="22"/>
                <w:szCs w:val="22"/>
                <w:highlight w:val="none"/>
                <w:lang w:eastAsia="zh-CN"/>
              </w:rPr>
              <w:t>的</w:t>
            </w:r>
            <w:r>
              <w:rPr>
                <w:rFonts w:hint="eastAsia" w:asciiTheme="minorEastAsia" w:hAnsiTheme="minorEastAsia" w:eastAsiaTheme="minorEastAsia" w:cstheme="minorEastAsia"/>
                <w:b w:val="0"/>
                <w:bCs w:val="0"/>
                <w:color w:val="auto"/>
                <w:sz w:val="22"/>
                <w:szCs w:val="22"/>
                <w:highlight w:val="none"/>
              </w:rPr>
              <w:t>除外</w:t>
            </w:r>
            <w:r>
              <w:rPr>
                <w:rFonts w:hint="eastAsia" w:asciiTheme="minorEastAsia" w:hAnsiTheme="minorEastAsia" w:eastAsiaTheme="minorEastAsia" w:cstheme="minorEastAsia"/>
                <w:b/>
                <w:bCs/>
                <w:color w:val="auto"/>
                <w:sz w:val="22"/>
                <w:szCs w:val="22"/>
                <w:highlight w:val="none"/>
              </w:rPr>
              <w:t>）。</w:t>
            </w:r>
          </w:p>
          <w:p w14:paraId="228C50AC">
            <w:pPr>
              <w:rPr>
                <w:rFonts w:hint="eastAsia" w:asciiTheme="minorEastAsia" w:hAnsiTheme="minorEastAsia" w:eastAsiaTheme="minorEastAsia" w:cstheme="minorEastAsia"/>
                <w:b w:val="0"/>
                <w:bCs w:val="0"/>
                <w:color w:val="auto"/>
                <w:sz w:val="22"/>
                <w:szCs w:val="22"/>
                <w:highlight w:val="none"/>
              </w:rPr>
            </w:pPr>
            <w:r>
              <w:rPr>
                <w:rFonts w:hint="eastAsia" w:asciiTheme="minorEastAsia" w:hAnsiTheme="minorEastAsia" w:eastAsiaTheme="minorEastAsia" w:cstheme="minorEastAsia"/>
                <w:b w:val="0"/>
                <w:bCs w:val="0"/>
                <w:color w:val="auto"/>
                <w:sz w:val="22"/>
                <w:szCs w:val="22"/>
                <w:highlight w:val="none"/>
              </w:rPr>
              <w:t>2.任一认证证书有以下情形之一的，该认证证书视为无效，不予计分：</w:t>
            </w:r>
          </w:p>
          <w:p w14:paraId="5A1A5FDF">
            <w:pPr>
              <w:rPr>
                <w:rFonts w:hint="eastAsia" w:asciiTheme="minorEastAsia" w:hAnsiTheme="minorEastAsia" w:eastAsiaTheme="minorEastAsia" w:cstheme="minorEastAsia"/>
                <w:b w:val="0"/>
                <w:bCs w:val="0"/>
                <w:color w:val="auto"/>
                <w:sz w:val="22"/>
                <w:szCs w:val="22"/>
                <w:highlight w:val="none"/>
              </w:rPr>
            </w:pPr>
            <w:r>
              <w:rPr>
                <w:rFonts w:hint="eastAsia" w:asciiTheme="minorEastAsia" w:hAnsiTheme="minorEastAsia" w:eastAsiaTheme="minorEastAsia" w:cstheme="minorEastAsia"/>
                <w:b w:val="0"/>
                <w:bCs w:val="0"/>
                <w:color w:val="auto"/>
                <w:sz w:val="22"/>
                <w:szCs w:val="22"/>
                <w:highlight w:val="none"/>
              </w:rPr>
              <w:t>①未提供认证证书原件的；</w:t>
            </w:r>
          </w:p>
          <w:p w14:paraId="7AE97272">
            <w:pPr>
              <w:pStyle w:val="5"/>
              <w:wordWrap w:val="0"/>
              <w:spacing w:line="276" w:lineRule="auto"/>
              <w:jc w:val="both"/>
              <w:rPr>
                <w:rFonts w:hint="eastAsia" w:ascii="宋体" w:hAnsi="宋体" w:cs="宋体" w:eastAsiaTheme="minorEastAsia"/>
                <w:color w:val="auto"/>
                <w:sz w:val="22"/>
                <w:szCs w:val="22"/>
                <w:highlight w:val="none"/>
                <w:lang w:val="en-US" w:eastAsia="zh-CN"/>
              </w:rPr>
            </w:pPr>
            <w:r>
              <w:rPr>
                <w:rFonts w:hint="eastAsia" w:asciiTheme="minorEastAsia" w:hAnsiTheme="minorEastAsia" w:eastAsiaTheme="minorEastAsia" w:cstheme="minorEastAsia"/>
                <w:b w:val="0"/>
                <w:bCs w:val="0"/>
                <w:color w:val="auto"/>
                <w:sz w:val="22"/>
                <w:szCs w:val="22"/>
                <w:highlight w:val="none"/>
              </w:rPr>
              <w:t>②认证证书不在有效期内的</w:t>
            </w:r>
            <w:r>
              <w:rPr>
                <w:rFonts w:hint="eastAsia" w:asciiTheme="minorEastAsia" w:hAnsiTheme="minorEastAsia" w:eastAsiaTheme="minorEastAsia" w:cstheme="minorEastAsia"/>
                <w:b w:val="0"/>
                <w:bCs w:val="0"/>
                <w:color w:val="auto"/>
                <w:sz w:val="22"/>
                <w:szCs w:val="22"/>
                <w:highlight w:val="none"/>
                <w:lang w:val="en-US" w:eastAsia="zh-CN"/>
              </w:rPr>
              <w:t>.</w:t>
            </w:r>
          </w:p>
        </w:tc>
      </w:tr>
      <w:tr w14:paraId="5DE563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76" w:hRule="atLeast"/>
          <w:jc w:val="center"/>
        </w:trPr>
        <w:tc>
          <w:tcPr>
            <w:tcW w:w="1491" w:type="dxa"/>
            <w:tcBorders>
              <w:top w:val="single" w:color="auto" w:sz="4" w:space="0"/>
              <w:left w:val="single" w:color="auto" w:sz="4" w:space="0"/>
              <w:right w:val="single" w:color="auto" w:sz="4" w:space="0"/>
            </w:tcBorders>
            <w:noWrap w:val="0"/>
            <w:vAlign w:val="center"/>
          </w:tcPr>
          <w:p w14:paraId="54BA0B96">
            <w:pPr>
              <w:pStyle w:val="5"/>
              <w:wordWrap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企业</w:t>
            </w:r>
          </w:p>
          <w:p w14:paraId="55EAD882">
            <w:pPr>
              <w:pStyle w:val="5"/>
              <w:wordWrap w:val="0"/>
              <w:spacing w:line="400" w:lineRule="exact"/>
              <w:jc w:val="center"/>
              <w:rPr>
                <w:rFonts w:hint="eastAsia" w:ascii="宋体" w:hAnsi="宋体" w:eastAsia="宋体" w:cs="宋体"/>
                <w:strike/>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财务状况</w:t>
            </w:r>
          </w:p>
          <w:p w14:paraId="5E5D640B">
            <w:pPr>
              <w:pStyle w:val="5"/>
              <w:wordWrap w:val="0"/>
              <w:spacing w:line="400" w:lineRule="exact"/>
              <w:jc w:val="center"/>
              <w:rPr>
                <w:rFonts w:hint="eastAsia" w:ascii="宋体" w:hAnsi="宋体" w:eastAsia="宋体" w:cs="宋体"/>
                <w:snapToGrid w:val="0"/>
                <w:color w:val="auto"/>
                <w:kern w:val="0"/>
                <w:sz w:val="22"/>
                <w:szCs w:val="22"/>
                <w:highlight w:val="none"/>
                <w:lang w:val="en-US" w:eastAsia="zh-CN" w:bidi="ar-SA"/>
              </w:rPr>
            </w:pPr>
            <w:r>
              <w:rPr>
                <w:rFonts w:hint="eastAsia" w:ascii="宋体" w:hAnsi="宋体" w:eastAsia="宋体" w:cs="宋体"/>
                <w:snapToGrid w:val="0"/>
                <w:color w:val="auto"/>
                <w:kern w:val="0"/>
                <w:sz w:val="22"/>
                <w:szCs w:val="22"/>
                <w:highlight w:val="none"/>
              </w:rPr>
              <w:t>（</w:t>
            </w:r>
            <w:r>
              <w:rPr>
                <w:rFonts w:hint="eastAsia" w:ascii="宋体" w:hAnsi="宋体" w:eastAsia="宋体" w:cs="宋体"/>
                <w:b/>
                <w:bCs/>
                <w:snapToGrid w:val="0"/>
                <w:color w:val="auto"/>
                <w:kern w:val="0"/>
                <w:sz w:val="22"/>
                <w:szCs w:val="22"/>
                <w:highlight w:val="none"/>
              </w:rPr>
              <w:t>9</w:t>
            </w:r>
            <w:r>
              <w:rPr>
                <w:rFonts w:hint="eastAsia" w:ascii="宋体" w:hAnsi="宋体" w:eastAsia="宋体" w:cs="宋体"/>
                <w:snapToGrid w:val="0"/>
                <w:color w:val="auto"/>
                <w:kern w:val="0"/>
                <w:sz w:val="22"/>
                <w:szCs w:val="22"/>
                <w:highlight w:val="none"/>
              </w:rPr>
              <w:t>分）</w:t>
            </w:r>
          </w:p>
        </w:tc>
        <w:tc>
          <w:tcPr>
            <w:tcW w:w="3868" w:type="dxa"/>
            <w:gridSpan w:val="2"/>
            <w:tcBorders>
              <w:top w:val="single" w:color="auto" w:sz="4" w:space="0"/>
              <w:left w:val="single" w:color="auto" w:sz="4" w:space="0"/>
              <w:bottom w:val="single" w:color="auto" w:sz="4" w:space="0"/>
              <w:right w:val="single" w:color="auto" w:sz="4" w:space="0"/>
            </w:tcBorders>
            <w:noWrap w:val="0"/>
            <w:vAlign w:val="center"/>
          </w:tcPr>
          <w:p w14:paraId="1080F280">
            <w:pPr>
              <w:wordWrap w:val="0"/>
              <w:adjustRightInd w:val="0"/>
              <w:snapToGrid w:val="0"/>
              <w:spacing w:line="400" w:lineRule="exact"/>
              <w:jc w:val="lef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1.提供不少于</w:t>
            </w:r>
            <w:r>
              <w:rPr>
                <w:rFonts w:hint="eastAsia" w:ascii="宋体" w:hAnsi="宋体" w:eastAsia="宋体" w:cs="宋体"/>
                <w:snapToGrid w:val="0"/>
                <w:color w:val="000000" w:themeColor="text1"/>
                <w:kern w:val="0"/>
                <w:sz w:val="22"/>
                <w:szCs w:val="22"/>
                <w:highlight w:val="none"/>
                <w:u w:val="single"/>
                <w:lang w:val="en-US" w:eastAsia="zh-CN"/>
                <w14:textFill>
                  <w14:solidFill>
                    <w14:schemeClr w14:val="tx1"/>
                  </w14:solidFill>
                </w14:textFill>
              </w:rPr>
              <w:t>200</w:t>
            </w:r>
            <w:r>
              <w:rPr>
                <w:rFonts w:hint="eastAsia" w:ascii="宋体" w:hAnsi="宋体" w:eastAsia="宋体" w:cs="宋体"/>
                <w:snapToGrid w:val="0"/>
                <w:color w:val="auto"/>
                <w:kern w:val="0"/>
                <w:sz w:val="22"/>
                <w:szCs w:val="22"/>
                <w:highlight w:val="none"/>
              </w:rPr>
              <w:t>万元银行授信证明的，得</w:t>
            </w:r>
            <w:r>
              <w:rPr>
                <w:rFonts w:hint="eastAsia" w:ascii="宋体" w:hAnsi="宋体" w:eastAsia="宋体" w:cs="宋体"/>
                <w:snapToGrid w:val="0"/>
                <w:color w:val="auto"/>
                <w:kern w:val="0"/>
                <w:sz w:val="22"/>
                <w:szCs w:val="22"/>
                <w:highlight w:val="none"/>
                <w:u w:val="single"/>
              </w:rPr>
              <w:t>4</w:t>
            </w:r>
            <w:r>
              <w:rPr>
                <w:rFonts w:hint="eastAsia" w:ascii="宋体" w:hAnsi="宋体" w:eastAsia="宋体" w:cs="宋体"/>
                <w:snapToGrid w:val="0"/>
                <w:color w:val="auto"/>
                <w:kern w:val="0"/>
                <w:sz w:val="22"/>
                <w:szCs w:val="22"/>
                <w:highlight w:val="none"/>
              </w:rPr>
              <w:t>分。</w:t>
            </w:r>
          </w:p>
          <w:p w14:paraId="1A7D7966">
            <w:pPr>
              <w:wordWrap w:val="0"/>
              <w:adjustRightInd w:val="0"/>
              <w:snapToGrid w:val="0"/>
              <w:spacing w:line="400" w:lineRule="exact"/>
              <w:jc w:val="lef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2.提供投标人基本账户在本项目招标公告发布之日起至投标截止时间期间出现过至少连续3日不少于</w:t>
            </w:r>
            <w:r>
              <w:rPr>
                <w:rFonts w:hint="eastAsia" w:ascii="宋体" w:hAnsi="宋体" w:eastAsia="宋体" w:cs="宋体"/>
                <w:snapToGrid w:val="0"/>
                <w:color w:val="auto"/>
                <w:kern w:val="0"/>
                <w:sz w:val="22"/>
                <w:szCs w:val="22"/>
                <w:highlight w:val="none"/>
                <w:u w:val="single"/>
                <w:lang w:val="en-US" w:eastAsia="zh-CN"/>
              </w:rPr>
              <w:t>200</w:t>
            </w:r>
            <w:r>
              <w:rPr>
                <w:rFonts w:hint="eastAsia" w:ascii="宋体" w:hAnsi="宋体" w:eastAsia="宋体" w:cs="宋体"/>
                <w:snapToGrid w:val="0"/>
                <w:color w:val="auto"/>
                <w:kern w:val="0"/>
                <w:sz w:val="22"/>
                <w:szCs w:val="22"/>
                <w:highlight w:val="none"/>
              </w:rPr>
              <w:t>万元存款余额资金流水证明的，得</w:t>
            </w:r>
            <w:r>
              <w:rPr>
                <w:rFonts w:hint="eastAsia" w:ascii="宋体" w:hAnsi="宋体" w:eastAsia="宋体" w:cs="宋体"/>
                <w:snapToGrid w:val="0"/>
                <w:color w:val="auto"/>
                <w:kern w:val="0"/>
                <w:sz w:val="22"/>
                <w:szCs w:val="22"/>
                <w:highlight w:val="none"/>
                <w:u w:val="single"/>
              </w:rPr>
              <w:t>5</w:t>
            </w:r>
            <w:r>
              <w:rPr>
                <w:rFonts w:hint="eastAsia" w:ascii="宋体" w:hAnsi="宋体" w:eastAsia="宋体" w:cs="宋体"/>
                <w:snapToGrid w:val="0"/>
                <w:color w:val="auto"/>
                <w:kern w:val="0"/>
                <w:sz w:val="22"/>
                <w:szCs w:val="22"/>
                <w:highlight w:val="none"/>
              </w:rPr>
              <w:t>分。</w:t>
            </w:r>
          </w:p>
          <w:p w14:paraId="7A67EB39">
            <w:pPr>
              <w:wordWrap w:val="0"/>
              <w:adjustRightInd w:val="0"/>
              <w:snapToGrid w:val="0"/>
              <w:spacing w:line="400" w:lineRule="exact"/>
              <w:jc w:val="left"/>
              <w:rPr>
                <w:rFonts w:hint="eastAsia" w:ascii="宋体" w:hAnsi="宋体" w:eastAsia="宋体" w:cs="宋体"/>
                <w:snapToGrid w:val="0"/>
                <w:color w:val="auto"/>
                <w:kern w:val="0"/>
                <w:sz w:val="22"/>
                <w:szCs w:val="22"/>
                <w:highlight w:val="none"/>
                <w:lang w:val="en-US" w:eastAsia="zh-CN" w:bidi="ar-SA"/>
              </w:rPr>
            </w:pPr>
            <w:r>
              <w:rPr>
                <w:rFonts w:hint="eastAsia" w:ascii="宋体" w:hAnsi="宋体" w:eastAsia="宋体" w:cs="宋体"/>
                <w:snapToGrid w:val="0"/>
                <w:color w:val="auto"/>
                <w:kern w:val="0"/>
                <w:sz w:val="22"/>
                <w:szCs w:val="22"/>
                <w:highlight w:val="none"/>
              </w:rPr>
              <w:t>3.未提供以上证明的，不予计分。</w:t>
            </w:r>
          </w:p>
        </w:tc>
        <w:tc>
          <w:tcPr>
            <w:tcW w:w="5065" w:type="dxa"/>
            <w:tcBorders>
              <w:top w:val="single" w:color="auto" w:sz="4" w:space="0"/>
              <w:left w:val="single" w:color="auto" w:sz="4" w:space="0"/>
              <w:bottom w:val="single" w:color="auto" w:sz="4" w:space="0"/>
              <w:right w:val="single" w:color="auto" w:sz="4" w:space="0"/>
            </w:tcBorders>
            <w:noWrap w:val="0"/>
            <w:vAlign w:val="center"/>
          </w:tcPr>
          <w:p w14:paraId="55F7E6DC">
            <w:pPr>
              <w:keepNext w:val="0"/>
              <w:keepLines w:val="0"/>
              <w:pageBreakBefore w:val="0"/>
              <w:widowControl w:val="0"/>
              <w:kinsoku/>
              <w:wordWrap/>
              <w:overflowPunct/>
              <w:topLinePunct w:val="0"/>
              <w:autoSpaceDE/>
              <w:autoSpaceDN/>
              <w:bidi w:val="0"/>
              <w:adjustRightInd/>
              <w:snapToGrid/>
              <w:spacing w:line="400" w:lineRule="atLeast"/>
              <w:textAlignment w:val="auto"/>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1.需附在有效期内的有关证明彩色扫描件</w:t>
            </w:r>
            <w:r>
              <w:rPr>
                <w:rFonts w:hint="eastAsia" w:asciiTheme="minorEastAsia" w:hAnsiTheme="minorEastAsia" w:eastAsiaTheme="minorEastAsia" w:cstheme="minorEastAsia"/>
                <w:color w:val="auto"/>
                <w:sz w:val="22"/>
                <w:szCs w:val="22"/>
                <w:highlight w:val="none"/>
                <w:lang w:val="en-US" w:eastAsia="zh-CN"/>
              </w:rPr>
              <w:t>或打印件</w:t>
            </w:r>
            <w:r>
              <w:rPr>
                <w:rFonts w:hint="eastAsia" w:asciiTheme="minorEastAsia" w:hAnsiTheme="minorEastAsia" w:eastAsiaTheme="minorEastAsia" w:cstheme="minorEastAsia"/>
                <w:b/>
                <w:bCs/>
                <w:color w:val="auto"/>
                <w:sz w:val="22"/>
                <w:szCs w:val="22"/>
                <w:highlight w:val="none"/>
              </w:rPr>
              <w:t>。</w:t>
            </w:r>
          </w:p>
          <w:p w14:paraId="511F3806">
            <w:pPr>
              <w:keepNext w:val="0"/>
              <w:keepLines w:val="0"/>
              <w:pageBreakBefore w:val="0"/>
              <w:widowControl w:val="0"/>
              <w:kinsoku/>
              <w:wordWrap/>
              <w:overflowPunct/>
              <w:topLinePunct w:val="0"/>
              <w:autoSpaceDE/>
              <w:autoSpaceDN/>
              <w:bidi w:val="0"/>
              <w:adjustRightInd/>
              <w:snapToGrid/>
              <w:spacing w:line="400" w:lineRule="atLeast"/>
              <w:textAlignment w:val="auto"/>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2.银行授信证明有以下情形之一的，视为无效，不予计分：</w:t>
            </w:r>
          </w:p>
          <w:p w14:paraId="6C3F96C5">
            <w:pPr>
              <w:keepNext w:val="0"/>
              <w:keepLines w:val="0"/>
              <w:pageBreakBefore w:val="0"/>
              <w:widowControl w:val="0"/>
              <w:kinsoku/>
              <w:wordWrap/>
              <w:overflowPunct/>
              <w:topLinePunct w:val="0"/>
              <w:autoSpaceDE/>
              <w:autoSpaceDN/>
              <w:bidi w:val="0"/>
              <w:adjustRightInd/>
              <w:snapToGrid/>
              <w:spacing w:line="400" w:lineRule="atLeast"/>
              <w:textAlignment w:val="auto"/>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①授信证明不在有效期内的；</w:t>
            </w:r>
          </w:p>
          <w:p w14:paraId="644E7569">
            <w:pPr>
              <w:keepNext w:val="0"/>
              <w:keepLines w:val="0"/>
              <w:pageBreakBefore w:val="0"/>
              <w:widowControl w:val="0"/>
              <w:kinsoku/>
              <w:wordWrap/>
              <w:overflowPunct/>
              <w:topLinePunct w:val="0"/>
              <w:autoSpaceDE/>
              <w:autoSpaceDN/>
              <w:bidi w:val="0"/>
              <w:adjustRightInd/>
              <w:snapToGrid/>
              <w:spacing w:line="400" w:lineRule="atLeast"/>
              <w:textAlignment w:val="auto"/>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②授信额度不符合要求的；</w:t>
            </w:r>
          </w:p>
          <w:p w14:paraId="693AA184">
            <w:pPr>
              <w:keepNext w:val="0"/>
              <w:keepLines w:val="0"/>
              <w:pageBreakBefore w:val="0"/>
              <w:widowControl w:val="0"/>
              <w:kinsoku/>
              <w:wordWrap/>
              <w:overflowPunct/>
              <w:topLinePunct w:val="0"/>
              <w:autoSpaceDE/>
              <w:autoSpaceDN/>
              <w:bidi w:val="0"/>
              <w:adjustRightInd/>
              <w:snapToGrid/>
              <w:spacing w:line="400" w:lineRule="atLeast"/>
              <w:textAlignment w:val="auto"/>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3.存款余额资金流水证明有以下情形之一的，视为无效，不予计分：</w:t>
            </w:r>
          </w:p>
          <w:p w14:paraId="0A36B410">
            <w:pPr>
              <w:keepNext w:val="0"/>
              <w:keepLines w:val="0"/>
              <w:pageBreakBefore w:val="0"/>
              <w:widowControl w:val="0"/>
              <w:kinsoku/>
              <w:wordWrap/>
              <w:overflowPunct/>
              <w:topLinePunct w:val="0"/>
              <w:autoSpaceDE/>
              <w:autoSpaceDN/>
              <w:bidi w:val="0"/>
              <w:adjustRightInd/>
              <w:snapToGrid/>
              <w:spacing w:line="400" w:lineRule="atLeast"/>
              <w:textAlignment w:val="auto"/>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①存款账户不是基本账户的；</w:t>
            </w:r>
          </w:p>
          <w:p w14:paraId="2FE91421">
            <w:pPr>
              <w:keepNext w:val="0"/>
              <w:keepLines w:val="0"/>
              <w:pageBreakBefore w:val="0"/>
              <w:widowControl w:val="0"/>
              <w:kinsoku/>
              <w:wordWrap/>
              <w:overflowPunct/>
              <w:topLinePunct w:val="0"/>
              <w:autoSpaceDE/>
              <w:autoSpaceDN/>
              <w:bidi w:val="0"/>
              <w:adjustRightInd/>
              <w:snapToGrid/>
              <w:spacing w:line="400" w:lineRule="atLeast"/>
              <w:textAlignment w:val="auto"/>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②存款时间不符合要求的；</w:t>
            </w:r>
          </w:p>
          <w:p w14:paraId="4587CED3">
            <w:pPr>
              <w:keepNext w:val="0"/>
              <w:keepLines w:val="0"/>
              <w:pageBreakBefore w:val="0"/>
              <w:widowControl w:val="0"/>
              <w:kinsoku/>
              <w:wordWrap/>
              <w:overflowPunct/>
              <w:topLinePunct w:val="0"/>
              <w:autoSpaceDE/>
              <w:autoSpaceDN/>
              <w:bidi w:val="0"/>
              <w:adjustRightInd/>
              <w:snapToGrid/>
              <w:spacing w:line="400" w:lineRule="atLeast"/>
              <w:textAlignment w:val="auto"/>
              <w:rPr>
                <w:rFonts w:hint="eastAsia" w:ascii="宋体" w:hAnsi="宋体" w:eastAsia="宋体" w:cs="宋体"/>
                <w:snapToGrid w:val="0"/>
                <w:color w:val="auto"/>
                <w:kern w:val="0"/>
                <w:sz w:val="22"/>
                <w:szCs w:val="22"/>
                <w:highlight w:val="none"/>
                <w:lang w:val="en-US" w:eastAsia="zh-CN"/>
              </w:rPr>
            </w:pPr>
            <w:r>
              <w:rPr>
                <w:rFonts w:hint="eastAsia" w:asciiTheme="minorEastAsia" w:hAnsiTheme="minorEastAsia" w:eastAsiaTheme="minorEastAsia" w:cstheme="minorEastAsia"/>
                <w:color w:val="auto"/>
                <w:sz w:val="22"/>
                <w:szCs w:val="22"/>
                <w:highlight w:val="none"/>
              </w:rPr>
              <w:t>③存款额度不符合要求的；</w:t>
            </w:r>
          </w:p>
        </w:tc>
      </w:tr>
      <w:tr w14:paraId="083F53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68" w:hRule="atLeast"/>
          <w:jc w:val="center"/>
        </w:trPr>
        <w:tc>
          <w:tcPr>
            <w:tcW w:w="1491" w:type="dxa"/>
            <w:vMerge w:val="restart"/>
            <w:tcBorders>
              <w:top w:val="single" w:color="auto" w:sz="4" w:space="0"/>
              <w:left w:val="single" w:color="auto" w:sz="4" w:space="0"/>
              <w:right w:val="single" w:color="auto" w:sz="4" w:space="0"/>
            </w:tcBorders>
            <w:noWrap w:val="0"/>
            <w:vAlign w:val="center"/>
          </w:tcPr>
          <w:p w14:paraId="019BA896">
            <w:pPr>
              <w:pStyle w:val="5"/>
              <w:keepNext w:val="0"/>
              <w:keepLines w:val="0"/>
              <w:pageBreakBefore w:val="0"/>
              <w:widowControl w:val="0"/>
              <w:kinsoku/>
              <w:wordWrap w:val="0"/>
              <w:overflowPunct/>
              <w:topLinePunct w:val="0"/>
              <w:autoSpaceDE/>
              <w:autoSpaceDN/>
              <w:bidi w:val="0"/>
              <w:adjustRightInd w:val="0"/>
              <w:snapToGrid w:val="0"/>
              <w:spacing w:after="0" w:line="288" w:lineRule="auto"/>
              <w:jc w:val="center"/>
              <w:textAlignment w:val="auto"/>
              <w:rPr>
                <w:rFonts w:hint="eastAsia" w:ascii="宋体" w:hAnsi="宋体" w:eastAsia="宋体" w:cs="宋体"/>
                <w:strike w:val="0"/>
                <w:dstrike w:val="0"/>
                <w:color w:val="auto"/>
                <w:sz w:val="22"/>
                <w:szCs w:val="22"/>
                <w:highlight w:val="none"/>
              </w:rPr>
            </w:pPr>
            <w:r>
              <w:rPr>
                <w:rFonts w:hint="eastAsia" w:ascii="宋体" w:hAnsi="宋体" w:eastAsia="宋体" w:cs="宋体"/>
                <w:strike w:val="0"/>
                <w:dstrike w:val="0"/>
                <w:color w:val="auto"/>
                <w:sz w:val="22"/>
                <w:szCs w:val="22"/>
                <w:highlight w:val="none"/>
              </w:rPr>
              <w:t>招标人</w:t>
            </w:r>
          </w:p>
          <w:p w14:paraId="7C6AD12A">
            <w:pPr>
              <w:pStyle w:val="5"/>
              <w:keepNext w:val="0"/>
              <w:keepLines w:val="0"/>
              <w:pageBreakBefore w:val="0"/>
              <w:widowControl w:val="0"/>
              <w:kinsoku/>
              <w:wordWrap w:val="0"/>
              <w:overflowPunct/>
              <w:topLinePunct w:val="0"/>
              <w:autoSpaceDE/>
              <w:autoSpaceDN/>
              <w:bidi w:val="0"/>
              <w:adjustRightInd w:val="0"/>
              <w:snapToGrid w:val="0"/>
              <w:spacing w:after="0" w:line="288" w:lineRule="auto"/>
              <w:jc w:val="center"/>
              <w:textAlignment w:val="auto"/>
              <w:rPr>
                <w:rFonts w:hint="eastAsia" w:ascii="宋体" w:hAnsi="宋体" w:eastAsia="宋体" w:cs="宋体"/>
                <w:strike w:val="0"/>
                <w:dstrike w:val="0"/>
                <w:color w:val="auto"/>
                <w:sz w:val="22"/>
                <w:szCs w:val="22"/>
                <w:highlight w:val="none"/>
              </w:rPr>
            </w:pPr>
            <w:r>
              <w:rPr>
                <w:rFonts w:hint="eastAsia" w:ascii="宋体" w:hAnsi="宋体" w:eastAsia="宋体" w:cs="宋体"/>
                <w:strike w:val="0"/>
                <w:dstrike w:val="0"/>
                <w:color w:val="auto"/>
                <w:sz w:val="22"/>
                <w:szCs w:val="22"/>
                <w:highlight w:val="none"/>
              </w:rPr>
              <w:t>自选项</w:t>
            </w:r>
          </w:p>
          <w:p w14:paraId="1892ED3A">
            <w:pPr>
              <w:pStyle w:val="5"/>
              <w:keepNext w:val="0"/>
              <w:keepLines w:val="0"/>
              <w:pageBreakBefore w:val="0"/>
              <w:widowControl w:val="0"/>
              <w:kinsoku/>
              <w:wordWrap w:val="0"/>
              <w:overflowPunct/>
              <w:topLinePunct w:val="0"/>
              <w:autoSpaceDE/>
              <w:autoSpaceDN/>
              <w:bidi w:val="0"/>
              <w:adjustRightInd w:val="0"/>
              <w:snapToGrid w:val="0"/>
              <w:spacing w:after="0" w:line="288" w:lineRule="auto"/>
              <w:jc w:val="center"/>
              <w:textAlignment w:val="auto"/>
              <w:rPr>
                <w:rFonts w:hint="eastAsia" w:ascii="宋体" w:hAnsi="宋体" w:eastAsia="宋体" w:cs="宋体"/>
                <w:snapToGrid w:val="0"/>
                <w:color w:val="auto"/>
                <w:kern w:val="0"/>
                <w:sz w:val="22"/>
                <w:szCs w:val="22"/>
                <w:highlight w:val="none"/>
                <w:lang w:val="en-US" w:eastAsia="zh-CN"/>
              </w:rPr>
            </w:pPr>
            <w:r>
              <w:rPr>
                <w:rFonts w:hint="eastAsia" w:ascii="宋体" w:hAnsi="宋体" w:eastAsia="宋体" w:cs="宋体"/>
                <w:strike w:val="0"/>
                <w:dstrike w:val="0"/>
                <w:color w:val="auto"/>
                <w:sz w:val="22"/>
                <w:szCs w:val="22"/>
                <w:highlight w:val="none"/>
              </w:rPr>
              <w:t>（</w:t>
            </w:r>
            <w:r>
              <w:rPr>
                <w:rFonts w:hint="eastAsia" w:ascii="宋体" w:hAnsi="宋体" w:eastAsia="宋体" w:cs="宋体"/>
                <w:strike w:val="0"/>
                <w:dstrike w:val="0"/>
                <w:color w:val="auto"/>
                <w:sz w:val="22"/>
                <w:szCs w:val="22"/>
                <w:highlight w:val="none"/>
                <w:lang w:val="en-US" w:eastAsia="zh-CN"/>
              </w:rPr>
              <w:t>25</w:t>
            </w:r>
            <w:r>
              <w:rPr>
                <w:rFonts w:hint="eastAsia" w:ascii="宋体" w:hAnsi="宋体" w:eastAsia="宋体" w:cs="宋体"/>
                <w:strike w:val="0"/>
                <w:dstrike w:val="0"/>
                <w:color w:val="auto"/>
                <w:sz w:val="22"/>
                <w:szCs w:val="22"/>
                <w:highlight w:val="none"/>
              </w:rPr>
              <w:t>分</w:t>
            </w:r>
            <w:r>
              <w:rPr>
                <w:rFonts w:hint="eastAsia" w:ascii="宋体" w:hAnsi="宋体" w:eastAsia="宋体" w:cs="宋体"/>
                <w:strike w:val="0"/>
                <w:dstrike w:val="0"/>
                <w:color w:val="auto"/>
                <w:sz w:val="22"/>
                <w:szCs w:val="22"/>
                <w:highlight w:val="none"/>
                <w:lang w:eastAsia="zh-CN"/>
              </w:rPr>
              <w:t>）</w:t>
            </w:r>
          </w:p>
        </w:tc>
        <w:tc>
          <w:tcPr>
            <w:tcW w:w="3868"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1C038476">
            <w:pPr>
              <w:pStyle w:val="5"/>
              <w:wordWrap w:val="0"/>
              <w:spacing w:line="276" w:lineRule="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1．企业近年来（202</w:t>
            </w:r>
            <w:r>
              <w:rPr>
                <w:rFonts w:hint="eastAsia" w:ascii="宋体" w:hAnsi="宋体" w:eastAsia="宋体" w:cs="宋体"/>
                <w:snapToGrid w:val="0"/>
                <w:color w:val="auto"/>
                <w:kern w:val="0"/>
                <w:sz w:val="22"/>
                <w:szCs w:val="22"/>
                <w:highlight w:val="none"/>
                <w:lang w:val="en-US" w:eastAsia="zh-CN"/>
              </w:rPr>
              <w:t>3</w:t>
            </w:r>
            <w:r>
              <w:rPr>
                <w:rFonts w:hint="eastAsia" w:ascii="宋体" w:hAnsi="宋体" w:eastAsia="宋体" w:cs="宋体"/>
                <w:snapToGrid w:val="0"/>
                <w:color w:val="auto"/>
                <w:kern w:val="0"/>
                <w:sz w:val="22"/>
                <w:szCs w:val="22"/>
                <w:highlight w:val="none"/>
              </w:rPr>
              <w:t>年1月1日至今）获得过</w:t>
            </w:r>
            <w:r>
              <w:rPr>
                <w:rFonts w:hint="eastAsia" w:ascii="宋体" w:hAnsi="宋体" w:eastAsia="宋体" w:cs="宋体"/>
                <w:snapToGrid w:val="0"/>
                <w:color w:val="auto"/>
                <w:kern w:val="0"/>
                <w:sz w:val="22"/>
                <w:szCs w:val="22"/>
                <w:highlight w:val="none"/>
                <w:lang w:eastAsia="zh-CN"/>
              </w:rPr>
              <w:t>县（市、区）级行政主管部门或人民政府或</w:t>
            </w:r>
            <w:r>
              <w:rPr>
                <w:rFonts w:hint="eastAsia" w:ascii="宋体" w:hAnsi="宋体" w:eastAsia="宋体" w:cs="宋体"/>
                <w:snapToGrid w:val="0"/>
                <w:color w:val="auto"/>
                <w:kern w:val="0"/>
                <w:sz w:val="22"/>
                <w:szCs w:val="22"/>
                <w:highlight w:val="none"/>
              </w:rPr>
              <w:t>人民武装部颁发的“民兵建设先进企业”证书的得</w:t>
            </w:r>
            <w:r>
              <w:rPr>
                <w:rFonts w:hint="eastAsia" w:ascii="宋体" w:hAnsi="宋体" w:eastAsia="宋体" w:cs="宋体"/>
                <w:snapToGrid w:val="0"/>
                <w:color w:val="auto"/>
                <w:kern w:val="0"/>
                <w:sz w:val="22"/>
                <w:szCs w:val="22"/>
                <w:highlight w:val="none"/>
                <w:u w:val="single"/>
              </w:rPr>
              <w:t xml:space="preserve"> 5</w:t>
            </w:r>
            <w:r>
              <w:rPr>
                <w:rFonts w:hint="eastAsia" w:ascii="宋体" w:hAnsi="宋体" w:eastAsia="宋体" w:cs="宋体"/>
                <w:snapToGrid w:val="0"/>
                <w:color w:val="auto"/>
                <w:kern w:val="0"/>
                <w:sz w:val="22"/>
                <w:szCs w:val="22"/>
                <w:highlight w:val="none"/>
              </w:rPr>
              <w:t>分；</w:t>
            </w:r>
          </w:p>
          <w:p w14:paraId="5667C035">
            <w:pPr>
              <w:pStyle w:val="5"/>
              <w:wordWrap w:val="0"/>
              <w:spacing w:line="276" w:lineRule="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2．其他情形的，不予计分。</w:t>
            </w:r>
          </w:p>
          <w:p w14:paraId="38A5FF54">
            <w:pPr>
              <w:pStyle w:val="5"/>
              <w:wordWrap w:val="0"/>
              <w:spacing w:line="276" w:lineRule="auto"/>
              <w:rPr>
                <w:rFonts w:hint="eastAsia" w:ascii="宋体" w:hAnsi="宋体" w:eastAsia="宋体" w:cs="宋体"/>
                <w:snapToGrid w:val="0"/>
                <w:color w:val="auto"/>
                <w:kern w:val="0"/>
                <w:sz w:val="22"/>
                <w:szCs w:val="22"/>
                <w:highlight w:val="none"/>
                <w:lang w:val="en-US" w:eastAsia="zh-CN" w:bidi="ar-SA"/>
              </w:rPr>
            </w:pPr>
            <w:r>
              <w:rPr>
                <w:rFonts w:hint="eastAsia" w:ascii="宋体" w:hAnsi="宋体" w:eastAsia="宋体" w:cs="宋体"/>
                <w:snapToGrid w:val="0"/>
                <w:color w:val="auto"/>
                <w:kern w:val="0"/>
                <w:sz w:val="22"/>
                <w:szCs w:val="22"/>
                <w:highlight w:val="none"/>
              </w:rPr>
              <w:t xml:space="preserve">说明：本项最高得5分。 </w:t>
            </w:r>
          </w:p>
        </w:tc>
        <w:tc>
          <w:tcPr>
            <w:tcW w:w="506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A1244D7">
            <w:pPr>
              <w:wordWrap w:val="0"/>
              <w:adjustRightInd w:val="0"/>
              <w:snapToGrid w:val="0"/>
              <w:spacing w:line="240" w:lineRule="auto"/>
              <w:rPr>
                <w:rFonts w:hint="eastAsia" w:asciiTheme="minorEastAsia" w:hAnsiTheme="minorEastAsia" w:eastAsiaTheme="minorEastAsia" w:cstheme="minorEastAsia"/>
                <w:b/>
                <w:bCs/>
                <w:color w:val="auto"/>
                <w:sz w:val="22"/>
                <w:szCs w:val="22"/>
                <w:highlight w:val="none"/>
              </w:rPr>
            </w:pPr>
            <w:r>
              <w:rPr>
                <w:rFonts w:hint="eastAsia" w:asciiTheme="minorEastAsia" w:hAnsiTheme="minorEastAsia" w:eastAsiaTheme="minorEastAsia" w:cstheme="minorEastAsia"/>
                <w:color w:val="auto"/>
                <w:sz w:val="22"/>
                <w:szCs w:val="22"/>
                <w:highlight w:val="none"/>
              </w:rPr>
              <w:t>1．须提供有关证书彩色扫描件，</w:t>
            </w:r>
            <w:r>
              <w:rPr>
                <w:rFonts w:hint="eastAsia" w:asciiTheme="minorEastAsia" w:hAnsiTheme="minorEastAsia" w:eastAsiaTheme="minorEastAsia" w:cstheme="minorEastAsia"/>
                <w:b/>
                <w:bCs/>
                <w:color w:val="auto"/>
                <w:sz w:val="22"/>
                <w:szCs w:val="22"/>
                <w:highlight w:val="none"/>
              </w:rPr>
              <w:t>同时提供原件供核对（证书为电子证书的除外）。</w:t>
            </w:r>
          </w:p>
          <w:p w14:paraId="20B20FA4">
            <w:pPr>
              <w:wordWrap w:val="0"/>
              <w:adjustRightInd w:val="0"/>
              <w:snapToGrid w:val="0"/>
              <w:spacing w:line="240" w:lineRule="auto"/>
              <w:rPr>
                <w:rFonts w:hint="eastAsia" w:ascii="宋体" w:hAnsi="宋体" w:eastAsia="宋体" w:cs="宋体"/>
                <w:snapToGrid w:val="0"/>
                <w:color w:val="auto"/>
                <w:kern w:val="0"/>
                <w:sz w:val="22"/>
                <w:szCs w:val="22"/>
                <w:highlight w:val="none"/>
                <w:lang w:val="en-US" w:eastAsia="zh-CN" w:bidi="ar-SA"/>
              </w:rPr>
            </w:pPr>
            <w:r>
              <w:rPr>
                <w:rFonts w:hint="eastAsia" w:asciiTheme="minorEastAsia" w:hAnsiTheme="minorEastAsia" w:eastAsiaTheme="minorEastAsia" w:cstheme="minorEastAsia"/>
                <w:color w:val="auto"/>
                <w:sz w:val="22"/>
                <w:szCs w:val="22"/>
                <w:highlight w:val="none"/>
              </w:rPr>
              <w:t>2．未提供原件的，颁发机构、时间不符合要求的，按第 2 项标准处理。</w:t>
            </w:r>
          </w:p>
        </w:tc>
      </w:tr>
      <w:tr w14:paraId="239B4B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60" w:hRule="atLeast"/>
          <w:jc w:val="center"/>
        </w:trPr>
        <w:tc>
          <w:tcPr>
            <w:tcW w:w="1491" w:type="dxa"/>
            <w:vMerge w:val="continue"/>
            <w:tcBorders>
              <w:left w:val="single" w:color="auto" w:sz="4" w:space="0"/>
              <w:right w:val="single" w:color="auto" w:sz="4" w:space="0"/>
            </w:tcBorders>
            <w:noWrap w:val="0"/>
            <w:vAlign w:val="center"/>
          </w:tcPr>
          <w:p w14:paraId="7DF9C02D">
            <w:pPr>
              <w:pStyle w:val="5"/>
              <w:keepNext w:val="0"/>
              <w:keepLines w:val="0"/>
              <w:pageBreakBefore w:val="0"/>
              <w:widowControl w:val="0"/>
              <w:kinsoku/>
              <w:wordWrap w:val="0"/>
              <w:overflowPunct/>
              <w:topLinePunct w:val="0"/>
              <w:autoSpaceDE/>
              <w:autoSpaceDN/>
              <w:bidi w:val="0"/>
              <w:adjustRightInd w:val="0"/>
              <w:snapToGrid w:val="0"/>
              <w:spacing w:after="0" w:line="288" w:lineRule="auto"/>
              <w:jc w:val="center"/>
              <w:textAlignment w:val="auto"/>
              <w:rPr>
                <w:rFonts w:hint="eastAsia" w:ascii="宋体" w:hAnsi="宋体" w:eastAsia="宋体" w:cs="宋体"/>
                <w:snapToGrid w:val="0"/>
                <w:color w:val="auto"/>
                <w:kern w:val="0"/>
                <w:sz w:val="22"/>
                <w:szCs w:val="22"/>
                <w:highlight w:val="none"/>
                <w:lang w:val="en-US" w:eastAsia="zh-CN" w:bidi="ar"/>
              </w:rPr>
            </w:pPr>
          </w:p>
        </w:tc>
        <w:tc>
          <w:tcPr>
            <w:tcW w:w="3868"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438325A1">
            <w:pPr>
              <w:wordWrap w:val="0"/>
              <w:adjustRightInd w:val="0"/>
              <w:snapToGrid w:val="0"/>
              <w:spacing w:line="240" w:lineRule="auto"/>
              <w:rPr>
                <w:rFonts w:hint="eastAsia" w:ascii="宋体" w:hAnsi="宋体" w:eastAsia="宋体" w:cs="宋体"/>
                <w:snapToGrid w:val="0"/>
                <w:color w:val="auto"/>
                <w:kern w:val="0"/>
                <w:sz w:val="22"/>
                <w:szCs w:val="22"/>
                <w:highlight w:val="none"/>
                <w:lang w:val="en-US" w:eastAsia="zh-CN" w:bidi="ar-SA"/>
              </w:rPr>
            </w:pPr>
            <w:r>
              <w:rPr>
                <w:rFonts w:hint="eastAsia" w:asciiTheme="minorEastAsia" w:hAnsiTheme="minorEastAsia" w:eastAsiaTheme="minorEastAsia" w:cstheme="minorEastAsia"/>
                <w:color w:val="auto"/>
                <w:sz w:val="22"/>
                <w:szCs w:val="22"/>
                <w:highlight w:val="none"/>
              </w:rPr>
              <w:t>企业</w:t>
            </w:r>
            <w:r>
              <w:rPr>
                <w:rFonts w:hint="eastAsia" w:asciiTheme="minorEastAsia" w:hAnsiTheme="minorEastAsia" w:eastAsiaTheme="minorEastAsia" w:cstheme="minorEastAsia"/>
                <w:color w:val="auto"/>
                <w:sz w:val="22"/>
                <w:szCs w:val="22"/>
                <w:highlight w:val="none"/>
                <w:lang w:val="en-US" w:eastAsia="zh-CN"/>
              </w:rPr>
              <w:t>2020年度至2025年度连续获得</w:t>
            </w:r>
            <w:r>
              <w:rPr>
                <w:rFonts w:hint="eastAsia" w:asciiTheme="minorEastAsia" w:hAnsiTheme="minorEastAsia" w:eastAsiaTheme="minorEastAsia" w:cstheme="minorEastAsia"/>
                <w:color w:val="auto"/>
                <w:sz w:val="22"/>
                <w:szCs w:val="22"/>
                <w:highlight w:val="none"/>
              </w:rPr>
              <w:t>纳税信用A级纳税人的，得</w:t>
            </w:r>
            <w:r>
              <w:rPr>
                <w:rFonts w:hint="eastAsia" w:asciiTheme="minorEastAsia" w:hAnsiTheme="minorEastAsia" w:eastAsiaTheme="minorEastAsia" w:cstheme="minorEastAsia"/>
                <w:color w:val="auto"/>
                <w:sz w:val="22"/>
                <w:szCs w:val="22"/>
                <w:highlight w:val="none"/>
                <w:u w:val="single"/>
              </w:rPr>
              <w:t>5</w:t>
            </w:r>
            <w:r>
              <w:rPr>
                <w:rFonts w:hint="eastAsia" w:asciiTheme="minorEastAsia" w:hAnsiTheme="minorEastAsia" w:eastAsiaTheme="minorEastAsia" w:cstheme="minorEastAsia"/>
                <w:color w:val="auto"/>
                <w:sz w:val="22"/>
                <w:szCs w:val="22"/>
                <w:highlight w:val="none"/>
              </w:rPr>
              <w:t>分。</w:t>
            </w:r>
          </w:p>
        </w:tc>
        <w:tc>
          <w:tcPr>
            <w:tcW w:w="506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D622055">
            <w:pPr>
              <w:keepNext w:val="0"/>
              <w:keepLines w:val="0"/>
              <w:pageBreakBefore w:val="0"/>
              <w:widowControl w:val="0"/>
              <w:kinsoku/>
              <w:wordWrap/>
              <w:overflowPunct/>
              <w:topLinePunct w:val="0"/>
              <w:autoSpaceDE/>
              <w:autoSpaceDN/>
              <w:bidi w:val="0"/>
              <w:adjustRightInd/>
              <w:snapToGrid/>
              <w:spacing w:line="400" w:lineRule="atLeast"/>
              <w:jc w:val="both"/>
              <w:textAlignment w:val="auto"/>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1.必须提供企业纳税信用A级纳税人证明材料（或证书）及国家税务总局</w:t>
            </w:r>
            <w:r>
              <w:rPr>
                <w:rFonts w:hint="eastAsia" w:asciiTheme="minorEastAsia" w:hAnsiTheme="minorEastAsia" w:eastAsiaTheme="minorEastAsia" w:cstheme="minorEastAsia"/>
                <w:color w:val="auto"/>
                <w:sz w:val="22"/>
                <w:szCs w:val="22"/>
                <w:highlight w:val="none"/>
                <w:lang w:eastAsia="zh-CN"/>
              </w:rPr>
              <w:t>（</w:t>
            </w:r>
            <w:r>
              <w:rPr>
                <w:rFonts w:hint="eastAsia" w:asciiTheme="minorEastAsia" w:hAnsiTheme="minorEastAsia" w:eastAsiaTheme="minorEastAsia" w:cstheme="minorEastAsia"/>
                <w:color w:val="auto"/>
                <w:sz w:val="22"/>
                <w:szCs w:val="22"/>
                <w:highlight w:val="none"/>
                <w:lang w:val="en-US" w:eastAsia="zh-CN"/>
              </w:rPr>
              <w:t>或省级电子税务局</w:t>
            </w:r>
            <w:r>
              <w:rPr>
                <w:rFonts w:hint="eastAsia" w:asciiTheme="minorEastAsia" w:hAnsiTheme="minorEastAsia" w:eastAsiaTheme="minorEastAsia" w:cstheme="minorEastAsia"/>
                <w:color w:val="auto"/>
                <w:sz w:val="22"/>
                <w:szCs w:val="22"/>
                <w:highlight w:val="none"/>
                <w:lang w:eastAsia="zh-CN"/>
              </w:rPr>
              <w:t>）</w:t>
            </w:r>
            <w:r>
              <w:rPr>
                <w:rFonts w:hint="eastAsia" w:asciiTheme="minorEastAsia" w:hAnsiTheme="minorEastAsia" w:eastAsiaTheme="minorEastAsia" w:cstheme="minorEastAsia"/>
                <w:color w:val="auto"/>
                <w:sz w:val="22"/>
                <w:szCs w:val="22"/>
                <w:highlight w:val="none"/>
              </w:rPr>
              <w:t>网上查询截图，否则不得分。</w:t>
            </w:r>
          </w:p>
          <w:p w14:paraId="3EC602F8">
            <w:pPr>
              <w:wordWrap w:val="0"/>
              <w:adjustRightInd w:val="0"/>
              <w:snapToGrid w:val="0"/>
              <w:spacing w:line="240" w:lineRule="auto"/>
              <w:rPr>
                <w:rFonts w:hint="eastAsia" w:ascii="宋体" w:hAnsi="宋体" w:eastAsia="宋体" w:cs="宋体"/>
                <w:snapToGrid w:val="0"/>
                <w:color w:val="auto"/>
                <w:kern w:val="0"/>
                <w:sz w:val="22"/>
                <w:szCs w:val="22"/>
                <w:highlight w:val="none"/>
                <w:lang w:val="en-US" w:eastAsia="zh-CN" w:bidi="ar-SA"/>
              </w:rPr>
            </w:pPr>
            <w:r>
              <w:rPr>
                <w:rFonts w:hint="eastAsia" w:asciiTheme="minorEastAsia" w:hAnsiTheme="minorEastAsia" w:eastAsiaTheme="minorEastAsia" w:cstheme="minorEastAsia"/>
                <w:color w:val="auto"/>
                <w:sz w:val="22"/>
                <w:szCs w:val="22"/>
                <w:highlight w:val="none"/>
              </w:rPr>
              <w:t>2.只计算投标人自身（不计算投标人的分公司、子公司及分支机构）。</w:t>
            </w:r>
          </w:p>
        </w:tc>
      </w:tr>
      <w:tr w14:paraId="2DE5A3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jc w:val="center"/>
        </w:trPr>
        <w:tc>
          <w:tcPr>
            <w:tcW w:w="1491" w:type="dxa"/>
            <w:vMerge w:val="continue"/>
            <w:tcBorders>
              <w:left w:val="single" w:color="auto" w:sz="4" w:space="0"/>
              <w:right w:val="single" w:color="auto" w:sz="4" w:space="0"/>
            </w:tcBorders>
            <w:noWrap w:val="0"/>
            <w:vAlign w:val="center"/>
          </w:tcPr>
          <w:p w14:paraId="15A2A450">
            <w:pPr>
              <w:keepNext w:val="0"/>
              <w:keepLines w:val="0"/>
              <w:pageBreakBefore w:val="0"/>
              <w:widowControl w:val="0"/>
              <w:kinsoku/>
              <w:wordWrap w:val="0"/>
              <w:overflowPunct/>
              <w:topLinePunct w:val="0"/>
              <w:autoSpaceDE/>
              <w:autoSpaceDN/>
              <w:bidi w:val="0"/>
              <w:adjustRightInd w:val="0"/>
              <w:snapToGrid w:val="0"/>
              <w:spacing w:line="288" w:lineRule="auto"/>
              <w:jc w:val="center"/>
              <w:textAlignment w:val="auto"/>
              <w:rPr>
                <w:rFonts w:hint="eastAsia" w:ascii="宋体" w:hAnsi="宋体" w:eastAsia="宋体" w:cs="宋体"/>
                <w:snapToGrid w:val="0"/>
                <w:color w:val="auto"/>
                <w:kern w:val="0"/>
                <w:sz w:val="22"/>
                <w:szCs w:val="22"/>
                <w:highlight w:val="none"/>
                <w:lang w:val="en-US" w:eastAsia="zh-CN"/>
              </w:rPr>
            </w:pPr>
          </w:p>
        </w:tc>
        <w:tc>
          <w:tcPr>
            <w:tcW w:w="3868"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09A3BEDD">
            <w:pPr>
              <w:wordWrap w:val="0"/>
              <w:spacing w:line="360" w:lineRule="auto"/>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投标人从202</w:t>
            </w:r>
            <w:r>
              <w:rPr>
                <w:rFonts w:hint="eastAsia" w:asciiTheme="minorEastAsia" w:hAnsiTheme="minorEastAsia" w:eastAsiaTheme="minorEastAsia" w:cstheme="minorEastAsia"/>
                <w:color w:val="auto"/>
                <w:sz w:val="22"/>
                <w:szCs w:val="22"/>
                <w:highlight w:val="none"/>
                <w:lang w:val="en-US" w:eastAsia="zh-CN"/>
              </w:rPr>
              <w:t>3</w:t>
            </w:r>
            <w:r>
              <w:rPr>
                <w:rFonts w:hint="eastAsia" w:asciiTheme="minorEastAsia" w:hAnsiTheme="minorEastAsia" w:eastAsiaTheme="minorEastAsia" w:cstheme="minorEastAsia"/>
                <w:color w:val="auto"/>
                <w:sz w:val="22"/>
                <w:szCs w:val="22"/>
                <w:highlight w:val="none"/>
              </w:rPr>
              <w:t>年度</w:t>
            </w:r>
            <w:r>
              <w:rPr>
                <w:rFonts w:hint="eastAsia" w:asciiTheme="minorEastAsia" w:hAnsiTheme="minorEastAsia" w:eastAsiaTheme="minorEastAsia" w:cstheme="minorEastAsia"/>
                <w:color w:val="auto"/>
                <w:kern w:val="0"/>
                <w:sz w:val="22"/>
                <w:szCs w:val="22"/>
                <w:highlight w:val="none"/>
              </w:rPr>
              <w:t>~</w:t>
            </w:r>
            <w:r>
              <w:rPr>
                <w:rFonts w:hint="eastAsia" w:asciiTheme="minorEastAsia" w:hAnsiTheme="minorEastAsia" w:eastAsiaTheme="minorEastAsia" w:cstheme="minorEastAsia"/>
                <w:color w:val="auto"/>
                <w:sz w:val="22"/>
                <w:szCs w:val="22"/>
                <w:highlight w:val="none"/>
              </w:rPr>
              <w:t>至今参与了结对帮扶“百千万工程”等典型项目：</w:t>
            </w:r>
          </w:p>
          <w:p w14:paraId="5D74CA3B">
            <w:pPr>
              <w:wordWrap w:val="0"/>
              <w:spacing w:line="360" w:lineRule="auto"/>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lang w:val="en-US" w:eastAsia="zh-CN"/>
              </w:rPr>
              <w:t>1</w:t>
            </w:r>
            <w:r>
              <w:rPr>
                <w:rFonts w:hint="eastAsia" w:asciiTheme="minorEastAsia" w:hAnsiTheme="minorEastAsia" w:eastAsiaTheme="minorEastAsia" w:cstheme="minorEastAsia"/>
                <w:color w:val="auto"/>
                <w:sz w:val="22"/>
                <w:szCs w:val="22"/>
                <w:highlight w:val="none"/>
              </w:rPr>
              <w:t>．纯公益帮扶项目已完工，大于20万元以上的得</w:t>
            </w:r>
            <w:r>
              <w:rPr>
                <w:rFonts w:hint="eastAsia" w:asciiTheme="minorEastAsia" w:hAnsiTheme="minorEastAsia" w:eastAsiaTheme="minorEastAsia" w:cstheme="minorEastAsia"/>
                <w:color w:val="auto"/>
                <w:sz w:val="22"/>
                <w:szCs w:val="22"/>
                <w:highlight w:val="none"/>
                <w:u w:val="single"/>
                <w:lang w:val="en-US" w:eastAsia="zh-CN"/>
              </w:rPr>
              <w:t>5</w:t>
            </w:r>
            <w:r>
              <w:rPr>
                <w:rFonts w:hint="eastAsia" w:asciiTheme="minorEastAsia" w:hAnsiTheme="minorEastAsia" w:eastAsiaTheme="minorEastAsia" w:cstheme="minorEastAsia"/>
                <w:color w:val="auto"/>
                <w:sz w:val="22"/>
                <w:szCs w:val="22"/>
                <w:highlight w:val="none"/>
              </w:rPr>
              <w:t>分；</w:t>
            </w:r>
          </w:p>
          <w:p w14:paraId="3F3FB729">
            <w:pPr>
              <w:wordWrap w:val="0"/>
              <w:spacing w:line="360" w:lineRule="auto"/>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lang w:val="en-US" w:eastAsia="zh-CN"/>
              </w:rPr>
              <w:t>2</w:t>
            </w:r>
            <w:r>
              <w:rPr>
                <w:rFonts w:hint="eastAsia" w:asciiTheme="minorEastAsia" w:hAnsiTheme="minorEastAsia" w:eastAsiaTheme="minorEastAsia" w:cstheme="minorEastAsia"/>
                <w:color w:val="auto"/>
                <w:sz w:val="22"/>
                <w:szCs w:val="22"/>
                <w:highlight w:val="none"/>
              </w:rPr>
              <w:t>．帮扶项目已完工，大于5万元、小于20万元(含20万元)的得</w:t>
            </w:r>
            <w:r>
              <w:rPr>
                <w:rFonts w:hint="eastAsia" w:asciiTheme="minorEastAsia" w:hAnsiTheme="minorEastAsia" w:eastAsiaTheme="minorEastAsia" w:cstheme="minorEastAsia"/>
                <w:color w:val="auto"/>
                <w:sz w:val="22"/>
                <w:szCs w:val="22"/>
                <w:highlight w:val="none"/>
                <w:u w:val="single"/>
                <w:lang w:val="en-US" w:eastAsia="zh-CN"/>
              </w:rPr>
              <w:t>2</w:t>
            </w:r>
            <w:r>
              <w:rPr>
                <w:rFonts w:hint="eastAsia" w:asciiTheme="minorEastAsia" w:hAnsiTheme="minorEastAsia" w:eastAsiaTheme="minorEastAsia" w:cstheme="minorEastAsia"/>
                <w:color w:val="auto"/>
                <w:sz w:val="22"/>
                <w:szCs w:val="22"/>
                <w:highlight w:val="none"/>
              </w:rPr>
              <w:t>分；</w:t>
            </w:r>
          </w:p>
          <w:p w14:paraId="055D4E33">
            <w:pPr>
              <w:wordWrap w:val="0"/>
              <w:spacing w:line="360" w:lineRule="auto"/>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lang w:val="en-US" w:eastAsia="zh-CN"/>
              </w:rPr>
              <w:t>3</w:t>
            </w:r>
            <w:r>
              <w:rPr>
                <w:rFonts w:hint="eastAsia" w:asciiTheme="minorEastAsia" w:hAnsiTheme="minorEastAsia" w:eastAsiaTheme="minorEastAsia" w:cstheme="minorEastAsia"/>
                <w:color w:val="auto"/>
                <w:sz w:val="22"/>
                <w:szCs w:val="22"/>
                <w:highlight w:val="none"/>
              </w:rPr>
              <w:t>.其他不计</w:t>
            </w:r>
          </w:p>
          <w:p w14:paraId="494401F2">
            <w:pPr>
              <w:pStyle w:val="2"/>
              <w:rPr>
                <w:rFonts w:hint="default" w:eastAsiaTheme="minorEastAsia"/>
                <w:highlight w:val="none"/>
                <w:lang w:val="en-US" w:eastAsia="zh-CN"/>
              </w:rPr>
            </w:pPr>
            <w:r>
              <w:rPr>
                <w:rFonts w:hint="eastAsia" w:asciiTheme="minorEastAsia" w:hAnsiTheme="minorEastAsia" w:eastAsiaTheme="minorEastAsia" w:cstheme="minorEastAsia"/>
                <w:color w:val="auto"/>
                <w:sz w:val="22"/>
                <w:szCs w:val="22"/>
                <w:highlight w:val="none"/>
                <w:lang w:val="en-US" w:eastAsia="zh-CN"/>
              </w:rPr>
              <w:t>4</w:t>
            </w:r>
            <w:r>
              <w:rPr>
                <w:rFonts w:hint="eastAsia" w:asciiTheme="minorEastAsia" w:hAnsiTheme="minorEastAsia" w:eastAsiaTheme="minorEastAsia" w:cstheme="minorEastAsia"/>
                <w:b/>
                <w:bCs/>
                <w:color w:val="auto"/>
                <w:sz w:val="22"/>
                <w:szCs w:val="22"/>
                <w:highlight w:val="none"/>
                <w:lang w:val="en-US" w:eastAsia="zh-CN"/>
              </w:rPr>
              <w:t>.本项最高得分5分；</w:t>
            </w:r>
          </w:p>
          <w:p w14:paraId="6575C64B">
            <w:pPr>
              <w:wordWrap w:val="0"/>
              <w:spacing w:line="360" w:lineRule="auto"/>
              <w:rPr>
                <w:rFonts w:hint="eastAsia" w:ascii="宋体" w:hAnsi="宋体" w:eastAsia="宋体" w:cs="宋体"/>
                <w:snapToGrid w:val="0"/>
                <w:color w:val="auto"/>
                <w:kern w:val="0"/>
                <w:sz w:val="22"/>
                <w:szCs w:val="22"/>
                <w:highlight w:val="none"/>
                <w:lang w:val="en-US" w:eastAsia="zh-CN" w:bidi="ar-SA"/>
              </w:rPr>
            </w:pPr>
          </w:p>
        </w:tc>
        <w:tc>
          <w:tcPr>
            <w:tcW w:w="506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B744B6F">
            <w:pPr>
              <w:wordWrap w:val="0"/>
              <w:spacing w:line="360" w:lineRule="auto"/>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1.需提供建设主管部门出具的项目已录入“全省百千万工程”建筑业企业与乡镇结对帮扶项目信息库的证明（</w:t>
            </w:r>
            <w:r>
              <w:rPr>
                <w:rFonts w:hint="eastAsia" w:asciiTheme="minorEastAsia" w:hAnsiTheme="minorEastAsia" w:eastAsiaTheme="minorEastAsia" w:cstheme="minorEastAsia"/>
                <w:color w:val="auto"/>
                <w:kern w:val="0"/>
                <w:sz w:val="22"/>
                <w:szCs w:val="22"/>
                <w:highlight w:val="none"/>
              </w:rPr>
              <w:t>证明开具时间为</w:t>
            </w:r>
            <w:r>
              <w:rPr>
                <w:rFonts w:hint="eastAsia" w:asciiTheme="minorEastAsia" w:hAnsiTheme="minorEastAsia" w:eastAsiaTheme="minorEastAsia" w:cstheme="minorEastAsia"/>
                <w:color w:val="auto"/>
                <w:sz w:val="22"/>
                <w:szCs w:val="22"/>
                <w:highlight w:val="none"/>
              </w:rPr>
              <w:t>从202</w:t>
            </w:r>
            <w:r>
              <w:rPr>
                <w:rFonts w:hint="eastAsia" w:asciiTheme="minorEastAsia" w:hAnsiTheme="minorEastAsia" w:eastAsiaTheme="minorEastAsia" w:cstheme="minorEastAsia"/>
                <w:color w:val="auto"/>
                <w:sz w:val="22"/>
                <w:szCs w:val="22"/>
                <w:highlight w:val="none"/>
                <w:lang w:val="en-US" w:eastAsia="zh-CN"/>
              </w:rPr>
              <w:t>3</w:t>
            </w:r>
            <w:r>
              <w:rPr>
                <w:rFonts w:hint="eastAsia" w:asciiTheme="minorEastAsia" w:hAnsiTheme="minorEastAsia" w:eastAsiaTheme="minorEastAsia" w:cstheme="minorEastAsia"/>
                <w:color w:val="auto"/>
                <w:sz w:val="22"/>
                <w:szCs w:val="22"/>
                <w:highlight w:val="none"/>
              </w:rPr>
              <w:t>年1月1日</w:t>
            </w:r>
            <w:r>
              <w:rPr>
                <w:rFonts w:hint="eastAsia" w:asciiTheme="minorEastAsia" w:hAnsiTheme="minorEastAsia" w:eastAsiaTheme="minorEastAsia" w:cstheme="minorEastAsia"/>
                <w:color w:val="auto"/>
                <w:kern w:val="0"/>
                <w:sz w:val="22"/>
                <w:szCs w:val="22"/>
                <w:highlight w:val="none"/>
              </w:rPr>
              <w:t>~</w:t>
            </w:r>
            <w:r>
              <w:rPr>
                <w:rFonts w:hint="eastAsia" w:asciiTheme="minorEastAsia" w:hAnsiTheme="minorEastAsia" w:eastAsiaTheme="minorEastAsia" w:cstheme="minorEastAsia"/>
                <w:color w:val="auto"/>
                <w:sz w:val="22"/>
                <w:szCs w:val="22"/>
                <w:highlight w:val="none"/>
              </w:rPr>
              <w:t>至今）。</w:t>
            </w:r>
          </w:p>
          <w:p w14:paraId="72E16F46">
            <w:pPr>
              <w:wordWrap w:val="0"/>
              <w:spacing w:line="360" w:lineRule="auto"/>
              <w:rPr>
                <w:rFonts w:hint="eastAsia" w:asciiTheme="minorEastAsia" w:hAnsiTheme="minorEastAsia" w:eastAsiaTheme="minorEastAsia" w:cstheme="minorEastAsia"/>
                <w:b/>
                <w:bCs/>
                <w:color w:val="auto"/>
                <w:sz w:val="22"/>
                <w:szCs w:val="22"/>
                <w:highlight w:val="none"/>
              </w:rPr>
            </w:pPr>
            <w:r>
              <w:rPr>
                <w:rFonts w:hint="eastAsia" w:asciiTheme="minorEastAsia" w:hAnsiTheme="minorEastAsia" w:eastAsiaTheme="minorEastAsia" w:cstheme="minorEastAsia"/>
                <w:color w:val="auto"/>
                <w:sz w:val="22"/>
                <w:szCs w:val="22"/>
                <w:highlight w:val="none"/>
              </w:rPr>
              <w:t>2</w:t>
            </w:r>
            <w:r>
              <w:rPr>
                <w:rFonts w:hint="eastAsia" w:asciiTheme="minorEastAsia" w:hAnsiTheme="minorEastAsia" w:eastAsiaTheme="minorEastAsia" w:cstheme="minorEastAsia"/>
                <w:color w:val="auto"/>
                <w:sz w:val="22"/>
                <w:szCs w:val="22"/>
                <w:highlight w:val="none"/>
                <w:lang w:val="en-US" w:eastAsia="zh-CN"/>
              </w:rPr>
              <w:t>.</w:t>
            </w:r>
            <w:r>
              <w:rPr>
                <w:rFonts w:hint="eastAsia" w:asciiTheme="minorEastAsia" w:hAnsiTheme="minorEastAsia" w:eastAsiaTheme="minorEastAsia" w:cstheme="minorEastAsia"/>
                <w:b/>
                <w:bCs/>
                <w:color w:val="auto"/>
                <w:sz w:val="22"/>
                <w:szCs w:val="22"/>
                <w:highlight w:val="none"/>
              </w:rPr>
              <w:t>须提供有关证明彩色扫描件，同时提供原件供核对。</w:t>
            </w:r>
          </w:p>
          <w:p w14:paraId="46458020">
            <w:pPr>
              <w:wordWrap w:val="0"/>
              <w:spacing w:line="360" w:lineRule="auto"/>
              <w:rPr>
                <w:rFonts w:hint="eastAsia" w:ascii="宋体" w:hAnsi="宋体" w:eastAsia="宋体" w:cs="宋体"/>
                <w:snapToGrid w:val="0"/>
                <w:color w:val="auto"/>
                <w:kern w:val="0"/>
                <w:sz w:val="22"/>
                <w:szCs w:val="22"/>
                <w:highlight w:val="none"/>
                <w:lang w:val="en-US" w:eastAsia="zh-CN" w:bidi="ar-SA"/>
              </w:rPr>
            </w:pPr>
            <w:r>
              <w:rPr>
                <w:rFonts w:hint="eastAsia" w:asciiTheme="minorEastAsia" w:hAnsiTheme="minorEastAsia" w:eastAsiaTheme="minorEastAsia" w:cstheme="minorEastAsia"/>
                <w:color w:val="auto"/>
                <w:sz w:val="22"/>
                <w:szCs w:val="22"/>
                <w:highlight w:val="none"/>
              </w:rPr>
              <w:t>3．</w:t>
            </w:r>
            <w:r>
              <w:rPr>
                <w:rFonts w:hint="eastAsia" w:asciiTheme="minorEastAsia" w:hAnsiTheme="minorEastAsia" w:eastAsiaTheme="minorEastAsia" w:cstheme="minorEastAsia"/>
                <w:color w:val="auto"/>
                <w:kern w:val="0"/>
                <w:sz w:val="22"/>
                <w:szCs w:val="22"/>
                <w:highlight w:val="none"/>
              </w:rPr>
              <w:t>未提供原件的；颁发机构、证明开具时间不符合规定的，不予得分</w:t>
            </w:r>
            <w:r>
              <w:rPr>
                <w:rFonts w:hint="eastAsia" w:asciiTheme="minorEastAsia" w:hAnsiTheme="minorEastAsia" w:eastAsiaTheme="minorEastAsia" w:cstheme="minorEastAsia"/>
                <w:color w:val="auto"/>
                <w:sz w:val="22"/>
                <w:szCs w:val="22"/>
                <w:highlight w:val="none"/>
              </w:rPr>
              <w:t>。</w:t>
            </w:r>
          </w:p>
        </w:tc>
      </w:tr>
      <w:tr w14:paraId="507782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jc w:val="center"/>
        </w:trPr>
        <w:tc>
          <w:tcPr>
            <w:tcW w:w="1491" w:type="dxa"/>
            <w:vMerge w:val="continue"/>
            <w:tcBorders>
              <w:left w:val="single" w:color="auto" w:sz="4" w:space="0"/>
              <w:right w:val="single" w:color="auto" w:sz="4" w:space="0"/>
            </w:tcBorders>
            <w:noWrap w:val="0"/>
            <w:vAlign w:val="center"/>
          </w:tcPr>
          <w:p w14:paraId="619368FF">
            <w:pPr>
              <w:keepNext w:val="0"/>
              <w:keepLines w:val="0"/>
              <w:pageBreakBefore w:val="0"/>
              <w:widowControl w:val="0"/>
              <w:kinsoku/>
              <w:wordWrap w:val="0"/>
              <w:overflowPunct/>
              <w:topLinePunct w:val="0"/>
              <w:autoSpaceDE/>
              <w:autoSpaceDN/>
              <w:bidi w:val="0"/>
              <w:adjustRightInd w:val="0"/>
              <w:snapToGrid w:val="0"/>
              <w:spacing w:line="288" w:lineRule="auto"/>
              <w:jc w:val="center"/>
              <w:textAlignment w:val="auto"/>
              <w:rPr>
                <w:rFonts w:hint="eastAsia" w:ascii="宋体" w:hAnsi="宋体" w:eastAsia="宋体" w:cs="宋体"/>
                <w:snapToGrid w:val="0"/>
                <w:color w:val="auto"/>
                <w:kern w:val="0"/>
                <w:sz w:val="22"/>
                <w:szCs w:val="22"/>
                <w:highlight w:val="none"/>
                <w:lang w:val="en-US" w:eastAsia="zh-CN"/>
              </w:rPr>
            </w:pPr>
          </w:p>
        </w:tc>
        <w:tc>
          <w:tcPr>
            <w:tcW w:w="3868" w:type="dxa"/>
            <w:gridSpan w:val="2"/>
            <w:tcBorders>
              <w:top w:val="single" w:color="auto" w:sz="4" w:space="0"/>
              <w:left w:val="single" w:color="auto" w:sz="4" w:space="0"/>
              <w:bottom w:val="single" w:color="auto" w:sz="4" w:space="0"/>
              <w:right w:val="single" w:color="auto" w:sz="4" w:space="0"/>
            </w:tcBorders>
            <w:noWrap w:val="0"/>
            <w:vAlign w:val="center"/>
          </w:tcPr>
          <w:p w14:paraId="022F17D8">
            <w:pPr>
              <w:wordWrap w:val="0"/>
              <w:adjustRightInd w:val="0"/>
              <w:snapToGrid w:val="0"/>
              <w:spacing w:line="240" w:lineRule="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lang w:val="en-US" w:eastAsia="zh-CN"/>
              </w:rPr>
              <w:t>1.</w:t>
            </w:r>
            <w:r>
              <w:rPr>
                <w:rFonts w:hint="eastAsia" w:ascii="宋体" w:hAnsi="宋体" w:eastAsia="宋体" w:cs="宋体"/>
                <w:snapToGrid w:val="0"/>
                <w:color w:val="auto"/>
                <w:kern w:val="0"/>
                <w:sz w:val="22"/>
                <w:szCs w:val="22"/>
                <w:highlight w:val="none"/>
              </w:rPr>
              <w:t>企业近</w:t>
            </w:r>
            <w:r>
              <w:rPr>
                <w:rFonts w:hint="eastAsia" w:ascii="宋体" w:hAnsi="宋体" w:eastAsia="宋体" w:cs="宋体"/>
                <w:snapToGrid w:val="0"/>
                <w:color w:val="auto"/>
                <w:kern w:val="0"/>
                <w:sz w:val="22"/>
                <w:szCs w:val="22"/>
                <w:highlight w:val="none"/>
                <w:lang w:val="en-US" w:eastAsia="zh-CN"/>
              </w:rPr>
              <w:t>年来</w:t>
            </w:r>
            <w:r>
              <w:rPr>
                <w:rFonts w:hint="eastAsia" w:ascii="宋体" w:hAnsi="宋体" w:eastAsia="宋体" w:cs="宋体"/>
                <w:snapToGrid w:val="0"/>
                <w:color w:val="auto"/>
                <w:kern w:val="0"/>
                <w:sz w:val="22"/>
                <w:szCs w:val="22"/>
                <w:highlight w:val="none"/>
              </w:rPr>
              <w:t>（</w:t>
            </w:r>
            <w:r>
              <w:rPr>
                <w:rFonts w:hint="eastAsia" w:asciiTheme="minorEastAsia" w:hAnsiTheme="minorEastAsia" w:eastAsiaTheme="minorEastAsia" w:cstheme="minorEastAsia"/>
                <w:sz w:val="22"/>
                <w:szCs w:val="22"/>
                <w:highlight w:val="none"/>
              </w:rPr>
              <w:t>202</w:t>
            </w:r>
            <w:r>
              <w:rPr>
                <w:rFonts w:hint="eastAsia" w:asciiTheme="minorEastAsia" w:hAnsiTheme="minorEastAsia" w:eastAsiaTheme="minorEastAsia" w:cstheme="minorEastAsia"/>
                <w:sz w:val="22"/>
                <w:szCs w:val="22"/>
                <w:highlight w:val="none"/>
                <w:lang w:val="en-US" w:eastAsia="zh-CN"/>
              </w:rPr>
              <w:t>3</w:t>
            </w:r>
            <w:r>
              <w:rPr>
                <w:rFonts w:hint="eastAsia" w:asciiTheme="minorEastAsia" w:hAnsiTheme="minorEastAsia" w:eastAsiaTheme="minorEastAsia" w:cstheme="minorEastAsia"/>
                <w:sz w:val="22"/>
                <w:szCs w:val="22"/>
                <w:highlight w:val="none"/>
              </w:rPr>
              <w:t>年1月1日</w:t>
            </w:r>
          </w:p>
          <w:p w14:paraId="70E7FE2C">
            <w:pPr>
              <w:wordWrap w:val="0"/>
              <w:adjustRightInd w:val="0"/>
              <w:snapToGrid w:val="0"/>
              <w:spacing w:line="240" w:lineRule="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至今）获得过“ 中国建筑业协会 ”颁发 AAA 级</w:t>
            </w:r>
            <w:r>
              <w:rPr>
                <w:rFonts w:hint="eastAsia" w:ascii="宋体" w:hAnsi="宋体" w:eastAsia="宋体" w:cs="宋体"/>
                <w:snapToGrid w:val="0"/>
                <w:color w:val="auto"/>
                <w:kern w:val="0"/>
                <w:sz w:val="22"/>
                <w:szCs w:val="22"/>
                <w:highlight w:val="none"/>
                <w:lang w:val="en-US" w:eastAsia="zh-CN"/>
              </w:rPr>
              <w:t>信用企业</w:t>
            </w:r>
            <w:r>
              <w:rPr>
                <w:rFonts w:hint="eastAsia" w:ascii="宋体" w:hAnsi="宋体" w:eastAsia="宋体" w:cs="宋体"/>
                <w:snapToGrid w:val="0"/>
                <w:color w:val="auto"/>
                <w:kern w:val="0"/>
                <w:sz w:val="22"/>
                <w:szCs w:val="22"/>
                <w:highlight w:val="none"/>
              </w:rPr>
              <w:t>证书的得</w:t>
            </w:r>
            <w:r>
              <w:rPr>
                <w:rFonts w:hint="eastAsia" w:ascii="宋体" w:hAnsi="宋体" w:eastAsia="宋体" w:cs="宋体"/>
                <w:snapToGrid w:val="0"/>
                <w:color w:val="auto"/>
                <w:kern w:val="0"/>
                <w:sz w:val="22"/>
                <w:szCs w:val="22"/>
                <w:highlight w:val="none"/>
                <w:u w:val="single"/>
              </w:rPr>
              <w:t xml:space="preserve"> </w:t>
            </w:r>
            <w:r>
              <w:rPr>
                <w:rFonts w:hint="eastAsia" w:ascii="宋体" w:hAnsi="宋体" w:eastAsia="宋体" w:cs="宋体"/>
                <w:snapToGrid w:val="0"/>
                <w:color w:val="auto"/>
                <w:kern w:val="0"/>
                <w:sz w:val="22"/>
                <w:szCs w:val="22"/>
                <w:highlight w:val="none"/>
                <w:u w:val="single"/>
                <w:lang w:val="en-US" w:eastAsia="zh-CN"/>
              </w:rPr>
              <w:t>5</w:t>
            </w:r>
            <w:r>
              <w:rPr>
                <w:rFonts w:hint="eastAsia" w:ascii="宋体" w:hAnsi="宋体" w:eastAsia="宋体" w:cs="宋体"/>
                <w:snapToGrid w:val="0"/>
                <w:color w:val="auto"/>
                <w:kern w:val="0"/>
                <w:sz w:val="22"/>
                <w:szCs w:val="22"/>
                <w:highlight w:val="none"/>
              </w:rPr>
              <w:t>分；</w:t>
            </w:r>
          </w:p>
          <w:p w14:paraId="52746749">
            <w:pPr>
              <w:wordWrap w:val="0"/>
              <w:adjustRightInd w:val="0"/>
              <w:snapToGrid w:val="0"/>
              <w:spacing w:line="240" w:lineRule="auto"/>
              <w:rPr>
                <w:rFonts w:hint="default"/>
                <w:highlight w:val="none"/>
                <w:lang w:val="en-US" w:eastAsia="zh-CN"/>
              </w:rPr>
            </w:pPr>
            <w:r>
              <w:rPr>
                <w:rFonts w:hint="eastAsia" w:ascii="宋体" w:hAnsi="宋体" w:eastAsia="宋体" w:cs="宋体"/>
                <w:snapToGrid w:val="0"/>
                <w:color w:val="auto"/>
                <w:kern w:val="0"/>
                <w:sz w:val="22"/>
                <w:szCs w:val="22"/>
                <w:highlight w:val="none"/>
                <w:lang w:val="en-US" w:eastAsia="zh-CN"/>
              </w:rPr>
              <w:t>2.</w:t>
            </w:r>
            <w:r>
              <w:rPr>
                <w:rFonts w:hint="eastAsia" w:ascii="宋体" w:hAnsi="宋体" w:eastAsia="宋体" w:cs="宋体"/>
                <w:snapToGrid w:val="0"/>
                <w:color w:val="auto"/>
                <w:kern w:val="0"/>
                <w:sz w:val="22"/>
                <w:szCs w:val="22"/>
                <w:highlight w:val="none"/>
              </w:rPr>
              <w:t>其他情形的，不予计分。</w:t>
            </w:r>
          </w:p>
        </w:tc>
        <w:tc>
          <w:tcPr>
            <w:tcW w:w="5065" w:type="dxa"/>
            <w:tcBorders>
              <w:top w:val="single" w:color="auto" w:sz="4" w:space="0"/>
              <w:left w:val="single" w:color="auto" w:sz="4" w:space="0"/>
              <w:bottom w:val="single" w:color="auto" w:sz="4" w:space="0"/>
              <w:right w:val="single" w:color="auto" w:sz="4" w:space="0"/>
            </w:tcBorders>
            <w:noWrap w:val="0"/>
            <w:vAlign w:val="center"/>
          </w:tcPr>
          <w:p w14:paraId="617AE24B">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宋体" w:hAnsi="宋体" w:eastAsia="宋体" w:cs="宋体"/>
                <w:b/>
                <w:bCs/>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w:t>
            </w:r>
            <w:r>
              <w:rPr>
                <w:rFonts w:hint="eastAsia" w:ascii="宋体" w:hAnsi="宋体" w:eastAsia="宋体" w:cs="宋体"/>
                <w:snapToGrid w:val="0"/>
                <w:color w:val="auto"/>
                <w:kern w:val="0"/>
                <w:sz w:val="22"/>
                <w:szCs w:val="22"/>
                <w:highlight w:val="none"/>
                <w:lang w:eastAsia="zh-CN"/>
              </w:rPr>
              <w:t>.</w:t>
            </w:r>
            <w:r>
              <w:rPr>
                <w:rFonts w:hint="eastAsia" w:ascii="宋体" w:hAnsi="宋体" w:eastAsia="宋体" w:cs="宋体"/>
                <w:snapToGrid w:val="0"/>
                <w:color w:val="auto"/>
                <w:kern w:val="0"/>
                <w:sz w:val="22"/>
                <w:szCs w:val="22"/>
                <w:highlight w:val="none"/>
              </w:rPr>
              <w:t>证书由“ 中国建筑业协会 ”颁发，须提供有关证书彩色扫描件，</w:t>
            </w:r>
            <w:r>
              <w:rPr>
                <w:rFonts w:hint="eastAsia" w:ascii="宋体" w:hAnsi="宋体" w:eastAsia="宋体" w:cs="宋体"/>
                <w:b/>
                <w:bCs/>
                <w:snapToGrid w:val="0"/>
                <w:color w:val="auto"/>
                <w:kern w:val="0"/>
                <w:sz w:val="22"/>
                <w:szCs w:val="22"/>
                <w:highlight w:val="none"/>
              </w:rPr>
              <w:t>同时提供原件核对（证书为电子证书的除外）。</w:t>
            </w:r>
          </w:p>
          <w:p w14:paraId="232FF1E5">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宋体" w:hAnsi="宋体" w:eastAsia="宋体" w:cs="宋体"/>
                <w:b w:val="0"/>
                <w:bCs w:val="0"/>
                <w:color w:val="auto"/>
                <w:sz w:val="22"/>
                <w:szCs w:val="22"/>
                <w:highlight w:val="none"/>
                <w:lang w:eastAsia="zh-CN"/>
              </w:rPr>
            </w:pPr>
            <w:r>
              <w:rPr>
                <w:rFonts w:hint="eastAsia" w:ascii="宋体" w:hAnsi="宋体" w:eastAsia="宋体" w:cs="宋体"/>
                <w:snapToGrid w:val="0"/>
                <w:color w:val="auto"/>
                <w:kern w:val="0"/>
                <w:sz w:val="22"/>
                <w:szCs w:val="22"/>
                <w:highlight w:val="none"/>
              </w:rPr>
              <w:t xml:space="preserve">2 </w:t>
            </w:r>
            <w:r>
              <w:rPr>
                <w:rFonts w:hint="eastAsia" w:ascii="宋体" w:hAnsi="宋体" w:eastAsia="宋体" w:cs="宋体"/>
                <w:snapToGrid w:val="0"/>
                <w:color w:val="auto"/>
                <w:kern w:val="0"/>
                <w:sz w:val="22"/>
                <w:szCs w:val="22"/>
                <w:highlight w:val="none"/>
                <w:lang w:val="en-US" w:eastAsia="zh-CN"/>
              </w:rPr>
              <w:t>.</w:t>
            </w:r>
            <w:r>
              <w:rPr>
                <w:rFonts w:hint="eastAsia" w:ascii="宋体" w:hAnsi="宋体" w:eastAsia="宋体" w:cs="宋体"/>
                <w:snapToGrid w:val="0"/>
                <w:color w:val="auto"/>
                <w:kern w:val="0"/>
                <w:sz w:val="22"/>
                <w:szCs w:val="22"/>
                <w:highlight w:val="none"/>
              </w:rPr>
              <w:t>未提供原件的，</w:t>
            </w:r>
            <w:r>
              <w:rPr>
                <w:rFonts w:hint="eastAsia" w:ascii="宋体" w:hAnsi="宋体" w:eastAsia="宋体" w:cs="宋体"/>
                <w:snapToGrid w:val="0"/>
                <w:color w:val="auto"/>
                <w:kern w:val="0"/>
                <w:sz w:val="22"/>
                <w:szCs w:val="22"/>
                <w:highlight w:val="none"/>
                <w:lang w:val="en-US" w:eastAsia="zh-CN"/>
              </w:rPr>
              <w:t>证书不在有效期内的，</w:t>
            </w:r>
            <w:r>
              <w:rPr>
                <w:rFonts w:hint="eastAsia" w:ascii="宋体" w:hAnsi="宋体" w:eastAsia="宋体" w:cs="宋体"/>
                <w:snapToGrid w:val="0"/>
                <w:color w:val="auto"/>
                <w:kern w:val="0"/>
                <w:sz w:val="22"/>
                <w:szCs w:val="22"/>
                <w:highlight w:val="none"/>
              </w:rPr>
              <w:t>颁发机构不符合要求的，按第2项标准处理。</w:t>
            </w:r>
          </w:p>
        </w:tc>
      </w:tr>
      <w:tr w14:paraId="7E6DEE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64" w:hRule="atLeast"/>
          <w:jc w:val="center"/>
        </w:trPr>
        <w:tc>
          <w:tcPr>
            <w:tcW w:w="1491" w:type="dxa"/>
            <w:tcBorders>
              <w:left w:val="single" w:color="auto" w:sz="4" w:space="0"/>
              <w:right w:val="single" w:color="auto" w:sz="4" w:space="0"/>
            </w:tcBorders>
            <w:noWrap w:val="0"/>
            <w:vAlign w:val="center"/>
          </w:tcPr>
          <w:p w14:paraId="3D5A3AF1">
            <w:pPr>
              <w:keepNext w:val="0"/>
              <w:keepLines w:val="0"/>
              <w:pageBreakBefore w:val="0"/>
              <w:widowControl w:val="0"/>
              <w:kinsoku/>
              <w:wordWrap w:val="0"/>
              <w:overflowPunct/>
              <w:topLinePunct w:val="0"/>
              <w:autoSpaceDE/>
              <w:autoSpaceDN/>
              <w:bidi w:val="0"/>
              <w:adjustRightInd w:val="0"/>
              <w:snapToGrid w:val="0"/>
              <w:spacing w:line="288" w:lineRule="auto"/>
              <w:jc w:val="center"/>
              <w:textAlignment w:val="auto"/>
              <w:rPr>
                <w:rFonts w:hint="eastAsia" w:ascii="宋体" w:hAnsi="宋体" w:eastAsia="宋体" w:cs="宋体"/>
                <w:snapToGrid w:val="0"/>
                <w:color w:val="auto"/>
                <w:kern w:val="0"/>
                <w:sz w:val="22"/>
                <w:szCs w:val="22"/>
                <w:highlight w:val="none"/>
                <w:lang w:val="en-US" w:eastAsia="zh-CN"/>
              </w:rPr>
            </w:pPr>
          </w:p>
        </w:tc>
        <w:tc>
          <w:tcPr>
            <w:tcW w:w="3868" w:type="dxa"/>
            <w:gridSpan w:val="2"/>
            <w:tcBorders>
              <w:top w:val="single" w:color="auto" w:sz="4" w:space="0"/>
              <w:left w:val="single" w:color="auto" w:sz="4" w:space="0"/>
              <w:bottom w:val="single" w:color="auto" w:sz="4" w:space="0"/>
              <w:right w:val="single" w:color="auto" w:sz="4" w:space="0"/>
            </w:tcBorders>
            <w:noWrap w:val="0"/>
            <w:vAlign w:val="center"/>
          </w:tcPr>
          <w:p w14:paraId="60663FEC">
            <w:pPr>
              <w:wordWrap w:val="0"/>
              <w:adjustRightInd w:val="0"/>
              <w:snapToGrid w:val="0"/>
              <w:spacing w:line="240" w:lineRule="auto"/>
              <w:rPr>
                <w:rFonts w:hint="eastAsia" w:ascii="宋体" w:hAnsi="宋体" w:eastAsia="宋体" w:cs="宋体"/>
                <w:sz w:val="22"/>
                <w:szCs w:val="22"/>
                <w:highlight w:val="none"/>
              </w:rPr>
            </w:pPr>
            <w:r>
              <w:rPr>
                <w:rFonts w:hint="eastAsia" w:ascii="宋体" w:hAnsi="宋体" w:eastAsia="宋体" w:cs="宋体"/>
                <w:sz w:val="22"/>
                <w:szCs w:val="22"/>
                <w:highlight w:val="none"/>
              </w:rPr>
              <w:t xml:space="preserve">1.近 5 年来（2021年1月1日至今）投标人未发生事故等级为一般事故及以上的生产安全事故、一般质量事故及以上的工程质量事故的 ，得 </w:t>
            </w:r>
            <w:r>
              <w:rPr>
                <w:rFonts w:hint="eastAsia" w:ascii="宋体" w:hAnsi="宋体" w:eastAsia="宋体" w:cs="宋体"/>
                <w:sz w:val="22"/>
                <w:szCs w:val="22"/>
                <w:highlight w:val="none"/>
                <w:u w:val="single"/>
              </w:rPr>
              <w:t xml:space="preserve">5 </w:t>
            </w:r>
            <w:r>
              <w:rPr>
                <w:rFonts w:hint="eastAsia" w:ascii="宋体" w:hAnsi="宋体" w:eastAsia="宋体" w:cs="宋体"/>
                <w:sz w:val="22"/>
                <w:szCs w:val="22"/>
                <w:highlight w:val="none"/>
              </w:rPr>
              <w:t>分；</w:t>
            </w:r>
          </w:p>
          <w:p w14:paraId="6E122602">
            <w:pPr>
              <w:wordWrap w:val="0"/>
              <w:adjustRightInd w:val="0"/>
              <w:snapToGrid w:val="0"/>
              <w:spacing w:line="240" w:lineRule="auto"/>
              <w:rPr>
                <w:rFonts w:hint="eastAsia" w:ascii="宋体" w:hAnsi="宋体" w:eastAsia="宋体" w:cs="宋体"/>
                <w:sz w:val="22"/>
                <w:szCs w:val="22"/>
                <w:highlight w:val="none"/>
              </w:rPr>
            </w:pPr>
            <w:r>
              <w:rPr>
                <w:rFonts w:hint="eastAsia" w:ascii="宋体" w:hAnsi="宋体" w:eastAsia="宋体" w:cs="宋体"/>
                <w:sz w:val="22"/>
                <w:szCs w:val="22"/>
                <w:highlight w:val="none"/>
              </w:rPr>
              <w:t>2.其他情形的，不予计分。</w:t>
            </w:r>
          </w:p>
        </w:tc>
        <w:tc>
          <w:tcPr>
            <w:tcW w:w="5065" w:type="dxa"/>
            <w:tcBorders>
              <w:top w:val="single" w:color="auto" w:sz="4" w:space="0"/>
              <w:left w:val="single" w:color="auto" w:sz="4" w:space="0"/>
              <w:bottom w:val="single" w:color="auto" w:sz="4" w:space="0"/>
              <w:right w:val="single" w:color="auto" w:sz="4" w:space="0"/>
            </w:tcBorders>
            <w:noWrap w:val="0"/>
            <w:vAlign w:val="center"/>
          </w:tcPr>
          <w:p w14:paraId="33484DE7">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宋体" w:hAnsi="宋体" w:eastAsia="宋体" w:cs="宋体"/>
                <w:sz w:val="22"/>
                <w:szCs w:val="22"/>
                <w:highlight w:val="none"/>
                <w:lang w:val="en-US" w:eastAsia="zh-CN"/>
              </w:rPr>
            </w:pPr>
            <w:r>
              <w:rPr>
                <w:rFonts w:hint="eastAsia" w:ascii="宋体" w:hAnsi="宋体" w:eastAsia="宋体" w:cs="宋体"/>
                <w:sz w:val="22"/>
                <w:szCs w:val="22"/>
                <w:highlight w:val="none"/>
                <w:lang w:val="en-US" w:eastAsia="zh-CN"/>
              </w:rPr>
              <w:t>1.需提供本单位承诺书（格式自定）并加盖本单位 公章。</w:t>
            </w:r>
          </w:p>
          <w:p w14:paraId="1DB64401">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宋体" w:hAnsi="宋体" w:eastAsia="宋体" w:cs="宋体"/>
                <w:sz w:val="22"/>
                <w:szCs w:val="22"/>
                <w:highlight w:val="none"/>
                <w:lang w:val="en-US" w:eastAsia="zh-CN"/>
              </w:rPr>
            </w:pPr>
            <w:r>
              <w:rPr>
                <w:rFonts w:hint="eastAsia" w:ascii="宋体" w:hAnsi="宋体" w:eastAsia="宋体" w:cs="宋体"/>
                <w:sz w:val="22"/>
                <w:szCs w:val="22"/>
                <w:highlight w:val="none"/>
                <w:lang w:val="en-US" w:eastAsia="zh-CN"/>
              </w:rPr>
              <w:t>2.未提供本单位承诺书并加盖本单位公章的，按第</w:t>
            </w:r>
          </w:p>
          <w:p w14:paraId="4A36FCB3">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宋体" w:hAnsi="宋体" w:eastAsia="宋体" w:cs="宋体"/>
                <w:sz w:val="22"/>
                <w:szCs w:val="22"/>
                <w:highlight w:val="none"/>
              </w:rPr>
            </w:pPr>
            <w:r>
              <w:rPr>
                <w:rFonts w:hint="eastAsia" w:ascii="宋体" w:hAnsi="宋体" w:eastAsia="宋体" w:cs="宋体"/>
                <w:sz w:val="22"/>
                <w:szCs w:val="22"/>
                <w:highlight w:val="none"/>
                <w:lang w:val="en-US" w:eastAsia="zh-CN"/>
              </w:rPr>
              <w:t>2 项标准处理。</w:t>
            </w:r>
          </w:p>
        </w:tc>
      </w:tr>
      <w:tr w14:paraId="47C958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1" w:hRule="exact"/>
          <w:jc w:val="center"/>
        </w:trPr>
        <w:tc>
          <w:tcPr>
            <w:tcW w:w="10424" w:type="dxa"/>
            <w:gridSpan w:val="4"/>
            <w:tcBorders>
              <w:top w:val="single" w:color="auto" w:sz="4" w:space="0"/>
              <w:left w:val="single" w:color="auto" w:sz="4" w:space="0"/>
              <w:bottom w:val="single" w:color="auto" w:sz="4" w:space="0"/>
              <w:right w:val="single" w:color="auto" w:sz="4" w:space="0"/>
            </w:tcBorders>
            <w:shd w:val="clear" w:color="auto" w:fill="D9D9D9"/>
            <w:noWrap w:val="0"/>
            <w:vAlign w:val="center"/>
          </w:tcPr>
          <w:p w14:paraId="11D6A432">
            <w:pPr>
              <w:pStyle w:val="5"/>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left="0" w:leftChars="0" w:right="0" w:rightChars="0" w:firstLine="0" w:firstLineChars="0"/>
              <w:jc w:val="left"/>
              <w:textAlignment w:val="auto"/>
              <w:outlineLvl w:val="9"/>
              <w:rPr>
                <w:rFonts w:hint="eastAsia" w:ascii="宋体" w:hAnsi="宋体" w:eastAsia="宋体" w:cs="宋体"/>
                <w:b/>
                <w:bCs/>
                <w:caps w:val="0"/>
                <w:smallCaps w:val="0"/>
                <w:snapToGrid w:val="0"/>
                <w:color w:val="auto"/>
                <w:spacing w:val="0"/>
                <w:kern w:val="0"/>
                <w:sz w:val="22"/>
                <w:szCs w:val="22"/>
                <w:highlight w:val="none"/>
              </w:rPr>
            </w:pPr>
            <w:r>
              <w:rPr>
                <w:rFonts w:hint="eastAsia" w:ascii="宋体" w:hAnsi="宋体" w:eastAsia="宋体" w:cs="宋体"/>
                <w:b/>
                <w:bCs/>
                <w:caps w:val="0"/>
                <w:smallCaps w:val="0"/>
                <w:snapToGrid w:val="0"/>
                <w:color w:val="auto"/>
                <w:spacing w:val="0"/>
                <w:kern w:val="0"/>
                <w:sz w:val="22"/>
                <w:szCs w:val="22"/>
                <w:highlight w:val="none"/>
                <w:lang w:eastAsia="zh-CN"/>
              </w:rPr>
              <w:t>技术部分（施工组织设计），满分：</w:t>
            </w:r>
            <w:r>
              <w:rPr>
                <w:rFonts w:hint="eastAsia" w:ascii="宋体" w:hAnsi="宋体" w:eastAsia="宋体" w:cs="宋体"/>
                <w:b/>
                <w:bCs/>
                <w:caps w:val="0"/>
                <w:smallCaps w:val="0"/>
                <w:snapToGrid w:val="0"/>
                <w:color w:val="auto"/>
                <w:spacing w:val="0"/>
                <w:kern w:val="0"/>
                <w:sz w:val="22"/>
                <w:szCs w:val="22"/>
                <w:highlight w:val="none"/>
                <w:u w:val="single"/>
                <w:lang w:val="en-US" w:eastAsia="zh-CN"/>
              </w:rPr>
              <w:t xml:space="preserve">  20  </w:t>
            </w:r>
            <w:r>
              <w:rPr>
                <w:rFonts w:hint="eastAsia" w:ascii="宋体" w:hAnsi="宋体" w:eastAsia="宋体" w:cs="宋体"/>
                <w:b/>
                <w:bCs/>
                <w:caps w:val="0"/>
                <w:smallCaps w:val="0"/>
                <w:snapToGrid w:val="0"/>
                <w:color w:val="auto"/>
                <w:spacing w:val="0"/>
                <w:kern w:val="0"/>
                <w:sz w:val="22"/>
                <w:szCs w:val="22"/>
                <w:highlight w:val="none"/>
                <w:lang w:val="en-US" w:eastAsia="zh-CN"/>
              </w:rPr>
              <w:t>分。</w:t>
            </w:r>
          </w:p>
        </w:tc>
      </w:tr>
      <w:tr w14:paraId="6C61E8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1" w:hRule="exact"/>
          <w:jc w:val="center"/>
        </w:trPr>
        <w:tc>
          <w:tcPr>
            <w:tcW w:w="1491" w:type="dxa"/>
            <w:tcBorders>
              <w:top w:val="single" w:color="auto" w:sz="4" w:space="0"/>
              <w:left w:val="single" w:color="auto" w:sz="4" w:space="0"/>
              <w:bottom w:val="single" w:color="auto" w:sz="4" w:space="0"/>
              <w:right w:val="single" w:color="auto" w:sz="4" w:space="0"/>
            </w:tcBorders>
            <w:noWrap w:val="0"/>
            <w:vAlign w:val="center"/>
          </w:tcPr>
          <w:p w14:paraId="49F6191F">
            <w:pPr>
              <w:pStyle w:val="5"/>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left="0" w:leftChars="0" w:right="0" w:rightChars="0" w:firstLine="0" w:firstLineChars="0"/>
              <w:jc w:val="center"/>
              <w:textAlignment w:val="auto"/>
              <w:outlineLvl w:val="9"/>
              <w:rPr>
                <w:rFonts w:hint="eastAsia" w:ascii="宋体" w:hAnsi="宋体" w:eastAsia="宋体" w:cs="宋体"/>
                <w:b/>
                <w:bCs/>
                <w:caps w:val="0"/>
                <w:smallCaps w:val="0"/>
                <w:snapToGrid w:val="0"/>
                <w:color w:val="auto"/>
                <w:spacing w:val="0"/>
                <w:kern w:val="0"/>
                <w:sz w:val="22"/>
                <w:szCs w:val="22"/>
                <w:highlight w:val="none"/>
              </w:rPr>
            </w:pPr>
            <w:r>
              <w:rPr>
                <w:rFonts w:hint="eastAsia" w:ascii="宋体" w:hAnsi="宋体" w:eastAsia="宋体" w:cs="宋体"/>
                <w:b/>
                <w:bCs/>
                <w:caps w:val="0"/>
                <w:smallCaps w:val="0"/>
                <w:snapToGrid w:val="0"/>
                <w:color w:val="auto"/>
                <w:spacing w:val="0"/>
                <w:kern w:val="0"/>
                <w:sz w:val="22"/>
                <w:szCs w:val="22"/>
                <w:highlight w:val="none"/>
              </w:rPr>
              <w:t>评分因素</w:t>
            </w:r>
          </w:p>
        </w:tc>
        <w:tc>
          <w:tcPr>
            <w:tcW w:w="3868" w:type="dxa"/>
            <w:gridSpan w:val="2"/>
            <w:tcBorders>
              <w:top w:val="single" w:color="auto" w:sz="4" w:space="0"/>
              <w:left w:val="single" w:color="auto" w:sz="4" w:space="0"/>
              <w:bottom w:val="single" w:color="auto" w:sz="4" w:space="0"/>
              <w:right w:val="single" w:color="auto" w:sz="4" w:space="0"/>
            </w:tcBorders>
            <w:noWrap w:val="0"/>
            <w:vAlign w:val="center"/>
          </w:tcPr>
          <w:p w14:paraId="334FD14D">
            <w:pPr>
              <w:pStyle w:val="5"/>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left="0" w:leftChars="0" w:right="0" w:rightChars="0" w:firstLine="0" w:firstLineChars="0"/>
              <w:jc w:val="center"/>
              <w:textAlignment w:val="auto"/>
              <w:outlineLvl w:val="9"/>
              <w:rPr>
                <w:rFonts w:hint="eastAsia" w:ascii="宋体" w:hAnsi="宋体" w:eastAsia="宋体" w:cs="宋体"/>
                <w:b/>
                <w:bCs/>
                <w:caps w:val="0"/>
                <w:smallCaps w:val="0"/>
                <w:snapToGrid w:val="0"/>
                <w:color w:val="auto"/>
                <w:spacing w:val="0"/>
                <w:kern w:val="0"/>
                <w:sz w:val="22"/>
                <w:szCs w:val="22"/>
                <w:highlight w:val="none"/>
              </w:rPr>
            </w:pPr>
            <w:r>
              <w:rPr>
                <w:rFonts w:hint="eastAsia" w:ascii="宋体" w:hAnsi="宋体" w:eastAsia="宋体" w:cs="宋体"/>
                <w:b/>
                <w:bCs/>
                <w:caps w:val="0"/>
                <w:smallCaps w:val="0"/>
                <w:snapToGrid w:val="0"/>
                <w:color w:val="auto"/>
                <w:spacing w:val="0"/>
                <w:kern w:val="0"/>
                <w:sz w:val="22"/>
                <w:szCs w:val="22"/>
                <w:highlight w:val="none"/>
              </w:rPr>
              <w:t>评分标准</w:t>
            </w:r>
          </w:p>
        </w:tc>
        <w:tc>
          <w:tcPr>
            <w:tcW w:w="5065" w:type="dxa"/>
            <w:tcBorders>
              <w:top w:val="single" w:color="auto" w:sz="4" w:space="0"/>
              <w:left w:val="single" w:color="auto" w:sz="4" w:space="0"/>
              <w:bottom w:val="single" w:color="auto" w:sz="4" w:space="0"/>
              <w:right w:val="single" w:color="auto" w:sz="4" w:space="0"/>
            </w:tcBorders>
            <w:noWrap w:val="0"/>
            <w:vAlign w:val="center"/>
          </w:tcPr>
          <w:p w14:paraId="1DE5B26F">
            <w:pPr>
              <w:pStyle w:val="5"/>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left="0" w:leftChars="0" w:right="0" w:rightChars="0" w:firstLine="0" w:firstLineChars="0"/>
              <w:jc w:val="center"/>
              <w:textAlignment w:val="auto"/>
              <w:outlineLvl w:val="9"/>
              <w:rPr>
                <w:rFonts w:hint="eastAsia" w:ascii="宋体" w:hAnsi="宋体" w:eastAsia="宋体" w:cs="宋体"/>
                <w:b/>
                <w:bCs/>
                <w:caps w:val="0"/>
                <w:smallCaps w:val="0"/>
                <w:snapToGrid w:val="0"/>
                <w:color w:val="auto"/>
                <w:spacing w:val="0"/>
                <w:kern w:val="0"/>
                <w:sz w:val="22"/>
                <w:szCs w:val="22"/>
                <w:highlight w:val="none"/>
                <w:lang w:eastAsia="zh-CN"/>
              </w:rPr>
            </w:pPr>
            <w:r>
              <w:rPr>
                <w:rFonts w:hint="eastAsia" w:ascii="宋体" w:hAnsi="宋体" w:eastAsia="宋体" w:cs="宋体"/>
                <w:b/>
                <w:bCs/>
                <w:caps w:val="0"/>
                <w:smallCaps w:val="0"/>
                <w:snapToGrid w:val="0"/>
                <w:color w:val="auto"/>
                <w:spacing w:val="0"/>
                <w:kern w:val="0"/>
                <w:sz w:val="22"/>
                <w:szCs w:val="22"/>
                <w:highlight w:val="none"/>
                <w:lang w:eastAsia="zh-CN"/>
              </w:rPr>
              <w:t>备注</w:t>
            </w:r>
          </w:p>
        </w:tc>
      </w:tr>
      <w:tr w14:paraId="25B261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37" w:hRule="atLeast"/>
          <w:jc w:val="center"/>
        </w:trPr>
        <w:tc>
          <w:tcPr>
            <w:tcW w:w="1491" w:type="dxa"/>
            <w:tcBorders>
              <w:top w:val="single" w:color="auto" w:sz="4" w:space="0"/>
              <w:left w:val="single" w:color="auto" w:sz="4" w:space="0"/>
              <w:bottom w:val="single" w:color="auto" w:sz="4" w:space="0"/>
              <w:right w:val="single" w:color="auto" w:sz="4" w:space="0"/>
            </w:tcBorders>
            <w:noWrap w:val="0"/>
            <w:vAlign w:val="center"/>
          </w:tcPr>
          <w:p w14:paraId="24EC4B3E">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center"/>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 xml:space="preserve"> 总体概述</w:t>
            </w:r>
          </w:p>
          <w:p w14:paraId="7333D43A">
            <w:pPr>
              <w:keepNext w:val="0"/>
              <w:keepLines w:val="0"/>
              <w:pageBreakBefore w:val="0"/>
              <w:widowControl w:val="0"/>
              <w:kinsoku/>
              <w:wordWrap w:val="0"/>
              <w:overflowPunct/>
              <w:topLinePunct w:val="0"/>
              <w:autoSpaceDE/>
              <w:autoSpaceDN/>
              <w:bidi w:val="0"/>
              <w:adjustRightInd w:val="0"/>
              <w:snapToGrid w:val="0"/>
              <w:spacing w:before="0" w:afterAutospacing="0" w:line="340" w:lineRule="exact"/>
              <w:ind w:left="0" w:leftChars="0" w:right="0" w:rightChars="0" w:firstLine="0" w:firstLineChars="0"/>
              <w:jc w:val="center"/>
              <w:textAlignment w:val="auto"/>
              <w:outlineLvl w:val="9"/>
              <w:rPr>
                <w:rFonts w:hint="eastAsia" w:ascii="宋体" w:hAnsi="宋体" w:eastAsia="宋体" w:cs="宋体"/>
                <w:snapToGrid w:val="0"/>
                <w:color w:val="auto"/>
                <w:kern w:val="0"/>
                <w:sz w:val="22"/>
                <w:szCs w:val="22"/>
                <w:highlight w:val="none"/>
              </w:rPr>
            </w:pPr>
            <w:r>
              <w:rPr>
                <w:rFonts w:hint="eastAsia" w:ascii="宋体" w:hAnsi="宋体" w:eastAsia="宋体" w:cs="宋体"/>
                <w:caps w:val="0"/>
                <w:smallCaps w:val="0"/>
                <w:snapToGrid w:val="0"/>
                <w:color w:val="auto"/>
                <w:spacing w:val="0"/>
                <w:kern w:val="0"/>
                <w:sz w:val="22"/>
                <w:szCs w:val="22"/>
                <w:highlight w:val="none"/>
                <w:lang w:val="en-US" w:eastAsia="zh-CN" w:bidi="ar-SA"/>
              </w:rPr>
              <w:t>（</w:t>
            </w:r>
            <w:r>
              <w:rPr>
                <w:rFonts w:hint="eastAsia" w:ascii="宋体" w:hAnsi="宋体" w:eastAsia="宋体" w:cs="宋体"/>
                <w:caps w:val="0"/>
                <w:smallCaps w:val="0"/>
                <w:snapToGrid w:val="0"/>
                <w:color w:val="auto"/>
                <w:spacing w:val="0"/>
                <w:kern w:val="0"/>
                <w:sz w:val="22"/>
                <w:szCs w:val="22"/>
                <w:highlight w:val="none"/>
                <w:u w:val="single"/>
                <w:lang w:val="en-US" w:eastAsia="zh-CN" w:bidi="ar-SA"/>
              </w:rPr>
              <w:t xml:space="preserve"> 3 </w:t>
            </w:r>
            <w:r>
              <w:rPr>
                <w:rFonts w:hint="eastAsia" w:ascii="宋体" w:hAnsi="宋体" w:eastAsia="宋体" w:cs="宋体"/>
                <w:caps w:val="0"/>
                <w:smallCaps w:val="0"/>
                <w:snapToGrid w:val="0"/>
                <w:color w:val="auto"/>
                <w:spacing w:val="0"/>
                <w:kern w:val="0"/>
                <w:sz w:val="22"/>
                <w:szCs w:val="22"/>
                <w:highlight w:val="none"/>
                <w:lang w:val="en-US" w:eastAsia="zh-CN" w:bidi="ar-SA"/>
              </w:rPr>
              <w:t>分）</w:t>
            </w:r>
          </w:p>
        </w:tc>
        <w:tc>
          <w:tcPr>
            <w:tcW w:w="3868" w:type="dxa"/>
            <w:gridSpan w:val="2"/>
            <w:tcBorders>
              <w:top w:val="single" w:color="auto" w:sz="4" w:space="0"/>
              <w:left w:val="single" w:color="auto" w:sz="4" w:space="0"/>
              <w:bottom w:val="single" w:color="auto" w:sz="4" w:space="0"/>
              <w:right w:val="single" w:color="auto" w:sz="4" w:space="0"/>
            </w:tcBorders>
            <w:noWrap w:val="0"/>
            <w:vAlign w:val="center"/>
          </w:tcPr>
          <w:p w14:paraId="16F62ECC">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【优】得该项评分因素分值的90%～100%（含90%）。</w:t>
            </w:r>
          </w:p>
          <w:p w14:paraId="43B3257C">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【良】得该项评分因素分值的80%～90%（含80%）。</w:t>
            </w:r>
          </w:p>
          <w:p w14:paraId="56D845F0">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【中】得该项评分因素分值的70%～80%（含70%）。</w:t>
            </w:r>
          </w:p>
          <w:p w14:paraId="3FD70982">
            <w:pPr>
              <w:keepNext w:val="0"/>
              <w:keepLines w:val="0"/>
              <w:pageBreakBefore w:val="0"/>
              <w:widowControl w:val="0"/>
              <w:kinsoku/>
              <w:wordWrap w:val="0"/>
              <w:overflowPunct/>
              <w:topLinePunct w:val="0"/>
              <w:autoSpaceDE/>
              <w:autoSpaceDN/>
              <w:bidi w:val="0"/>
              <w:adjustRightInd w:val="0"/>
              <w:snapToGrid w:val="0"/>
              <w:spacing w:before="0" w:afterAutospacing="0" w:line="340" w:lineRule="exact"/>
              <w:ind w:left="0" w:leftChars="0" w:right="0" w:rightChars="0" w:firstLine="0" w:firstLineChars="0"/>
              <w:jc w:val="left"/>
              <w:textAlignment w:val="auto"/>
              <w:outlineLvl w:val="9"/>
              <w:rPr>
                <w:rFonts w:hint="eastAsia" w:ascii="宋体" w:hAnsi="宋体" w:eastAsia="宋体" w:cs="宋体"/>
                <w:snapToGrid w:val="0"/>
                <w:color w:val="auto"/>
                <w:kern w:val="0"/>
                <w:sz w:val="22"/>
                <w:szCs w:val="22"/>
                <w:highlight w:val="none"/>
              </w:rPr>
            </w:pPr>
            <w:r>
              <w:rPr>
                <w:rFonts w:hint="eastAsia" w:ascii="宋体" w:hAnsi="宋体" w:eastAsia="宋体" w:cs="宋体"/>
                <w:caps w:val="0"/>
                <w:smallCaps w:val="0"/>
                <w:snapToGrid w:val="0"/>
                <w:color w:val="auto"/>
                <w:spacing w:val="0"/>
                <w:kern w:val="0"/>
                <w:sz w:val="22"/>
                <w:szCs w:val="22"/>
                <w:highlight w:val="none"/>
                <w:lang w:val="en-US" w:eastAsia="zh-CN" w:bidi="ar-SA"/>
              </w:rPr>
              <w:t>【差】得该项评分因素分值的60～70%（含60%）。</w:t>
            </w:r>
          </w:p>
        </w:tc>
        <w:tc>
          <w:tcPr>
            <w:tcW w:w="5065" w:type="dxa"/>
            <w:tcBorders>
              <w:top w:val="single" w:color="auto" w:sz="4" w:space="0"/>
              <w:left w:val="single" w:color="auto" w:sz="4" w:space="0"/>
              <w:bottom w:val="single" w:color="auto" w:sz="4" w:space="0"/>
              <w:right w:val="single" w:color="auto" w:sz="4" w:space="0"/>
            </w:tcBorders>
            <w:noWrap w:val="0"/>
            <w:vAlign w:val="center"/>
          </w:tcPr>
          <w:p w14:paraId="23D54074">
            <w:pPr>
              <w:keepNext w:val="0"/>
              <w:keepLines w:val="0"/>
              <w:pageBreakBefore w:val="0"/>
              <w:widowControl w:val="0"/>
              <w:kinsoku/>
              <w:wordWrap w:val="0"/>
              <w:overflowPunct/>
              <w:topLinePunct w:val="0"/>
              <w:autoSpaceDE/>
              <w:autoSpaceDN/>
              <w:bidi w:val="0"/>
              <w:adjustRightInd w:val="0"/>
              <w:snapToGrid w:val="0"/>
              <w:spacing w:before="0" w:afterAutospacing="0" w:line="340" w:lineRule="exact"/>
              <w:ind w:left="0" w:leftChars="0" w:right="0" w:rightChars="0" w:firstLine="0" w:firstLineChars="0"/>
              <w:jc w:val="left"/>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【优】对项目总体有深刻认识，表述清晰、完整、严谨、合理，措施先进、具体、有效、成熟，采用了新技术、新工艺、新材料、新设备；施工段划分呼应总体表述，划分清晰、合理，符合规范要求。</w:t>
            </w:r>
          </w:p>
          <w:p w14:paraId="12153FF5">
            <w:pPr>
              <w:keepNext w:val="0"/>
              <w:keepLines w:val="0"/>
              <w:pageBreakBefore w:val="0"/>
              <w:widowControl w:val="0"/>
              <w:kinsoku/>
              <w:wordWrap w:val="0"/>
              <w:overflowPunct/>
              <w:topLinePunct w:val="0"/>
              <w:autoSpaceDE/>
              <w:autoSpaceDN/>
              <w:bidi w:val="0"/>
              <w:adjustRightInd w:val="0"/>
              <w:snapToGrid w:val="0"/>
              <w:spacing w:before="0" w:afterAutospacing="0" w:line="340" w:lineRule="exact"/>
              <w:ind w:left="0" w:leftChars="0" w:right="0" w:rightChars="0" w:firstLine="0" w:firstLineChars="0"/>
              <w:jc w:val="left"/>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【良】对项目总体有一定认识，表述清晰、完整，措施具体有效；施工段划分呼应总体表述，划分清晰，符合规范要求。</w:t>
            </w:r>
          </w:p>
          <w:p w14:paraId="5EBA7D58">
            <w:pPr>
              <w:keepNext w:val="0"/>
              <w:keepLines w:val="0"/>
              <w:pageBreakBefore w:val="0"/>
              <w:widowControl w:val="0"/>
              <w:kinsoku/>
              <w:wordWrap w:val="0"/>
              <w:overflowPunct/>
              <w:topLinePunct w:val="0"/>
              <w:autoSpaceDE/>
              <w:autoSpaceDN/>
              <w:bidi w:val="0"/>
              <w:adjustRightInd w:val="0"/>
              <w:snapToGrid w:val="0"/>
              <w:spacing w:before="0" w:afterAutospacing="0" w:line="340" w:lineRule="exact"/>
              <w:ind w:left="0" w:leftChars="0" w:right="0" w:rightChars="0" w:firstLine="0" w:firstLineChars="0"/>
              <w:jc w:val="left"/>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【中】对项目总体有认识，有一定的措施但部分不具体；施工段划分较合理，符合规范要求。</w:t>
            </w:r>
          </w:p>
          <w:p w14:paraId="5C73A9B2">
            <w:pPr>
              <w:keepNext w:val="0"/>
              <w:keepLines w:val="0"/>
              <w:pageBreakBefore w:val="0"/>
              <w:widowControl w:val="0"/>
              <w:kinsoku/>
              <w:wordWrap w:val="0"/>
              <w:overflowPunct/>
              <w:topLinePunct w:val="0"/>
              <w:autoSpaceDE/>
              <w:autoSpaceDN/>
              <w:bidi w:val="0"/>
              <w:adjustRightInd w:val="0"/>
              <w:snapToGrid w:val="0"/>
              <w:spacing w:before="0" w:afterAutospacing="0" w:line="340" w:lineRule="exact"/>
              <w:ind w:left="0" w:leftChars="0" w:right="0" w:rightChars="0" w:firstLine="0" w:firstLineChars="0"/>
              <w:jc w:val="left"/>
              <w:textAlignment w:val="auto"/>
              <w:outlineLvl w:val="9"/>
              <w:rPr>
                <w:rFonts w:hint="eastAsia" w:ascii="宋体" w:hAnsi="宋体" w:eastAsia="宋体" w:cs="宋体"/>
                <w:snapToGrid w:val="0"/>
                <w:color w:val="auto"/>
                <w:kern w:val="0"/>
                <w:sz w:val="22"/>
                <w:szCs w:val="22"/>
                <w:highlight w:val="none"/>
              </w:rPr>
            </w:pPr>
            <w:r>
              <w:rPr>
                <w:rFonts w:hint="eastAsia" w:ascii="宋体" w:hAnsi="宋体" w:eastAsia="宋体" w:cs="宋体"/>
                <w:caps w:val="0"/>
                <w:smallCaps w:val="0"/>
                <w:snapToGrid w:val="0"/>
                <w:color w:val="auto"/>
                <w:spacing w:val="0"/>
                <w:kern w:val="0"/>
                <w:sz w:val="22"/>
                <w:szCs w:val="22"/>
                <w:highlight w:val="none"/>
                <w:lang w:val="en-US" w:eastAsia="zh-CN" w:bidi="ar-SA"/>
              </w:rPr>
              <w:t>【差】对项目认识不足，表述不清晰，措施不具体；施工段划分不合理。</w:t>
            </w:r>
          </w:p>
        </w:tc>
      </w:tr>
      <w:tr w14:paraId="037BBC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6" w:hRule="atLeast"/>
          <w:jc w:val="center"/>
        </w:trPr>
        <w:tc>
          <w:tcPr>
            <w:tcW w:w="1491" w:type="dxa"/>
            <w:tcBorders>
              <w:top w:val="single" w:color="auto" w:sz="4" w:space="0"/>
              <w:left w:val="single" w:color="auto" w:sz="4" w:space="0"/>
              <w:bottom w:val="single" w:color="auto" w:sz="4" w:space="0"/>
              <w:right w:val="single" w:color="auto" w:sz="4" w:space="0"/>
            </w:tcBorders>
            <w:noWrap w:val="0"/>
            <w:vAlign w:val="center"/>
          </w:tcPr>
          <w:p w14:paraId="4426F8C1">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center"/>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施工总进</w:t>
            </w:r>
          </w:p>
          <w:p w14:paraId="3DAB3C6A">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center"/>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度计划及</w:t>
            </w:r>
          </w:p>
          <w:p w14:paraId="6FB92D06">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center"/>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保证措施</w:t>
            </w:r>
          </w:p>
          <w:p w14:paraId="6780E205">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center"/>
              <w:textAlignment w:val="auto"/>
              <w:outlineLvl w:val="9"/>
              <w:rPr>
                <w:rFonts w:hint="eastAsia" w:ascii="宋体" w:hAnsi="宋体" w:eastAsia="宋体" w:cs="宋体"/>
                <w:snapToGrid w:val="0"/>
                <w:color w:val="auto"/>
                <w:kern w:val="0"/>
                <w:sz w:val="22"/>
                <w:szCs w:val="22"/>
                <w:highlight w:val="none"/>
              </w:rPr>
            </w:pPr>
            <w:r>
              <w:rPr>
                <w:rFonts w:hint="eastAsia" w:ascii="宋体" w:hAnsi="宋体" w:eastAsia="宋体" w:cs="宋体"/>
                <w:caps w:val="0"/>
                <w:smallCaps w:val="0"/>
                <w:snapToGrid w:val="0"/>
                <w:color w:val="auto"/>
                <w:spacing w:val="0"/>
                <w:kern w:val="0"/>
                <w:sz w:val="22"/>
                <w:szCs w:val="22"/>
                <w:highlight w:val="none"/>
                <w:lang w:val="en-US" w:eastAsia="zh-CN" w:bidi="ar-SA"/>
              </w:rPr>
              <w:t>（</w:t>
            </w:r>
            <w:r>
              <w:rPr>
                <w:rFonts w:hint="eastAsia" w:ascii="宋体" w:hAnsi="宋体" w:eastAsia="宋体" w:cs="宋体"/>
                <w:caps w:val="0"/>
                <w:smallCaps w:val="0"/>
                <w:snapToGrid w:val="0"/>
                <w:color w:val="auto"/>
                <w:spacing w:val="0"/>
                <w:kern w:val="0"/>
                <w:sz w:val="22"/>
                <w:szCs w:val="22"/>
                <w:highlight w:val="none"/>
                <w:u w:val="single"/>
                <w:lang w:val="en-US" w:eastAsia="zh-CN" w:bidi="ar-SA"/>
              </w:rPr>
              <w:t xml:space="preserve"> 3 </w:t>
            </w:r>
            <w:r>
              <w:rPr>
                <w:rFonts w:hint="eastAsia" w:ascii="宋体" w:hAnsi="宋体" w:eastAsia="宋体" w:cs="宋体"/>
                <w:caps w:val="0"/>
                <w:smallCaps w:val="0"/>
                <w:snapToGrid w:val="0"/>
                <w:color w:val="auto"/>
                <w:spacing w:val="0"/>
                <w:kern w:val="0"/>
                <w:sz w:val="22"/>
                <w:szCs w:val="22"/>
                <w:highlight w:val="none"/>
                <w:lang w:val="en-US" w:eastAsia="zh-CN" w:bidi="ar-SA"/>
              </w:rPr>
              <w:t>分）</w:t>
            </w:r>
          </w:p>
        </w:tc>
        <w:tc>
          <w:tcPr>
            <w:tcW w:w="3868" w:type="dxa"/>
            <w:gridSpan w:val="2"/>
            <w:tcBorders>
              <w:top w:val="single" w:color="auto" w:sz="4" w:space="0"/>
              <w:left w:val="single" w:color="auto" w:sz="4" w:space="0"/>
              <w:bottom w:val="single" w:color="auto" w:sz="4" w:space="0"/>
              <w:right w:val="single" w:color="auto" w:sz="4" w:space="0"/>
            </w:tcBorders>
            <w:noWrap w:val="0"/>
            <w:vAlign w:val="center"/>
          </w:tcPr>
          <w:p w14:paraId="55E9097A">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【优】得该项评分因素分值的90%～100%（含90%）。</w:t>
            </w:r>
          </w:p>
          <w:p w14:paraId="2BB77EA5">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【良】得该项评分因素分值的80%～90%（含80%）。</w:t>
            </w:r>
          </w:p>
          <w:p w14:paraId="6971F765">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【中】得该项评分因素分值的70%～80%（含70%）。</w:t>
            </w:r>
          </w:p>
          <w:p w14:paraId="058DCEF2">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snapToGrid w:val="0"/>
                <w:color w:val="auto"/>
                <w:kern w:val="0"/>
                <w:sz w:val="22"/>
                <w:szCs w:val="22"/>
                <w:highlight w:val="none"/>
              </w:rPr>
            </w:pPr>
            <w:r>
              <w:rPr>
                <w:rFonts w:hint="eastAsia" w:ascii="宋体" w:hAnsi="宋体" w:eastAsia="宋体" w:cs="宋体"/>
                <w:caps w:val="0"/>
                <w:smallCaps w:val="0"/>
                <w:snapToGrid w:val="0"/>
                <w:color w:val="auto"/>
                <w:spacing w:val="0"/>
                <w:kern w:val="0"/>
                <w:sz w:val="22"/>
                <w:szCs w:val="22"/>
                <w:highlight w:val="none"/>
                <w:lang w:val="en-US" w:eastAsia="zh-CN" w:bidi="ar-SA"/>
              </w:rPr>
              <w:t>【差】得该项评分因素分值的60～70%（含60%）。</w:t>
            </w:r>
          </w:p>
        </w:tc>
        <w:tc>
          <w:tcPr>
            <w:tcW w:w="5065" w:type="dxa"/>
            <w:tcBorders>
              <w:top w:val="single" w:color="auto" w:sz="4" w:space="0"/>
              <w:left w:val="single" w:color="auto" w:sz="4" w:space="0"/>
              <w:bottom w:val="single" w:color="auto" w:sz="4" w:space="0"/>
              <w:right w:val="single" w:color="auto" w:sz="4" w:space="0"/>
            </w:tcBorders>
            <w:noWrap w:val="0"/>
            <w:vAlign w:val="center"/>
          </w:tcPr>
          <w:p w14:paraId="08EE883E">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b/>
                <w:bCs/>
                <w:caps w:val="0"/>
                <w:smallCaps w:val="0"/>
                <w:strike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优】关键线路清晰、准确、完整，计划编制合理、可行。关键节点的控制措施有力、合理、可行。人、材、机需求和进场计划与进度计划相呼应，较好满足施工需要，调配投入计划合理、准确。进度违约责任承诺具体，</w:t>
            </w:r>
            <w:r>
              <w:rPr>
                <w:rFonts w:hint="eastAsia" w:ascii="宋体" w:hAnsi="宋体" w:eastAsia="宋体" w:cs="宋体"/>
                <w:b/>
                <w:bCs/>
                <w:caps w:val="0"/>
                <w:smallCaps w:val="0"/>
                <w:strike w:val="0"/>
                <w:dstrike w:val="0"/>
                <w:snapToGrid w:val="0"/>
                <w:color w:val="auto"/>
                <w:spacing w:val="0"/>
                <w:kern w:val="0"/>
                <w:sz w:val="22"/>
                <w:szCs w:val="22"/>
                <w:highlight w:val="none"/>
                <w:lang w:val="en-US" w:eastAsia="zh-CN" w:bidi="ar-SA"/>
              </w:rPr>
              <w:t>经济赔偿合理。</w:t>
            </w:r>
          </w:p>
          <w:p w14:paraId="2EA59569">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b/>
                <w:bCs/>
                <w:caps w:val="0"/>
                <w:smallCaps w:val="0"/>
                <w:strike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【良】关键线路清晰、准确、完整，计划编制可行。关键节点的控制措施合理、可行。人、材、机需求和进场计划与进度计划相呼应，基本满足施工需要，调配投入计划基本合理、准确。进度违约责任承诺具体，</w:t>
            </w:r>
            <w:r>
              <w:rPr>
                <w:rFonts w:hint="eastAsia" w:ascii="宋体" w:hAnsi="宋体" w:eastAsia="宋体" w:cs="宋体"/>
                <w:b/>
                <w:bCs/>
                <w:caps w:val="0"/>
                <w:smallCaps w:val="0"/>
                <w:strike w:val="0"/>
                <w:dstrike w:val="0"/>
                <w:snapToGrid w:val="0"/>
                <w:color w:val="auto"/>
                <w:spacing w:val="0"/>
                <w:kern w:val="0"/>
                <w:sz w:val="22"/>
                <w:szCs w:val="22"/>
                <w:highlight w:val="none"/>
                <w:lang w:val="en-US" w:eastAsia="zh-CN" w:bidi="ar-SA"/>
              </w:rPr>
              <w:t>经济赔偿较合理。</w:t>
            </w:r>
          </w:p>
          <w:p w14:paraId="62077663">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【中】关键线路基本准确，计划编制基本合理。关键节点的控制措施基本可行。人、材、机需求和进场计划与进度计划相呼应，基本满足施工需要，调配投入计划基本合理。进度违约责任承诺具体。</w:t>
            </w:r>
          </w:p>
          <w:p w14:paraId="6FD8C0F5">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snapToGrid w:val="0"/>
                <w:color w:val="auto"/>
                <w:kern w:val="0"/>
                <w:sz w:val="22"/>
                <w:szCs w:val="22"/>
                <w:highlight w:val="none"/>
              </w:rPr>
            </w:pPr>
            <w:r>
              <w:rPr>
                <w:rFonts w:hint="eastAsia" w:ascii="宋体" w:hAnsi="宋体" w:eastAsia="宋体" w:cs="宋体"/>
                <w:caps w:val="0"/>
                <w:smallCaps w:val="0"/>
                <w:snapToGrid w:val="0"/>
                <w:color w:val="auto"/>
                <w:spacing w:val="0"/>
                <w:kern w:val="0"/>
                <w:sz w:val="22"/>
                <w:szCs w:val="22"/>
                <w:highlight w:val="none"/>
                <w:lang w:val="en-US" w:eastAsia="zh-CN" w:bidi="ar-SA"/>
              </w:rPr>
              <w:t>【差】关键线路不准确，计划编制不合理。关键节点的控制不可行。人、材、机需求和进场计划与进度计划不相呼应，不能满足施工需要。没有违约责任承诺。</w:t>
            </w:r>
          </w:p>
        </w:tc>
      </w:tr>
      <w:tr w14:paraId="0D76AB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1" w:hRule="atLeast"/>
          <w:jc w:val="center"/>
        </w:trPr>
        <w:tc>
          <w:tcPr>
            <w:tcW w:w="1491" w:type="dxa"/>
            <w:tcBorders>
              <w:top w:val="single" w:color="auto" w:sz="4" w:space="0"/>
              <w:left w:val="single" w:color="auto" w:sz="4" w:space="0"/>
              <w:bottom w:val="single" w:color="auto" w:sz="4" w:space="0"/>
              <w:right w:val="single" w:color="auto" w:sz="4" w:space="0"/>
            </w:tcBorders>
            <w:noWrap w:val="0"/>
            <w:vAlign w:val="center"/>
          </w:tcPr>
          <w:p w14:paraId="0871ECF0">
            <w:pPr>
              <w:pStyle w:val="27"/>
              <w:wordWrap w:val="0"/>
              <w:spacing w:line="400" w:lineRule="exact"/>
              <w:jc w:val="center"/>
              <w:rPr>
                <w:rFonts w:eastAsia="宋体"/>
                <w:snapToGrid w:val="0"/>
                <w:color w:val="auto"/>
                <w:kern w:val="0"/>
                <w:sz w:val="22"/>
                <w:szCs w:val="22"/>
                <w:highlight w:val="none"/>
              </w:rPr>
            </w:pPr>
            <w:r>
              <w:rPr>
                <w:rFonts w:hint="eastAsia" w:eastAsia="宋体"/>
                <w:snapToGrid w:val="0"/>
                <w:color w:val="auto"/>
                <w:kern w:val="0"/>
                <w:sz w:val="22"/>
                <w:szCs w:val="22"/>
                <w:highlight w:val="none"/>
              </w:rPr>
              <w:t>质量</w:t>
            </w:r>
          </w:p>
          <w:p w14:paraId="1FBF3AEC">
            <w:pPr>
              <w:pStyle w:val="27"/>
              <w:wordWrap w:val="0"/>
              <w:spacing w:line="400" w:lineRule="exact"/>
              <w:jc w:val="center"/>
              <w:rPr>
                <w:rFonts w:eastAsia="宋体"/>
                <w:snapToGrid w:val="0"/>
                <w:color w:val="auto"/>
                <w:kern w:val="0"/>
                <w:sz w:val="22"/>
                <w:szCs w:val="22"/>
                <w:highlight w:val="none"/>
              </w:rPr>
            </w:pPr>
            <w:r>
              <w:rPr>
                <w:rFonts w:hint="eastAsia" w:eastAsia="宋体"/>
                <w:snapToGrid w:val="0"/>
                <w:color w:val="auto"/>
                <w:kern w:val="0"/>
                <w:sz w:val="22"/>
                <w:szCs w:val="22"/>
                <w:highlight w:val="none"/>
              </w:rPr>
              <w:t>保证措施</w:t>
            </w:r>
          </w:p>
          <w:p w14:paraId="1277B614">
            <w:pPr>
              <w:pStyle w:val="27"/>
              <w:wordWrap w:val="0"/>
              <w:spacing w:line="400" w:lineRule="exact"/>
              <w:jc w:val="center"/>
              <w:rPr>
                <w:rFonts w:hint="eastAsia" w:ascii="宋体" w:hAnsi="宋体" w:eastAsia="宋体" w:cs="宋体"/>
                <w:caps w:val="0"/>
                <w:smallCaps w:val="0"/>
                <w:snapToGrid w:val="0"/>
                <w:color w:val="auto"/>
                <w:spacing w:val="0"/>
                <w:kern w:val="0"/>
                <w:sz w:val="22"/>
                <w:szCs w:val="22"/>
                <w:highlight w:val="none"/>
                <w:lang w:eastAsia="zh-CN"/>
              </w:rPr>
            </w:pPr>
            <w:r>
              <w:rPr>
                <w:rFonts w:hint="eastAsia" w:eastAsia="宋体"/>
                <w:snapToGrid w:val="0"/>
                <w:color w:val="auto"/>
                <w:kern w:val="0"/>
                <w:sz w:val="22"/>
                <w:szCs w:val="22"/>
                <w:highlight w:val="none"/>
              </w:rPr>
              <w:t>（</w:t>
            </w:r>
            <w:r>
              <w:rPr>
                <w:rFonts w:hint="eastAsia" w:ascii="宋体" w:hAnsi="宋体" w:eastAsia="宋体" w:cs="宋体"/>
                <w:caps w:val="0"/>
                <w:smallCaps w:val="0"/>
                <w:snapToGrid w:val="0"/>
                <w:color w:val="auto"/>
                <w:spacing w:val="0"/>
                <w:kern w:val="0"/>
                <w:sz w:val="22"/>
                <w:szCs w:val="22"/>
                <w:highlight w:val="none"/>
                <w:u w:val="single"/>
                <w:lang w:val="en-US" w:eastAsia="zh-CN" w:bidi="ar-SA"/>
              </w:rPr>
              <w:t xml:space="preserve"> 4 </w:t>
            </w:r>
            <w:r>
              <w:rPr>
                <w:rFonts w:hint="eastAsia" w:eastAsia="宋体"/>
                <w:snapToGrid w:val="0"/>
                <w:color w:val="auto"/>
                <w:kern w:val="0"/>
                <w:sz w:val="22"/>
                <w:szCs w:val="22"/>
                <w:highlight w:val="none"/>
              </w:rPr>
              <w:t>分）</w:t>
            </w:r>
          </w:p>
        </w:tc>
        <w:tc>
          <w:tcPr>
            <w:tcW w:w="3868" w:type="dxa"/>
            <w:gridSpan w:val="2"/>
            <w:tcBorders>
              <w:top w:val="single" w:color="auto" w:sz="4" w:space="0"/>
              <w:left w:val="single" w:color="auto" w:sz="4" w:space="0"/>
              <w:bottom w:val="single" w:color="auto" w:sz="4" w:space="0"/>
              <w:right w:val="single" w:color="auto" w:sz="4" w:space="0"/>
            </w:tcBorders>
            <w:noWrap w:val="0"/>
            <w:vAlign w:val="center"/>
          </w:tcPr>
          <w:p w14:paraId="2007839E">
            <w:pPr>
              <w:pStyle w:val="26"/>
              <w:wordWrap w:val="0"/>
              <w:spacing w:line="400" w:lineRule="exact"/>
              <w:rPr>
                <w:rFonts w:eastAsia="宋体"/>
                <w:snapToGrid w:val="0"/>
                <w:color w:val="auto"/>
                <w:kern w:val="0"/>
                <w:sz w:val="22"/>
                <w:szCs w:val="22"/>
                <w:highlight w:val="none"/>
              </w:rPr>
            </w:pPr>
            <w:r>
              <w:rPr>
                <w:rFonts w:hint="eastAsia" w:eastAsia="宋体"/>
                <w:snapToGrid w:val="0"/>
                <w:color w:val="auto"/>
                <w:kern w:val="0"/>
                <w:sz w:val="22"/>
                <w:szCs w:val="22"/>
                <w:highlight w:val="none"/>
              </w:rPr>
              <w:t>【优】得该项评分因素分值的90%～100%（含90%）。</w:t>
            </w:r>
          </w:p>
          <w:p w14:paraId="0DDE4CE8">
            <w:pPr>
              <w:pStyle w:val="26"/>
              <w:wordWrap w:val="0"/>
              <w:spacing w:line="400" w:lineRule="exact"/>
              <w:rPr>
                <w:rFonts w:eastAsia="宋体"/>
                <w:snapToGrid w:val="0"/>
                <w:color w:val="auto"/>
                <w:kern w:val="0"/>
                <w:sz w:val="22"/>
                <w:szCs w:val="22"/>
                <w:highlight w:val="none"/>
              </w:rPr>
            </w:pPr>
            <w:r>
              <w:rPr>
                <w:rFonts w:hint="eastAsia" w:eastAsia="宋体"/>
                <w:snapToGrid w:val="0"/>
                <w:color w:val="auto"/>
                <w:kern w:val="0"/>
                <w:sz w:val="22"/>
                <w:szCs w:val="22"/>
                <w:highlight w:val="none"/>
              </w:rPr>
              <w:t>【良】得该项评分因素分值的80%～90%（含80%）。</w:t>
            </w:r>
          </w:p>
          <w:p w14:paraId="226B370B">
            <w:pPr>
              <w:pStyle w:val="26"/>
              <w:wordWrap w:val="0"/>
              <w:spacing w:line="400" w:lineRule="exact"/>
              <w:rPr>
                <w:rFonts w:eastAsia="宋体"/>
                <w:snapToGrid w:val="0"/>
                <w:color w:val="auto"/>
                <w:kern w:val="0"/>
                <w:sz w:val="22"/>
                <w:szCs w:val="22"/>
                <w:highlight w:val="none"/>
              </w:rPr>
            </w:pPr>
            <w:r>
              <w:rPr>
                <w:rFonts w:hint="eastAsia" w:eastAsia="宋体"/>
                <w:snapToGrid w:val="0"/>
                <w:color w:val="auto"/>
                <w:kern w:val="0"/>
                <w:sz w:val="22"/>
                <w:szCs w:val="22"/>
                <w:highlight w:val="none"/>
              </w:rPr>
              <w:t>【中】得该项评分因素分值的70%～80%（含70%）。</w:t>
            </w:r>
          </w:p>
          <w:p w14:paraId="0860C7AB">
            <w:pPr>
              <w:pStyle w:val="28"/>
              <w:wordWrap w:val="0"/>
              <w:spacing w:line="400" w:lineRule="exact"/>
              <w:rPr>
                <w:rFonts w:hint="eastAsia" w:ascii="宋体" w:hAnsi="宋体" w:eastAsia="宋体" w:cs="宋体"/>
                <w:caps w:val="0"/>
                <w:smallCaps w:val="0"/>
                <w:snapToGrid w:val="0"/>
                <w:color w:val="auto"/>
                <w:spacing w:val="0"/>
                <w:kern w:val="0"/>
                <w:sz w:val="22"/>
                <w:szCs w:val="22"/>
                <w:highlight w:val="none"/>
              </w:rPr>
            </w:pPr>
            <w:r>
              <w:rPr>
                <w:rFonts w:hint="eastAsia" w:eastAsia="宋体"/>
                <w:snapToGrid w:val="0"/>
                <w:color w:val="auto"/>
                <w:kern w:val="0"/>
                <w:sz w:val="22"/>
                <w:szCs w:val="22"/>
                <w:highlight w:val="none"/>
              </w:rPr>
              <w:t>【差】得该项评分因素分值的60～70%（含60%）。</w:t>
            </w:r>
          </w:p>
        </w:tc>
        <w:tc>
          <w:tcPr>
            <w:tcW w:w="5065" w:type="dxa"/>
            <w:tcBorders>
              <w:top w:val="single" w:color="auto" w:sz="4" w:space="0"/>
              <w:left w:val="single" w:color="auto" w:sz="4" w:space="0"/>
              <w:bottom w:val="single" w:color="auto" w:sz="4" w:space="0"/>
              <w:right w:val="single" w:color="auto" w:sz="4" w:space="0"/>
            </w:tcBorders>
            <w:noWrap w:val="0"/>
            <w:vAlign w:val="center"/>
          </w:tcPr>
          <w:p w14:paraId="3FF594C8">
            <w:pPr>
              <w:pStyle w:val="5"/>
              <w:wordWrap w:val="0"/>
              <w:spacing w:after="0" w:line="400" w:lineRule="exact"/>
              <w:rPr>
                <w:rFonts w:ascii="Times New Roman"/>
                <w:snapToGrid w:val="0"/>
                <w:color w:val="auto"/>
                <w:kern w:val="0"/>
                <w:sz w:val="22"/>
                <w:szCs w:val="22"/>
                <w:highlight w:val="none"/>
              </w:rPr>
            </w:pPr>
            <w:r>
              <w:rPr>
                <w:rFonts w:ascii="Times New Roman"/>
                <w:snapToGrid w:val="0"/>
                <w:color w:val="auto"/>
                <w:kern w:val="0"/>
                <w:sz w:val="22"/>
                <w:szCs w:val="22"/>
                <w:highlight w:val="none"/>
              </w:rPr>
              <w:t>【优】应用新技术、新工艺、新材料、新设备，针对项目实际提出先进、可行、具体的保证措施。超过招标文件的质量要求。</w:t>
            </w:r>
          </w:p>
          <w:p w14:paraId="5D7DABA4">
            <w:pPr>
              <w:pStyle w:val="5"/>
              <w:wordWrap w:val="0"/>
              <w:spacing w:after="0" w:line="400" w:lineRule="exact"/>
              <w:rPr>
                <w:rFonts w:hint="default" w:ascii="Times New Roman"/>
                <w:b/>
                <w:bCs/>
                <w:snapToGrid w:val="0"/>
                <w:color w:val="auto"/>
                <w:kern w:val="0"/>
                <w:sz w:val="22"/>
                <w:szCs w:val="22"/>
                <w:highlight w:val="none"/>
              </w:rPr>
            </w:pPr>
            <w:r>
              <w:rPr>
                <w:rFonts w:ascii="Times New Roman"/>
                <w:snapToGrid w:val="0"/>
                <w:color w:val="auto"/>
                <w:kern w:val="0"/>
                <w:sz w:val="22"/>
                <w:szCs w:val="22"/>
                <w:highlight w:val="none"/>
              </w:rPr>
              <w:t>【良】针对项目实际提出先进、可行、具体的保证措施。满足招标文件的质量要求。</w:t>
            </w:r>
          </w:p>
          <w:p w14:paraId="47C950B5">
            <w:pPr>
              <w:pStyle w:val="5"/>
              <w:wordWrap w:val="0"/>
              <w:spacing w:after="0" w:line="400" w:lineRule="exact"/>
              <w:rPr>
                <w:rFonts w:hint="eastAsia" w:ascii="Times New Roman" w:eastAsia="宋体"/>
                <w:snapToGrid w:val="0"/>
                <w:color w:val="auto"/>
                <w:kern w:val="0"/>
                <w:sz w:val="22"/>
                <w:szCs w:val="22"/>
                <w:highlight w:val="none"/>
                <w:lang w:eastAsia="zh-CN"/>
              </w:rPr>
            </w:pPr>
            <w:r>
              <w:rPr>
                <w:rFonts w:ascii="Times New Roman"/>
                <w:snapToGrid w:val="0"/>
                <w:color w:val="auto"/>
                <w:kern w:val="0"/>
                <w:sz w:val="22"/>
                <w:szCs w:val="22"/>
                <w:highlight w:val="none"/>
              </w:rPr>
              <w:t>【中】具体措施可行。满足招标文件的质量要求</w:t>
            </w:r>
            <w:r>
              <w:rPr>
                <w:rFonts w:hint="eastAsia" w:ascii="Times New Roman" w:eastAsia="宋体"/>
                <w:snapToGrid w:val="0"/>
                <w:color w:val="auto"/>
                <w:kern w:val="0"/>
                <w:sz w:val="22"/>
                <w:szCs w:val="22"/>
                <w:highlight w:val="none"/>
                <w:lang w:eastAsia="zh-CN"/>
              </w:rPr>
              <w:t>。</w:t>
            </w:r>
          </w:p>
          <w:p w14:paraId="59C3D929">
            <w:pPr>
              <w:pStyle w:val="28"/>
              <w:wordWrap w:val="0"/>
              <w:spacing w:line="400" w:lineRule="exact"/>
              <w:rPr>
                <w:rFonts w:hint="eastAsia" w:ascii="宋体" w:hAnsi="宋体" w:eastAsia="宋体" w:cs="宋体"/>
                <w:caps w:val="0"/>
                <w:smallCaps w:val="0"/>
                <w:snapToGrid w:val="0"/>
                <w:color w:val="auto"/>
                <w:spacing w:val="0"/>
                <w:kern w:val="0"/>
                <w:sz w:val="22"/>
                <w:szCs w:val="22"/>
                <w:highlight w:val="none"/>
              </w:rPr>
            </w:pPr>
            <w:r>
              <w:rPr>
                <w:rFonts w:hint="eastAsia" w:eastAsia="宋体"/>
                <w:snapToGrid w:val="0"/>
                <w:color w:val="auto"/>
                <w:kern w:val="0"/>
                <w:sz w:val="22"/>
                <w:szCs w:val="22"/>
                <w:highlight w:val="none"/>
              </w:rPr>
              <w:t>【差】措施不可行，没有质量违约责任承诺。</w:t>
            </w:r>
          </w:p>
        </w:tc>
      </w:tr>
      <w:tr w14:paraId="7D45C3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38" w:hRule="atLeast"/>
          <w:jc w:val="center"/>
        </w:trPr>
        <w:tc>
          <w:tcPr>
            <w:tcW w:w="1491" w:type="dxa"/>
            <w:tcBorders>
              <w:top w:val="single" w:color="auto" w:sz="4" w:space="0"/>
              <w:left w:val="single" w:color="auto" w:sz="4" w:space="0"/>
              <w:bottom w:val="single" w:color="auto" w:sz="4" w:space="0"/>
              <w:right w:val="single" w:color="auto" w:sz="4" w:space="0"/>
            </w:tcBorders>
            <w:noWrap w:val="0"/>
            <w:vAlign w:val="center"/>
          </w:tcPr>
          <w:p w14:paraId="64309F90">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center"/>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施工</w:t>
            </w:r>
          </w:p>
          <w:p w14:paraId="10E0DBEF">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center"/>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技术措施</w:t>
            </w:r>
          </w:p>
          <w:p w14:paraId="7A2152B7">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center"/>
              <w:textAlignment w:val="auto"/>
              <w:outlineLvl w:val="9"/>
              <w:rPr>
                <w:rFonts w:hint="eastAsia" w:ascii="宋体" w:hAnsi="宋体" w:eastAsia="宋体" w:cs="宋体"/>
                <w:caps w:val="0"/>
                <w:smallCaps w:val="0"/>
                <w:snapToGrid w:val="0"/>
                <w:color w:val="auto"/>
                <w:spacing w:val="0"/>
                <w:kern w:val="0"/>
                <w:sz w:val="22"/>
                <w:szCs w:val="22"/>
                <w:highlight w:val="none"/>
                <w:lang w:eastAsia="zh-CN"/>
              </w:rPr>
            </w:pPr>
            <w:r>
              <w:rPr>
                <w:rFonts w:hint="eastAsia" w:ascii="宋体" w:hAnsi="宋体" w:eastAsia="宋体" w:cs="宋体"/>
                <w:caps w:val="0"/>
                <w:smallCaps w:val="0"/>
                <w:snapToGrid w:val="0"/>
                <w:color w:val="auto"/>
                <w:spacing w:val="0"/>
                <w:kern w:val="0"/>
                <w:sz w:val="22"/>
                <w:szCs w:val="22"/>
                <w:highlight w:val="none"/>
                <w:lang w:val="en-US" w:eastAsia="zh-CN" w:bidi="ar-SA"/>
              </w:rPr>
              <w:t>（</w:t>
            </w:r>
            <w:r>
              <w:rPr>
                <w:rFonts w:hint="eastAsia" w:ascii="宋体" w:hAnsi="宋体" w:eastAsia="宋体" w:cs="宋体"/>
                <w:caps w:val="0"/>
                <w:smallCaps w:val="0"/>
                <w:snapToGrid w:val="0"/>
                <w:color w:val="auto"/>
                <w:spacing w:val="0"/>
                <w:kern w:val="0"/>
                <w:sz w:val="22"/>
                <w:szCs w:val="22"/>
                <w:highlight w:val="none"/>
                <w:u w:val="single"/>
                <w:lang w:val="en-US" w:eastAsia="zh-CN" w:bidi="ar-SA"/>
              </w:rPr>
              <w:t xml:space="preserve"> 2 </w:t>
            </w:r>
            <w:r>
              <w:rPr>
                <w:rFonts w:hint="eastAsia" w:ascii="宋体" w:hAnsi="宋体" w:eastAsia="宋体" w:cs="宋体"/>
                <w:caps w:val="0"/>
                <w:smallCaps w:val="0"/>
                <w:snapToGrid w:val="0"/>
                <w:color w:val="auto"/>
                <w:spacing w:val="0"/>
                <w:kern w:val="0"/>
                <w:sz w:val="22"/>
                <w:szCs w:val="22"/>
                <w:highlight w:val="none"/>
                <w:lang w:val="en-US" w:eastAsia="zh-CN" w:bidi="ar-SA"/>
              </w:rPr>
              <w:t>分）</w:t>
            </w:r>
          </w:p>
        </w:tc>
        <w:tc>
          <w:tcPr>
            <w:tcW w:w="3868" w:type="dxa"/>
            <w:gridSpan w:val="2"/>
            <w:tcBorders>
              <w:top w:val="single" w:color="auto" w:sz="4" w:space="0"/>
              <w:left w:val="single" w:color="auto" w:sz="4" w:space="0"/>
              <w:bottom w:val="single" w:color="auto" w:sz="4" w:space="0"/>
              <w:right w:val="single" w:color="auto" w:sz="4" w:space="0"/>
            </w:tcBorders>
            <w:noWrap w:val="0"/>
            <w:vAlign w:val="center"/>
          </w:tcPr>
          <w:p w14:paraId="1D6A5A96">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【优】得该项评分因素分值的90%～100%（含90%）。</w:t>
            </w:r>
          </w:p>
          <w:p w14:paraId="46B998B6">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【良】得该项评分因素分值的80%～90%（含80%）。</w:t>
            </w:r>
          </w:p>
          <w:p w14:paraId="78138843">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【中】得该项评分因素分值的70%～80%（含70%）。</w:t>
            </w:r>
          </w:p>
          <w:p w14:paraId="45B4BB13">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rPr>
            </w:pPr>
            <w:r>
              <w:rPr>
                <w:rFonts w:hint="eastAsia" w:ascii="宋体" w:hAnsi="宋体" w:eastAsia="宋体" w:cs="宋体"/>
                <w:caps w:val="0"/>
                <w:smallCaps w:val="0"/>
                <w:snapToGrid w:val="0"/>
                <w:color w:val="auto"/>
                <w:spacing w:val="0"/>
                <w:kern w:val="0"/>
                <w:sz w:val="22"/>
                <w:szCs w:val="22"/>
                <w:highlight w:val="none"/>
                <w:lang w:val="en-US" w:eastAsia="zh-CN" w:bidi="ar-SA"/>
              </w:rPr>
              <w:t>【差】得该项评分因素分值的60～70%（含60%）。</w:t>
            </w:r>
          </w:p>
        </w:tc>
        <w:tc>
          <w:tcPr>
            <w:tcW w:w="5065" w:type="dxa"/>
            <w:tcBorders>
              <w:top w:val="single" w:color="auto" w:sz="4" w:space="0"/>
              <w:left w:val="single" w:color="auto" w:sz="4" w:space="0"/>
              <w:bottom w:val="single" w:color="auto" w:sz="4" w:space="0"/>
              <w:right w:val="single" w:color="auto" w:sz="4" w:space="0"/>
            </w:tcBorders>
            <w:noWrap w:val="0"/>
            <w:vAlign w:val="center"/>
          </w:tcPr>
          <w:p w14:paraId="303F18BA">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优】对项目关键技术、工艺有深入的表述，对重点、难点有先进、合理的建议，解决方案完整、经济、安全、切实可行，措施得力。针对项目实际，提出采用新技术的具体措施。新技术的验证材料可靠，对节约投资和工期的保证措施得力、具体、严谨。对采用新技术可能产生的风险有充分的预见，违约承诺具体，</w:t>
            </w:r>
            <w:r>
              <w:rPr>
                <w:rFonts w:hint="eastAsia" w:ascii="宋体" w:hAnsi="宋体" w:eastAsia="宋体" w:cs="宋体"/>
                <w:b/>
                <w:bCs/>
                <w:caps w:val="0"/>
                <w:smallCaps w:val="0"/>
                <w:strike w:val="0"/>
                <w:dstrike w:val="0"/>
                <w:snapToGrid w:val="0"/>
                <w:color w:val="auto"/>
                <w:spacing w:val="0"/>
                <w:kern w:val="0"/>
                <w:sz w:val="22"/>
                <w:szCs w:val="22"/>
                <w:highlight w:val="none"/>
                <w:lang w:val="en-US" w:eastAsia="zh-CN" w:bidi="ar-SA"/>
              </w:rPr>
              <w:t>经济赔偿合理。</w:t>
            </w:r>
          </w:p>
          <w:p w14:paraId="417C0F77">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b/>
                <w:bCs/>
                <w:caps w:val="0"/>
                <w:smallCaps w:val="0"/>
                <w:strike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良】对项目关键技术、工艺有深入的表述，对重点、难点有合理的建议，解决方案经济、安全、基本可行。针对项目实际，提出采用新技术的具体措施。新技术的验证材料可靠，对节约投资和工期有保证措施。对采用新技术可能产生的风险有一定的预见，违约责任承诺具体，</w:t>
            </w:r>
            <w:r>
              <w:rPr>
                <w:rFonts w:hint="eastAsia" w:ascii="宋体" w:hAnsi="宋体" w:eastAsia="宋体" w:cs="宋体"/>
                <w:b/>
                <w:bCs/>
                <w:caps w:val="0"/>
                <w:smallCaps w:val="0"/>
                <w:strike w:val="0"/>
                <w:dstrike w:val="0"/>
                <w:snapToGrid w:val="0"/>
                <w:color w:val="auto"/>
                <w:spacing w:val="0"/>
                <w:kern w:val="0"/>
                <w:sz w:val="22"/>
                <w:szCs w:val="22"/>
                <w:highlight w:val="none"/>
                <w:lang w:val="en-US" w:eastAsia="zh-CN" w:bidi="ar-SA"/>
              </w:rPr>
              <w:t>经济赔偿较合理。</w:t>
            </w:r>
          </w:p>
          <w:p w14:paraId="44507D00">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中】对项目关键技术有一定了解，对重点、难点有建议，解决方案基本可行。有新技术措施，但验证材料不充分，对节约投资和工期可能有一定收益，但对采用的新技术可能产生的风险预见不足。有违约责任承诺。</w:t>
            </w:r>
          </w:p>
          <w:p w14:paraId="1AB9CBE7">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eastAsia="zh-CN"/>
              </w:rPr>
            </w:pPr>
            <w:r>
              <w:rPr>
                <w:rFonts w:hint="eastAsia" w:ascii="宋体" w:hAnsi="宋体" w:eastAsia="宋体" w:cs="宋体"/>
                <w:caps w:val="0"/>
                <w:smallCaps w:val="0"/>
                <w:snapToGrid w:val="0"/>
                <w:color w:val="auto"/>
                <w:spacing w:val="0"/>
                <w:kern w:val="0"/>
                <w:sz w:val="22"/>
                <w:szCs w:val="22"/>
                <w:highlight w:val="none"/>
                <w:lang w:val="en-US" w:eastAsia="zh-CN" w:bidi="ar-SA"/>
              </w:rPr>
              <w:t>【差】对项目关键技术有表述，对重点、难点有建议，解决方案不可行。采用的新技术针对性不强或验证材料不可靠，对节约投资、工期没有具体收益。无违约责任承诺。</w:t>
            </w:r>
          </w:p>
        </w:tc>
      </w:tr>
      <w:tr w14:paraId="776152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73" w:hRule="atLeast"/>
          <w:jc w:val="center"/>
        </w:trPr>
        <w:tc>
          <w:tcPr>
            <w:tcW w:w="1491" w:type="dxa"/>
            <w:tcBorders>
              <w:top w:val="single" w:color="auto" w:sz="4" w:space="0"/>
              <w:left w:val="single" w:color="auto" w:sz="4" w:space="0"/>
              <w:bottom w:val="single" w:color="auto" w:sz="4" w:space="0"/>
              <w:right w:val="single" w:color="auto" w:sz="4" w:space="0"/>
            </w:tcBorders>
            <w:noWrap w:val="0"/>
            <w:vAlign w:val="center"/>
          </w:tcPr>
          <w:p w14:paraId="0644BF9B">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center"/>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绿色施工、</w:t>
            </w:r>
          </w:p>
          <w:p w14:paraId="6C81D194">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center"/>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安全防护、</w:t>
            </w:r>
          </w:p>
          <w:p w14:paraId="638C625D">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center"/>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文明施工</w:t>
            </w:r>
          </w:p>
          <w:p w14:paraId="78E2CFAA">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center"/>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措施计划</w:t>
            </w:r>
          </w:p>
          <w:p w14:paraId="0AEC9777">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center"/>
              <w:textAlignment w:val="auto"/>
              <w:outlineLvl w:val="9"/>
              <w:rPr>
                <w:rFonts w:hint="eastAsia" w:ascii="宋体" w:hAnsi="宋体" w:eastAsia="宋体" w:cs="宋体"/>
                <w:caps w:val="0"/>
                <w:smallCaps w:val="0"/>
                <w:snapToGrid w:val="0"/>
                <w:color w:val="auto"/>
                <w:spacing w:val="0"/>
                <w:kern w:val="0"/>
                <w:sz w:val="22"/>
                <w:szCs w:val="22"/>
                <w:highlight w:val="none"/>
              </w:rPr>
            </w:pPr>
            <w:r>
              <w:rPr>
                <w:rFonts w:hint="eastAsia" w:ascii="宋体" w:hAnsi="宋体" w:eastAsia="宋体" w:cs="宋体"/>
                <w:caps w:val="0"/>
                <w:smallCaps w:val="0"/>
                <w:snapToGrid w:val="0"/>
                <w:color w:val="auto"/>
                <w:spacing w:val="0"/>
                <w:kern w:val="0"/>
                <w:sz w:val="22"/>
                <w:szCs w:val="22"/>
                <w:highlight w:val="none"/>
                <w:lang w:val="en-US" w:eastAsia="zh-CN" w:bidi="ar-SA"/>
              </w:rPr>
              <w:t>（</w:t>
            </w:r>
            <w:r>
              <w:rPr>
                <w:rFonts w:hint="eastAsia" w:ascii="宋体" w:hAnsi="宋体" w:eastAsia="宋体" w:cs="宋体"/>
                <w:caps w:val="0"/>
                <w:smallCaps w:val="0"/>
                <w:snapToGrid w:val="0"/>
                <w:color w:val="auto"/>
                <w:spacing w:val="0"/>
                <w:kern w:val="0"/>
                <w:sz w:val="22"/>
                <w:szCs w:val="22"/>
                <w:highlight w:val="none"/>
                <w:u w:val="single"/>
                <w:lang w:val="en-US" w:eastAsia="zh-CN" w:bidi="ar-SA"/>
              </w:rPr>
              <w:t xml:space="preserve"> 3 </w:t>
            </w:r>
            <w:r>
              <w:rPr>
                <w:rFonts w:hint="eastAsia" w:ascii="宋体" w:hAnsi="宋体" w:eastAsia="宋体" w:cs="宋体"/>
                <w:caps w:val="0"/>
                <w:smallCaps w:val="0"/>
                <w:snapToGrid w:val="0"/>
                <w:color w:val="auto"/>
                <w:spacing w:val="0"/>
                <w:kern w:val="0"/>
                <w:sz w:val="22"/>
                <w:szCs w:val="22"/>
                <w:highlight w:val="none"/>
                <w:lang w:val="en-US" w:eastAsia="zh-CN" w:bidi="ar-SA"/>
              </w:rPr>
              <w:t>分）</w:t>
            </w:r>
          </w:p>
        </w:tc>
        <w:tc>
          <w:tcPr>
            <w:tcW w:w="3868" w:type="dxa"/>
            <w:gridSpan w:val="2"/>
            <w:tcBorders>
              <w:top w:val="single" w:color="auto" w:sz="4" w:space="0"/>
              <w:left w:val="single" w:color="auto" w:sz="4" w:space="0"/>
              <w:bottom w:val="single" w:color="auto" w:sz="4" w:space="0"/>
              <w:right w:val="single" w:color="auto" w:sz="4" w:space="0"/>
            </w:tcBorders>
            <w:noWrap w:val="0"/>
            <w:vAlign w:val="center"/>
          </w:tcPr>
          <w:p w14:paraId="2ADD8CA1">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【优】得该项评分因素分值的90%～100%（含90%）。</w:t>
            </w:r>
          </w:p>
          <w:p w14:paraId="5EE1FBD7">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【良】得该项评分因素分值的80%～90%（含80%）。</w:t>
            </w:r>
          </w:p>
          <w:p w14:paraId="0DFD8EAD">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【中】得该项评分因素分值的70%～80%（含70%）。</w:t>
            </w:r>
          </w:p>
          <w:p w14:paraId="1B36B2CF">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rPr>
            </w:pPr>
            <w:r>
              <w:rPr>
                <w:rFonts w:hint="eastAsia" w:ascii="宋体" w:hAnsi="宋体" w:eastAsia="宋体" w:cs="宋体"/>
                <w:caps w:val="0"/>
                <w:smallCaps w:val="0"/>
                <w:snapToGrid w:val="0"/>
                <w:color w:val="auto"/>
                <w:spacing w:val="0"/>
                <w:kern w:val="0"/>
                <w:sz w:val="22"/>
                <w:szCs w:val="22"/>
                <w:highlight w:val="none"/>
                <w:lang w:val="en-US" w:eastAsia="zh-CN" w:bidi="ar-SA"/>
              </w:rPr>
              <w:t>【差】得该项评分因素分值的60～70%（含60%）。</w:t>
            </w:r>
          </w:p>
        </w:tc>
        <w:tc>
          <w:tcPr>
            <w:tcW w:w="5065" w:type="dxa"/>
            <w:tcBorders>
              <w:top w:val="single" w:color="auto" w:sz="4" w:space="0"/>
              <w:left w:val="single" w:color="auto" w:sz="4" w:space="0"/>
              <w:bottom w:val="single" w:color="auto" w:sz="4" w:space="0"/>
              <w:right w:val="single" w:color="auto" w:sz="4" w:space="0"/>
            </w:tcBorders>
            <w:noWrap w:val="0"/>
            <w:vAlign w:val="center"/>
          </w:tcPr>
          <w:p w14:paraId="2687ED96">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【优】针对项目实际情况，有先进、具体、完整、可行的措施，采用规范准确、清晰。</w:t>
            </w:r>
          </w:p>
          <w:p w14:paraId="14A6ED79">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【良】针对项目实际情况，有合理的措施且具体、完整，采用规范准确。</w:t>
            </w:r>
          </w:p>
          <w:p w14:paraId="72D94C8E">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【中】有基本合理的措施，采用规范准确。</w:t>
            </w:r>
          </w:p>
          <w:p w14:paraId="06B16B6A">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rPr>
            </w:pPr>
            <w:r>
              <w:rPr>
                <w:rFonts w:hint="eastAsia" w:ascii="宋体" w:hAnsi="宋体" w:eastAsia="宋体" w:cs="宋体"/>
                <w:caps w:val="0"/>
                <w:smallCaps w:val="0"/>
                <w:snapToGrid w:val="0"/>
                <w:color w:val="auto"/>
                <w:spacing w:val="0"/>
                <w:kern w:val="0"/>
                <w:sz w:val="22"/>
                <w:szCs w:val="22"/>
                <w:highlight w:val="none"/>
                <w:lang w:val="en-US" w:eastAsia="zh-CN" w:bidi="ar-SA"/>
              </w:rPr>
              <w:t>【差】措施不力，采用规范不正确。</w:t>
            </w:r>
          </w:p>
        </w:tc>
      </w:tr>
      <w:tr w14:paraId="6CB4F1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38" w:hRule="atLeast"/>
          <w:jc w:val="center"/>
        </w:trPr>
        <w:tc>
          <w:tcPr>
            <w:tcW w:w="1491" w:type="dxa"/>
            <w:tcBorders>
              <w:top w:val="single" w:color="auto" w:sz="4" w:space="0"/>
              <w:left w:val="single" w:color="auto" w:sz="4" w:space="0"/>
              <w:bottom w:val="single" w:color="auto" w:sz="4" w:space="0"/>
              <w:right w:val="single" w:color="auto" w:sz="4" w:space="0"/>
            </w:tcBorders>
            <w:noWrap w:val="0"/>
            <w:vAlign w:val="center"/>
          </w:tcPr>
          <w:p w14:paraId="62956FD4">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center"/>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施工平面</w:t>
            </w:r>
          </w:p>
          <w:p w14:paraId="25BBEE01">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center"/>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布置和临时设施布置</w:t>
            </w:r>
          </w:p>
          <w:p w14:paraId="1D6C6A02">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center"/>
              <w:textAlignment w:val="auto"/>
              <w:outlineLvl w:val="9"/>
              <w:rPr>
                <w:rFonts w:hint="eastAsia" w:ascii="宋体" w:hAnsi="宋体" w:eastAsia="宋体" w:cs="宋体"/>
                <w:caps w:val="0"/>
                <w:smallCaps w:val="0"/>
                <w:snapToGrid w:val="0"/>
                <w:color w:val="auto"/>
                <w:spacing w:val="0"/>
                <w:kern w:val="0"/>
                <w:sz w:val="22"/>
                <w:szCs w:val="22"/>
                <w:highlight w:val="none"/>
                <w:lang w:eastAsia="zh-CN"/>
              </w:rPr>
            </w:pPr>
            <w:r>
              <w:rPr>
                <w:rFonts w:hint="eastAsia" w:ascii="宋体" w:hAnsi="宋体" w:eastAsia="宋体" w:cs="宋体"/>
                <w:caps w:val="0"/>
                <w:smallCaps w:val="0"/>
                <w:snapToGrid w:val="0"/>
                <w:color w:val="auto"/>
                <w:spacing w:val="0"/>
                <w:kern w:val="0"/>
                <w:sz w:val="22"/>
                <w:szCs w:val="22"/>
                <w:highlight w:val="none"/>
                <w:lang w:val="en-US" w:eastAsia="zh-CN" w:bidi="ar-SA"/>
              </w:rPr>
              <w:t>（</w:t>
            </w:r>
            <w:r>
              <w:rPr>
                <w:rFonts w:hint="eastAsia" w:ascii="宋体" w:hAnsi="宋体" w:eastAsia="宋体" w:cs="宋体"/>
                <w:caps w:val="0"/>
                <w:smallCaps w:val="0"/>
                <w:snapToGrid w:val="0"/>
                <w:color w:val="auto"/>
                <w:spacing w:val="0"/>
                <w:kern w:val="0"/>
                <w:sz w:val="22"/>
                <w:szCs w:val="22"/>
                <w:highlight w:val="none"/>
                <w:u w:val="single"/>
                <w:lang w:val="en-US" w:eastAsia="zh-CN" w:bidi="ar-SA"/>
              </w:rPr>
              <w:t xml:space="preserve"> 2 </w:t>
            </w:r>
            <w:r>
              <w:rPr>
                <w:rFonts w:hint="eastAsia" w:ascii="宋体" w:hAnsi="宋体" w:eastAsia="宋体" w:cs="宋体"/>
                <w:caps w:val="0"/>
                <w:smallCaps w:val="0"/>
                <w:snapToGrid w:val="0"/>
                <w:color w:val="auto"/>
                <w:spacing w:val="0"/>
                <w:kern w:val="0"/>
                <w:sz w:val="22"/>
                <w:szCs w:val="22"/>
                <w:highlight w:val="none"/>
                <w:lang w:val="en-US" w:eastAsia="zh-CN" w:bidi="ar-SA"/>
              </w:rPr>
              <w:t>分）</w:t>
            </w:r>
          </w:p>
        </w:tc>
        <w:tc>
          <w:tcPr>
            <w:tcW w:w="3868" w:type="dxa"/>
            <w:gridSpan w:val="2"/>
            <w:tcBorders>
              <w:top w:val="single" w:color="auto" w:sz="4" w:space="0"/>
              <w:left w:val="single" w:color="auto" w:sz="4" w:space="0"/>
              <w:bottom w:val="single" w:color="auto" w:sz="4" w:space="0"/>
              <w:right w:val="single" w:color="auto" w:sz="4" w:space="0"/>
            </w:tcBorders>
            <w:noWrap w:val="0"/>
            <w:vAlign w:val="center"/>
          </w:tcPr>
          <w:p w14:paraId="19AAB17A">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【优】得该项评分因素分值的90%～100%（含90%）。</w:t>
            </w:r>
          </w:p>
          <w:p w14:paraId="24A2C3A7">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【良】得该项评分因素分值的80%～90%（含80%）。</w:t>
            </w:r>
          </w:p>
          <w:p w14:paraId="23E105B9">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【中】得该项评分因素分值的70%～80%（含70%）。</w:t>
            </w:r>
          </w:p>
          <w:p w14:paraId="3A880DA1">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rPr>
            </w:pPr>
            <w:r>
              <w:rPr>
                <w:rFonts w:hint="eastAsia" w:ascii="宋体" w:hAnsi="宋体" w:eastAsia="宋体" w:cs="宋体"/>
                <w:caps w:val="0"/>
                <w:smallCaps w:val="0"/>
                <w:snapToGrid w:val="0"/>
                <w:color w:val="auto"/>
                <w:spacing w:val="0"/>
                <w:kern w:val="0"/>
                <w:sz w:val="22"/>
                <w:szCs w:val="22"/>
                <w:highlight w:val="none"/>
                <w:lang w:val="en-US" w:eastAsia="zh-CN" w:bidi="ar-SA"/>
              </w:rPr>
              <w:t>【差】得该项评分因素分值的60～70%（含60%）。</w:t>
            </w:r>
          </w:p>
        </w:tc>
        <w:tc>
          <w:tcPr>
            <w:tcW w:w="5065" w:type="dxa"/>
            <w:tcBorders>
              <w:top w:val="single" w:color="auto" w:sz="4" w:space="0"/>
              <w:left w:val="single" w:color="auto" w:sz="4" w:space="0"/>
              <w:bottom w:val="single" w:color="auto" w:sz="4" w:space="0"/>
              <w:right w:val="single" w:color="auto" w:sz="4" w:space="0"/>
            </w:tcBorders>
            <w:noWrap w:val="0"/>
            <w:vAlign w:val="center"/>
          </w:tcPr>
          <w:p w14:paraId="3B0E8C07">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【优】总体布置有针对性、合理，较好满足施工需要，符合绿色施工、安全防护、文明施工要求。</w:t>
            </w:r>
          </w:p>
          <w:p w14:paraId="652713E2">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【良】总体布置合理，能满足施工需要，基本符合绿色施工、安全防护、文明施工要求。</w:t>
            </w:r>
          </w:p>
          <w:p w14:paraId="657291C0">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【中】总体布置基本合理，基本满足施工需要。</w:t>
            </w:r>
          </w:p>
          <w:p w14:paraId="63EE77B9">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rPr>
            </w:pPr>
            <w:r>
              <w:rPr>
                <w:rFonts w:hint="eastAsia" w:ascii="宋体" w:hAnsi="宋体" w:eastAsia="宋体" w:cs="宋体"/>
                <w:caps w:val="0"/>
                <w:smallCaps w:val="0"/>
                <w:snapToGrid w:val="0"/>
                <w:color w:val="auto"/>
                <w:spacing w:val="0"/>
                <w:kern w:val="0"/>
                <w:sz w:val="22"/>
                <w:szCs w:val="22"/>
                <w:highlight w:val="none"/>
                <w:lang w:val="en-US" w:eastAsia="zh-CN" w:bidi="ar-SA"/>
              </w:rPr>
              <w:t>【差】总体布置不合理，不符合绿色施工、安全防护、文明施工要求。</w:t>
            </w:r>
          </w:p>
        </w:tc>
      </w:tr>
      <w:tr w14:paraId="53AF78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7" w:hRule="atLeast"/>
          <w:jc w:val="center"/>
        </w:trPr>
        <w:tc>
          <w:tcPr>
            <w:tcW w:w="1491" w:type="dxa"/>
            <w:tcBorders>
              <w:top w:val="single" w:color="auto" w:sz="4" w:space="0"/>
              <w:left w:val="single" w:color="auto" w:sz="4" w:space="0"/>
              <w:bottom w:val="single" w:color="auto" w:sz="4" w:space="0"/>
              <w:right w:val="single" w:color="auto" w:sz="4" w:space="0"/>
            </w:tcBorders>
            <w:noWrap w:val="0"/>
            <w:vAlign w:val="center"/>
          </w:tcPr>
          <w:p w14:paraId="2B6196E3">
            <w:pPr>
              <w:pStyle w:val="27"/>
              <w:wordWrap w:val="0"/>
              <w:spacing w:line="400" w:lineRule="exact"/>
              <w:jc w:val="center"/>
              <w:rPr>
                <w:rFonts w:eastAsia="宋体"/>
                <w:snapToGrid w:val="0"/>
                <w:color w:val="auto"/>
                <w:kern w:val="0"/>
                <w:sz w:val="22"/>
                <w:szCs w:val="22"/>
                <w:highlight w:val="none"/>
              </w:rPr>
            </w:pPr>
            <w:r>
              <w:rPr>
                <w:rFonts w:hint="eastAsia" w:eastAsia="宋体"/>
                <w:snapToGrid w:val="0"/>
                <w:color w:val="auto"/>
                <w:kern w:val="0"/>
                <w:sz w:val="22"/>
                <w:szCs w:val="22"/>
                <w:highlight w:val="none"/>
              </w:rPr>
              <w:t>项目</w:t>
            </w:r>
          </w:p>
          <w:p w14:paraId="1931B2B7">
            <w:pPr>
              <w:pStyle w:val="27"/>
              <w:wordWrap w:val="0"/>
              <w:spacing w:line="400" w:lineRule="exact"/>
              <w:jc w:val="center"/>
              <w:rPr>
                <w:rFonts w:eastAsia="宋体"/>
                <w:snapToGrid w:val="0"/>
                <w:color w:val="auto"/>
                <w:kern w:val="0"/>
                <w:sz w:val="22"/>
                <w:szCs w:val="22"/>
                <w:highlight w:val="none"/>
              </w:rPr>
            </w:pPr>
            <w:r>
              <w:rPr>
                <w:rFonts w:hint="eastAsia" w:eastAsia="宋体"/>
                <w:snapToGrid w:val="0"/>
                <w:color w:val="auto"/>
                <w:kern w:val="0"/>
                <w:sz w:val="22"/>
                <w:szCs w:val="22"/>
                <w:highlight w:val="none"/>
              </w:rPr>
              <w:t>管理机构</w:t>
            </w:r>
          </w:p>
          <w:p w14:paraId="0EC815FA">
            <w:pPr>
              <w:pStyle w:val="27"/>
              <w:wordWrap w:val="0"/>
              <w:spacing w:line="400" w:lineRule="exact"/>
              <w:jc w:val="center"/>
              <w:rPr>
                <w:rFonts w:hint="eastAsia" w:ascii="宋体" w:hAnsi="宋体" w:eastAsia="宋体" w:cs="宋体"/>
                <w:caps w:val="0"/>
                <w:smallCaps w:val="0"/>
                <w:snapToGrid w:val="0"/>
                <w:color w:val="auto"/>
                <w:spacing w:val="0"/>
                <w:kern w:val="0"/>
                <w:sz w:val="22"/>
                <w:szCs w:val="22"/>
                <w:highlight w:val="none"/>
              </w:rPr>
            </w:pPr>
            <w:r>
              <w:rPr>
                <w:rFonts w:hint="eastAsia" w:eastAsia="宋体"/>
                <w:snapToGrid w:val="0"/>
                <w:color w:val="auto"/>
                <w:kern w:val="0"/>
                <w:sz w:val="22"/>
                <w:szCs w:val="22"/>
                <w:highlight w:val="none"/>
              </w:rPr>
              <w:t>（</w:t>
            </w:r>
            <w:r>
              <w:rPr>
                <w:rFonts w:hint="eastAsia" w:eastAsia="宋体"/>
                <w:snapToGrid w:val="0"/>
                <w:color w:val="auto"/>
                <w:kern w:val="0"/>
                <w:sz w:val="22"/>
                <w:szCs w:val="22"/>
                <w:highlight w:val="none"/>
                <w:u w:val="single"/>
              </w:rPr>
              <w:t xml:space="preserve"> 3 </w:t>
            </w:r>
            <w:r>
              <w:rPr>
                <w:rFonts w:hint="eastAsia" w:eastAsia="宋体"/>
                <w:snapToGrid w:val="0"/>
                <w:color w:val="auto"/>
                <w:kern w:val="0"/>
                <w:sz w:val="22"/>
                <w:szCs w:val="22"/>
                <w:highlight w:val="none"/>
              </w:rPr>
              <w:t>分）</w:t>
            </w:r>
          </w:p>
        </w:tc>
        <w:tc>
          <w:tcPr>
            <w:tcW w:w="3868" w:type="dxa"/>
            <w:gridSpan w:val="2"/>
            <w:tcBorders>
              <w:top w:val="single" w:color="auto" w:sz="4" w:space="0"/>
              <w:left w:val="single" w:color="auto" w:sz="4" w:space="0"/>
              <w:bottom w:val="single" w:color="auto" w:sz="4" w:space="0"/>
              <w:right w:val="single" w:color="auto" w:sz="4" w:space="0"/>
            </w:tcBorders>
            <w:noWrap w:val="0"/>
            <w:vAlign w:val="center"/>
          </w:tcPr>
          <w:p w14:paraId="34F47295">
            <w:pPr>
              <w:pStyle w:val="26"/>
              <w:wordWrap w:val="0"/>
              <w:spacing w:line="400" w:lineRule="exact"/>
              <w:rPr>
                <w:rFonts w:eastAsia="宋体"/>
                <w:snapToGrid w:val="0"/>
                <w:color w:val="auto"/>
                <w:kern w:val="0"/>
                <w:sz w:val="22"/>
                <w:szCs w:val="22"/>
                <w:highlight w:val="none"/>
              </w:rPr>
            </w:pPr>
            <w:r>
              <w:rPr>
                <w:rFonts w:hint="eastAsia" w:eastAsia="宋体"/>
                <w:snapToGrid w:val="0"/>
                <w:color w:val="auto"/>
                <w:kern w:val="0"/>
                <w:sz w:val="22"/>
                <w:szCs w:val="22"/>
                <w:highlight w:val="none"/>
              </w:rPr>
              <w:t>【优】得该项评分因素分值的90%～100%（含90%）。</w:t>
            </w:r>
          </w:p>
          <w:p w14:paraId="21C01A3F">
            <w:pPr>
              <w:pStyle w:val="26"/>
              <w:wordWrap w:val="0"/>
              <w:spacing w:line="400" w:lineRule="exact"/>
              <w:rPr>
                <w:rFonts w:eastAsia="宋体"/>
                <w:snapToGrid w:val="0"/>
                <w:color w:val="auto"/>
                <w:kern w:val="0"/>
                <w:sz w:val="22"/>
                <w:szCs w:val="22"/>
                <w:highlight w:val="none"/>
              </w:rPr>
            </w:pPr>
            <w:r>
              <w:rPr>
                <w:rFonts w:hint="eastAsia" w:eastAsia="宋体"/>
                <w:snapToGrid w:val="0"/>
                <w:color w:val="auto"/>
                <w:kern w:val="0"/>
                <w:sz w:val="22"/>
                <w:szCs w:val="22"/>
                <w:highlight w:val="none"/>
              </w:rPr>
              <w:t>【良】得该项评分因素分值的80%～90%（含80%）。</w:t>
            </w:r>
          </w:p>
          <w:p w14:paraId="0CE6CB42">
            <w:pPr>
              <w:pStyle w:val="26"/>
              <w:wordWrap w:val="0"/>
              <w:spacing w:line="400" w:lineRule="exact"/>
              <w:rPr>
                <w:rFonts w:eastAsia="宋体"/>
                <w:snapToGrid w:val="0"/>
                <w:color w:val="auto"/>
                <w:kern w:val="0"/>
                <w:sz w:val="22"/>
                <w:szCs w:val="22"/>
                <w:highlight w:val="none"/>
              </w:rPr>
            </w:pPr>
            <w:r>
              <w:rPr>
                <w:rFonts w:hint="eastAsia" w:eastAsia="宋体"/>
                <w:snapToGrid w:val="0"/>
                <w:color w:val="auto"/>
                <w:kern w:val="0"/>
                <w:sz w:val="22"/>
                <w:szCs w:val="22"/>
                <w:highlight w:val="none"/>
              </w:rPr>
              <w:t>【中】得该项评分因素分值的70%～80%（含70%）。</w:t>
            </w:r>
          </w:p>
          <w:p w14:paraId="6255D4DE">
            <w:pPr>
              <w:pStyle w:val="28"/>
              <w:wordWrap w:val="0"/>
              <w:spacing w:line="400" w:lineRule="exact"/>
              <w:rPr>
                <w:rFonts w:hint="eastAsia" w:ascii="宋体" w:hAnsi="宋体" w:eastAsia="宋体" w:cs="宋体"/>
                <w:caps w:val="0"/>
                <w:smallCaps w:val="0"/>
                <w:snapToGrid w:val="0"/>
                <w:color w:val="auto"/>
                <w:spacing w:val="0"/>
                <w:kern w:val="0"/>
                <w:sz w:val="22"/>
                <w:szCs w:val="22"/>
                <w:highlight w:val="none"/>
              </w:rPr>
            </w:pPr>
            <w:r>
              <w:rPr>
                <w:rFonts w:hint="eastAsia" w:eastAsia="宋体"/>
                <w:snapToGrid w:val="0"/>
                <w:color w:val="auto"/>
                <w:kern w:val="0"/>
                <w:sz w:val="22"/>
                <w:szCs w:val="22"/>
                <w:highlight w:val="none"/>
              </w:rPr>
              <w:t>【差】得该项评分因素分值的60～70%（含60%）。</w:t>
            </w:r>
          </w:p>
        </w:tc>
        <w:tc>
          <w:tcPr>
            <w:tcW w:w="5065" w:type="dxa"/>
            <w:tcBorders>
              <w:top w:val="single" w:color="auto" w:sz="4" w:space="0"/>
              <w:left w:val="single" w:color="auto" w:sz="4" w:space="0"/>
              <w:bottom w:val="single" w:color="auto" w:sz="4" w:space="0"/>
              <w:right w:val="single" w:color="auto" w:sz="4" w:space="0"/>
            </w:tcBorders>
            <w:noWrap w:val="0"/>
            <w:vAlign w:val="center"/>
          </w:tcPr>
          <w:p w14:paraId="107FF9CF">
            <w:pPr>
              <w:pStyle w:val="28"/>
              <w:wordWrap w:val="0"/>
              <w:spacing w:line="400" w:lineRule="exact"/>
              <w:rPr>
                <w:rFonts w:eastAsia="宋体"/>
                <w:snapToGrid w:val="0"/>
                <w:color w:val="auto"/>
                <w:kern w:val="0"/>
                <w:sz w:val="22"/>
                <w:szCs w:val="22"/>
                <w:highlight w:val="none"/>
              </w:rPr>
            </w:pPr>
            <w:r>
              <w:rPr>
                <w:rFonts w:hint="eastAsia" w:eastAsia="宋体"/>
                <w:snapToGrid w:val="0"/>
                <w:color w:val="auto"/>
                <w:kern w:val="0"/>
                <w:sz w:val="22"/>
                <w:szCs w:val="22"/>
                <w:highlight w:val="none"/>
              </w:rPr>
              <w:t>【优】组织机构形式合理，有完善的指挥系统，生产及质量、绿色施工、安全、文明施工、创优达标监控系统、联络协调系统，项目管理人员内高级职称人员20%（含20%）以上、中级职称人员</w:t>
            </w:r>
            <w:r>
              <w:rPr>
                <w:rFonts w:hint="eastAsia" w:eastAsia="宋体"/>
                <w:b/>
                <w:bCs/>
                <w:snapToGrid w:val="0"/>
                <w:color w:val="auto"/>
                <w:kern w:val="0"/>
                <w:sz w:val="22"/>
                <w:szCs w:val="22"/>
                <w:highlight w:val="none"/>
              </w:rPr>
              <w:t>及以上职称</w:t>
            </w:r>
            <w:r>
              <w:rPr>
                <w:rFonts w:hint="eastAsia" w:eastAsia="宋体"/>
                <w:snapToGrid w:val="0"/>
                <w:color w:val="auto"/>
                <w:kern w:val="0"/>
                <w:sz w:val="22"/>
                <w:szCs w:val="22"/>
                <w:highlight w:val="none"/>
              </w:rPr>
              <w:t>60%（含60%）以上。</w:t>
            </w:r>
          </w:p>
          <w:p w14:paraId="22B3AF54">
            <w:pPr>
              <w:pStyle w:val="28"/>
              <w:wordWrap w:val="0"/>
              <w:spacing w:line="400" w:lineRule="exact"/>
              <w:rPr>
                <w:rFonts w:eastAsia="宋体"/>
                <w:snapToGrid w:val="0"/>
                <w:color w:val="auto"/>
                <w:kern w:val="0"/>
                <w:sz w:val="22"/>
                <w:szCs w:val="22"/>
                <w:highlight w:val="none"/>
              </w:rPr>
            </w:pPr>
            <w:r>
              <w:rPr>
                <w:rFonts w:hint="eastAsia" w:eastAsia="宋体"/>
                <w:snapToGrid w:val="0"/>
                <w:color w:val="auto"/>
                <w:kern w:val="0"/>
                <w:sz w:val="22"/>
                <w:szCs w:val="22"/>
                <w:highlight w:val="none"/>
              </w:rPr>
              <w:t>【良】组织机构形式合理，指挥系统，生产及质量、绿色施工、安全、文明施工、创优达标监控系统、联络协调系统齐全，项目管理人员内高级职称人员15%～20%（含15%）、中级职称</w:t>
            </w:r>
            <w:r>
              <w:rPr>
                <w:rFonts w:hint="eastAsia" w:eastAsia="宋体"/>
                <w:b/>
                <w:bCs/>
                <w:snapToGrid w:val="0"/>
                <w:color w:val="auto"/>
                <w:kern w:val="0"/>
                <w:sz w:val="22"/>
                <w:szCs w:val="22"/>
                <w:highlight w:val="none"/>
              </w:rPr>
              <w:t>及以上职称</w:t>
            </w:r>
            <w:r>
              <w:rPr>
                <w:rFonts w:hint="eastAsia" w:eastAsia="宋体"/>
                <w:snapToGrid w:val="0"/>
                <w:color w:val="auto"/>
                <w:kern w:val="0"/>
                <w:sz w:val="22"/>
                <w:szCs w:val="22"/>
                <w:highlight w:val="none"/>
              </w:rPr>
              <w:t>人员50%～60%（含50%）。</w:t>
            </w:r>
          </w:p>
          <w:p w14:paraId="71B3578F">
            <w:pPr>
              <w:pStyle w:val="28"/>
              <w:wordWrap w:val="0"/>
              <w:spacing w:line="400" w:lineRule="exact"/>
              <w:rPr>
                <w:rFonts w:eastAsia="宋体"/>
                <w:snapToGrid w:val="0"/>
                <w:color w:val="auto"/>
                <w:kern w:val="0"/>
                <w:sz w:val="22"/>
                <w:szCs w:val="22"/>
                <w:highlight w:val="none"/>
              </w:rPr>
            </w:pPr>
            <w:r>
              <w:rPr>
                <w:rFonts w:hint="eastAsia" w:eastAsia="宋体"/>
                <w:snapToGrid w:val="0"/>
                <w:color w:val="auto"/>
                <w:kern w:val="0"/>
                <w:sz w:val="22"/>
                <w:szCs w:val="22"/>
                <w:highlight w:val="none"/>
              </w:rPr>
              <w:t>【中】组织机构形式基本合理，有指挥系统，生产及质量、绿色施工、安全、文明施工、创优达标监控系统、联络协调系统，项目管理人员内高级职称人员10%～15%（含10%）、中级职称人员</w:t>
            </w:r>
            <w:r>
              <w:rPr>
                <w:rFonts w:hint="eastAsia" w:eastAsia="宋体"/>
                <w:b/>
                <w:bCs/>
                <w:snapToGrid w:val="0"/>
                <w:color w:val="auto"/>
                <w:kern w:val="0"/>
                <w:sz w:val="22"/>
                <w:szCs w:val="22"/>
                <w:highlight w:val="none"/>
              </w:rPr>
              <w:t>及以上职称</w:t>
            </w:r>
            <w:r>
              <w:rPr>
                <w:rFonts w:hint="eastAsia" w:eastAsia="宋体"/>
                <w:snapToGrid w:val="0"/>
                <w:color w:val="auto"/>
                <w:kern w:val="0"/>
                <w:sz w:val="22"/>
                <w:szCs w:val="22"/>
                <w:highlight w:val="none"/>
              </w:rPr>
              <w:t>40%～50%（含40%）。</w:t>
            </w:r>
          </w:p>
          <w:p w14:paraId="36C01698">
            <w:pPr>
              <w:pStyle w:val="28"/>
              <w:wordWrap w:val="0"/>
              <w:spacing w:line="400" w:lineRule="exact"/>
              <w:rPr>
                <w:rFonts w:hint="eastAsia" w:ascii="宋体" w:hAnsi="宋体" w:eastAsia="宋体" w:cs="宋体"/>
                <w:caps w:val="0"/>
                <w:smallCaps w:val="0"/>
                <w:snapToGrid w:val="0"/>
                <w:color w:val="auto"/>
                <w:spacing w:val="0"/>
                <w:kern w:val="0"/>
                <w:sz w:val="22"/>
                <w:szCs w:val="22"/>
                <w:highlight w:val="none"/>
              </w:rPr>
            </w:pPr>
            <w:r>
              <w:rPr>
                <w:rFonts w:hint="eastAsia" w:eastAsia="宋体"/>
                <w:snapToGrid w:val="0"/>
                <w:color w:val="auto"/>
                <w:kern w:val="0"/>
                <w:sz w:val="22"/>
                <w:szCs w:val="22"/>
                <w:highlight w:val="none"/>
              </w:rPr>
              <w:t>【差】组织机构形式合理，指挥系统，生产及质量、绿色施工、安全、文明施工、创优达标监控系统、联络协调系统不齐全，项目管理人员内高级职称人员10%以下、中级职称人员</w:t>
            </w:r>
            <w:r>
              <w:rPr>
                <w:rFonts w:hint="eastAsia" w:eastAsia="宋体"/>
                <w:b/>
                <w:bCs/>
                <w:snapToGrid w:val="0"/>
                <w:color w:val="auto"/>
                <w:kern w:val="0"/>
                <w:sz w:val="22"/>
                <w:szCs w:val="22"/>
                <w:highlight w:val="none"/>
              </w:rPr>
              <w:t>及以上职称</w:t>
            </w:r>
            <w:r>
              <w:rPr>
                <w:rFonts w:hint="eastAsia" w:eastAsia="宋体"/>
                <w:snapToGrid w:val="0"/>
                <w:color w:val="auto"/>
                <w:kern w:val="0"/>
                <w:sz w:val="22"/>
                <w:szCs w:val="22"/>
                <w:highlight w:val="none"/>
              </w:rPr>
              <w:t>40%以下。</w:t>
            </w:r>
          </w:p>
        </w:tc>
      </w:tr>
      <w:tr w14:paraId="196A1D25">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408" w:hRule="exact"/>
          <w:jc w:val="center"/>
        </w:trPr>
        <w:tc>
          <w:tcPr>
            <w:tcW w:w="10424" w:type="dxa"/>
            <w:gridSpan w:val="4"/>
            <w:tcBorders>
              <w:top w:val="single" w:color="auto" w:sz="4" w:space="0"/>
              <w:left w:val="single" w:color="auto" w:sz="4" w:space="0"/>
              <w:bottom w:val="single" w:color="auto" w:sz="4" w:space="0"/>
              <w:right w:val="single" w:color="auto" w:sz="4" w:space="0"/>
            </w:tcBorders>
            <w:shd w:val="clear" w:color="auto" w:fill="D9D9D9"/>
            <w:noWrap w:val="0"/>
            <w:vAlign w:val="center"/>
          </w:tcPr>
          <w:p w14:paraId="4EE34843">
            <w:pPr>
              <w:wordWrap w:val="0"/>
              <w:adjustRightInd w:val="0"/>
              <w:snapToGrid w:val="0"/>
              <w:spacing w:line="400" w:lineRule="exact"/>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投标报价部分，满分：100分。</w:t>
            </w:r>
          </w:p>
        </w:tc>
      </w:tr>
      <w:tr w14:paraId="29320AB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474" w:hRule="exact"/>
          <w:jc w:val="center"/>
        </w:trPr>
        <w:tc>
          <w:tcPr>
            <w:tcW w:w="1659" w:type="dxa"/>
            <w:gridSpan w:val="2"/>
            <w:tcBorders>
              <w:top w:val="single" w:color="auto" w:sz="4" w:space="0"/>
              <w:left w:val="single" w:color="auto" w:sz="4" w:space="0"/>
              <w:bottom w:val="single" w:color="auto" w:sz="4" w:space="0"/>
              <w:right w:val="single" w:color="auto" w:sz="4" w:space="0"/>
            </w:tcBorders>
            <w:noWrap w:val="0"/>
            <w:vAlign w:val="center"/>
          </w:tcPr>
          <w:p w14:paraId="7151DCBB">
            <w:pPr>
              <w:wordWrap w:val="0"/>
              <w:adjustRightInd w:val="0"/>
              <w:snapToGrid w:val="0"/>
              <w:spacing w:line="44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评分事项</w:t>
            </w:r>
          </w:p>
        </w:tc>
        <w:tc>
          <w:tcPr>
            <w:tcW w:w="8765" w:type="dxa"/>
            <w:gridSpan w:val="2"/>
            <w:tcBorders>
              <w:top w:val="single" w:color="auto" w:sz="4" w:space="0"/>
              <w:left w:val="single" w:color="auto" w:sz="4" w:space="0"/>
              <w:bottom w:val="single" w:color="auto" w:sz="4" w:space="0"/>
              <w:right w:val="single" w:color="auto" w:sz="4" w:space="0"/>
            </w:tcBorders>
            <w:noWrap w:val="0"/>
            <w:vAlign w:val="center"/>
          </w:tcPr>
          <w:p w14:paraId="05294EC3">
            <w:pPr>
              <w:wordWrap w:val="0"/>
              <w:adjustRightInd w:val="0"/>
              <w:snapToGrid w:val="0"/>
              <w:spacing w:line="44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评分方法</w:t>
            </w:r>
          </w:p>
        </w:tc>
      </w:tr>
      <w:tr w14:paraId="663D5B3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4777" w:hRule="atLeast"/>
          <w:jc w:val="center"/>
        </w:trPr>
        <w:tc>
          <w:tcPr>
            <w:tcW w:w="1659" w:type="dxa"/>
            <w:gridSpan w:val="2"/>
            <w:tcBorders>
              <w:top w:val="single" w:color="auto" w:sz="4" w:space="0"/>
              <w:left w:val="single" w:color="auto" w:sz="4" w:space="0"/>
              <w:bottom w:val="single" w:color="auto" w:sz="4" w:space="0"/>
              <w:right w:val="single" w:color="auto" w:sz="4" w:space="0"/>
            </w:tcBorders>
            <w:noWrap w:val="0"/>
            <w:vAlign w:val="center"/>
          </w:tcPr>
          <w:p w14:paraId="07019414">
            <w:pPr>
              <w:jc w:val="center"/>
              <w:rPr>
                <w:rFonts w:hint="eastAsia" w:ascii="宋体" w:hAnsi="宋体" w:eastAsia="宋体" w:cs="宋体"/>
                <w:snapToGrid w:val="0"/>
                <w:color w:val="auto"/>
                <w:kern w:val="0"/>
                <w:sz w:val="22"/>
                <w:szCs w:val="22"/>
                <w:highlight w:val="none"/>
              </w:rPr>
            </w:pPr>
            <w:r>
              <w:rPr>
                <w:rFonts w:hint="eastAsia" w:ascii="宋体" w:hAnsi="宋体" w:eastAsia="宋体" w:cs="宋体"/>
                <w:color w:val="auto"/>
                <w:sz w:val="22"/>
                <w:szCs w:val="22"/>
                <w:highlight w:val="none"/>
              </w:rPr>
              <w:t>评标基准价D</w:t>
            </w:r>
          </w:p>
        </w:tc>
        <w:tc>
          <w:tcPr>
            <w:tcW w:w="8765" w:type="dxa"/>
            <w:gridSpan w:val="2"/>
            <w:tcBorders>
              <w:top w:val="single" w:color="auto" w:sz="4" w:space="0"/>
              <w:left w:val="single" w:color="auto" w:sz="4" w:space="0"/>
              <w:bottom w:val="single" w:color="auto" w:sz="4" w:space="0"/>
              <w:right w:val="single" w:color="auto" w:sz="4" w:space="0"/>
            </w:tcBorders>
            <w:noWrap w:val="0"/>
            <w:vAlign w:val="center"/>
          </w:tcPr>
          <w:p w14:paraId="789BE193">
            <w:pPr>
              <w:numPr>
                <w:ilvl w:val="0"/>
                <w:numId w:val="1"/>
              </w:numPr>
              <w:wordWrap w:val="0"/>
              <w:adjustRightInd w:val="0"/>
              <w:snapToGrid w:val="0"/>
              <w:spacing w:line="400" w:lineRule="exact"/>
              <w:ind w:firstLine="440" w:firstLineChars="200"/>
              <w:jc w:val="left"/>
              <w:rPr>
                <w:rFonts w:hint="eastAsia" w:ascii="宋体" w:hAnsi="宋体" w:eastAsia="宋体" w:cs="宋体"/>
                <w:color w:val="auto"/>
                <w:sz w:val="22"/>
                <w:szCs w:val="22"/>
                <w:highlight w:val="none"/>
              </w:rPr>
            </w:pPr>
            <w:r>
              <w:rPr>
                <w:rFonts w:hint="eastAsia" w:ascii="宋体" w:hAnsi="宋体" w:eastAsia="宋体" w:cs="宋体"/>
                <w:snapToGrid w:val="0"/>
                <w:color w:val="auto"/>
                <w:kern w:val="0"/>
                <w:sz w:val="22"/>
                <w:szCs w:val="22"/>
                <w:highlight w:val="none"/>
              </w:rPr>
              <w:t>确定最高投标限价下浮系数n：用1～21号球分别代表一个下浮系数，由评委代表从这21个号码中随机抽取</w:t>
            </w:r>
            <w:r>
              <w:rPr>
                <w:rFonts w:hint="eastAsia" w:ascii="宋体" w:hAnsi="宋体" w:eastAsia="宋体" w:cs="宋体"/>
                <w:snapToGrid w:val="0"/>
                <w:color w:val="auto"/>
                <w:kern w:val="0"/>
                <w:sz w:val="22"/>
                <w:szCs w:val="22"/>
                <w:highlight w:val="none"/>
                <w:u w:val="single"/>
              </w:rPr>
              <w:t xml:space="preserve"> </w:t>
            </w:r>
            <w:r>
              <w:rPr>
                <w:rFonts w:hint="eastAsia" w:hAnsi="宋体" w:cs="宋体"/>
                <w:snapToGrid w:val="0"/>
                <w:color w:val="auto"/>
                <w:kern w:val="0"/>
                <w:sz w:val="22"/>
                <w:szCs w:val="22"/>
                <w:highlight w:val="none"/>
                <w:u w:val="single"/>
                <w:lang w:val="en-US" w:eastAsia="zh-CN"/>
              </w:rPr>
              <w:t>3</w:t>
            </w:r>
            <w:r>
              <w:rPr>
                <w:rFonts w:hint="eastAsia" w:ascii="宋体" w:hAnsi="宋体" w:eastAsia="宋体" w:cs="宋体"/>
                <w:snapToGrid w:val="0"/>
                <w:color w:val="auto"/>
                <w:kern w:val="0"/>
                <w:sz w:val="22"/>
                <w:szCs w:val="22"/>
                <w:highlight w:val="none"/>
                <w:u w:val="single"/>
              </w:rPr>
              <w:t xml:space="preserve"> </w:t>
            </w:r>
            <w:r>
              <w:rPr>
                <w:rFonts w:hint="eastAsia" w:ascii="宋体" w:hAnsi="宋体" w:eastAsia="宋体" w:cs="宋体"/>
                <w:snapToGrid w:val="0"/>
                <w:color w:val="auto"/>
                <w:kern w:val="0"/>
                <w:sz w:val="22"/>
                <w:szCs w:val="22"/>
                <w:highlight w:val="none"/>
              </w:rPr>
              <w:t>次，每次抽取1个号码，抽出的号球不参与下次抽取。所抽取的</w:t>
            </w:r>
            <w:r>
              <w:rPr>
                <w:rFonts w:hint="eastAsia" w:hAnsi="宋体" w:cs="宋体"/>
                <w:snapToGrid w:val="0"/>
                <w:color w:val="auto"/>
                <w:kern w:val="0"/>
                <w:sz w:val="22"/>
                <w:szCs w:val="22"/>
                <w:highlight w:val="none"/>
                <w:lang w:val="en-US" w:eastAsia="zh-CN"/>
              </w:rPr>
              <w:t>3</w:t>
            </w:r>
            <w:r>
              <w:rPr>
                <w:rFonts w:hint="eastAsia" w:ascii="宋体" w:hAnsi="宋体" w:eastAsia="宋体" w:cs="宋体"/>
                <w:snapToGrid w:val="0"/>
                <w:color w:val="auto"/>
                <w:kern w:val="0"/>
                <w:sz w:val="22"/>
                <w:szCs w:val="22"/>
                <w:highlight w:val="none"/>
              </w:rPr>
              <w:t>个号码对应下浮系数的算术平均值作为最高投标限价下浮系数n。具体号码对应的下浮系数详见下表：</w:t>
            </w:r>
          </w:p>
          <w:tbl>
            <w:tblPr>
              <w:tblStyle w:val="14"/>
              <w:tblW w:w="0" w:type="auto"/>
              <w:jc w:val="center"/>
              <w:tblLayout w:type="fixed"/>
              <w:tblCellMar>
                <w:top w:w="0" w:type="dxa"/>
                <w:left w:w="108" w:type="dxa"/>
                <w:bottom w:w="0" w:type="dxa"/>
                <w:right w:w="108" w:type="dxa"/>
              </w:tblCellMar>
            </w:tblPr>
            <w:tblGrid>
              <w:gridCol w:w="1465"/>
              <w:gridCol w:w="794"/>
              <w:gridCol w:w="830"/>
              <w:gridCol w:w="864"/>
              <w:gridCol w:w="848"/>
              <w:gridCol w:w="882"/>
              <w:gridCol w:w="829"/>
              <w:gridCol w:w="819"/>
            </w:tblGrid>
            <w:tr w14:paraId="4BFF4480">
              <w:tblPrEx>
                <w:tblCellMar>
                  <w:top w:w="0" w:type="dxa"/>
                  <w:left w:w="108" w:type="dxa"/>
                  <w:bottom w:w="0" w:type="dxa"/>
                  <w:right w:w="108" w:type="dxa"/>
                </w:tblCellMar>
              </w:tblPrEx>
              <w:trPr>
                <w:trHeight w:val="248" w:hRule="atLeast"/>
                <w:jc w:val="center"/>
              </w:trPr>
              <w:tc>
                <w:tcPr>
                  <w:tcW w:w="1465" w:type="dxa"/>
                  <w:tcBorders>
                    <w:top w:val="single" w:color="000000" w:sz="4" w:space="0"/>
                    <w:left w:val="single" w:color="000000" w:sz="4" w:space="0"/>
                    <w:bottom w:val="single" w:color="000000" w:sz="4" w:space="0"/>
                    <w:right w:val="single" w:color="000000" w:sz="4" w:space="0"/>
                  </w:tcBorders>
                  <w:noWrap w:val="0"/>
                  <w:vAlign w:val="center"/>
                </w:tcPr>
                <w:p w14:paraId="09D16B1E">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号球</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7D566F67">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1</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4E1BBB25">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F89D5AE">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3</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2AA7FF55">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4</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6D0A8C41">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5</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0A78A6DC">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6</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7E28F5AC">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7</w:t>
                  </w:r>
                </w:p>
              </w:tc>
            </w:tr>
            <w:tr w14:paraId="305AAC0D">
              <w:tblPrEx>
                <w:tblCellMar>
                  <w:top w:w="0" w:type="dxa"/>
                  <w:left w:w="108" w:type="dxa"/>
                  <w:bottom w:w="0" w:type="dxa"/>
                  <w:right w:w="108" w:type="dxa"/>
                </w:tblCellMar>
              </w:tblPrEx>
              <w:trPr>
                <w:trHeight w:val="475" w:hRule="atLeast"/>
                <w:jc w:val="center"/>
              </w:trPr>
              <w:tc>
                <w:tcPr>
                  <w:tcW w:w="1465" w:type="dxa"/>
                  <w:tcBorders>
                    <w:top w:val="single" w:color="000000" w:sz="4" w:space="0"/>
                    <w:left w:val="single" w:color="000000" w:sz="4" w:space="0"/>
                    <w:bottom w:val="single" w:color="000000" w:sz="4" w:space="0"/>
                    <w:right w:val="single" w:color="000000" w:sz="4" w:space="0"/>
                  </w:tcBorders>
                  <w:noWrap w:val="0"/>
                  <w:vAlign w:val="center"/>
                </w:tcPr>
                <w:p w14:paraId="24CC9318">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下浮系数（%）</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5A512ABA">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1.0</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350A15C9">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A0F514D">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1.2</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1FC5EF59">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1.3</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29ACDBC1">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1.4</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68178637">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1.5</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3EF62A9B">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1.6</w:t>
                  </w:r>
                </w:p>
              </w:tc>
            </w:tr>
            <w:tr w14:paraId="4C97E2E6">
              <w:tblPrEx>
                <w:tblCellMar>
                  <w:top w:w="0" w:type="dxa"/>
                  <w:left w:w="108" w:type="dxa"/>
                  <w:bottom w:w="0" w:type="dxa"/>
                  <w:right w:w="108" w:type="dxa"/>
                </w:tblCellMar>
              </w:tblPrEx>
              <w:trPr>
                <w:trHeight w:val="515" w:hRule="atLeast"/>
                <w:jc w:val="center"/>
              </w:trPr>
              <w:tc>
                <w:tcPr>
                  <w:tcW w:w="1465" w:type="dxa"/>
                  <w:tcBorders>
                    <w:top w:val="single" w:color="000000" w:sz="4" w:space="0"/>
                    <w:left w:val="single" w:color="000000" w:sz="4" w:space="0"/>
                    <w:bottom w:val="single" w:color="000000" w:sz="4" w:space="0"/>
                    <w:right w:val="single" w:color="000000" w:sz="4" w:space="0"/>
                  </w:tcBorders>
                  <w:noWrap w:val="0"/>
                  <w:vAlign w:val="center"/>
                </w:tcPr>
                <w:p w14:paraId="4F8CA7AF">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号球</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18636AF9">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8</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70914681">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9</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4923A9D">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10</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57911D2B">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11</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6AF21244">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12</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1CAD09C7">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13</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5C3DD023">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14</w:t>
                  </w:r>
                </w:p>
              </w:tc>
            </w:tr>
            <w:tr w14:paraId="33CDB21A">
              <w:tblPrEx>
                <w:tblCellMar>
                  <w:top w:w="0" w:type="dxa"/>
                  <w:left w:w="108" w:type="dxa"/>
                  <w:bottom w:w="0" w:type="dxa"/>
                  <w:right w:w="108" w:type="dxa"/>
                </w:tblCellMar>
              </w:tblPrEx>
              <w:trPr>
                <w:trHeight w:val="430" w:hRule="atLeast"/>
                <w:jc w:val="center"/>
              </w:trPr>
              <w:tc>
                <w:tcPr>
                  <w:tcW w:w="1465" w:type="dxa"/>
                  <w:tcBorders>
                    <w:top w:val="single" w:color="000000" w:sz="4" w:space="0"/>
                    <w:left w:val="single" w:color="000000" w:sz="4" w:space="0"/>
                    <w:bottom w:val="single" w:color="000000" w:sz="4" w:space="0"/>
                    <w:right w:val="single" w:color="000000" w:sz="4" w:space="0"/>
                  </w:tcBorders>
                  <w:noWrap w:val="0"/>
                  <w:vAlign w:val="center"/>
                </w:tcPr>
                <w:p w14:paraId="48D405D7">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下浮系数（%）</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223940D3">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1.7</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425B0BDE">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1.8</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2C35451">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1.9</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2D9C0F3D">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2.0</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7F7E6007">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2.1</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6084DD71">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2.2</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505EDAA6">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2.3</w:t>
                  </w:r>
                </w:p>
              </w:tc>
            </w:tr>
            <w:tr w14:paraId="08886A4B">
              <w:tblPrEx>
                <w:tblCellMar>
                  <w:top w:w="0" w:type="dxa"/>
                  <w:left w:w="108" w:type="dxa"/>
                  <w:bottom w:w="0" w:type="dxa"/>
                  <w:right w:w="108" w:type="dxa"/>
                </w:tblCellMar>
              </w:tblPrEx>
              <w:trPr>
                <w:trHeight w:val="470" w:hRule="atLeast"/>
                <w:jc w:val="center"/>
              </w:trPr>
              <w:tc>
                <w:tcPr>
                  <w:tcW w:w="1465" w:type="dxa"/>
                  <w:tcBorders>
                    <w:top w:val="single" w:color="000000" w:sz="4" w:space="0"/>
                    <w:left w:val="single" w:color="000000" w:sz="4" w:space="0"/>
                    <w:bottom w:val="single" w:color="000000" w:sz="4" w:space="0"/>
                    <w:right w:val="single" w:color="000000" w:sz="4" w:space="0"/>
                  </w:tcBorders>
                  <w:noWrap w:val="0"/>
                  <w:vAlign w:val="center"/>
                </w:tcPr>
                <w:p w14:paraId="6C938F2B">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号球</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5C7DA5D5">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15</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1AADC8E7">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16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C46356E">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17</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2FE6FD27">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18</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776A584E">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19</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2CB98248">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20</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62A60AE7">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21</w:t>
                  </w:r>
                </w:p>
              </w:tc>
            </w:tr>
            <w:tr w14:paraId="1D1D8002">
              <w:tblPrEx>
                <w:tblCellMar>
                  <w:top w:w="0" w:type="dxa"/>
                  <w:left w:w="108" w:type="dxa"/>
                  <w:bottom w:w="0" w:type="dxa"/>
                  <w:right w:w="108" w:type="dxa"/>
                </w:tblCellMar>
              </w:tblPrEx>
              <w:trPr>
                <w:trHeight w:val="510" w:hRule="atLeast"/>
                <w:jc w:val="center"/>
              </w:trPr>
              <w:tc>
                <w:tcPr>
                  <w:tcW w:w="1465" w:type="dxa"/>
                  <w:tcBorders>
                    <w:top w:val="single" w:color="000000" w:sz="4" w:space="0"/>
                    <w:left w:val="single" w:color="000000" w:sz="4" w:space="0"/>
                    <w:bottom w:val="single" w:color="000000" w:sz="4" w:space="0"/>
                    <w:right w:val="single" w:color="000000" w:sz="4" w:space="0"/>
                  </w:tcBorders>
                  <w:noWrap w:val="0"/>
                  <w:vAlign w:val="center"/>
                </w:tcPr>
                <w:p w14:paraId="18765233">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下浮系数（%）</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05995ADB">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2.4</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1D436B7D">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2.5</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B83B293">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2.6</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7413FF59">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2.7</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33DA7520">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2.8</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19EE272D">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2.9</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064D9440">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3.0</w:t>
                  </w:r>
                </w:p>
              </w:tc>
            </w:tr>
          </w:tbl>
          <w:p w14:paraId="382953F3">
            <w:pPr>
              <w:wordWrap w:val="0"/>
              <w:adjustRightInd w:val="0"/>
              <w:snapToGrid w:val="0"/>
              <w:spacing w:line="400" w:lineRule="exact"/>
              <w:jc w:val="lef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（2）评标基准价D＝最高投标限价×（1－n）</w:t>
            </w:r>
          </w:p>
        </w:tc>
      </w:tr>
      <w:tr w14:paraId="5BAB613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386" w:hRule="atLeast"/>
          <w:jc w:val="center"/>
        </w:trPr>
        <w:tc>
          <w:tcPr>
            <w:tcW w:w="1659" w:type="dxa"/>
            <w:gridSpan w:val="2"/>
            <w:tcBorders>
              <w:top w:val="single" w:color="auto" w:sz="4" w:space="0"/>
              <w:left w:val="single" w:color="auto" w:sz="4" w:space="0"/>
              <w:bottom w:val="single" w:color="auto" w:sz="4" w:space="0"/>
              <w:right w:val="single" w:color="auto" w:sz="4" w:space="0"/>
            </w:tcBorders>
            <w:noWrap w:val="0"/>
            <w:vAlign w:val="center"/>
          </w:tcPr>
          <w:p w14:paraId="4D26BCA4">
            <w:pPr>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投标报价</w:t>
            </w:r>
          </w:p>
          <w:p w14:paraId="194373B5">
            <w:pPr>
              <w:jc w:val="center"/>
              <w:rPr>
                <w:rFonts w:hint="eastAsia" w:ascii="宋体" w:hAnsi="宋体" w:eastAsia="宋体" w:cs="宋体"/>
                <w:snapToGrid w:val="0"/>
                <w:color w:val="auto"/>
                <w:kern w:val="0"/>
                <w:sz w:val="22"/>
                <w:szCs w:val="22"/>
                <w:highlight w:val="none"/>
              </w:rPr>
            </w:pPr>
            <w:r>
              <w:rPr>
                <w:rFonts w:hint="eastAsia" w:ascii="宋体" w:hAnsi="宋体" w:eastAsia="宋体" w:cs="宋体"/>
                <w:color w:val="auto"/>
                <w:sz w:val="22"/>
                <w:szCs w:val="22"/>
                <w:highlight w:val="none"/>
              </w:rPr>
              <w:t>得分N</w:t>
            </w:r>
          </w:p>
        </w:tc>
        <w:tc>
          <w:tcPr>
            <w:tcW w:w="8765" w:type="dxa"/>
            <w:gridSpan w:val="2"/>
            <w:tcBorders>
              <w:top w:val="single" w:color="auto" w:sz="4" w:space="0"/>
              <w:left w:val="single" w:color="auto" w:sz="4" w:space="0"/>
              <w:bottom w:val="single" w:color="auto" w:sz="4" w:space="0"/>
              <w:right w:val="single" w:color="auto" w:sz="4" w:space="0"/>
            </w:tcBorders>
            <w:noWrap w:val="0"/>
            <w:vAlign w:val="center"/>
          </w:tcPr>
          <w:p w14:paraId="0B5C54CE">
            <w:pPr>
              <w:wordWrap w:val="0"/>
              <w:adjustRightInd w:val="0"/>
              <w:snapToGrid w:val="0"/>
              <w:spacing w:line="400" w:lineRule="exact"/>
              <w:ind w:firstLine="440" w:firstLineChars="200"/>
              <w:jc w:val="lef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采用内插法计算某投标人的投标报价得分N，即当投标人的投标总价等于评标基准价时得100分，每高于评标基准价一个百分点扣1 分，每低于评标基准价一个百分点扣0.5分，扣完为止。公式如下：</w:t>
            </w:r>
          </w:p>
          <w:p w14:paraId="40D8946D">
            <w:pPr>
              <w:wordWrap w:val="0"/>
              <w:adjustRightInd w:val="0"/>
              <w:snapToGrid w:val="0"/>
              <w:spacing w:line="400" w:lineRule="exact"/>
              <w:ind w:firstLine="440" w:firstLineChars="200"/>
              <w:jc w:val="lef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N＝100－（| Di－D | ÷D）×100×E</w:t>
            </w:r>
          </w:p>
          <w:p w14:paraId="2F9ECC02">
            <w:pP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式中：D为评标基准价；Di为某投标人的投标总价；E为扣分因子，当Di＞D时，E＝1 ；当Di＜D时，E＝0.5。</w:t>
            </w:r>
          </w:p>
        </w:tc>
      </w:tr>
    </w:tbl>
    <w:p w14:paraId="37B21C64">
      <w:pPr>
        <w:spacing w:before="155" w:line="211" w:lineRule="auto"/>
        <w:ind w:firstLine="470" w:firstLineChars="200"/>
        <w:outlineLvl w:val="9"/>
        <w:rPr>
          <w:rFonts w:hint="eastAsia" w:ascii="宋体" w:hAnsi="宋体" w:eastAsia="宋体" w:cs="宋体"/>
          <w:color w:val="auto"/>
          <w:sz w:val="25"/>
          <w:szCs w:val="25"/>
          <w:highlight w:val="none"/>
        </w:rPr>
      </w:pPr>
      <w:r>
        <w:rPr>
          <w:rFonts w:hint="eastAsia" w:ascii="宋体" w:hAnsi="宋体" w:eastAsia="宋体" w:cs="宋体"/>
          <w:b/>
          <w:bCs/>
          <w:color w:val="auto"/>
          <w:spacing w:val="-3"/>
          <w:sz w:val="24"/>
          <w:szCs w:val="24"/>
          <w:highlight w:val="none"/>
        </w:rPr>
        <w:t xml:space="preserve">15.5.2  </w:t>
      </w:r>
      <w:r>
        <w:rPr>
          <w:rFonts w:hint="eastAsia" w:ascii="宋体" w:hAnsi="宋体" w:eastAsia="宋体" w:cs="宋体"/>
          <w:color w:val="auto"/>
          <w:spacing w:val="-3"/>
          <w:sz w:val="24"/>
          <w:szCs w:val="24"/>
          <w:highlight w:val="none"/>
        </w:rPr>
        <w:t>否决投标说明</w:t>
      </w:r>
      <w:bookmarkEnd w:id="132"/>
      <w:bookmarkEnd w:id="133"/>
      <w:bookmarkEnd w:id="134"/>
      <w:bookmarkEnd w:id="135"/>
    </w:p>
    <w:p w14:paraId="3A277E6B">
      <w:pPr>
        <w:spacing w:before="150" w:line="332" w:lineRule="auto"/>
        <w:ind w:left="10" w:right="195" w:firstLine="564"/>
        <w:rPr>
          <w:rFonts w:hint="eastAsia" w:ascii="宋体" w:hAnsi="宋体" w:eastAsia="宋体" w:cs="宋体"/>
          <w:color w:val="auto"/>
          <w:spacing w:val="-5"/>
          <w:sz w:val="24"/>
          <w:szCs w:val="24"/>
          <w:highlight w:val="none"/>
        </w:rPr>
      </w:pPr>
      <w:r>
        <w:rPr>
          <w:rFonts w:hint="eastAsia" w:ascii="宋体" w:hAnsi="宋体" w:eastAsia="宋体" w:cs="宋体"/>
          <w:color w:val="auto"/>
          <w:spacing w:val="-5"/>
          <w:sz w:val="24"/>
          <w:szCs w:val="24"/>
          <w:highlight w:val="none"/>
        </w:rPr>
        <w:t>详细评审阶段否决投标的全部条件，在本章第四节“否决投标条件 ”第1条至第4条中集中列示。投标人有其中所列任何一种情形的，由评标委员会否决其投标。评标委员会经评审，认为所有投标都不符合招标文件要求的，可否决所有投标，项目的所有投标被否决的，招标人应依法重新组织招标。</w:t>
      </w:r>
    </w:p>
    <w:p w14:paraId="78A719F9">
      <w:pPr>
        <w:spacing w:before="59" w:line="330" w:lineRule="auto"/>
        <w:ind w:left="10" w:right="195" w:firstLine="480"/>
        <w:jc w:val="both"/>
        <w:rPr>
          <w:rFonts w:hint="eastAsia" w:ascii="宋体" w:hAnsi="宋体" w:eastAsia="宋体" w:cs="宋体"/>
          <w:color w:val="auto"/>
          <w:sz w:val="24"/>
          <w:szCs w:val="24"/>
          <w:highlight w:val="none"/>
        </w:rPr>
      </w:pPr>
      <w:r>
        <w:rPr>
          <w:rFonts w:hint="eastAsia" w:ascii="宋体" w:hAnsi="宋体" w:eastAsia="宋体" w:cs="宋体"/>
          <w:b/>
          <w:bCs/>
          <w:color w:val="auto"/>
          <w:spacing w:val="-4"/>
          <w:sz w:val="24"/>
          <w:szCs w:val="24"/>
          <w:highlight w:val="none"/>
        </w:rPr>
        <w:t>注：投标人在详细评审阶段根据评分方法提供的佐证材料，其合法性、有效性和准确性不符合要求的，有关量化因素（或评分因素）的折算、调整（或评分）按相应</w:t>
      </w:r>
      <w:r>
        <w:rPr>
          <w:rFonts w:hint="eastAsia" w:ascii="宋体" w:hAnsi="宋体" w:eastAsia="宋体" w:cs="宋体"/>
          <w:b/>
          <w:bCs/>
          <w:color w:val="auto"/>
          <w:spacing w:val="-3"/>
          <w:sz w:val="24"/>
          <w:szCs w:val="24"/>
          <w:highlight w:val="none"/>
        </w:rPr>
        <w:t>量化标准（或评分标准）处理，但不否决投标。</w:t>
      </w:r>
    </w:p>
    <w:p w14:paraId="634CACC5">
      <w:pPr>
        <w:spacing w:before="150" w:line="332" w:lineRule="auto"/>
        <w:ind w:left="10" w:right="195" w:firstLine="564"/>
        <w:rPr>
          <w:rFonts w:hint="eastAsia" w:ascii="宋体" w:hAnsi="宋体" w:eastAsia="宋体" w:cs="宋体"/>
          <w:b/>
          <w:bCs/>
          <w:color w:val="auto"/>
          <w:spacing w:val="-5"/>
          <w:sz w:val="24"/>
          <w:szCs w:val="24"/>
          <w:highlight w:val="none"/>
        </w:rPr>
      </w:pPr>
      <w:bookmarkStart w:id="136" w:name="bookmark138"/>
      <w:bookmarkEnd w:id="136"/>
      <w:bookmarkStart w:id="137" w:name="bookmark137"/>
      <w:bookmarkEnd w:id="137"/>
      <w:bookmarkStart w:id="138" w:name="_Toc18711"/>
      <w:bookmarkStart w:id="139" w:name="_Toc13897"/>
      <w:bookmarkStart w:id="140" w:name="_Toc7762"/>
      <w:bookmarkStart w:id="141" w:name="_Toc2769"/>
      <w:bookmarkStart w:id="142" w:name="_Toc19232"/>
      <w:bookmarkStart w:id="143" w:name="_Toc10900"/>
      <w:bookmarkStart w:id="144" w:name="_Toc32569"/>
      <w:r>
        <w:rPr>
          <w:rFonts w:hint="eastAsia" w:ascii="宋体" w:hAnsi="宋体" w:eastAsia="宋体" w:cs="宋体"/>
          <w:b/>
          <w:bCs/>
          <w:color w:val="auto"/>
          <w:spacing w:val="-5"/>
          <w:sz w:val="24"/>
          <w:szCs w:val="24"/>
          <w:highlight w:val="none"/>
        </w:rPr>
        <w:t>16．</w:t>
      </w:r>
      <w:bookmarkEnd w:id="138"/>
      <w:bookmarkEnd w:id="139"/>
      <w:bookmarkEnd w:id="140"/>
      <w:bookmarkEnd w:id="141"/>
      <w:bookmarkEnd w:id="142"/>
      <w:r>
        <w:rPr>
          <w:rFonts w:hint="eastAsia" w:ascii="宋体" w:hAnsi="宋体" w:eastAsia="宋体" w:cs="宋体"/>
          <w:b/>
          <w:bCs/>
          <w:color w:val="auto"/>
          <w:spacing w:val="-5"/>
          <w:sz w:val="24"/>
          <w:szCs w:val="24"/>
          <w:highlight w:val="none"/>
          <w:lang w:eastAsia="zh-CN"/>
        </w:rPr>
        <w:t>评标结果公示</w:t>
      </w:r>
      <w:bookmarkEnd w:id="143"/>
      <w:bookmarkEnd w:id="144"/>
    </w:p>
    <w:p w14:paraId="006A16BE">
      <w:pPr>
        <w:spacing w:before="150" w:line="332" w:lineRule="auto"/>
        <w:ind w:left="10" w:right="195" w:firstLine="564"/>
        <w:rPr>
          <w:rFonts w:hint="eastAsia" w:ascii="宋体" w:hAnsi="宋体" w:eastAsia="宋体" w:cs="宋体"/>
          <w:color w:val="auto"/>
          <w:spacing w:val="-5"/>
          <w:sz w:val="24"/>
          <w:szCs w:val="24"/>
          <w:highlight w:val="none"/>
        </w:rPr>
      </w:pPr>
      <w:r>
        <w:rPr>
          <w:rFonts w:hint="eastAsia" w:ascii="宋体" w:hAnsi="宋体" w:eastAsia="宋体" w:cs="宋体"/>
          <w:color w:val="auto"/>
          <w:spacing w:val="-5"/>
          <w:sz w:val="24"/>
          <w:szCs w:val="24"/>
          <w:highlight w:val="none"/>
        </w:rPr>
        <w:t>16.1 评标委员会按照</w:t>
      </w:r>
      <w:r>
        <w:rPr>
          <w:rFonts w:hint="eastAsia" w:ascii="宋体" w:hAnsi="宋体" w:eastAsia="宋体" w:cs="宋体"/>
          <w:color w:val="auto"/>
          <w:spacing w:val="-5"/>
          <w:sz w:val="24"/>
          <w:szCs w:val="24"/>
          <w:highlight w:val="none"/>
          <w:lang w:eastAsia="zh-CN"/>
        </w:rPr>
        <w:t>投标人</w:t>
      </w:r>
      <w:r>
        <w:rPr>
          <w:rFonts w:hint="eastAsia" w:ascii="宋体" w:hAnsi="宋体" w:eastAsia="宋体" w:cs="宋体"/>
          <w:color w:val="auto"/>
          <w:spacing w:val="-5"/>
          <w:sz w:val="24"/>
          <w:szCs w:val="24"/>
          <w:highlight w:val="none"/>
        </w:rPr>
        <w:t>评审综合总得分</w:t>
      </w:r>
      <w:r>
        <w:rPr>
          <w:rFonts w:hint="eastAsia" w:ascii="宋体" w:hAnsi="宋体" w:eastAsia="宋体" w:cs="宋体"/>
          <w:color w:val="auto"/>
          <w:spacing w:val="-5"/>
          <w:sz w:val="24"/>
          <w:szCs w:val="24"/>
          <w:highlight w:val="none"/>
          <w:lang w:eastAsia="zh-CN"/>
        </w:rPr>
        <w:t>由</w:t>
      </w:r>
      <w:r>
        <w:rPr>
          <w:rFonts w:hint="eastAsia" w:ascii="宋体" w:hAnsi="宋体" w:eastAsia="宋体" w:cs="宋体"/>
          <w:color w:val="auto"/>
          <w:spacing w:val="-5"/>
          <w:sz w:val="24"/>
          <w:szCs w:val="24"/>
          <w:highlight w:val="none"/>
        </w:rPr>
        <w:t>高</w:t>
      </w:r>
      <w:r>
        <w:rPr>
          <w:rFonts w:hint="eastAsia" w:ascii="宋体" w:hAnsi="宋体" w:eastAsia="宋体" w:cs="宋体"/>
          <w:color w:val="auto"/>
          <w:spacing w:val="-5"/>
          <w:sz w:val="24"/>
          <w:szCs w:val="24"/>
          <w:highlight w:val="none"/>
          <w:lang w:eastAsia="zh-CN"/>
        </w:rPr>
        <w:t>到</w:t>
      </w:r>
      <w:r>
        <w:rPr>
          <w:rFonts w:hint="eastAsia" w:ascii="宋体" w:hAnsi="宋体" w:eastAsia="宋体" w:cs="宋体"/>
          <w:color w:val="auto"/>
          <w:spacing w:val="-5"/>
          <w:sz w:val="24"/>
          <w:szCs w:val="24"/>
          <w:highlight w:val="none"/>
        </w:rPr>
        <w:t>低的</w:t>
      </w:r>
      <w:r>
        <w:rPr>
          <w:rFonts w:hint="eastAsia" w:ascii="宋体" w:hAnsi="宋体" w:eastAsia="宋体" w:cs="宋体"/>
          <w:color w:val="auto"/>
          <w:spacing w:val="-5"/>
          <w:sz w:val="24"/>
          <w:szCs w:val="24"/>
          <w:highlight w:val="none"/>
          <w:lang w:eastAsia="zh-CN"/>
        </w:rPr>
        <w:t>原则</w:t>
      </w:r>
      <w:r>
        <w:rPr>
          <w:rFonts w:hint="eastAsia" w:ascii="宋体" w:hAnsi="宋体" w:eastAsia="宋体" w:cs="宋体"/>
          <w:color w:val="auto"/>
          <w:spacing w:val="-5"/>
          <w:sz w:val="24"/>
          <w:szCs w:val="24"/>
          <w:highlight w:val="none"/>
        </w:rPr>
        <w:t>,向招标人推荐</w:t>
      </w:r>
      <w:r>
        <w:rPr>
          <w:rFonts w:hint="eastAsia" w:ascii="宋体" w:hAnsi="宋体" w:eastAsia="宋体" w:cs="宋体"/>
          <w:color w:val="auto"/>
          <w:spacing w:val="-5"/>
          <w:sz w:val="24"/>
          <w:szCs w:val="24"/>
          <w:highlight w:val="none"/>
          <w:lang w:val="en-US" w:eastAsia="zh-CN"/>
        </w:rPr>
        <w:t>已明确的</w:t>
      </w:r>
      <w:r>
        <w:rPr>
          <w:rFonts w:hint="eastAsia" w:ascii="宋体" w:hAnsi="宋体" w:eastAsia="宋体" w:cs="宋体"/>
          <w:color w:val="auto"/>
          <w:spacing w:val="-5"/>
          <w:sz w:val="24"/>
          <w:szCs w:val="24"/>
          <w:highlight w:val="none"/>
        </w:rPr>
        <w:t>定标候选人</w:t>
      </w:r>
      <w:r>
        <w:rPr>
          <w:rFonts w:hint="eastAsia" w:ascii="宋体" w:hAnsi="宋体" w:eastAsia="宋体" w:cs="宋体"/>
          <w:color w:val="auto"/>
          <w:spacing w:val="-5"/>
          <w:sz w:val="24"/>
          <w:szCs w:val="24"/>
          <w:highlight w:val="none"/>
          <w:lang w:eastAsia="zh-CN"/>
        </w:rPr>
        <w:t>数量</w:t>
      </w:r>
      <w:r>
        <w:rPr>
          <w:rFonts w:hint="eastAsia" w:ascii="宋体" w:hAnsi="宋体" w:eastAsia="宋体" w:cs="宋体"/>
          <w:color w:val="auto"/>
          <w:spacing w:val="-5"/>
          <w:sz w:val="24"/>
          <w:szCs w:val="24"/>
          <w:highlight w:val="none"/>
        </w:rPr>
        <w:t>（不</w:t>
      </w:r>
      <w:r>
        <w:rPr>
          <w:rFonts w:hint="eastAsia" w:ascii="宋体" w:hAnsi="宋体" w:eastAsia="宋体" w:cs="宋体"/>
          <w:color w:val="auto"/>
          <w:spacing w:val="-5"/>
          <w:sz w:val="24"/>
          <w:szCs w:val="24"/>
          <w:highlight w:val="none"/>
          <w:lang w:val="en-US" w:eastAsia="zh-CN"/>
        </w:rPr>
        <w:t>标明</w:t>
      </w:r>
      <w:r>
        <w:rPr>
          <w:rFonts w:hint="eastAsia" w:ascii="宋体" w:hAnsi="宋体" w:eastAsia="宋体" w:cs="宋体"/>
          <w:color w:val="auto"/>
          <w:spacing w:val="-5"/>
          <w:sz w:val="24"/>
          <w:szCs w:val="24"/>
          <w:highlight w:val="none"/>
        </w:rPr>
        <w:t>排序）</w:t>
      </w:r>
      <w:r>
        <w:rPr>
          <w:rFonts w:hint="eastAsia" w:ascii="宋体" w:hAnsi="宋体" w:eastAsia="宋体" w:cs="宋体"/>
          <w:color w:val="auto"/>
          <w:spacing w:val="-5"/>
          <w:sz w:val="24"/>
          <w:szCs w:val="24"/>
          <w:highlight w:val="none"/>
          <w:lang w:eastAsia="zh-CN"/>
        </w:rPr>
        <w:t>。</w:t>
      </w:r>
      <w:r>
        <w:rPr>
          <w:rFonts w:hint="eastAsia" w:ascii="宋体" w:hAnsi="宋体" w:eastAsia="宋体" w:cs="宋体"/>
          <w:color w:val="auto"/>
          <w:spacing w:val="-5"/>
          <w:sz w:val="24"/>
          <w:szCs w:val="24"/>
          <w:highlight w:val="none"/>
          <w:lang w:val="en-US" w:eastAsia="zh-CN"/>
        </w:rPr>
        <w:t>评标委员会推荐定标候选人后，</w:t>
      </w:r>
      <w:r>
        <w:rPr>
          <w:rFonts w:hint="eastAsia" w:ascii="宋体" w:hAnsi="宋体" w:eastAsia="宋体" w:cs="宋体"/>
          <w:color w:val="auto"/>
          <w:spacing w:val="-5"/>
          <w:sz w:val="24"/>
          <w:szCs w:val="24"/>
          <w:highlight w:val="none"/>
        </w:rPr>
        <w:t>招标人应</w:t>
      </w:r>
      <w:r>
        <w:rPr>
          <w:rFonts w:hint="eastAsia" w:ascii="宋体" w:hAnsi="宋体" w:eastAsia="宋体" w:cs="宋体"/>
          <w:color w:val="auto"/>
          <w:spacing w:val="-5"/>
          <w:sz w:val="24"/>
          <w:szCs w:val="24"/>
          <w:highlight w:val="none"/>
          <w:lang w:eastAsia="zh-CN"/>
        </w:rPr>
        <w:t>于评标会结束后</w:t>
      </w:r>
      <w:r>
        <w:rPr>
          <w:rFonts w:hint="eastAsia" w:ascii="宋体" w:hAnsi="宋体" w:eastAsia="宋体" w:cs="宋体"/>
          <w:color w:val="auto"/>
          <w:spacing w:val="-5"/>
          <w:sz w:val="24"/>
          <w:szCs w:val="24"/>
          <w:highlight w:val="none"/>
          <w:lang w:val="en-US" w:eastAsia="zh-CN"/>
        </w:rPr>
        <w:t>3个工作日内将</w:t>
      </w:r>
      <w:r>
        <w:rPr>
          <w:rFonts w:hint="eastAsia" w:ascii="宋体" w:hAnsi="宋体" w:eastAsia="宋体" w:cs="宋体"/>
          <w:color w:val="auto"/>
          <w:spacing w:val="-5"/>
          <w:sz w:val="24"/>
          <w:szCs w:val="24"/>
          <w:highlight w:val="none"/>
          <w:lang w:eastAsia="zh-CN"/>
        </w:rPr>
        <w:t>定</w:t>
      </w:r>
      <w:r>
        <w:rPr>
          <w:rFonts w:hint="eastAsia" w:ascii="宋体" w:hAnsi="宋体" w:eastAsia="宋体" w:cs="宋体"/>
          <w:color w:val="auto"/>
          <w:spacing w:val="-5"/>
          <w:sz w:val="24"/>
          <w:szCs w:val="24"/>
          <w:highlight w:val="none"/>
        </w:rPr>
        <w:t>标候选</w:t>
      </w:r>
      <w:r>
        <w:rPr>
          <w:rFonts w:hint="eastAsia" w:ascii="宋体" w:hAnsi="宋体" w:eastAsia="宋体" w:cs="宋体"/>
          <w:color w:val="auto"/>
          <w:spacing w:val="-5"/>
          <w:sz w:val="24"/>
          <w:szCs w:val="24"/>
          <w:highlight w:val="none"/>
          <w:lang w:eastAsia="zh-CN"/>
        </w:rPr>
        <w:t>人和评标情况</w:t>
      </w:r>
      <w:r>
        <w:rPr>
          <w:rFonts w:hint="eastAsia" w:ascii="宋体" w:hAnsi="宋体" w:eastAsia="宋体" w:cs="宋体"/>
          <w:color w:val="auto"/>
          <w:spacing w:val="-5"/>
          <w:sz w:val="24"/>
          <w:szCs w:val="24"/>
          <w:highlight w:val="none"/>
          <w:lang w:val="en-US" w:eastAsia="zh-CN"/>
        </w:rPr>
        <w:t>在广东省招标投标监管网和</w:t>
      </w:r>
      <w:r>
        <w:rPr>
          <w:rFonts w:hint="eastAsia" w:ascii="宋体" w:hAnsi="宋体" w:eastAsia="宋体" w:cs="宋体"/>
          <w:color w:val="auto"/>
          <w:spacing w:val="-5"/>
          <w:sz w:val="24"/>
          <w:szCs w:val="24"/>
          <w:highlight w:val="none"/>
        </w:rPr>
        <w:t>韶关市公共资源交易中心</w:t>
      </w:r>
      <w:r>
        <w:rPr>
          <w:rFonts w:hint="eastAsia" w:ascii="宋体" w:hAnsi="宋体" w:eastAsia="宋体" w:cs="宋体"/>
          <w:color w:val="auto"/>
          <w:spacing w:val="-5"/>
          <w:sz w:val="24"/>
          <w:szCs w:val="24"/>
          <w:highlight w:val="none"/>
          <w:lang w:eastAsia="zh-CN"/>
        </w:rPr>
        <w:t>建设工程交易系统</w:t>
      </w:r>
      <w:r>
        <w:rPr>
          <w:rFonts w:hint="eastAsia" w:ascii="宋体" w:hAnsi="宋体" w:eastAsia="宋体" w:cs="宋体"/>
          <w:color w:val="auto"/>
          <w:spacing w:val="-5"/>
          <w:sz w:val="24"/>
          <w:szCs w:val="24"/>
          <w:highlight w:val="none"/>
          <w:lang w:val="en-US" w:eastAsia="zh-CN"/>
        </w:rPr>
        <w:t>上</w:t>
      </w:r>
      <w:r>
        <w:rPr>
          <w:rFonts w:hint="eastAsia" w:ascii="宋体" w:hAnsi="宋体" w:eastAsia="宋体" w:cs="宋体"/>
          <w:color w:val="auto"/>
          <w:spacing w:val="-5"/>
          <w:sz w:val="24"/>
          <w:szCs w:val="24"/>
          <w:highlight w:val="none"/>
        </w:rPr>
        <w:t>公示</w:t>
      </w:r>
      <w:r>
        <w:rPr>
          <w:rFonts w:hint="eastAsia" w:ascii="宋体" w:hAnsi="宋体" w:eastAsia="宋体" w:cs="宋体"/>
          <w:color w:val="auto"/>
          <w:spacing w:val="-5"/>
          <w:sz w:val="24"/>
          <w:szCs w:val="24"/>
          <w:highlight w:val="none"/>
          <w:lang w:eastAsia="zh-CN"/>
        </w:rPr>
        <w:t>，</w:t>
      </w:r>
      <w:r>
        <w:rPr>
          <w:rFonts w:hint="eastAsia" w:ascii="宋体" w:hAnsi="宋体" w:eastAsia="宋体" w:cs="宋体"/>
          <w:color w:val="auto"/>
          <w:spacing w:val="-5"/>
          <w:sz w:val="24"/>
          <w:szCs w:val="24"/>
          <w:highlight w:val="none"/>
          <w:lang w:val="en-US" w:eastAsia="zh-CN"/>
        </w:rPr>
        <w:t>公示时间不少于3个工作日。</w:t>
      </w:r>
      <w:r>
        <w:rPr>
          <w:rFonts w:hint="eastAsia" w:ascii="宋体" w:hAnsi="宋体" w:eastAsia="宋体" w:cs="宋体"/>
          <w:color w:val="auto"/>
          <w:spacing w:val="-5"/>
          <w:sz w:val="24"/>
          <w:szCs w:val="24"/>
          <w:highlight w:val="none"/>
          <w:lang w:eastAsia="zh-CN"/>
        </w:rPr>
        <w:t>公示主要内容包括：（</w:t>
      </w:r>
      <w:r>
        <w:rPr>
          <w:rFonts w:hint="eastAsia" w:ascii="宋体" w:hAnsi="宋体" w:eastAsia="宋体" w:cs="宋体"/>
          <w:color w:val="auto"/>
          <w:spacing w:val="-5"/>
          <w:sz w:val="24"/>
          <w:szCs w:val="24"/>
          <w:highlight w:val="none"/>
          <w:lang w:val="en-US" w:eastAsia="zh-CN"/>
        </w:rPr>
        <w:t>1）定标候选人名称、投标报价、业绩奖项、质量、工期、拟派驻招标项目管理机构人员信息等；（2）定标候选人按照招标文件要求承诺的项目负责人姓名及相关证书名称和编号；（3）响应招标文件要求的资格能力条件；（4）提出异议的渠道和方式；（5）评标专家代码（评标专家姓名可用代码进行标示，如专家一、专家二等）及其对应的具体评标意见（含对否决投标人相关意见等）以及评标报告；（6）投标文件；（7）招标文件确认公示的其他内容。</w:t>
      </w:r>
    </w:p>
    <w:p w14:paraId="732B4744">
      <w:pPr>
        <w:spacing w:before="150" w:line="332" w:lineRule="auto"/>
        <w:ind w:left="10" w:right="195" w:firstLine="564"/>
        <w:rPr>
          <w:rFonts w:hint="eastAsia" w:ascii="宋体" w:hAnsi="宋体" w:eastAsia="宋体" w:cs="宋体"/>
          <w:color w:val="auto"/>
          <w:spacing w:val="-5"/>
          <w:sz w:val="24"/>
          <w:szCs w:val="24"/>
          <w:highlight w:val="none"/>
        </w:rPr>
      </w:pPr>
    </w:p>
    <w:p w14:paraId="680F7091">
      <w:pPr>
        <w:spacing w:before="78" w:line="220" w:lineRule="auto"/>
        <w:ind w:left="9"/>
        <w:jc w:val="center"/>
        <w:outlineLvl w:val="1"/>
        <w:rPr>
          <w:rFonts w:hint="eastAsia" w:ascii="宋体" w:hAnsi="宋体" w:eastAsia="宋体" w:cs="宋体"/>
          <w:b/>
          <w:bCs/>
          <w:color w:val="auto"/>
          <w:spacing w:val="-3"/>
          <w:sz w:val="24"/>
          <w:szCs w:val="24"/>
          <w:highlight w:val="none"/>
        </w:rPr>
      </w:pPr>
    </w:p>
    <w:p w14:paraId="19AD7595">
      <w:pPr>
        <w:spacing w:before="78" w:line="220" w:lineRule="auto"/>
        <w:ind w:left="9"/>
        <w:jc w:val="center"/>
        <w:outlineLvl w:val="1"/>
        <w:rPr>
          <w:rFonts w:hint="eastAsia" w:ascii="宋体" w:hAnsi="宋体" w:eastAsia="宋体" w:cs="宋体"/>
          <w:b/>
          <w:bCs/>
          <w:color w:val="auto"/>
          <w:spacing w:val="-3"/>
          <w:sz w:val="24"/>
          <w:szCs w:val="24"/>
          <w:highlight w:val="none"/>
        </w:rPr>
      </w:pPr>
    </w:p>
    <w:p w14:paraId="34EE0DBD">
      <w:pPr>
        <w:spacing w:before="78" w:line="220" w:lineRule="auto"/>
        <w:ind w:left="9"/>
        <w:jc w:val="center"/>
        <w:outlineLvl w:val="1"/>
        <w:rPr>
          <w:rFonts w:hint="eastAsia" w:ascii="宋体" w:hAnsi="宋体" w:eastAsia="宋体" w:cs="宋体"/>
          <w:b/>
          <w:bCs/>
          <w:color w:val="auto"/>
          <w:spacing w:val="-3"/>
          <w:sz w:val="24"/>
          <w:szCs w:val="24"/>
          <w:highlight w:val="none"/>
        </w:rPr>
      </w:pPr>
    </w:p>
    <w:p w14:paraId="5871E195">
      <w:pPr>
        <w:spacing w:before="78" w:line="220" w:lineRule="auto"/>
        <w:ind w:left="9"/>
        <w:jc w:val="center"/>
        <w:outlineLvl w:val="1"/>
        <w:rPr>
          <w:rFonts w:hint="eastAsia" w:ascii="宋体" w:hAnsi="宋体" w:eastAsia="宋体" w:cs="宋体"/>
          <w:b/>
          <w:bCs/>
          <w:color w:val="auto"/>
          <w:spacing w:val="-3"/>
          <w:sz w:val="24"/>
          <w:szCs w:val="24"/>
          <w:highlight w:val="none"/>
        </w:rPr>
      </w:pPr>
    </w:p>
    <w:p w14:paraId="5A66E3B3">
      <w:pPr>
        <w:spacing w:before="78" w:line="220" w:lineRule="auto"/>
        <w:ind w:left="9"/>
        <w:jc w:val="center"/>
        <w:outlineLvl w:val="1"/>
        <w:rPr>
          <w:rFonts w:hint="eastAsia" w:ascii="宋体" w:hAnsi="宋体" w:eastAsia="宋体" w:cs="宋体"/>
          <w:b/>
          <w:bCs/>
          <w:color w:val="auto"/>
          <w:spacing w:val="-3"/>
          <w:sz w:val="24"/>
          <w:szCs w:val="24"/>
          <w:highlight w:val="none"/>
        </w:rPr>
      </w:pPr>
    </w:p>
    <w:p w14:paraId="4DB74A79">
      <w:pPr>
        <w:spacing w:before="78" w:line="220" w:lineRule="auto"/>
        <w:ind w:left="9"/>
        <w:jc w:val="center"/>
        <w:outlineLvl w:val="1"/>
        <w:rPr>
          <w:rFonts w:hint="eastAsia" w:ascii="宋体" w:hAnsi="宋体" w:eastAsia="宋体" w:cs="宋体"/>
          <w:b/>
          <w:bCs/>
          <w:color w:val="auto"/>
          <w:spacing w:val="-3"/>
          <w:sz w:val="24"/>
          <w:szCs w:val="24"/>
          <w:highlight w:val="none"/>
        </w:rPr>
      </w:pPr>
    </w:p>
    <w:p w14:paraId="53D9FAD5">
      <w:pPr>
        <w:spacing w:before="78" w:line="220" w:lineRule="auto"/>
        <w:ind w:left="9"/>
        <w:jc w:val="center"/>
        <w:outlineLvl w:val="1"/>
        <w:rPr>
          <w:rFonts w:hint="eastAsia" w:ascii="宋体" w:hAnsi="宋体" w:eastAsia="宋体" w:cs="宋体"/>
          <w:b/>
          <w:bCs/>
          <w:color w:val="auto"/>
          <w:spacing w:val="-3"/>
          <w:sz w:val="24"/>
          <w:szCs w:val="24"/>
          <w:highlight w:val="none"/>
        </w:rPr>
      </w:pPr>
    </w:p>
    <w:p w14:paraId="6A0DA332">
      <w:pPr>
        <w:spacing w:before="78" w:line="220" w:lineRule="auto"/>
        <w:ind w:left="9"/>
        <w:jc w:val="center"/>
        <w:outlineLvl w:val="1"/>
        <w:rPr>
          <w:rFonts w:hint="eastAsia" w:ascii="宋体" w:hAnsi="宋体" w:eastAsia="宋体" w:cs="宋体"/>
          <w:b/>
          <w:bCs/>
          <w:color w:val="auto"/>
          <w:spacing w:val="-3"/>
          <w:sz w:val="24"/>
          <w:szCs w:val="24"/>
          <w:highlight w:val="none"/>
        </w:rPr>
      </w:pPr>
    </w:p>
    <w:p w14:paraId="290A44F1">
      <w:pPr>
        <w:spacing w:before="78" w:line="220" w:lineRule="auto"/>
        <w:ind w:left="9"/>
        <w:jc w:val="center"/>
        <w:outlineLvl w:val="1"/>
        <w:rPr>
          <w:rFonts w:hint="eastAsia" w:ascii="宋体" w:hAnsi="宋体" w:eastAsia="宋体" w:cs="宋体"/>
          <w:b/>
          <w:bCs/>
          <w:color w:val="auto"/>
          <w:spacing w:val="-3"/>
          <w:sz w:val="24"/>
          <w:szCs w:val="24"/>
          <w:highlight w:val="none"/>
        </w:rPr>
      </w:pPr>
    </w:p>
    <w:p w14:paraId="6A3F01D7">
      <w:pPr>
        <w:spacing w:before="78" w:line="220" w:lineRule="auto"/>
        <w:ind w:left="9"/>
        <w:jc w:val="center"/>
        <w:outlineLvl w:val="1"/>
        <w:rPr>
          <w:rFonts w:hint="eastAsia" w:ascii="宋体" w:hAnsi="宋体" w:eastAsia="宋体" w:cs="宋体"/>
          <w:b/>
          <w:bCs/>
          <w:color w:val="auto"/>
          <w:spacing w:val="-3"/>
          <w:sz w:val="24"/>
          <w:szCs w:val="24"/>
          <w:highlight w:val="none"/>
        </w:rPr>
      </w:pPr>
    </w:p>
    <w:p w14:paraId="19010C7F">
      <w:pPr>
        <w:spacing w:before="78" w:line="220" w:lineRule="auto"/>
        <w:ind w:left="9"/>
        <w:jc w:val="center"/>
        <w:outlineLvl w:val="1"/>
        <w:rPr>
          <w:rFonts w:hint="eastAsia" w:ascii="宋体" w:hAnsi="宋体" w:eastAsia="宋体" w:cs="宋体"/>
          <w:b/>
          <w:bCs/>
          <w:color w:val="auto"/>
          <w:spacing w:val="-3"/>
          <w:sz w:val="24"/>
          <w:szCs w:val="24"/>
          <w:highlight w:val="none"/>
        </w:rPr>
      </w:pPr>
    </w:p>
    <w:p w14:paraId="7EA28852">
      <w:pPr>
        <w:spacing w:before="78" w:line="220" w:lineRule="auto"/>
        <w:ind w:left="9"/>
        <w:jc w:val="center"/>
        <w:outlineLvl w:val="1"/>
        <w:rPr>
          <w:rFonts w:hint="eastAsia" w:ascii="宋体" w:hAnsi="宋体" w:eastAsia="宋体" w:cs="宋体"/>
          <w:b/>
          <w:bCs/>
          <w:color w:val="auto"/>
          <w:spacing w:val="-3"/>
          <w:sz w:val="24"/>
          <w:szCs w:val="24"/>
          <w:highlight w:val="none"/>
        </w:rPr>
      </w:pPr>
    </w:p>
    <w:p w14:paraId="639E0B70">
      <w:pPr>
        <w:spacing w:before="78" w:line="220" w:lineRule="auto"/>
        <w:ind w:left="9"/>
        <w:jc w:val="center"/>
        <w:outlineLvl w:val="1"/>
        <w:rPr>
          <w:rFonts w:hint="eastAsia" w:ascii="宋体" w:hAnsi="宋体" w:eastAsia="宋体" w:cs="宋体"/>
          <w:b/>
          <w:bCs/>
          <w:color w:val="auto"/>
          <w:spacing w:val="-3"/>
          <w:sz w:val="24"/>
          <w:szCs w:val="24"/>
          <w:highlight w:val="none"/>
        </w:rPr>
      </w:pPr>
    </w:p>
    <w:p w14:paraId="08FBBA4B">
      <w:pPr>
        <w:spacing w:before="78" w:line="220" w:lineRule="auto"/>
        <w:ind w:left="9"/>
        <w:jc w:val="center"/>
        <w:outlineLvl w:val="1"/>
        <w:rPr>
          <w:rFonts w:hint="eastAsia" w:ascii="宋体" w:hAnsi="宋体" w:eastAsia="宋体" w:cs="宋体"/>
          <w:b/>
          <w:bCs/>
          <w:color w:val="auto"/>
          <w:spacing w:val="-3"/>
          <w:sz w:val="24"/>
          <w:szCs w:val="24"/>
          <w:highlight w:val="none"/>
        </w:rPr>
      </w:pPr>
    </w:p>
    <w:p w14:paraId="2BF62B58">
      <w:pPr>
        <w:pStyle w:val="2"/>
        <w:rPr>
          <w:rFonts w:hint="eastAsia" w:ascii="宋体" w:hAnsi="宋体" w:eastAsia="宋体" w:cs="宋体"/>
          <w:b/>
          <w:bCs/>
          <w:color w:val="auto"/>
          <w:spacing w:val="-3"/>
          <w:sz w:val="24"/>
          <w:szCs w:val="24"/>
          <w:highlight w:val="none"/>
        </w:rPr>
      </w:pPr>
    </w:p>
    <w:p w14:paraId="77973B6A">
      <w:pPr>
        <w:rPr>
          <w:rFonts w:hint="eastAsia" w:ascii="宋体" w:hAnsi="宋体" w:eastAsia="宋体" w:cs="宋体"/>
          <w:b/>
          <w:bCs/>
          <w:color w:val="auto"/>
          <w:spacing w:val="-3"/>
          <w:sz w:val="24"/>
          <w:szCs w:val="24"/>
          <w:highlight w:val="none"/>
        </w:rPr>
      </w:pPr>
    </w:p>
    <w:p w14:paraId="55019768">
      <w:pPr>
        <w:pStyle w:val="2"/>
        <w:rPr>
          <w:rFonts w:hint="eastAsia" w:ascii="宋体" w:hAnsi="宋体" w:eastAsia="宋体" w:cs="宋体"/>
          <w:b/>
          <w:bCs/>
          <w:color w:val="auto"/>
          <w:spacing w:val="-3"/>
          <w:sz w:val="24"/>
          <w:szCs w:val="24"/>
          <w:highlight w:val="none"/>
        </w:rPr>
      </w:pPr>
    </w:p>
    <w:p w14:paraId="52698E67">
      <w:pPr>
        <w:rPr>
          <w:rFonts w:hint="eastAsia" w:ascii="宋体" w:hAnsi="宋体" w:eastAsia="宋体" w:cs="宋体"/>
          <w:b/>
          <w:bCs/>
          <w:color w:val="auto"/>
          <w:spacing w:val="-3"/>
          <w:sz w:val="24"/>
          <w:szCs w:val="24"/>
          <w:highlight w:val="none"/>
        </w:rPr>
      </w:pPr>
    </w:p>
    <w:p w14:paraId="2CC376BE">
      <w:pPr>
        <w:pStyle w:val="2"/>
        <w:rPr>
          <w:rFonts w:hint="eastAsia" w:ascii="宋体" w:hAnsi="宋体" w:eastAsia="宋体" w:cs="宋体"/>
          <w:b/>
          <w:bCs/>
          <w:color w:val="auto"/>
          <w:spacing w:val="-3"/>
          <w:sz w:val="24"/>
          <w:szCs w:val="24"/>
          <w:highlight w:val="none"/>
        </w:rPr>
      </w:pPr>
    </w:p>
    <w:p w14:paraId="6A917AFB">
      <w:pPr>
        <w:rPr>
          <w:rFonts w:hint="eastAsia" w:ascii="宋体" w:hAnsi="宋体" w:eastAsia="宋体" w:cs="宋体"/>
          <w:b/>
          <w:bCs/>
          <w:color w:val="auto"/>
          <w:spacing w:val="-3"/>
          <w:sz w:val="24"/>
          <w:szCs w:val="24"/>
          <w:highlight w:val="none"/>
        </w:rPr>
      </w:pPr>
    </w:p>
    <w:p w14:paraId="306F20C9">
      <w:pPr>
        <w:pStyle w:val="2"/>
        <w:rPr>
          <w:rFonts w:hint="eastAsia" w:ascii="宋体" w:hAnsi="宋体" w:eastAsia="宋体" w:cs="宋体"/>
          <w:b/>
          <w:bCs/>
          <w:color w:val="auto"/>
          <w:spacing w:val="-3"/>
          <w:sz w:val="24"/>
          <w:szCs w:val="24"/>
          <w:highlight w:val="none"/>
        </w:rPr>
      </w:pPr>
    </w:p>
    <w:p w14:paraId="13036E2A">
      <w:pPr>
        <w:rPr>
          <w:rFonts w:hint="eastAsia" w:ascii="宋体" w:hAnsi="宋体" w:eastAsia="宋体" w:cs="宋体"/>
          <w:b/>
          <w:bCs/>
          <w:color w:val="auto"/>
          <w:spacing w:val="-3"/>
          <w:sz w:val="24"/>
          <w:szCs w:val="24"/>
          <w:highlight w:val="none"/>
        </w:rPr>
      </w:pPr>
    </w:p>
    <w:p w14:paraId="44ECDA85">
      <w:pPr>
        <w:pStyle w:val="2"/>
        <w:rPr>
          <w:rFonts w:hint="eastAsia" w:ascii="宋体" w:hAnsi="宋体" w:eastAsia="宋体" w:cs="宋体"/>
          <w:b/>
          <w:bCs/>
          <w:color w:val="auto"/>
          <w:spacing w:val="-3"/>
          <w:sz w:val="24"/>
          <w:szCs w:val="24"/>
          <w:highlight w:val="none"/>
        </w:rPr>
      </w:pPr>
    </w:p>
    <w:p w14:paraId="38AA8FD4">
      <w:pPr>
        <w:rPr>
          <w:rFonts w:hint="eastAsia"/>
          <w:highlight w:val="none"/>
        </w:rPr>
      </w:pPr>
    </w:p>
    <w:p w14:paraId="4C561881">
      <w:pPr>
        <w:spacing w:before="78" w:line="220" w:lineRule="auto"/>
        <w:ind w:left="9"/>
        <w:jc w:val="center"/>
        <w:outlineLvl w:val="1"/>
        <w:rPr>
          <w:rFonts w:hint="eastAsia" w:ascii="宋体" w:hAnsi="宋体" w:eastAsia="宋体" w:cs="宋体"/>
          <w:b/>
          <w:bCs/>
          <w:color w:val="auto"/>
          <w:spacing w:val="-3"/>
          <w:sz w:val="24"/>
          <w:szCs w:val="24"/>
          <w:highlight w:val="none"/>
        </w:rPr>
      </w:pPr>
    </w:p>
    <w:p w14:paraId="224FD29D">
      <w:pPr>
        <w:spacing w:before="78" w:line="220" w:lineRule="auto"/>
        <w:ind w:left="9"/>
        <w:jc w:val="center"/>
        <w:outlineLvl w:val="1"/>
        <w:rPr>
          <w:rFonts w:hint="eastAsia" w:ascii="宋体" w:hAnsi="宋体" w:eastAsia="宋体" w:cs="宋体"/>
          <w:b/>
          <w:bCs/>
          <w:color w:val="auto"/>
          <w:spacing w:val="-3"/>
          <w:sz w:val="24"/>
          <w:szCs w:val="24"/>
          <w:highlight w:val="none"/>
        </w:rPr>
      </w:pPr>
    </w:p>
    <w:p w14:paraId="4A8A702F">
      <w:pPr>
        <w:spacing w:before="78" w:line="220" w:lineRule="auto"/>
        <w:ind w:left="9"/>
        <w:jc w:val="center"/>
        <w:outlineLvl w:val="1"/>
        <w:rPr>
          <w:rFonts w:hint="eastAsia" w:ascii="宋体" w:hAnsi="宋体" w:eastAsia="宋体" w:cs="宋体"/>
          <w:b/>
          <w:bCs/>
          <w:color w:val="auto"/>
          <w:spacing w:val="-3"/>
          <w:sz w:val="24"/>
          <w:szCs w:val="24"/>
          <w:highlight w:val="none"/>
        </w:rPr>
      </w:pPr>
    </w:p>
    <w:p w14:paraId="7058147D">
      <w:pPr>
        <w:spacing w:before="78" w:line="220" w:lineRule="auto"/>
        <w:ind w:left="9"/>
        <w:jc w:val="center"/>
        <w:outlineLvl w:val="1"/>
        <w:rPr>
          <w:rFonts w:hint="eastAsia" w:ascii="宋体" w:hAnsi="宋体" w:eastAsia="宋体" w:cs="宋体"/>
          <w:b/>
          <w:bCs/>
          <w:color w:val="auto"/>
          <w:spacing w:val="-3"/>
          <w:sz w:val="24"/>
          <w:szCs w:val="24"/>
          <w:highlight w:val="none"/>
        </w:rPr>
      </w:pPr>
    </w:p>
    <w:p w14:paraId="5C1476C7">
      <w:pPr>
        <w:spacing w:before="78" w:line="220" w:lineRule="auto"/>
        <w:ind w:left="9"/>
        <w:jc w:val="center"/>
        <w:outlineLvl w:val="1"/>
        <w:rPr>
          <w:rFonts w:hint="eastAsia" w:ascii="宋体" w:hAnsi="宋体" w:eastAsia="宋体" w:cs="宋体"/>
          <w:color w:val="auto"/>
          <w:sz w:val="24"/>
          <w:szCs w:val="24"/>
          <w:highlight w:val="none"/>
        </w:rPr>
      </w:pPr>
      <w:bookmarkStart w:id="145" w:name="_Toc16554"/>
      <w:r>
        <w:rPr>
          <w:rFonts w:hint="eastAsia" w:ascii="宋体" w:hAnsi="宋体" w:eastAsia="宋体" w:cs="宋体"/>
          <w:b/>
          <w:bCs/>
          <w:color w:val="auto"/>
          <w:spacing w:val="-3"/>
          <w:sz w:val="24"/>
          <w:szCs w:val="24"/>
          <w:highlight w:val="none"/>
        </w:rPr>
        <w:t>第四节</w:t>
      </w:r>
      <w:r>
        <w:rPr>
          <w:rFonts w:hint="eastAsia" w:ascii="宋体" w:hAnsi="宋体" w:eastAsia="宋体" w:cs="宋体"/>
          <w:color w:val="auto"/>
          <w:spacing w:val="-3"/>
          <w:sz w:val="24"/>
          <w:szCs w:val="24"/>
          <w:highlight w:val="none"/>
        </w:rPr>
        <w:t xml:space="preserve"> </w:t>
      </w:r>
      <w:r>
        <w:rPr>
          <w:rFonts w:hint="eastAsia" w:ascii="宋体" w:hAnsi="宋体" w:eastAsia="宋体" w:cs="宋体"/>
          <w:b/>
          <w:bCs/>
          <w:color w:val="auto"/>
          <w:spacing w:val="-3"/>
          <w:sz w:val="24"/>
          <w:szCs w:val="24"/>
          <w:highlight w:val="none"/>
        </w:rPr>
        <w:t>否决投标条件</w:t>
      </w:r>
      <w:bookmarkEnd w:id="145"/>
    </w:p>
    <w:p w14:paraId="2637533F">
      <w:pPr>
        <w:pStyle w:val="5"/>
        <w:spacing w:line="256" w:lineRule="auto"/>
        <w:rPr>
          <w:rFonts w:hint="eastAsia" w:ascii="宋体" w:hAnsi="宋体" w:eastAsia="宋体" w:cs="宋体"/>
          <w:color w:val="auto"/>
          <w:highlight w:val="none"/>
        </w:rPr>
      </w:pPr>
    </w:p>
    <w:p w14:paraId="16FA277C">
      <w:pPr>
        <w:spacing w:before="78" w:line="330" w:lineRule="auto"/>
        <w:ind w:left="10" w:right="65" w:firstLine="480"/>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本节所集中列示的否决投标条件，是本章第三节“投标人须知正文</w:t>
      </w:r>
      <w:r>
        <w:rPr>
          <w:rFonts w:hint="eastAsia" w:ascii="宋体" w:hAnsi="宋体" w:eastAsia="宋体" w:cs="宋体"/>
          <w:color w:val="auto"/>
          <w:spacing w:val="-72"/>
          <w:sz w:val="24"/>
          <w:szCs w:val="24"/>
          <w:highlight w:val="none"/>
        </w:rPr>
        <w:t xml:space="preserve"> </w:t>
      </w:r>
      <w:r>
        <w:rPr>
          <w:rFonts w:hint="eastAsia" w:ascii="宋体" w:hAnsi="宋体" w:eastAsia="宋体" w:cs="宋体"/>
          <w:color w:val="auto"/>
          <w:spacing w:val="-3"/>
          <w:sz w:val="24"/>
          <w:szCs w:val="24"/>
          <w:highlight w:val="none"/>
        </w:rPr>
        <w:t>”的组成部分，</w:t>
      </w:r>
      <w:r>
        <w:rPr>
          <w:rFonts w:hint="eastAsia" w:ascii="宋体" w:hAnsi="宋体" w:eastAsia="宋体" w:cs="宋体"/>
          <w:color w:val="auto"/>
          <w:spacing w:val="-2"/>
          <w:sz w:val="24"/>
          <w:szCs w:val="24"/>
          <w:highlight w:val="none"/>
        </w:rPr>
        <w:t>是对本章第三节所规定的否决投标条件的总</w:t>
      </w:r>
      <w:r>
        <w:rPr>
          <w:rFonts w:hint="eastAsia" w:ascii="宋体" w:hAnsi="宋体" w:eastAsia="宋体" w:cs="宋体"/>
          <w:color w:val="auto"/>
          <w:spacing w:val="-3"/>
          <w:sz w:val="24"/>
          <w:szCs w:val="24"/>
          <w:highlight w:val="none"/>
        </w:rPr>
        <w:t>结和补充。</w:t>
      </w:r>
      <w:r>
        <w:rPr>
          <w:rFonts w:hint="eastAsia" w:ascii="宋体" w:hAnsi="宋体" w:eastAsia="宋体" w:cs="宋体"/>
          <w:b/>
          <w:bCs/>
          <w:color w:val="auto"/>
          <w:spacing w:val="-3"/>
          <w:sz w:val="24"/>
          <w:szCs w:val="24"/>
          <w:highlight w:val="none"/>
        </w:rPr>
        <w:t>投标人未有列入本节情形的，评</w:t>
      </w:r>
      <w:r>
        <w:rPr>
          <w:rFonts w:hint="eastAsia" w:ascii="宋体" w:hAnsi="宋体" w:eastAsia="宋体" w:cs="宋体"/>
          <w:b/>
          <w:bCs/>
          <w:color w:val="auto"/>
          <w:spacing w:val="-2"/>
          <w:sz w:val="24"/>
          <w:szCs w:val="24"/>
          <w:highlight w:val="none"/>
        </w:rPr>
        <w:t>标时一律不得否决其投标。</w:t>
      </w:r>
      <w:r>
        <w:rPr>
          <w:rFonts w:hint="eastAsia" w:ascii="宋体" w:hAnsi="宋体" w:eastAsia="宋体" w:cs="宋体"/>
          <w:color w:val="auto"/>
          <w:spacing w:val="-2"/>
          <w:sz w:val="24"/>
          <w:szCs w:val="24"/>
          <w:highlight w:val="none"/>
        </w:rPr>
        <w:t>本节所称“规定</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”均指招标文件的规</w:t>
      </w:r>
      <w:r>
        <w:rPr>
          <w:rFonts w:hint="eastAsia" w:ascii="宋体" w:hAnsi="宋体" w:eastAsia="宋体" w:cs="宋体"/>
          <w:color w:val="auto"/>
          <w:spacing w:val="-3"/>
          <w:sz w:val="24"/>
          <w:szCs w:val="24"/>
          <w:highlight w:val="none"/>
        </w:rPr>
        <w:t>定。</w:t>
      </w:r>
    </w:p>
    <w:p w14:paraId="3B6FE9A6">
      <w:pPr>
        <w:spacing w:before="34" w:line="220" w:lineRule="auto"/>
        <w:ind w:left="495"/>
        <w:outlineLvl w:val="2"/>
        <w:rPr>
          <w:rFonts w:hint="eastAsia" w:ascii="宋体" w:hAnsi="宋体" w:eastAsia="宋体" w:cs="宋体"/>
          <w:color w:val="auto"/>
          <w:sz w:val="24"/>
          <w:szCs w:val="24"/>
          <w:highlight w:val="none"/>
        </w:rPr>
      </w:pPr>
      <w:bookmarkStart w:id="146" w:name="_Toc15082"/>
      <w:r>
        <w:rPr>
          <w:rFonts w:hint="eastAsia" w:ascii="宋体" w:hAnsi="宋体" w:eastAsia="宋体" w:cs="宋体"/>
          <w:b/>
          <w:bCs/>
          <w:color w:val="auto"/>
          <w:spacing w:val="-8"/>
          <w:sz w:val="24"/>
          <w:szCs w:val="24"/>
          <w:highlight w:val="none"/>
        </w:rPr>
        <w:t>1</w:t>
      </w:r>
      <w:r>
        <w:rPr>
          <w:rFonts w:hint="eastAsia" w:ascii="宋体" w:hAnsi="宋体" w:eastAsia="宋体" w:cs="宋体"/>
          <w:b/>
          <w:bCs/>
          <w:color w:val="auto"/>
          <w:spacing w:val="-26"/>
          <w:sz w:val="24"/>
          <w:szCs w:val="24"/>
          <w:highlight w:val="none"/>
        </w:rPr>
        <w:t xml:space="preserve"> </w:t>
      </w:r>
      <w:r>
        <w:rPr>
          <w:rFonts w:hint="eastAsia" w:ascii="宋体" w:hAnsi="宋体" w:eastAsia="宋体" w:cs="宋体"/>
          <w:b/>
          <w:bCs/>
          <w:color w:val="auto"/>
          <w:spacing w:val="-8"/>
          <w:sz w:val="24"/>
          <w:szCs w:val="24"/>
          <w:highlight w:val="none"/>
        </w:rPr>
        <w:t>．资格评审环节</w:t>
      </w:r>
      <w:bookmarkEnd w:id="146"/>
    </w:p>
    <w:p w14:paraId="51ABE522">
      <w:pPr>
        <w:spacing w:before="150" w:line="280" w:lineRule="auto"/>
        <w:ind w:right="200" w:firstLine="492"/>
        <w:rPr>
          <w:rFonts w:hint="eastAsia" w:ascii="宋体" w:hAnsi="宋体" w:eastAsia="宋体" w:cs="宋体"/>
          <w:color w:val="auto"/>
          <w:spacing w:val="-3"/>
          <w:sz w:val="24"/>
          <w:szCs w:val="24"/>
          <w:highlight w:val="none"/>
        </w:rPr>
      </w:pPr>
      <w:r>
        <w:rPr>
          <w:rFonts w:hint="eastAsia" w:ascii="宋体" w:hAnsi="宋体" w:eastAsia="宋体" w:cs="宋体"/>
          <w:color w:val="auto"/>
          <w:spacing w:val="-2"/>
          <w:sz w:val="24"/>
          <w:szCs w:val="24"/>
          <w:highlight w:val="none"/>
        </w:rPr>
        <w:t>投标人有下列情形之一的，评标委员会应否决其投标。被否决的投标人，不进入形</w:t>
      </w:r>
      <w:r>
        <w:rPr>
          <w:rFonts w:hint="eastAsia" w:ascii="宋体" w:hAnsi="宋体" w:eastAsia="宋体" w:cs="宋体"/>
          <w:color w:val="auto"/>
          <w:spacing w:val="-3"/>
          <w:sz w:val="24"/>
          <w:szCs w:val="24"/>
          <w:highlight w:val="none"/>
        </w:rPr>
        <w:t>式评审环节。</w:t>
      </w:r>
    </w:p>
    <w:p w14:paraId="5A5D99B5">
      <w:pPr>
        <w:keepNext w:val="0"/>
        <w:keepLines w:val="0"/>
        <w:pageBreakBefore w:val="0"/>
        <w:widowControl/>
        <w:kinsoku w:val="0"/>
        <w:wordWrap/>
        <w:overflowPunct/>
        <w:topLinePunct w:val="0"/>
        <w:autoSpaceDE w:val="0"/>
        <w:autoSpaceDN w:val="0"/>
        <w:bidi w:val="0"/>
        <w:adjustRightInd w:val="0"/>
        <w:snapToGrid w:val="0"/>
        <w:spacing w:line="360" w:lineRule="auto"/>
        <w:ind w:right="198" w:firstLine="492"/>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（1）有本章第三节第 2.4 条“禁止投标条款 ”规定的任何一种情形；</w:t>
      </w:r>
    </w:p>
    <w:p w14:paraId="128D62E3">
      <w:pPr>
        <w:keepNext w:val="0"/>
        <w:keepLines w:val="0"/>
        <w:pageBreakBefore w:val="0"/>
        <w:widowControl/>
        <w:kinsoku w:val="0"/>
        <w:wordWrap/>
        <w:overflowPunct/>
        <w:topLinePunct w:val="0"/>
        <w:autoSpaceDE w:val="0"/>
        <w:autoSpaceDN w:val="0"/>
        <w:bidi w:val="0"/>
        <w:adjustRightInd w:val="0"/>
        <w:snapToGrid w:val="0"/>
        <w:spacing w:line="360" w:lineRule="auto"/>
        <w:ind w:right="198" w:firstLine="492"/>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（2）投标人资质不符合规定的；</w:t>
      </w:r>
    </w:p>
    <w:p w14:paraId="19664B7F">
      <w:pPr>
        <w:keepNext w:val="0"/>
        <w:keepLines w:val="0"/>
        <w:pageBreakBefore w:val="0"/>
        <w:widowControl/>
        <w:kinsoku w:val="0"/>
        <w:wordWrap/>
        <w:overflowPunct/>
        <w:topLinePunct w:val="0"/>
        <w:autoSpaceDE w:val="0"/>
        <w:autoSpaceDN w:val="0"/>
        <w:bidi w:val="0"/>
        <w:adjustRightInd w:val="0"/>
        <w:snapToGrid w:val="0"/>
        <w:spacing w:line="360" w:lineRule="auto"/>
        <w:ind w:right="198" w:firstLine="492"/>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投标人名称与营业执照、资质证书、安全生产许可证上的企业名称相互不一致的；其资质证书、安全生产许可证不是由住房城乡建设主管部门颁发的；营业执照、资质证书、安全生产许可证（含实时网页查询页，可参考网址 https://zlaq.mohurd.gov.cn/fwmh/bjxcjgl/fwmh/pages/construction_safety/qyaqscxkz/qyaqscxkz）被吊销、暂扣或不在有效期内的；</w:t>
      </w:r>
    </w:p>
    <w:p w14:paraId="28A10984">
      <w:pPr>
        <w:keepNext w:val="0"/>
        <w:keepLines w:val="0"/>
        <w:pageBreakBefore w:val="0"/>
        <w:widowControl/>
        <w:kinsoku w:val="0"/>
        <w:wordWrap/>
        <w:overflowPunct/>
        <w:topLinePunct w:val="0"/>
        <w:autoSpaceDE w:val="0"/>
        <w:autoSpaceDN w:val="0"/>
        <w:bidi w:val="0"/>
        <w:adjustRightInd w:val="0"/>
        <w:snapToGrid w:val="0"/>
        <w:spacing w:line="360" w:lineRule="auto"/>
        <w:ind w:right="198" w:firstLine="492"/>
        <w:textAlignment w:val="baseline"/>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注：投标人已经工商变更，但其企业资质证书、安全生产许可证的企业名称未完成变更的，不得否决其投标；投标人营业执照、资质证书、安全生产许可证之间登记的信息不一致，应当允许投标人澄清，不得直接否决其投标。</w:t>
      </w:r>
    </w:p>
    <w:p w14:paraId="660246F1">
      <w:pPr>
        <w:keepNext w:val="0"/>
        <w:keepLines w:val="0"/>
        <w:pageBreakBefore w:val="0"/>
        <w:widowControl/>
        <w:kinsoku w:val="0"/>
        <w:wordWrap/>
        <w:overflowPunct/>
        <w:topLinePunct w:val="0"/>
        <w:autoSpaceDE w:val="0"/>
        <w:autoSpaceDN w:val="0"/>
        <w:bidi w:val="0"/>
        <w:adjustRightInd w:val="0"/>
        <w:snapToGrid w:val="0"/>
        <w:spacing w:line="360" w:lineRule="auto"/>
        <w:ind w:right="198" w:firstLine="240" w:firstLineChars="1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（4）拟派项目经理、项目技术负责人、专职安全员的条件不符合规定的；拟派专职安全员数量不符合规定的；项目技术负责人未在投标文件《项目技术负责人简历表》中签字确认。</w:t>
      </w:r>
    </w:p>
    <w:p w14:paraId="67723322">
      <w:pPr>
        <w:keepNext w:val="0"/>
        <w:keepLines w:val="0"/>
        <w:pageBreakBefore w:val="0"/>
        <w:widowControl/>
        <w:kinsoku w:val="0"/>
        <w:wordWrap/>
        <w:overflowPunct/>
        <w:topLinePunct w:val="0"/>
        <w:autoSpaceDE w:val="0"/>
        <w:autoSpaceDN w:val="0"/>
        <w:bidi w:val="0"/>
        <w:adjustRightInd w:val="0"/>
        <w:snapToGrid w:val="0"/>
        <w:spacing w:line="360" w:lineRule="auto"/>
        <w:ind w:right="198" w:firstLine="492"/>
        <w:textAlignment w:val="baseline"/>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温馨提示：建造师打印电子证书后，应在个人签名处手写本人签名，未手写签名或与签名图像笔迹不一致的，该电子证书无效。</w:t>
      </w:r>
    </w:p>
    <w:p w14:paraId="4935AD73">
      <w:pPr>
        <w:keepNext w:val="0"/>
        <w:keepLines w:val="0"/>
        <w:pageBreakBefore w:val="0"/>
        <w:widowControl/>
        <w:kinsoku w:val="0"/>
        <w:wordWrap/>
        <w:overflowPunct/>
        <w:topLinePunct w:val="0"/>
        <w:autoSpaceDE w:val="0"/>
        <w:autoSpaceDN w:val="0"/>
        <w:bidi w:val="0"/>
        <w:adjustRightInd w:val="0"/>
        <w:snapToGrid w:val="0"/>
        <w:spacing w:line="360" w:lineRule="auto"/>
        <w:ind w:right="198" w:firstLine="492"/>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项目经理简历表》中拟派项目经理与《开标一览表》不一致的；拟派的项目经理未在投标文件《项目经理简历表》中签字确认；一级建造师的注册证书不是国家住建部颁发的；二级建造师的电子注册证书不是省级住建厅颁发的；建造师的注册单位与投标人不一致的；项目管理班子组成人员的各类证书、证件、证明不在有效期内的（建造师注册证书不在使用有效期内的）；擅自修改、遗漏《项目经理任职声明》实质性内容的；</w:t>
      </w:r>
    </w:p>
    <w:p w14:paraId="5D58D1E1">
      <w:pPr>
        <w:keepNext w:val="0"/>
        <w:keepLines w:val="0"/>
        <w:pageBreakBefore w:val="0"/>
        <w:widowControl/>
        <w:kinsoku w:val="0"/>
        <w:wordWrap/>
        <w:overflowPunct/>
        <w:topLinePunct w:val="0"/>
        <w:autoSpaceDE w:val="0"/>
        <w:autoSpaceDN w:val="0"/>
        <w:bidi w:val="0"/>
        <w:adjustRightInd w:val="0"/>
        <w:snapToGrid w:val="0"/>
        <w:spacing w:line="360" w:lineRule="auto"/>
        <w:ind w:right="198" w:firstLine="492"/>
        <w:textAlignment w:val="baseline"/>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注：投标人已经工商变更，但其员工执业资格注册证书的注册单位名称未完成变更的，不得否决其投标。</w:t>
      </w:r>
    </w:p>
    <w:p w14:paraId="6CDD9500">
      <w:pPr>
        <w:keepNext w:val="0"/>
        <w:keepLines w:val="0"/>
        <w:pageBreakBefore w:val="0"/>
        <w:widowControl/>
        <w:kinsoku w:val="0"/>
        <w:wordWrap/>
        <w:overflowPunct/>
        <w:topLinePunct w:val="0"/>
        <w:autoSpaceDE w:val="0"/>
        <w:autoSpaceDN w:val="0"/>
        <w:bidi w:val="0"/>
        <w:adjustRightInd w:val="0"/>
        <w:snapToGrid w:val="0"/>
        <w:spacing w:line="360" w:lineRule="auto"/>
        <w:ind w:right="198" w:firstLine="492"/>
        <w:textAlignment w:val="baseline"/>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鉴于目前继续教育开展的实际情况，建筑和市政工程施工现场专业人员（例如：施工员、质量员、材料员、资料员）的岗位证书或培训证书不审查其证书的有效期。</w:t>
      </w:r>
    </w:p>
    <w:p w14:paraId="4B23118B">
      <w:pPr>
        <w:keepNext w:val="0"/>
        <w:keepLines w:val="0"/>
        <w:pageBreakBefore w:val="0"/>
        <w:widowControl/>
        <w:kinsoku w:val="0"/>
        <w:wordWrap/>
        <w:overflowPunct/>
        <w:topLinePunct w:val="0"/>
        <w:autoSpaceDE w:val="0"/>
        <w:autoSpaceDN w:val="0"/>
        <w:bidi w:val="0"/>
        <w:adjustRightInd w:val="0"/>
        <w:snapToGrid w:val="0"/>
        <w:spacing w:line="360" w:lineRule="auto"/>
        <w:ind w:right="198" w:firstLine="492"/>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（6）招标文件规定不接受联合体投标，但以联合体投标的；</w:t>
      </w:r>
    </w:p>
    <w:p w14:paraId="1E3DF654">
      <w:pPr>
        <w:keepNext w:val="0"/>
        <w:keepLines w:val="0"/>
        <w:pageBreakBefore w:val="0"/>
        <w:widowControl/>
        <w:kinsoku w:val="0"/>
        <w:wordWrap/>
        <w:overflowPunct/>
        <w:topLinePunct w:val="0"/>
        <w:autoSpaceDE w:val="0"/>
        <w:autoSpaceDN w:val="0"/>
        <w:bidi w:val="0"/>
        <w:adjustRightInd w:val="0"/>
        <w:snapToGrid w:val="0"/>
        <w:spacing w:line="360" w:lineRule="auto"/>
        <w:ind w:right="198" w:firstLine="492"/>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）投标人为外省建筑企业，但未提供“进粤企业和人员诚信信息登记平台 ”企业和拟派人员信息情况打印页或网页截图的。</w:t>
      </w:r>
    </w:p>
    <w:p w14:paraId="62EEE4F7">
      <w:pPr>
        <w:spacing w:before="154" w:line="221" w:lineRule="auto"/>
        <w:ind w:left="477"/>
        <w:outlineLvl w:val="2"/>
        <w:rPr>
          <w:rFonts w:hint="eastAsia" w:ascii="宋体" w:hAnsi="宋体" w:eastAsia="宋体" w:cs="宋体"/>
          <w:color w:val="auto"/>
          <w:sz w:val="24"/>
          <w:szCs w:val="24"/>
          <w:highlight w:val="none"/>
        </w:rPr>
      </w:pPr>
      <w:bookmarkStart w:id="147" w:name="_Toc5925"/>
      <w:r>
        <w:rPr>
          <w:rFonts w:hint="eastAsia" w:ascii="宋体" w:hAnsi="宋体" w:eastAsia="宋体" w:cs="宋体"/>
          <w:b/>
          <w:bCs/>
          <w:color w:val="auto"/>
          <w:spacing w:val="-7"/>
          <w:sz w:val="24"/>
          <w:szCs w:val="24"/>
          <w:highlight w:val="none"/>
        </w:rPr>
        <w:t>2</w:t>
      </w:r>
      <w:r>
        <w:rPr>
          <w:rFonts w:hint="eastAsia" w:ascii="宋体" w:hAnsi="宋体" w:eastAsia="宋体" w:cs="宋体"/>
          <w:b/>
          <w:bCs/>
          <w:color w:val="auto"/>
          <w:spacing w:val="-24"/>
          <w:sz w:val="24"/>
          <w:szCs w:val="24"/>
          <w:highlight w:val="none"/>
        </w:rPr>
        <w:t xml:space="preserve"> </w:t>
      </w:r>
      <w:r>
        <w:rPr>
          <w:rFonts w:hint="eastAsia" w:ascii="宋体" w:hAnsi="宋体" w:eastAsia="宋体" w:cs="宋体"/>
          <w:b/>
          <w:bCs/>
          <w:color w:val="auto"/>
          <w:spacing w:val="-7"/>
          <w:sz w:val="24"/>
          <w:szCs w:val="24"/>
          <w:highlight w:val="none"/>
        </w:rPr>
        <w:t>．形式评审环节</w:t>
      </w:r>
      <w:bookmarkEnd w:id="147"/>
    </w:p>
    <w:p w14:paraId="053CEC5E">
      <w:pPr>
        <w:keepNext w:val="0"/>
        <w:keepLines w:val="0"/>
        <w:pageBreakBefore w:val="0"/>
        <w:widowControl/>
        <w:kinsoku w:val="0"/>
        <w:wordWrap/>
        <w:overflowPunct/>
        <w:topLinePunct w:val="0"/>
        <w:autoSpaceDE w:val="0"/>
        <w:autoSpaceDN w:val="0"/>
        <w:bidi w:val="0"/>
        <w:adjustRightInd w:val="0"/>
        <w:snapToGrid w:val="0"/>
        <w:spacing w:line="360" w:lineRule="auto"/>
        <w:ind w:right="200" w:firstLine="482"/>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投标人有下列情形之一的，评标委员会应否决其投标。被否决的投标人，不进入响应性评审环节。</w:t>
      </w:r>
    </w:p>
    <w:p w14:paraId="18B6E674">
      <w:pPr>
        <w:keepNext w:val="0"/>
        <w:keepLines w:val="0"/>
        <w:pageBreakBefore w:val="0"/>
        <w:widowControl/>
        <w:kinsoku w:val="0"/>
        <w:wordWrap/>
        <w:overflowPunct/>
        <w:topLinePunct w:val="0"/>
        <w:autoSpaceDE w:val="0"/>
        <w:autoSpaceDN w:val="0"/>
        <w:bidi w:val="0"/>
        <w:adjustRightInd w:val="0"/>
        <w:snapToGrid w:val="0"/>
        <w:spacing w:line="360" w:lineRule="auto"/>
        <w:ind w:left="492"/>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（1）各分册没按招标文件规定加盖电子印章；</w:t>
      </w:r>
    </w:p>
    <w:p w14:paraId="74AD0720">
      <w:pPr>
        <w:keepNext w:val="0"/>
        <w:keepLines w:val="0"/>
        <w:pageBreakBefore w:val="0"/>
        <w:widowControl/>
        <w:kinsoku w:val="0"/>
        <w:wordWrap/>
        <w:overflowPunct/>
        <w:topLinePunct w:val="0"/>
        <w:autoSpaceDE w:val="0"/>
        <w:autoSpaceDN w:val="0"/>
        <w:bidi w:val="0"/>
        <w:adjustRightInd w:val="0"/>
        <w:snapToGrid w:val="0"/>
        <w:spacing w:line="360" w:lineRule="auto"/>
        <w:ind w:left="1" w:right="200" w:firstLine="49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（2）本章第三节第</w:t>
      </w:r>
      <w:r>
        <w:rPr>
          <w:rFonts w:hint="eastAsia" w:ascii="宋体" w:hAnsi="宋体" w:eastAsia="宋体" w:cs="宋体"/>
          <w:color w:val="auto"/>
          <w:spacing w:val="-33"/>
          <w:sz w:val="24"/>
          <w:szCs w:val="24"/>
          <w:highlight w:val="none"/>
        </w:rPr>
        <w:t xml:space="preserve"> </w:t>
      </w:r>
      <w:r>
        <w:rPr>
          <w:rFonts w:hint="eastAsia" w:ascii="宋体" w:hAnsi="宋体" w:eastAsia="宋体" w:cs="宋体"/>
          <w:b/>
          <w:bCs/>
          <w:color w:val="auto"/>
          <w:spacing w:val="-8"/>
          <w:sz w:val="24"/>
          <w:szCs w:val="24"/>
          <w:highlight w:val="none"/>
        </w:rPr>
        <w:t>10.2.2</w:t>
      </w:r>
      <w:r>
        <w:rPr>
          <w:rFonts w:hint="eastAsia" w:ascii="宋体" w:hAnsi="宋体" w:eastAsia="宋体" w:cs="宋体"/>
          <w:color w:val="auto"/>
          <w:spacing w:val="-8"/>
          <w:sz w:val="24"/>
          <w:szCs w:val="24"/>
          <w:highlight w:val="none"/>
        </w:rPr>
        <w:t xml:space="preserve"> 目、第</w:t>
      </w:r>
      <w:r>
        <w:rPr>
          <w:rFonts w:hint="eastAsia" w:ascii="宋体" w:hAnsi="宋体" w:eastAsia="宋体" w:cs="宋体"/>
          <w:color w:val="auto"/>
          <w:spacing w:val="-33"/>
          <w:sz w:val="24"/>
          <w:szCs w:val="24"/>
          <w:highlight w:val="none"/>
        </w:rPr>
        <w:t xml:space="preserve"> </w:t>
      </w:r>
      <w:r>
        <w:rPr>
          <w:rFonts w:hint="eastAsia" w:ascii="宋体" w:hAnsi="宋体" w:eastAsia="宋体" w:cs="宋体"/>
          <w:b/>
          <w:bCs/>
          <w:color w:val="auto"/>
          <w:spacing w:val="-8"/>
          <w:sz w:val="24"/>
          <w:szCs w:val="24"/>
          <w:highlight w:val="none"/>
        </w:rPr>
        <w:t>10.3.2</w:t>
      </w:r>
      <w:r>
        <w:rPr>
          <w:rFonts w:hint="eastAsia" w:ascii="宋体" w:hAnsi="宋体" w:eastAsia="宋体" w:cs="宋体"/>
          <w:color w:val="auto"/>
          <w:spacing w:val="-8"/>
          <w:sz w:val="24"/>
          <w:szCs w:val="24"/>
          <w:highlight w:val="none"/>
        </w:rPr>
        <w:t xml:space="preserve"> 目、第</w:t>
      </w:r>
      <w:r>
        <w:rPr>
          <w:rFonts w:hint="eastAsia" w:ascii="宋体" w:hAnsi="宋体" w:eastAsia="宋体" w:cs="宋体"/>
          <w:color w:val="auto"/>
          <w:spacing w:val="-33"/>
          <w:sz w:val="24"/>
          <w:szCs w:val="24"/>
          <w:highlight w:val="none"/>
        </w:rPr>
        <w:t xml:space="preserve"> </w:t>
      </w:r>
      <w:r>
        <w:rPr>
          <w:rFonts w:hint="eastAsia" w:ascii="宋体" w:hAnsi="宋体" w:eastAsia="宋体" w:cs="宋体"/>
          <w:b/>
          <w:bCs/>
          <w:color w:val="auto"/>
          <w:spacing w:val="-8"/>
          <w:sz w:val="24"/>
          <w:szCs w:val="24"/>
          <w:highlight w:val="none"/>
        </w:rPr>
        <w:t>10.4.3</w:t>
      </w:r>
      <w:r>
        <w:rPr>
          <w:rFonts w:hint="eastAsia" w:ascii="宋体" w:hAnsi="宋体" w:eastAsia="宋体" w:cs="宋体"/>
          <w:color w:val="auto"/>
          <w:spacing w:val="-8"/>
          <w:sz w:val="24"/>
          <w:szCs w:val="24"/>
          <w:highlight w:val="none"/>
        </w:rPr>
        <w:t xml:space="preserve"> 目中规定的“所有投标人</w:t>
      </w:r>
      <w:r>
        <w:rPr>
          <w:rFonts w:hint="eastAsia" w:ascii="宋体" w:hAnsi="宋体" w:eastAsia="宋体" w:cs="宋体"/>
          <w:color w:val="auto"/>
          <w:spacing w:val="-1"/>
          <w:sz w:val="24"/>
          <w:szCs w:val="24"/>
          <w:highlight w:val="none"/>
        </w:rPr>
        <w:t>均应提供</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1"/>
          <w:sz w:val="24"/>
          <w:szCs w:val="24"/>
          <w:highlight w:val="none"/>
        </w:rPr>
        <w:t>”的组成内容（包括该组成内容的所附资料）中，</w:t>
      </w:r>
      <w:r>
        <w:rPr>
          <w:rFonts w:hint="eastAsia" w:ascii="宋体" w:hAnsi="宋体" w:eastAsia="宋体" w:cs="宋体"/>
          <w:color w:val="auto"/>
          <w:spacing w:val="-2"/>
          <w:sz w:val="24"/>
          <w:szCs w:val="24"/>
          <w:highlight w:val="none"/>
        </w:rPr>
        <w:t>任何一项有缺漏的；</w:t>
      </w:r>
    </w:p>
    <w:p w14:paraId="5933D0A3">
      <w:pPr>
        <w:keepNext w:val="0"/>
        <w:keepLines w:val="0"/>
        <w:pageBreakBefore w:val="0"/>
        <w:widowControl/>
        <w:kinsoku w:val="0"/>
        <w:wordWrap/>
        <w:overflowPunct/>
        <w:topLinePunct w:val="0"/>
        <w:autoSpaceDE w:val="0"/>
        <w:autoSpaceDN w:val="0"/>
        <w:bidi w:val="0"/>
        <w:adjustRightInd w:val="0"/>
        <w:snapToGrid w:val="0"/>
        <w:spacing w:line="360" w:lineRule="auto"/>
        <w:ind w:left="8" w:right="200" w:firstLine="426"/>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（3）关键字迹模糊、无法辨认，且该种过错将导致评标委员会无法判断投标文件是</w:t>
      </w:r>
      <w:r>
        <w:rPr>
          <w:rFonts w:hint="eastAsia" w:ascii="宋体" w:hAnsi="宋体" w:eastAsia="宋体" w:cs="宋体"/>
          <w:color w:val="auto"/>
          <w:spacing w:val="-2"/>
          <w:sz w:val="24"/>
          <w:szCs w:val="24"/>
          <w:highlight w:val="none"/>
        </w:rPr>
        <w:t>否响应招标文件实质性要求的；有涂改、行间插字或删除，但未加盖单位章或由投标人</w:t>
      </w:r>
      <w:r>
        <w:rPr>
          <w:rFonts w:hint="eastAsia" w:ascii="宋体" w:hAnsi="宋体" w:eastAsia="宋体" w:cs="宋体"/>
          <w:color w:val="auto"/>
          <w:spacing w:val="-1"/>
          <w:sz w:val="24"/>
          <w:szCs w:val="24"/>
          <w:highlight w:val="none"/>
        </w:rPr>
        <w:t>的法定代表人或其委托代理人签字确认的；</w:t>
      </w:r>
    </w:p>
    <w:p w14:paraId="54158009">
      <w:pPr>
        <w:keepNext w:val="0"/>
        <w:keepLines w:val="0"/>
        <w:pageBreakBefore w:val="0"/>
        <w:widowControl/>
        <w:kinsoku w:val="0"/>
        <w:wordWrap/>
        <w:overflowPunct/>
        <w:topLinePunct w:val="0"/>
        <w:autoSpaceDE w:val="0"/>
        <w:autoSpaceDN w:val="0"/>
        <w:bidi w:val="0"/>
        <w:adjustRightInd w:val="0"/>
        <w:snapToGrid w:val="0"/>
        <w:spacing w:line="360" w:lineRule="auto"/>
        <w:ind w:left="434"/>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（4）投标文件未按规定签字、盖章的。</w:t>
      </w:r>
    </w:p>
    <w:p w14:paraId="39AD0DAE">
      <w:pPr>
        <w:spacing w:before="227" w:line="221" w:lineRule="auto"/>
        <w:ind w:left="475"/>
        <w:outlineLvl w:val="2"/>
        <w:rPr>
          <w:rFonts w:hint="eastAsia" w:ascii="宋体" w:hAnsi="宋体" w:eastAsia="宋体" w:cs="宋体"/>
          <w:color w:val="auto"/>
          <w:sz w:val="24"/>
          <w:szCs w:val="24"/>
          <w:highlight w:val="none"/>
        </w:rPr>
      </w:pPr>
      <w:bookmarkStart w:id="148" w:name="_Toc19828"/>
      <w:r>
        <w:rPr>
          <w:rFonts w:hint="eastAsia" w:ascii="宋体" w:hAnsi="宋体" w:eastAsia="宋体" w:cs="宋体"/>
          <w:b/>
          <w:bCs/>
          <w:color w:val="auto"/>
          <w:spacing w:val="-6"/>
          <w:sz w:val="24"/>
          <w:szCs w:val="24"/>
          <w:highlight w:val="none"/>
        </w:rPr>
        <w:t>3</w:t>
      </w:r>
      <w:r>
        <w:rPr>
          <w:rFonts w:hint="eastAsia" w:ascii="宋体" w:hAnsi="宋体" w:eastAsia="宋体" w:cs="宋体"/>
          <w:b/>
          <w:bCs/>
          <w:color w:val="auto"/>
          <w:spacing w:val="-24"/>
          <w:sz w:val="24"/>
          <w:szCs w:val="24"/>
          <w:highlight w:val="none"/>
        </w:rPr>
        <w:t xml:space="preserve"> </w:t>
      </w:r>
      <w:r>
        <w:rPr>
          <w:rFonts w:hint="eastAsia" w:ascii="宋体" w:hAnsi="宋体" w:eastAsia="宋体" w:cs="宋体"/>
          <w:b/>
          <w:bCs/>
          <w:color w:val="auto"/>
          <w:spacing w:val="-6"/>
          <w:sz w:val="24"/>
          <w:szCs w:val="24"/>
          <w:highlight w:val="none"/>
        </w:rPr>
        <w:t>．响应性评审环节</w:t>
      </w:r>
      <w:bookmarkEnd w:id="148"/>
    </w:p>
    <w:p w14:paraId="4686AB01">
      <w:pPr>
        <w:spacing w:before="151" w:line="327" w:lineRule="auto"/>
        <w:ind w:left="1" w:right="200" w:firstLine="48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投标人有下列情形之一的，评标委员会应否决其投标。被否决的投标人，不进入详细评审阶段。</w:t>
      </w:r>
    </w:p>
    <w:p w14:paraId="3A367586">
      <w:pPr>
        <w:spacing w:before="31" w:line="279" w:lineRule="auto"/>
        <w:ind w:left="40" w:right="200" w:firstLine="452"/>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（1）承诺的投标有效期短于规定的；质量标准低于规定的；工期超出规定的；擅</w:t>
      </w:r>
      <w:r>
        <w:rPr>
          <w:rFonts w:hint="eastAsia" w:ascii="宋体" w:hAnsi="宋体" w:eastAsia="宋体" w:cs="宋体"/>
          <w:color w:val="auto"/>
          <w:spacing w:val="-2"/>
          <w:sz w:val="24"/>
          <w:szCs w:val="24"/>
          <w:highlight w:val="none"/>
        </w:rPr>
        <w:t>自修改、遗漏《投标函》《各项承诺一览表》实质性内容的；</w:t>
      </w:r>
    </w:p>
    <w:p w14:paraId="7740EF66">
      <w:pPr>
        <w:spacing w:before="157" w:line="278" w:lineRule="auto"/>
        <w:ind w:left="2" w:right="200" w:firstLine="489"/>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（2）编制《投标总价》的造价工程师，其注册证书不是</w:t>
      </w:r>
      <w:r>
        <w:rPr>
          <w:rFonts w:hint="eastAsia" w:ascii="宋体" w:hAnsi="宋体" w:eastAsia="宋体" w:cs="宋体"/>
          <w:b/>
          <w:bCs/>
          <w:color w:val="auto"/>
          <w:spacing w:val="1"/>
          <w:sz w:val="24"/>
          <w:szCs w:val="24"/>
          <w:highlight w:val="none"/>
        </w:rPr>
        <w:t>住建部门</w:t>
      </w:r>
      <w:r>
        <w:rPr>
          <w:rFonts w:hint="eastAsia" w:ascii="宋体" w:hAnsi="宋体" w:eastAsia="宋体" w:cs="宋体"/>
          <w:color w:val="auto"/>
          <w:spacing w:val="1"/>
          <w:sz w:val="24"/>
          <w:szCs w:val="24"/>
          <w:highlight w:val="none"/>
        </w:rPr>
        <w:t>颁发的；其注册</w:t>
      </w:r>
      <w:r>
        <w:rPr>
          <w:rFonts w:hint="eastAsia" w:ascii="宋体" w:hAnsi="宋体" w:eastAsia="宋体" w:cs="宋体"/>
          <w:color w:val="auto"/>
          <w:sz w:val="24"/>
          <w:szCs w:val="24"/>
          <w:highlight w:val="none"/>
        </w:rPr>
        <w:t>单位与投标人（或造价咨询人）不一致的；</w:t>
      </w:r>
      <w:r>
        <w:rPr>
          <w:rFonts w:hint="eastAsia" w:ascii="宋体" w:hAnsi="宋体" w:eastAsia="宋体" w:cs="宋体"/>
          <w:color w:val="auto"/>
          <w:spacing w:val="-1"/>
          <w:sz w:val="24"/>
          <w:szCs w:val="24"/>
          <w:highlight w:val="none"/>
        </w:rPr>
        <w:t>其注册证书不在有效期内的。</w:t>
      </w:r>
    </w:p>
    <w:p w14:paraId="5077F36E">
      <w:pPr>
        <w:spacing w:before="156" w:line="329" w:lineRule="auto"/>
        <w:ind w:right="200" w:firstLine="480"/>
        <w:jc w:val="both"/>
        <w:rPr>
          <w:rFonts w:hint="eastAsia" w:ascii="宋体" w:hAnsi="宋体" w:eastAsia="宋体" w:cs="宋体"/>
          <w:color w:val="auto"/>
          <w:highlight w:val="none"/>
        </w:rPr>
      </w:pPr>
      <w:r>
        <w:rPr>
          <w:rFonts w:hint="eastAsia" w:ascii="宋体" w:hAnsi="宋体" w:eastAsia="宋体" w:cs="宋体"/>
          <w:b/>
          <w:bCs/>
          <w:color w:val="auto"/>
          <w:spacing w:val="-4"/>
          <w:sz w:val="24"/>
          <w:szCs w:val="24"/>
          <w:highlight w:val="none"/>
        </w:rPr>
        <w:t>注：投标人（或造价咨询人）已经工商变更，但其员工的执业资格注</w:t>
      </w:r>
      <w:r>
        <w:rPr>
          <w:rFonts w:hint="eastAsia" w:ascii="宋体" w:hAnsi="宋体" w:eastAsia="宋体" w:cs="宋体"/>
          <w:b/>
          <w:bCs/>
          <w:color w:val="auto"/>
          <w:spacing w:val="-5"/>
          <w:sz w:val="24"/>
          <w:szCs w:val="24"/>
          <w:highlight w:val="none"/>
        </w:rPr>
        <w:t>册证书的注册单位名称未完成变更的，不得否决其投标。此条与 10.3.1 中的造价工程师执业（含二级造价工程师）指引相一致。</w:t>
      </w:r>
    </w:p>
    <w:p w14:paraId="2A683A42">
      <w:pPr>
        <w:spacing w:before="78" w:line="299" w:lineRule="auto"/>
        <w:ind w:left="2" w:right="81" w:firstLine="488"/>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（3）投标人委托造价咨询单位编制《投标总价》，但未在《投标总价扉页》“投标人</w:t>
      </w:r>
      <w:r>
        <w:rPr>
          <w:rFonts w:hint="eastAsia" w:ascii="宋体" w:hAnsi="宋体" w:eastAsia="宋体" w:cs="宋体"/>
          <w:color w:val="auto"/>
          <w:spacing w:val="-86"/>
          <w:sz w:val="24"/>
          <w:szCs w:val="24"/>
          <w:highlight w:val="none"/>
        </w:rPr>
        <w:t xml:space="preserve"> </w:t>
      </w:r>
      <w:r>
        <w:rPr>
          <w:rFonts w:hint="eastAsia" w:ascii="宋体" w:hAnsi="宋体" w:eastAsia="宋体" w:cs="宋体"/>
          <w:color w:val="auto"/>
          <w:spacing w:val="1"/>
          <w:sz w:val="24"/>
          <w:szCs w:val="24"/>
          <w:highlight w:val="none"/>
        </w:rPr>
        <w:t>”栏目加盖造价咨询人公章的；未提</w:t>
      </w:r>
      <w:r>
        <w:rPr>
          <w:rFonts w:hint="eastAsia" w:ascii="宋体" w:hAnsi="宋体" w:eastAsia="宋体" w:cs="宋体"/>
          <w:color w:val="auto"/>
          <w:sz w:val="24"/>
          <w:szCs w:val="24"/>
          <w:highlight w:val="none"/>
        </w:rPr>
        <w:t>供造价咨询人的营业执照副本彩</w:t>
      </w:r>
      <w:r>
        <w:rPr>
          <w:rFonts w:hint="eastAsia" w:ascii="宋体" w:hAnsi="宋体" w:eastAsia="宋体" w:cs="宋体"/>
          <w:color w:val="auto"/>
          <w:spacing w:val="-3"/>
          <w:sz w:val="24"/>
          <w:szCs w:val="24"/>
          <w:highlight w:val="none"/>
        </w:rPr>
        <w:t>色扫描件；</w:t>
      </w:r>
    </w:p>
    <w:p w14:paraId="3D7914BD">
      <w:pPr>
        <w:spacing w:before="151" w:line="360" w:lineRule="auto"/>
        <w:ind w:right="21" w:firstLine="49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（4）出现两个或两个以上投标总价的（同一个投标总价大、小写不一致的除外</w:t>
      </w:r>
      <w:r>
        <w:rPr>
          <w:rFonts w:hint="eastAsia" w:ascii="宋体" w:hAnsi="宋体" w:eastAsia="宋体" w:cs="宋体"/>
          <w:color w:val="auto"/>
          <w:spacing w:val="-31"/>
          <w:sz w:val="24"/>
          <w:szCs w:val="24"/>
          <w:highlight w:val="none"/>
        </w:rPr>
        <w:t>）；</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2"/>
          <w:sz w:val="24"/>
          <w:szCs w:val="24"/>
          <w:highlight w:val="none"/>
        </w:rPr>
        <w:t>投标总价超出</w:t>
      </w:r>
      <w:r>
        <w:rPr>
          <w:rFonts w:hint="eastAsia" w:ascii="宋体" w:hAnsi="宋体" w:eastAsia="宋体" w:cs="宋体"/>
          <w:b/>
          <w:bCs/>
          <w:color w:val="auto"/>
          <w:spacing w:val="-2"/>
          <w:sz w:val="24"/>
          <w:szCs w:val="24"/>
          <w:highlight w:val="none"/>
          <w:lang w:eastAsia="zh-CN"/>
        </w:rPr>
        <w:t>最高投标限价</w:t>
      </w:r>
      <w:r>
        <w:rPr>
          <w:rFonts w:hint="eastAsia" w:ascii="宋体" w:hAnsi="宋体" w:eastAsia="宋体" w:cs="宋体"/>
          <w:color w:val="auto"/>
          <w:spacing w:val="-2"/>
          <w:sz w:val="24"/>
          <w:szCs w:val="24"/>
          <w:highlight w:val="none"/>
        </w:rPr>
        <w:t>的；</w:t>
      </w:r>
      <w:r>
        <w:rPr>
          <w:rFonts w:hint="eastAsia" w:ascii="宋体" w:hAnsi="宋体" w:eastAsia="宋体" w:cs="宋体"/>
          <w:b/>
          <w:bCs/>
          <w:color w:val="auto"/>
          <w:spacing w:val="-2"/>
          <w:sz w:val="24"/>
          <w:szCs w:val="24"/>
          <w:highlight w:val="none"/>
          <w:lang w:val="en-US" w:eastAsia="zh-CN"/>
        </w:rPr>
        <w:t>安全生产措施费</w:t>
      </w:r>
      <w:r>
        <w:rPr>
          <w:rFonts w:hint="eastAsia" w:ascii="宋体" w:hAnsi="宋体" w:eastAsia="宋体" w:cs="宋体"/>
          <w:color w:val="auto"/>
          <w:spacing w:val="-2"/>
          <w:sz w:val="24"/>
          <w:szCs w:val="24"/>
          <w:highlight w:val="none"/>
        </w:rPr>
        <w:t>少于规定的；暂列金额、暂估</w:t>
      </w:r>
      <w:r>
        <w:rPr>
          <w:rFonts w:hint="eastAsia" w:ascii="宋体" w:hAnsi="宋体" w:eastAsia="宋体" w:cs="宋体"/>
          <w:color w:val="auto"/>
          <w:spacing w:val="-3"/>
          <w:sz w:val="24"/>
          <w:szCs w:val="24"/>
          <w:highlight w:val="none"/>
        </w:rPr>
        <w:t>价未按照招标工程量清单统一报价的；投标总价下浮率超过</w:t>
      </w:r>
      <w:r>
        <w:rPr>
          <w:rFonts w:hint="eastAsia" w:ascii="宋体" w:hAnsi="宋体" w:eastAsia="宋体" w:cs="宋体"/>
          <w:color w:val="auto"/>
          <w:spacing w:val="-23"/>
          <w:sz w:val="24"/>
          <w:szCs w:val="24"/>
          <w:highlight w:val="none"/>
        </w:rPr>
        <w:t xml:space="preserve"> </w:t>
      </w:r>
      <w:r>
        <w:rPr>
          <w:rFonts w:hint="eastAsia" w:ascii="宋体" w:hAnsi="宋体" w:eastAsia="宋体" w:cs="宋体"/>
          <w:color w:val="auto"/>
          <w:spacing w:val="-3"/>
          <w:sz w:val="24"/>
          <w:szCs w:val="24"/>
          <w:highlight w:val="none"/>
        </w:rPr>
        <w:t>15%，又未提供相应书面说</w:t>
      </w:r>
      <w:r>
        <w:rPr>
          <w:rFonts w:hint="eastAsia" w:ascii="宋体" w:hAnsi="宋体" w:eastAsia="宋体" w:cs="宋体"/>
          <w:color w:val="auto"/>
          <w:spacing w:val="-2"/>
          <w:sz w:val="24"/>
          <w:szCs w:val="24"/>
          <w:highlight w:val="none"/>
        </w:rPr>
        <w:t>明和佐证材料或提供的书面说明和佐证材料不能令人信服，被评标委员会认定以低于成</w:t>
      </w:r>
      <w:r>
        <w:rPr>
          <w:rFonts w:hint="eastAsia" w:ascii="宋体" w:hAnsi="宋体" w:eastAsia="宋体" w:cs="宋体"/>
          <w:color w:val="auto"/>
          <w:sz w:val="24"/>
          <w:szCs w:val="24"/>
          <w:highlight w:val="none"/>
        </w:rPr>
        <w:t>本报价竞标的；擅自修改、增减招标工程量清单</w:t>
      </w:r>
      <w:r>
        <w:rPr>
          <w:rFonts w:hint="eastAsia" w:ascii="宋体" w:hAnsi="宋体" w:eastAsia="宋体" w:cs="宋体"/>
          <w:color w:val="auto"/>
          <w:spacing w:val="-1"/>
          <w:sz w:val="24"/>
          <w:szCs w:val="24"/>
          <w:highlight w:val="none"/>
        </w:rPr>
        <w:t>项目（包括措施项目）的；</w:t>
      </w:r>
    </w:p>
    <w:p w14:paraId="7BE05ED8">
      <w:pPr>
        <w:spacing w:before="156" w:line="299" w:lineRule="auto"/>
        <w:ind w:right="81" w:firstLine="49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（5）在施工组织设计评审中，评标委员会认定质量、进度保障措施与国家和省市</w:t>
      </w:r>
      <w:r>
        <w:rPr>
          <w:rFonts w:hint="eastAsia" w:ascii="宋体" w:hAnsi="宋体" w:eastAsia="宋体" w:cs="宋体"/>
          <w:color w:val="auto"/>
          <w:spacing w:val="-3"/>
          <w:sz w:val="24"/>
          <w:szCs w:val="24"/>
          <w:highlight w:val="none"/>
        </w:rPr>
        <w:t>现行有关规范、规定、标准有重大偏差，</w:t>
      </w:r>
      <w:r>
        <w:rPr>
          <w:rFonts w:hint="eastAsia" w:ascii="宋体" w:hAnsi="宋体" w:eastAsia="宋体" w:cs="宋体"/>
          <w:b/>
          <w:bCs/>
          <w:color w:val="auto"/>
          <w:spacing w:val="-3"/>
          <w:sz w:val="24"/>
          <w:szCs w:val="24"/>
          <w:highlight w:val="none"/>
        </w:rPr>
        <w:t>且该种过错将导致工程质量、进度管理目标无</w:t>
      </w:r>
      <w:r>
        <w:rPr>
          <w:rFonts w:hint="eastAsia" w:ascii="宋体" w:hAnsi="宋体" w:eastAsia="宋体" w:cs="宋体"/>
          <w:b/>
          <w:bCs/>
          <w:color w:val="auto"/>
          <w:spacing w:val="-4"/>
          <w:sz w:val="24"/>
          <w:szCs w:val="24"/>
          <w:highlight w:val="none"/>
        </w:rPr>
        <w:t>法实现的</w:t>
      </w:r>
      <w:r>
        <w:rPr>
          <w:rFonts w:hint="eastAsia" w:ascii="宋体" w:hAnsi="宋体" w:eastAsia="宋体" w:cs="宋体"/>
          <w:color w:val="auto"/>
          <w:spacing w:val="-4"/>
          <w:sz w:val="24"/>
          <w:szCs w:val="24"/>
          <w:highlight w:val="none"/>
        </w:rPr>
        <w:t>。</w:t>
      </w:r>
    </w:p>
    <w:p w14:paraId="1F2CAFD7">
      <w:pPr>
        <w:spacing w:before="151" w:line="221" w:lineRule="auto"/>
        <w:ind w:left="476"/>
        <w:outlineLvl w:val="2"/>
        <w:rPr>
          <w:rFonts w:hint="eastAsia" w:ascii="宋体" w:hAnsi="宋体" w:eastAsia="宋体" w:cs="宋体"/>
          <w:color w:val="auto"/>
          <w:sz w:val="24"/>
          <w:szCs w:val="24"/>
          <w:highlight w:val="none"/>
        </w:rPr>
      </w:pPr>
      <w:bookmarkStart w:id="149" w:name="_Toc1458"/>
      <w:r>
        <w:rPr>
          <w:rFonts w:hint="eastAsia" w:ascii="宋体" w:hAnsi="宋体" w:eastAsia="宋体" w:cs="宋体"/>
          <w:b/>
          <w:bCs/>
          <w:color w:val="auto"/>
          <w:spacing w:val="-11"/>
          <w:sz w:val="24"/>
          <w:szCs w:val="24"/>
          <w:highlight w:val="none"/>
        </w:rPr>
        <w:t>4</w:t>
      </w:r>
      <w:r>
        <w:rPr>
          <w:rFonts w:hint="eastAsia" w:ascii="宋体" w:hAnsi="宋体" w:eastAsia="宋体" w:cs="宋体"/>
          <w:b/>
          <w:bCs/>
          <w:color w:val="auto"/>
          <w:spacing w:val="-29"/>
          <w:sz w:val="24"/>
          <w:szCs w:val="24"/>
          <w:highlight w:val="none"/>
        </w:rPr>
        <w:t xml:space="preserve"> </w:t>
      </w:r>
      <w:r>
        <w:rPr>
          <w:rFonts w:hint="eastAsia" w:ascii="宋体" w:hAnsi="宋体" w:eastAsia="宋体" w:cs="宋体"/>
          <w:b/>
          <w:bCs/>
          <w:color w:val="auto"/>
          <w:spacing w:val="-11"/>
          <w:sz w:val="24"/>
          <w:szCs w:val="24"/>
          <w:highlight w:val="none"/>
        </w:rPr>
        <w:t>．其他</w:t>
      </w:r>
      <w:bookmarkEnd w:id="149"/>
    </w:p>
    <w:p w14:paraId="4300F4C0">
      <w:pPr>
        <w:spacing w:before="153" w:line="326" w:lineRule="auto"/>
        <w:ind w:firstLine="479"/>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在任何评标环节（或阶段</w:t>
      </w:r>
      <w:r>
        <w:rPr>
          <w:rFonts w:hint="eastAsia" w:ascii="宋体" w:hAnsi="宋体" w:eastAsia="宋体" w:cs="宋体"/>
          <w:color w:val="auto"/>
          <w:spacing w:val="-36"/>
          <w:sz w:val="24"/>
          <w:szCs w:val="24"/>
          <w:highlight w:val="none"/>
        </w:rPr>
        <w:t>），</w:t>
      </w:r>
      <w:r>
        <w:rPr>
          <w:rFonts w:hint="eastAsia" w:ascii="宋体" w:hAnsi="宋体" w:eastAsia="宋体" w:cs="宋体"/>
          <w:color w:val="auto"/>
          <w:spacing w:val="-4"/>
          <w:sz w:val="24"/>
          <w:szCs w:val="24"/>
          <w:highlight w:val="none"/>
        </w:rPr>
        <w:t>投标人有下列情形之一的，评标委员会应否</w:t>
      </w:r>
      <w:r>
        <w:rPr>
          <w:rFonts w:hint="eastAsia" w:ascii="宋体" w:hAnsi="宋体" w:eastAsia="宋体" w:cs="宋体"/>
          <w:color w:val="auto"/>
          <w:spacing w:val="-5"/>
          <w:sz w:val="24"/>
          <w:szCs w:val="24"/>
          <w:highlight w:val="none"/>
        </w:rPr>
        <w:t>决其投标。</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被否决的投标人，不进入下一环节（或阶段）。</w:t>
      </w:r>
    </w:p>
    <w:p w14:paraId="780DC4D6">
      <w:pPr>
        <w:spacing w:before="33" w:line="219" w:lineRule="auto"/>
        <w:ind w:left="49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（1）不按评标委员会要求澄清、说明或补正的；</w:t>
      </w:r>
    </w:p>
    <w:p w14:paraId="1BD88C6E">
      <w:pPr>
        <w:spacing w:before="154" w:line="219" w:lineRule="auto"/>
        <w:ind w:left="49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（2）有下列情形之一，被评标委员会认定属于串通投标的：</w:t>
      </w:r>
    </w:p>
    <w:p w14:paraId="1240E213">
      <w:pPr>
        <w:keepNext w:val="0"/>
        <w:keepLines w:val="0"/>
        <w:pageBreakBefore w:val="0"/>
        <w:widowControl/>
        <w:kinsoku w:val="0"/>
        <w:wordWrap/>
        <w:overflowPunct/>
        <w:topLinePunct w:val="0"/>
        <w:autoSpaceDE w:val="0"/>
        <w:autoSpaceDN w:val="0"/>
        <w:bidi w:val="0"/>
        <w:adjustRightInd w:val="0"/>
        <w:snapToGrid w:val="0"/>
        <w:spacing w:before="157" w:line="218" w:lineRule="auto"/>
        <w:ind w:left="479"/>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①不同投标人的投标文件两处以上（含两处）错、漏一致；</w:t>
      </w:r>
    </w:p>
    <w:p w14:paraId="00F333AB">
      <w:pPr>
        <w:keepNext w:val="0"/>
        <w:keepLines w:val="0"/>
        <w:pageBreakBefore w:val="0"/>
        <w:widowControl/>
        <w:kinsoku w:val="0"/>
        <w:wordWrap/>
        <w:overflowPunct/>
        <w:topLinePunct w:val="0"/>
        <w:autoSpaceDE w:val="0"/>
        <w:autoSpaceDN w:val="0"/>
        <w:bidi w:val="0"/>
        <w:adjustRightInd w:val="0"/>
        <w:snapToGrid w:val="0"/>
        <w:spacing w:before="156" w:line="278" w:lineRule="auto"/>
        <w:ind w:right="21" w:firstLine="478"/>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②不同投标人的投标总价相近且各分项报价、综合单价分析表内容混乱不能相互对</w:t>
      </w:r>
      <w:r>
        <w:rPr>
          <w:rFonts w:hint="eastAsia" w:ascii="宋体" w:hAnsi="宋体" w:eastAsia="宋体" w:cs="宋体"/>
          <w:color w:val="auto"/>
          <w:spacing w:val="-6"/>
          <w:sz w:val="24"/>
          <w:szCs w:val="24"/>
          <w:highlight w:val="none"/>
        </w:rPr>
        <w:t>应、乱调乱压或乱抬的，而在询标时没有合理的解释或者不能提供计算依据和</w:t>
      </w:r>
      <w:r>
        <w:rPr>
          <w:rFonts w:hint="eastAsia" w:ascii="宋体" w:hAnsi="宋体" w:eastAsia="宋体" w:cs="宋体"/>
          <w:color w:val="auto"/>
          <w:spacing w:val="-7"/>
          <w:sz w:val="24"/>
          <w:szCs w:val="24"/>
          <w:highlight w:val="none"/>
        </w:rPr>
        <w:t>报价依据；</w:t>
      </w:r>
    </w:p>
    <w:p w14:paraId="3F875C43">
      <w:pPr>
        <w:keepNext w:val="0"/>
        <w:keepLines w:val="0"/>
        <w:pageBreakBefore w:val="0"/>
        <w:widowControl/>
        <w:kinsoku w:val="0"/>
        <w:wordWrap/>
        <w:overflowPunct/>
        <w:topLinePunct w:val="0"/>
        <w:autoSpaceDE w:val="0"/>
        <w:autoSpaceDN w:val="0"/>
        <w:bidi w:val="0"/>
        <w:adjustRightInd w:val="0"/>
        <w:snapToGrid w:val="0"/>
        <w:spacing w:before="157" w:line="218" w:lineRule="auto"/>
        <w:ind w:left="478"/>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③不同投标人的投标各项报价存在异常一致</w:t>
      </w:r>
      <w:r>
        <w:rPr>
          <w:rFonts w:hint="eastAsia" w:ascii="宋体" w:hAnsi="宋体" w:eastAsia="宋体" w:cs="宋体"/>
          <w:color w:val="auto"/>
          <w:spacing w:val="-1"/>
          <w:sz w:val="24"/>
          <w:szCs w:val="24"/>
          <w:highlight w:val="none"/>
        </w:rPr>
        <w:t>或者呈规律性变化；</w:t>
      </w:r>
    </w:p>
    <w:p w14:paraId="46E9D77B">
      <w:pPr>
        <w:keepNext w:val="0"/>
        <w:keepLines w:val="0"/>
        <w:pageBreakBefore w:val="0"/>
        <w:widowControl/>
        <w:kinsoku w:val="0"/>
        <w:wordWrap/>
        <w:overflowPunct/>
        <w:topLinePunct w:val="0"/>
        <w:autoSpaceDE w:val="0"/>
        <w:autoSpaceDN w:val="0"/>
        <w:bidi w:val="0"/>
        <w:adjustRightInd w:val="0"/>
        <w:snapToGrid w:val="0"/>
        <w:spacing w:before="156" w:line="218" w:lineRule="auto"/>
        <w:ind w:left="478"/>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④不同投标人的投标文件由同一单位或者同一个人编制；</w:t>
      </w:r>
    </w:p>
    <w:p w14:paraId="09D8E95C">
      <w:pPr>
        <w:keepNext w:val="0"/>
        <w:keepLines w:val="0"/>
        <w:pageBreakBefore w:val="0"/>
        <w:widowControl/>
        <w:kinsoku w:val="0"/>
        <w:wordWrap/>
        <w:overflowPunct/>
        <w:topLinePunct w:val="0"/>
        <w:autoSpaceDE w:val="0"/>
        <w:autoSpaceDN w:val="0"/>
        <w:bidi w:val="0"/>
        <w:adjustRightInd w:val="0"/>
        <w:snapToGrid w:val="0"/>
        <w:spacing w:before="157" w:line="280" w:lineRule="auto"/>
        <w:ind w:left="1" w:right="81" w:firstLine="476"/>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⑤不同投标人的投标文件中投标资料（包括电子资料）相互混装或项目班子成员出</w:t>
      </w:r>
      <w:r>
        <w:rPr>
          <w:rFonts w:hint="eastAsia" w:ascii="宋体" w:hAnsi="宋体" w:eastAsia="宋体" w:cs="宋体"/>
          <w:color w:val="auto"/>
          <w:spacing w:val="-3"/>
          <w:sz w:val="24"/>
          <w:szCs w:val="24"/>
          <w:highlight w:val="none"/>
        </w:rPr>
        <w:t>现同一人；</w:t>
      </w:r>
    </w:p>
    <w:p w14:paraId="510230E6">
      <w:pPr>
        <w:keepNext w:val="0"/>
        <w:keepLines w:val="0"/>
        <w:pageBreakBefore w:val="0"/>
        <w:widowControl/>
        <w:kinsoku w:val="0"/>
        <w:wordWrap/>
        <w:overflowPunct/>
        <w:topLinePunct w:val="0"/>
        <w:autoSpaceDE w:val="0"/>
        <w:autoSpaceDN w:val="0"/>
        <w:bidi w:val="0"/>
        <w:adjustRightInd w:val="0"/>
        <w:snapToGrid w:val="0"/>
        <w:spacing w:before="152" w:line="279" w:lineRule="auto"/>
        <w:ind w:left="3" w:right="81" w:firstLine="474"/>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⑥不同投标人的投标文件由同一电脑编制或同一台附属设备打印，或投标报价用同</w:t>
      </w:r>
      <w:r>
        <w:rPr>
          <w:rFonts w:hint="eastAsia" w:ascii="宋体" w:hAnsi="宋体" w:eastAsia="宋体" w:cs="宋体"/>
          <w:color w:val="auto"/>
          <w:spacing w:val="-1"/>
          <w:sz w:val="24"/>
          <w:szCs w:val="24"/>
          <w:highlight w:val="none"/>
        </w:rPr>
        <w:t>一个预算编制软件密码锁制作或出自同一电子文档；</w:t>
      </w:r>
    </w:p>
    <w:p w14:paraId="5A36E25E">
      <w:pPr>
        <w:keepNext w:val="0"/>
        <w:keepLines w:val="0"/>
        <w:pageBreakBefore w:val="0"/>
        <w:widowControl/>
        <w:kinsoku w:val="0"/>
        <w:wordWrap/>
        <w:overflowPunct/>
        <w:topLinePunct w:val="0"/>
        <w:autoSpaceDE w:val="0"/>
        <w:autoSpaceDN w:val="0"/>
        <w:bidi w:val="0"/>
        <w:adjustRightInd w:val="0"/>
        <w:snapToGrid w:val="0"/>
        <w:spacing w:before="155" w:line="218" w:lineRule="auto"/>
        <w:ind w:left="478"/>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⑦不同投标人的投标保证由同一企业或同一账户资金缴纳；</w:t>
      </w:r>
    </w:p>
    <w:p w14:paraId="5239CFAB">
      <w:pPr>
        <w:keepNext w:val="0"/>
        <w:keepLines w:val="0"/>
        <w:pageBreakBefore w:val="0"/>
        <w:widowControl/>
        <w:kinsoku w:val="0"/>
        <w:wordWrap/>
        <w:overflowPunct/>
        <w:topLinePunct w:val="0"/>
        <w:autoSpaceDE w:val="0"/>
        <w:autoSpaceDN w:val="0"/>
        <w:bidi w:val="0"/>
        <w:adjustRightInd w:val="0"/>
        <w:snapToGrid w:val="0"/>
        <w:spacing w:before="157" w:line="299" w:lineRule="auto"/>
        <w:ind w:right="81" w:firstLine="477"/>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⑧不同投标人委托同一个人或注册在同一家企业的注册人员或同一家企业为其投</w:t>
      </w:r>
      <w:r>
        <w:rPr>
          <w:rFonts w:hint="eastAsia" w:ascii="宋体" w:hAnsi="宋体" w:eastAsia="宋体" w:cs="宋体"/>
          <w:color w:val="auto"/>
          <w:spacing w:val="-2"/>
          <w:sz w:val="24"/>
          <w:szCs w:val="24"/>
          <w:highlight w:val="none"/>
        </w:rPr>
        <w:t>标提供投标咨询、商务报价、技术咨询（招标项目本身要求采用专有技术的除外）等服</w:t>
      </w:r>
      <w:r>
        <w:rPr>
          <w:rFonts w:hint="eastAsia" w:ascii="宋体" w:hAnsi="宋体" w:eastAsia="宋体" w:cs="宋体"/>
          <w:color w:val="auto"/>
          <w:spacing w:val="-6"/>
          <w:sz w:val="24"/>
          <w:szCs w:val="24"/>
          <w:highlight w:val="none"/>
        </w:rPr>
        <w:t>务。</w:t>
      </w:r>
    </w:p>
    <w:p w14:paraId="49CBF401">
      <w:pPr>
        <w:keepNext w:val="0"/>
        <w:keepLines w:val="0"/>
        <w:pageBreakBefore w:val="0"/>
        <w:widowControl/>
        <w:kinsoku w:val="0"/>
        <w:wordWrap/>
        <w:overflowPunct/>
        <w:topLinePunct w:val="0"/>
        <w:autoSpaceDE w:val="0"/>
        <w:autoSpaceDN w:val="0"/>
        <w:bidi w:val="0"/>
        <w:adjustRightInd w:val="0"/>
        <w:snapToGrid w:val="0"/>
        <w:spacing w:line="299" w:lineRule="auto"/>
        <w:textAlignment w:val="baseline"/>
        <w:rPr>
          <w:rFonts w:hint="eastAsia" w:ascii="宋体" w:hAnsi="宋体" w:eastAsia="宋体" w:cs="宋体"/>
          <w:color w:val="auto"/>
          <w:sz w:val="24"/>
          <w:szCs w:val="24"/>
          <w:highlight w:val="none"/>
        </w:rPr>
        <w:sectPr>
          <w:headerReference r:id="rId8" w:type="default"/>
          <w:footerReference r:id="rId9" w:type="default"/>
          <w:pgSz w:w="11906" w:h="16839"/>
          <w:pgMar w:top="1440" w:right="946" w:bottom="1440" w:left="1080" w:header="0" w:footer="1023" w:gutter="0"/>
          <w:pgBorders>
            <w:top w:val="none" w:sz="0" w:space="0"/>
            <w:left w:val="none" w:sz="0" w:space="0"/>
            <w:bottom w:val="none" w:sz="0" w:space="0"/>
            <w:right w:val="none" w:sz="0" w:space="0"/>
          </w:pgBorders>
          <w:cols w:space="720" w:num="1"/>
        </w:sectPr>
      </w:pPr>
    </w:p>
    <w:p w14:paraId="592EEFA9">
      <w:pPr>
        <w:spacing w:before="78" w:line="220" w:lineRule="auto"/>
        <w:ind w:left="9"/>
        <w:jc w:val="center"/>
        <w:outlineLvl w:val="1"/>
        <w:rPr>
          <w:rFonts w:hint="eastAsia" w:ascii="宋体" w:hAnsi="宋体" w:eastAsia="宋体" w:cs="宋体"/>
          <w:color w:val="auto"/>
          <w:sz w:val="24"/>
          <w:szCs w:val="24"/>
          <w:highlight w:val="none"/>
        </w:rPr>
      </w:pPr>
      <w:bookmarkStart w:id="150" w:name="bookmark57"/>
      <w:bookmarkEnd w:id="150"/>
      <w:bookmarkStart w:id="151" w:name="_Toc22243"/>
      <w:r>
        <w:rPr>
          <w:rFonts w:hint="eastAsia" w:ascii="宋体" w:hAnsi="宋体" w:eastAsia="宋体" w:cs="宋体"/>
          <w:b/>
          <w:bCs/>
          <w:color w:val="auto"/>
          <w:spacing w:val="-3"/>
          <w:sz w:val="24"/>
          <w:szCs w:val="24"/>
          <w:highlight w:val="none"/>
        </w:rPr>
        <w:t>第</w:t>
      </w:r>
      <w:r>
        <w:rPr>
          <w:rFonts w:hint="eastAsia" w:ascii="宋体" w:hAnsi="宋体" w:eastAsia="宋体" w:cs="宋体"/>
          <w:b/>
          <w:bCs/>
          <w:color w:val="auto"/>
          <w:spacing w:val="-3"/>
          <w:sz w:val="24"/>
          <w:szCs w:val="24"/>
          <w:highlight w:val="none"/>
          <w:lang w:val="en-US" w:eastAsia="zh-CN"/>
        </w:rPr>
        <w:t>五</w:t>
      </w:r>
      <w:r>
        <w:rPr>
          <w:rFonts w:hint="eastAsia" w:ascii="宋体" w:hAnsi="宋体" w:eastAsia="宋体" w:cs="宋体"/>
          <w:b/>
          <w:bCs/>
          <w:color w:val="auto"/>
          <w:spacing w:val="-3"/>
          <w:sz w:val="24"/>
          <w:szCs w:val="24"/>
          <w:highlight w:val="none"/>
        </w:rPr>
        <w:t>节</w:t>
      </w:r>
      <w:r>
        <w:rPr>
          <w:rFonts w:hint="eastAsia" w:ascii="宋体" w:hAnsi="宋体" w:eastAsia="宋体" w:cs="宋体"/>
          <w:color w:val="auto"/>
          <w:spacing w:val="-3"/>
          <w:sz w:val="24"/>
          <w:szCs w:val="24"/>
          <w:highlight w:val="none"/>
        </w:rPr>
        <w:t xml:space="preserve"> </w:t>
      </w:r>
      <w:r>
        <w:rPr>
          <w:rFonts w:hint="eastAsia" w:ascii="宋体" w:hAnsi="宋体" w:eastAsia="宋体" w:cs="宋体"/>
          <w:b/>
          <w:bCs/>
          <w:color w:val="auto"/>
          <w:spacing w:val="-3"/>
          <w:sz w:val="24"/>
          <w:szCs w:val="24"/>
          <w:highlight w:val="none"/>
        </w:rPr>
        <w:t>定标规定及细则（本项目采用票决数量法定标）</w:t>
      </w:r>
      <w:bookmarkEnd w:id="151"/>
    </w:p>
    <w:p w14:paraId="68BF1814">
      <w:pPr>
        <w:pStyle w:val="5"/>
        <w:spacing w:line="256" w:lineRule="auto"/>
        <w:rPr>
          <w:rFonts w:hint="eastAsia" w:ascii="宋体" w:hAnsi="宋体" w:eastAsia="宋体" w:cs="宋体"/>
          <w:color w:val="auto"/>
          <w:highlight w:val="none"/>
        </w:rPr>
      </w:pPr>
    </w:p>
    <w:p w14:paraId="10B417A3">
      <w:pPr>
        <w:keepNext w:val="0"/>
        <w:keepLines w:val="0"/>
        <w:pageBreakBefore w:val="0"/>
        <w:wordWrap/>
        <w:overflowPunct/>
        <w:topLinePunct w:val="0"/>
        <w:bidi w:val="0"/>
        <w:spacing w:line="360" w:lineRule="auto"/>
        <w:ind w:firstLine="482" w:firstLineChars="200"/>
        <w:rPr>
          <w:rStyle w:val="20"/>
          <w:rFonts w:hint="eastAsia" w:ascii="宋体" w:hAnsi="宋体" w:eastAsia="宋体" w:cs="宋体"/>
          <w:b/>
          <w:bCs/>
          <w:color w:val="auto"/>
          <w:kern w:val="0"/>
          <w:sz w:val="24"/>
          <w:szCs w:val="24"/>
          <w:highlight w:val="none"/>
        </w:rPr>
      </w:pPr>
      <w:r>
        <w:rPr>
          <w:rStyle w:val="20"/>
          <w:rFonts w:hint="eastAsia" w:hAnsi="宋体" w:eastAsia="宋体" w:cs="宋体"/>
          <w:b/>
          <w:bCs/>
          <w:color w:val="auto"/>
          <w:kern w:val="0"/>
          <w:sz w:val="24"/>
          <w:szCs w:val="24"/>
          <w:highlight w:val="none"/>
          <w:lang w:val="en-US" w:eastAsia="zh-CN"/>
        </w:rPr>
        <w:t>1.</w:t>
      </w:r>
      <w:r>
        <w:rPr>
          <w:rStyle w:val="20"/>
          <w:rFonts w:hint="eastAsia" w:ascii="宋体" w:hAnsi="宋体" w:eastAsia="宋体" w:cs="宋体"/>
          <w:b/>
          <w:bCs/>
          <w:color w:val="auto"/>
          <w:kern w:val="0"/>
          <w:sz w:val="24"/>
          <w:szCs w:val="24"/>
          <w:highlight w:val="none"/>
          <w:lang w:eastAsia="zh-CN"/>
        </w:rPr>
        <w:t>确定</w:t>
      </w:r>
      <w:r>
        <w:rPr>
          <w:rStyle w:val="20"/>
          <w:rFonts w:hint="eastAsia" w:ascii="宋体" w:hAnsi="宋体" w:eastAsia="宋体" w:cs="宋体"/>
          <w:b/>
          <w:bCs/>
          <w:color w:val="auto"/>
          <w:kern w:val="0"/>
          <w:sz w:val="24"/>
          <w:szCs w:val="24"/>
          <w:highlight w:val="none"/>
        </w:rPr>
        <w:t>定标时间</w:t>
      </w:r>
    </w:p>
    <w:p w14:paraId="766A39D9">
      <w:pPr>
        <w:keepNext w:val="0"/>
        <w:keepLines w:val="0"/>
        <w:pageBreakBefore w:val="0"/>
        <w:wordWrap/>
        <w:overflowPunct/>
        <w:topLinePunct w:val="0"/>
        <w:bidi w:val="0"/>
        <w:spacing w:line="360" w:lineRule="auto"/>
        <w:ind w:firstLine="480" w:firstLineChars="200"/>
        <w:rPr>
          <w:rStyle w:val="20"/>
          <w:rFonts w:hint="eastAsia" w:ascii="宋体" w:hAnsi="宋体" w:eastAsia="宋体" w:cs="宋体"/>
          <w:color w:val="auto"/>
          <w:kern w:val="0"/>
          <w:sz w:val="24"/>
          <w:szCs w:val="24"/>
          <w:highlight w:val="none"/>
        </w:rPr>
      </w:pPr>
      <w:r>
        <w:rPr>
          <w:rStyle w:val="20"/>
          <w:rFonts w:hint="eastAsia" w:ascii="宋体" w:hAnsi="宋体" w:eastAsia="宋体" w:cs="宋体"/>
          <w:color w:val="auto"/>
          <w:kern w:val="0"/>
          <w:sz w:val="24"/>
          <w:szCs w:val="24"/>
          <w:highlight w:val="none"/>
        </w:rPr>
        <w:t>招标人</w:t>
      </w:r>
      <w:r>
        <w:rPr>
          <w:rStyle w:val="20"/>
          <w:rFonts w:hint="eastAsia" w:ascii="宋体" w:hAnsi="宋体" w:eastAsia="宋体" w:cs="宋体"/>
          <w:color w:val="auto"/>
          <w:kern w:val="0"/>
          <w:sz w:val="24"/>
          <w:szCs w:val="24"/>
          <w:highlight w:val="none"/>
          <w:lang w:eastAsia="zh-CN"/>
        </w:rPr>
        <w:t>应</w:t>
      </w:r>
      <w:r>
        <w:rPr>
          <w:rStyle w:val="20"/>
          <w:rFonts w:hint="eastAsia" w:ascii="宋体" w:hAnsi="宋体" w:eastAsia="宋体" w:cs="宋体"/>
          <w:color w:val="auto"/>
          <w:kern w:val="0"/>
          <w:sz w:val="24"/>
          <w:szCs w:val="24"/>
          <w:highlight w:val="none"/>
        </w:rPr>
        <w:t>自</w:t>
      </w:r>
      <w:r>
        <w:rPr>
          <w:rStyle w:val="20"/>
          <w:rFonts w:hint="eastAsia" w:ascii="宋体" w:hAnsi="宋体" w:eastAsia="宋体" w:cs="宋体"/>
          <w:color w:val="auto"/>
          <w:kern w:val="0"/>
          <w:sz w:val="24"/>
          <w:szCs w:val="24"/>
          <w:highlight w:val="none"/>
          <w:lang w:val="en-US" w:eastAsia="zh-CN"/>
        </w:rPr>
        <w:t>定标候选人</w:t>
      </w:r>
      <w:r>
        <w:rPr>
          <w:rStyle w:val="20"/>
          <w:rFonts w:hint="eastAsia" w:ascii="宋体" w:hAnsi="宋体" w:eastAsia="宋体" w:cs="宋体"/>
          <w:color w:val="auto"/>
          <w:kern w:val="0"/>
          <w:sz w:val="24"/>
          <w:szCs w:val="24"/>
          <w:highlight w:val="none"/>
        </w:rPr>
        <w:t>公示期满后</w:t>
      </w:r>
      <w:r>
        <w:rPr>
          <w:rStyle w:val="20"/>
          <w:rFonts w:hint="eastAsia" w:ascii="宋体" w:hAnsi="宋体" w:eastAsia="宋体" w:cs="宋体"/>
          <w:color w:val="auto"/>
          <w:kern w:val="0"/>
          <w:sz w:val="24"/>
          <w:szCs w:val="24"/>
          <w:highlight w:val="none"/>
          <w:lang w:val="en-US" w:eastAsia="zh-CN"/>
        </w:rPr>
        <w:t>5</w:t>
      </w:r>
      <w:r>
        <w:rPr>
          <w:rStyle w:val="20"/>
          <w:rFonts w:hint="eastAsia" w:ascii="宋体" w:hAnsi="宋体" w:eastAsia="宋体" w:cs="宋体"/>
          <w:color w:val="auto"/>
          <w:kern w:val="0"/>
          <w:sz w:val="24"/>
          <w:szCs w:val="24"/>
          <w:highlight w:val="none"/>
        </w:rPr>
        <w:t>个工作日内进入公共资源交易平台（与评标阶段公共资源交易平台相同）进行定标。定标会议全过程录音录像。招标人需要延期定标的，</w:t>
      </w:r>
      <w:r>
        <w:rPr>
          <w:rStyle w:val="20"/>
          <w:rFonts w:hint="eastAsia" w:ascii="宋体" w:hAnsi="宋体" w:eastAsia="宋体" w:cs="宋体"/>
          <w:color w:val="auto"/>
          <w:kern w:val="0"/>
          <w:sz w:val="24"/>
          <w:szCs w:val="24"/>
          <w:highlight w:val="none"/>
          <w:lang w:eastAsia="zh-CN"/>
        </w:rPr>
        <w:t>应</w:t>
      </w:r>
      <w:r>
        <w:rPr>
          <w:rStyle w:val="20"/>
          <w:rFonts w:hint="eastAsia" w:ascii="宋体" w:hAnsi="宋体" w:eastAsia="宋体" w:cs="宋体"/>
          <w:color w:val="auto"/>
          <w:kern w:val="0"/>
          <w:sz w:val="24"/>
          <w:szCs w:val="24"/>
          <w:highlight w:val="none"/>
        </w:rPr>
        <w:t>通过公共资源交易平台公布延期原因和定标时间。</w:t>
      </w:r>
    </w:p>
    <w:p w14:paraId="5FB42728">
      <w:pPr>
        <w:keepNext w:val="0"/>
        <w:keepLines w:val="0"/>
        <w:pageBreakBefore w:val="0"/>
        <w:wordWrap/>
        <w:overflowPunct/>
        <w:topLinePunct w:val="0"/>
        <w:bidi w:val="0"/>
        <w:spacing w:line="360" w:lineRule="auto"/>
        <w:ind w:firstLine="482" w:firstLineChars="200"/>
        <w:rPr>
          <w:rStyle w:val="20"/>
          <w:rFonts w:hint="eastAsia" w:ascii="宋体" w:hAnsi="宋体" w:eastAsia="宋体" w:cs="宋体"/>
          <w:b/>
          <w:bCs/>
          <w:color w:val="auto"/>
          <w:kern w:val="0"/>
          <w:sz w:val="24"/>
          <w:szCs w:val="24"/>
          <w:highlight w:val="none"/>
          <w:lang w:eastAsia="zh-CN"/>
        </w:rPr>
      </w:pPr>
      <w:r>
        <w:rPr>
          <w:rStyle w:val="20"/>
          <w:rFonts w:hint="eastAsia" w:hAnsi="宋体" w:eastAsia="宋体" w:cs="宋体"/>
          <w:b/>
          <w:bCs/>
          <w:color w:val="auto"/>
          <w:kern w:val="0"/>
          <w:sz w:val="24"/>
          <w:szCs w:val="24"/>
          <w:highlight w:val="none"/>
          <w:lang w:val="en-US" w:eastAsia="zh-CN"/>
        </w:rPr>
        <w:t>2</w:t>
      </w:r>
      <w:r>
        <w:rPr>
          <w:rStyle w:val="20"/>
          <w:rFonts w:hint="eastAsia" w:ascii="宋体" w:hAnsi="宋体" w:eastAsia="宋体" w:cs="宋体"/>
          <w:b/>
          <w:bCs/>
          <w:color w:val="auto"/>
          <w:kern w:val="0"/>
          <w:sz w:val="24"/>
          <w:szCs w:val="24"/>
          <w:highlight w:val="none"/>
        </w:rPr>
        <w:t>.</w:t>
      </w:r>
      <w:r>
        <w:rPr>
          <w:rStyle w:val="20"/>
          <w:rFonts w:hint="eastAsia" w:ascii="宋体" w:hAnsi="宋体" w:eastAsia="宋体" w:cs="宋体"/>
          <w:b/>
          <w:bCs/>
          <w:color w:val="auto"/>
          <w:kern w:val="0"/>
          <w:sz w:val="24"/>
          <w:szCs w:val="24"/>
          <w:highlight w:val="none"/>
          <w:lang w:eastAsia="zh-CN"/>
        </w:rPr>
        <w:t>定标委员会</w:t>
      </w:r>
    </w:p>
    <w:p w14:paraId="239D68EE">
      <w:pPr>
        <w:keepNext w:val="0"/>
        <w:keepLines w:val="0"/>
        <w:pageBreakBefore w:val="0"/>
        <w:wordWrap/>
        <w:overflowPunct/>
        <w:topLinePunct w:val="0"/>
        <w:bidi w:val="0"/>
        <w:spacing w:line="360" w:lineRule="auto"/>
        <w:ind w:firstLine="480" w:firstLineChars="200"/>
        <w:rPr>
          <w:rStyle w:val="20"/>
          <w:rFonts w:hint="eastAsia" w:ascii="宋体" w:hAnsi="宋体" w:eastAsia="宋体" w:cs="宋体"/>
          <w:color w:val="auto"/>
          <w:kern w:val="0"/>
          <w:sz w:val="24"/>
          <w:szCs w:val="24"/>
          <w:highlight w:val="none"/>
          <w:lang w:val="en-US" w:eastAsia="zh-CN"/>
        </w:rPr>
      </w:pPr>
      <w:r>
        <w:rPr>
          <w:rStyle w:val="20"/>
          <w:rFonts w:hint="eastAsia" w:hAnsi="宋体" w:eastAsia="宋体" w:cs="宋体"/>
          <w:color w:val="auto"/>
          <w:kern w:val="0"/>
          <w:sz w:val="24"/>
          <w:szCs w:val="24"/>
          <w:highlight w:val="none"/>
          <w:lang w:val="en-US" w:eastAsia="zh-CN"/>
        </w:rPr>
        <w:t>2.1</w:t>
      </w:r>
      <w:r>
        <w:rPr>
          <w:rStyle w:val="20"/>
          <w:rFonts w:hint="eastAsia" w:ascii="宋体" w:hAnsi="宋体" w:eastAsia="宋体" w:cs="宋体"/>
          <w:color w:val="auto"/>
          <w:kern w:val="0"/>
          <w:sz w:val="24"/>
          <w:szCs w:val="24"/>
          <w:highlight w:val="none"/>
          <w:lang w:val="en-US" w:eastAsia="zh-CN"/>
        </w:rPr>
        <w:t>招标人负责组建定标委员会，由项目业主的法定代表人或者主要负责人担任定标委员会组长。定标委员会的组成方式和人员由招标人按相关规定自行确定。招标项目对技术、商务等有特别要求的可从广东省综合评标评审专家库（韶关区域）抽取专家(外部人员）补足，成员数量为7人及以上单数，成员数量应在招标文件中明确。专家人数原则上不超过2人。定标委员会成员数量在本投标人须知前附表中约定。</w:t>
      </w:r>
    </w:p>
    <w:p w14:paraId="0166038F">
      <w:pPr>
        <w:keepNext w:val="0"/>
        <w:keepLines w:val="0"/>
        <w:pageBreakBefore w:val="0"/>
        <w:wordWrap/>
        <w:overflowPunct/>
        <w:topLinePunct w:val="0"/>
        <w:bidi w:val="0"/>
        <w:spacing w:line="360" w:lineRule="auto"/>
        <w:ind w:firstLine="480" w:firstLineChars="200"/>
        <w:rPr>
          <w:rFonts w:hint="eastAsia"/>
          <w:color w:val="auto"/>
          <w:sz w:val="24"/>
          <w:szCs w:val="24"/>
          <w:highlight w:val="none"/>
          <w:lang w:val="en-US" w:eastAsia="zh-CN"/>
        </w:rPr>
      </w:pPr>
      <w:r>
        <w:rPr>
          <w:rFonts w:hint="eastAsia"/>
          <w:color w:val="auto"/>
          <w:sz w:val="24"/>
          <w:szCs w:val="24"/>
          <w:highlight w:val="none"/>
          <w:lang w:val="en-US" w:eastAsia="zh-CN"/>
        </w:rPr>
        <w:t>2.2定标委员会应当根据招标文件规定的定标方法和细则，对定标候选人进行系统地评审和比较。招标文件中没有规定的定标方法和细则不得作为定标的依据。定标委员会成员应依照招标文件规定的定标方法和细则，独立完成对定标候选人的评审，并对定标结果签字确认。定标委员会应依照招标文件规定的定标方法和细则，对各定标委员会成员的定标结果进行汇总。</w:t>
      </w:r>
    </w:p>
    <w:p w14:paraId="170F3163">
      <w:pPr>
        <w:keepNext w:val="0"/>
        <w:keepLines w:val="0"/>
        <w:pageBreakBefore w:val="0"/>
        <w:wordWrap/>
        <w:overflowPunct/>
        <w:topLinePunct w:val="0"/>
        <w:bidi w:val="0"/>
        <w:spacing w:line="360" w:lineRule="auto"/>
        <w:ind w:firstLine="480" w:firstLineChars="200"/>
        <w:rPr>
          <w:rFonts w:hint="eastAsia"/>
          <w:color w:val="auto"/>
          <w:sz w:val="24"/>
          <w:szCs w:val="24"/>
          <w:highlight w:val="none"/>
          <w:lang w:val="en-US" w:eastAsia="zh-CN"/>
        </w:rPr>
      </w:pPr>
      <w:r>
        <w:rPr>
          <w:rStyle w:val="20"/>
          <w:rFonts w:hint="eastAsia" w:hAnsi="宋体" w:eastAsia="宋体" w:cs="宋体"/>
          <w:color w:val="auto"/>
          <w:kern w:val="0"/>
          <w:sz w:val="24"/>
          <w:szCs w:val="24"/>
          <w:highlight w:val="none"/>
          <w:lang w:val="en-US" w:eastAsia="zh-CN"/>
        </w:rPr>
        <w:t>2</w:t>
      </w:r>
      <w:r>
        <w:rPr>
          <w:rStyle w:val="20"/>
          <w:rFonts w:hint="eastAsia" w:ascii="宋体" w:hAnsi="宋体" w:eastAsia="宋体" w:cs="宋体"/>
          <w:color w:val="auto"/>
          <w:kern w:val="0"/>
          <w:sz w:val="24"/>
          <w:szCs w:val="24"/>
          <w:highlight w:val="none"/>
        </w:rPr>
        <w:t>.</w:t>
      </w:r>
      <w:r>
        <w:rPr>
          <w:rStyle w:val="20"/>
          <w:rFonts w:hint="eastAsia" w:hAnsi="宋体" w:eastAsia="宋体" w:cs="宋体"/>
          <w:color w:val="auto"/>
          <w:kern w:val="0"/>
          <w:sz w:val="24"/>
          <w:szCs w:val="24"/>
          <w:highlight w:val="none"/>
          <w:lang w:val="en-US" w:eastAsia="zh-CN"/>
        </w:rPr>
        <w:t>3</w:t>
      </w:r>
      <w:r>
        <w:rPr>
          <w:rStyle w:val="20"/>
          <w:rFonts w:hint="eastAsia" w:ascii="宋体" w:hAnsi="宋体" w:eastAsia="宋体" w:cs="宋体"/>
          <w:color w:val="auto"/>
          <w:kern w:val="0"/>
          <w:sz w:val="24"/>
          <w:szCs w:val="24"/>
          <w:highlight w:val="none"/>
          <w:lang w:val="en-US" w:eastAsia="zh-CN"/>
        </w:rPr>
        <w:t>定标委员会成员应客观、公正履职，在未公示中标结果前，对定标过程和结果严格保密，对所提出的定标意见承担个人责任。定标委员会成员与定标候选人有利害关系的，应回避。定标委员会成员不得征询招标人确定中标人意向；不得私下与任何定标候选人或者其他利害关系人接触。</w:t>
      </w:r>
    </w:p>
    <w:p w14:paraId="690E8EBF">
      <w:pPr>
        <w:keepNext w:val="0"/>
        <w:keepLines w:val="0"/>
        <w:pageBreakBefore w:val="0"/>
        <w:wordWrap/>
        <w:overflowPunct/>
        <w:topLinePunct w:val="0"/>
        <w:bidi w:val="0"/>
        <w:spacing w:line="360" w:lineRule="auto"/>
        <w:ind w:firstLine="482" w:firstLineChars="200"/>
        <w:rPr>
          <w:rStyle w:val="20"/>
          <w:rFonts w:hint="eastAsia" w:ascii="宋体" w:hAnsi="宋体" w:eastAsia="宋体" w:cs="宋体"/>
          <w:b/>
          <w:bCs/>
          <w:color w:val="auto"/>
          <w:kern w:val="0"/>
          <w:sz w:val="24"/>
          <w:szCs w:val="24"/>
          <w:highlight w:val="none"/>
          <w:lang w:val="en-US" w:eastAsia="zh-CN"/>
        </w:rPr>
      </w:pPr>
      <w:r>
        <w:rPr>
          <w:rStyle w:val="20"/>
          <w:rFonts w:hint="eastAsia" w:hAnsi="宋体" w:eastAsia="宋体" w:cs="宋体"/>
          <w:b/>
          <w:bCs/>
          <w:color w:val="auto"/>
          <w:kern w:val="0"/>
          <w:sz w:val="24"/>
          <w:szCs w:val="24"/>
          <w:highlight w:val="none"/>
          <w:lang w:val="en-US" w:eastAsia="zh-CN"/>
        </w:rPr>
        <w:t>3</w:t>
      </w:r>
      <w:r>
        <w:rPr>
          <w:rStyle w:val="20"/>
          <w:rFonts w:hint="eastAsia" w:ascii="宋体" w:hAnsi="宋体" w:eastAsia="宋体" w:cs="宋体"/>
          <w:b/>
          <w:bCs/>
          <w:color w:val="auto"/>
          <w:kern w:val="0"/>
          <w:sz w:val="24"/>
          <w:szCs w:val="24"/>
          <w:highlight w:val="none"/>
        </w:rPr>
        <w:t>.</w:t>
      </w:r>
      <w:r>
        <w:rPr>
          <w:rStyle w:val="20"/>
          <w:rFonts w:hint="eastAsia" w:ascii="宋体" w:hAnsi="宋体" w:eastAsia="宋体" w:cs="宋体"/>
          <w:b/>
          <w:bCs/>
          <w:color w:val="auto"/>
          <w:kern w:val="0"/>
          <w:sz w:val="24"/>
          <w:szCs w:val="24"/>
          <w:highlight w:val="none"/>
          <w:lang w:val="en-US" w:eastAsia="zh-CN"/>
        </w:rPr>
        <w:t>组建招标监督小组</w:t>
      </w:r>
    </w:p>
    <w:p w14:paraId="451680C4">
      <w:pPr>
        <w:keepNext w:val="0"/>
        <w:keepLines w:val="0"/>
        <w:pageBreakBefore w:val="0"/>
        <w:wordWrap/>
        <w:overflowPunct/>
        <w:topLinePunct w:val="0"/>
        <w:bidi w:val="0"/>
        <w:spacing w:line="360" w:lineRule="auto"/>
        <w:ind w:firstLine="480" w:firstLineChars="200"/>
        <w:rPr>
          <w:rStyle w:val="20"/>
          <w:rFonts w:hint="eastAsia" w:ascii="宋体" w:hAnsi="宋体" w:eastAsia="宋体" w:cs="宋体"/>
          <w:color w:val="auto"/>
          <w:kern w:val="0"/>
          <w:sz w:val="24"/>
          <w:szCs w:val="24"/>
          <w:highlight w:val="none"/>
          <w:lang w:val="en-US" w:eastAsia="zh-CN"/>
        </w:rPr>
      </w:pPr>
      <w:r>
        <w:rPr>
          <w:rStyle w:val="20"/>
          <w:rFonts w:hint="eastAsia" w:ascii="宋体" w:hAnsi="宋体" w:eastAsia="宋体" w:cs="宋体"/>
          <w:color w:val="auto"/>
          <w:kern w:val="0"/>
          <w:sz w:val="24"/>
          <w:szCs w:val="24"/>
          <w:highlight w:val="none"/>
          <w:lang w:val="en-US" w:eastAsia="zh-CN"/>
        </w:rPr>
        <w:t>招标人应组建招标监督小组，对招标投标活动全过程进行监督，及时指出、制止违反程序及纪律的行为，但不得就评标、定标涉及的实质内容发表意见或者参与定标委员会的讨论。相关人员存在违反程序及纪律的行为被指出后仍拒绝纠正的、发现招标投标活动存在其他违反相关规定行为的，招标监督小组应如实记录并及时报告招标人单位主要负责人、行政监督部门。</w:t>
      </w:r>
    </w:p>
    <w:p w14:paraId="7D9B31AD">
      <w:pPr>
        <w:keepNext w:val="0"/>
        <w:keepLines w:val="0"/>
        <w:pageBreakBefore w:val="0"/>
        <w:wordWrap/>
        <w:overflowPunct/>
        <w:topLinePunct w:val="0"/>
        <w:bidi w:val="0"/>
        <w:spacing w:line="360" w:lineRule="auto"/>
        <w:ind w:firstLine="482" w:firstLineChars="200"/>
        <w:jc w:val="left"/>
        <w:rPr>
          <w:rStyle w:val="20"/>
          <w:rFonts w:hint="eastAsia" w:ascii="宋体" w:hAnsi="宋体" w:eastAsia="宋体" w:cs="宋体"/>
          <w:b/>
          <w:bCs/>
          <w:color w:val="auto"/>
          <w:kern w:val="0"/>
          <w:sz w:val="24"/>
          <w:szCs w:val="24"/>
          <w:highlight w:val="none"/>
          <w:lang w:eastAsia="zh-CN"/>
        </w:rPr>
      </w:pPr>
      <w:r>
        <w:rPr>
          <w:rStyle w:val="20"/>
          <w:rFonts w:hint="eastAsia" w:hAnsi="宋体" w:eastAsia="宋体" w:cs="宋体"/>
          <w:b/>
          <w:bCs/>
          <w:color w:val="auto"/>
          <w:kern w:val="0"/>
          <w:sz w:val="24"/>
          <w:szCs w:val="24"/>
          <w:highlight w:val="none"/>
          <w:lang w:val="en-US" w:eastAsia="zh-CN"/>
        </w:rPr>
        <w:t>4</w:t>
      </w:r>
      <w:r>
        <w:rPr>
          <w:rStyle w:val="20"/>
          <w:rFonts w:hint="eastAsia" w:ascii="宋体" w:hAnsi="宋体" w:eastAsia="宋体" w:cs="宋体"/>
          <w:b/>
          <w:bCs/>
          <w:color w:val="auto"/>
          <w:kern w:val="0"/>
          <w:sz w:val="24"/>
          <w:szCs w:val="24"/>
          <w:highlight w:val="none"/>
        </w:rPr>
        <w:t>.</w:t>
      </w:r>
      <w:r>
        <w:rPr>
          <w:rStyle w:val="20"/>
          <w:rFonts w:hint="eastAsia" w:ascii="宋体" w:hAnsi="宋体" w:eastAsia="宋体" w:cs="宋体"/>
          <w:b/>
          <w:bCs/>
          <w:color w:val="auto"/>
          <w:kern w:val="0"/>
          <w:sz w:val="24"/>
          <w:szCs w:val="24"/>
          <w:highlight w:val="none"/>
          <w:lang w:eastAsia="zh-CN"/>
        </w:rPr>
        <w:t>定标办法</w:t>
      </w:r>
    </w:p>
    <w:p w14:paraId="65B6341F">
      <w:pPr>
        <w:keepNext w:val="0"/>
        <w:keepLines w:val="0"/>
        <w:pageBreakBefore w:val="0"/>
        <w:wordWrap/>
        <w:overflowPunct/>
        <w:topLinePunct w:val="0"/>
        <w:bidi w:val="0"/>
        <w:spacing w:line="360" w:lineRule="auto"/>
        <w:ind w:firstLine="240" w:firstLineChars="100"/>
        <w:rPr>
          <w:rStyle w:val="20"/>
          <w:rFonts w:hint="eastAsia" w:ascii="宋体" w:hAnsi="宋体" w:eastAsia="宋体" w:cs="宋体"/>
          <w:color w:val="auto"/>
          <w:kern w:val="0"/>
          <w:sz w:val="24"/>
          <w:szCs w:val="24"/>
          <w:highlight w:val="none"/>
          <w:lang w:val="en-US" w:eastAsia="zh-CN"/>
        </w:rPr>
      </w:pPr>
      <w:r>
        <w:rPr>
          <w:rStyle w:val="20"/>
          <w:rFonts w:hint="eastAsia" w:ascii="宋体" w:hAnsi="宋体" w:eastAsia="宋体" w:cs="宋体"/>
          <w:color w:val="auto"/>
          <w:kern w:val="0"/>
          <w:sz w:val="24"/>
          <w:szCs w:val="24"/>
          <w:highlight w:val="none"/>
          <w:lang w:val="en-US" w:eastAsia="zh-CN"/>
        </w:rPr>
        <w:t>定标办法由招标人按本投标人须知前附表的规定确定（只能选定其中一种定标办法）。</w:t>
      </w:r>
    </w:p>
    <w:p w14:paraId="2E09F1EC">
      <w:pPr>
        <w:keepNext w:val="0"/>
        <w:keepLines w:val="0"/>
        <w:pageBreakBefore w:val="0"/>
        <w:wordWrap/>
        <w:overflowPunct/>
        <w:topLinePunct w:val="0"/>
        <w:bidi w:val="0"/>
        <w:spacing w:line="360" w:lineRule="auto"/>
        <w:ind w:firstLine="480" w:firstLineChars="200"/>
        <w:rPr>
          <w:rFonts w:hint="eastAsia"/>
          <w:color w:val="auto"/>
          <w:sz w:val="24"/>
          <w:szCs w:val="24"/>
          <w:highlight w:val="none"/>
        </w:rPr>
      </w:pPr>
      <w:bookmarkStart w:id="152" w:name="OLE_LINK3"/>
      <w:r>
        <w:rPr>
          <w:rFonts w:hint="eastAsia"/>
          <w:b/>
          <w:bCs/>
          <w:color w:val="auto"/>
          <w:sz w:val="24"/>
          <w:szCs w:val="24"/>
          <w:highlight w:val="none"/>
          <w:lang w:val="en-US" w:eastAsia="zh-CN"/>
        </w:rPr>
        <w:t>本项目</w:t>
      </w:r>
      <w:bookmarkEnd w:id="152"/>
      <w:r>
        <w:rPr>
          <w:rFonts w:hint="eastAsia"/>
          <w:b/>
          <w:bCs/>
          <w:color w:val="auto"/>
          <w:sz w:val="24"/>
          <w:szCs w:val="24"/>
          <w:highlight w:val="none"/>
          <w:lang w:val="en-US" w:eastAsia="zh-CN"/>
        </w:rPr>
        <w:t>采用票决数量法定标。</w:t>
      </w:r>
    </w:p>
    <w:p w14:paraId="7DC142B9">
      <w:pPr>
        <w:keepNext w:val="0"/>
        <w:keepLines w:val="0"/>
        <w:pageBreakBefore w:val="0"/>
        <w:wordWrap/>
        <w:overflowPunct/>
        <w:topLinePunct w:val="0"/>
        <w:bidi w:val="0"/>
        <w:spacing w:line="360" w:lineRule="auto"/>
        <w:ind w:firstLine="482" w:firstLineChars="200"/>
        <w:rPr>
          <w:rStyle w:val="20"/>
          <w:rFonts w:hint="eastAsia" w:hAnsi="宋体" w:eastAsia="宋体" w:cs="宋体"/>
          <w:b/>
          <w:bCs/>
          <w:color w:val="auto"/>
          <w:kern w:val="0"/>
          <w:sz w:val="24"/>
          <w:szCs w:val="24"/>
          <w:highlight w:val="none"/>
          <w:lang w:val="en-US" w:eastAsia="zh-CN"/>
        </w:rPr>
      </w:pPr>
      <w:r>
        <w:rPr>
          <w:rStyle w:val="20"/>
          <w:rFonts w:hint="eastAsia" w:hAnsi="宋体" w:eastAsia="宋体" w:cs="宋体"/>
          <w:b/>
          <w:bCs/>
          <w:color w:val="auto"/>
          <w:kern w:val="0"/>
          <w:sz w:val="24"/>
          <w:szCs w:val="24"/>
          <w:highlight w:val="none"/>
          <w:lang w:val="en-US" w:eastAsia="zh-CN"/>
        </w:rPr>
        <w:t>5.定标细则</w:t>
      </w:r>
    </w:p>
    <w:p w14:paraId="21B82FE0">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宋体" w:hAnsi="宋体" w:eastAsia="宋体" w:cs="宋体"/>
          <w:b/>
          <w:bCs/>
          <w:color w:val="auto"/>
          <w:spacing w:val="0"/>
          <w:position w:val="0"/>
          <w:sz w:val="24"/>
          <w:szCs w:val="24"/>
          <w:highlight w:val="none"/>
          <w:u w:val="none" w:color="auto"/>
          <w:lang w:eastAsia="zh-CN"/>
        </w:rPr>
      </w:pPr>
      <w:r>
        <w:rPr>
          <w:rFonts w:hint="eastAsia" w:ascii="宋体" w:hAnsi="宋体" w:eastAsia="宋体" w:cs="宋体"/>
          <w:b/>
          <w:bCs/>
          <w:color w:val="auto"/>
          <w:spacing w:val="0"/>
          <w:position w:val="0"/>
          <w:sz w:val="24"/>
          <w:szCs w:val="24"/>
          <w:highlight w:val="none"/>
          <w:u w:val="none" w:color="auto"/>
          <w:lang w:val="en-US" w:eastAsia="zh-CN"/>
        </w:rPr>
        <w:t>5.1票决数量法程序</w:t>
      </w:r>
    </w:p>
    <w:p w14:paraId="322D43F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i w:val="0"/>
          <w:snapToGrid/>
          <w:color w:val="auto"/>
          <w:sz w:val="24"/>
          <w:szCs w:val="24"/>
          <w:highlight w:val="none"/>
          <w:u w:val="none"/>
          <w:shd w:val="clear" w:color="auto" w:fill="FFFFFF"/>
          <w:lang w:eastAsia="zh-CN"/>
        </w:rPr>
        <w:t>定标委员会根据定标因素对定标候选人进行评审比较后，每名定标委员会成员</w:t>
      </w:r>
      <w:r>
        <w:rPr>
          <w:rFonts w:hint="eastAsia" w:ascii="宋体" w:hAnsi="宋体" w:eastAsia="宋体" w:cs="宋体"/>
          <w:color w:val="auto"/>
          <w:sz w:val="24"/>
          <w:szCs w:val="24"/>
          <w:highlight w:val="none"/>
          <w:u w:val="none"/>
          <w:lang w:val="en-US" w:eastAsia="zh-CN"/>
        </w:rPr>
        <w:t>有且仅有投出1票的权利，1票只能投1名定标候选人，</w:t>
      </w:r>
      <w:r>
        <w:rPr>
          <w:rFonts w:hint="eastAsia" w:ascii="宋体" w:hAnsi="宋体" w:eastAsia="宋体" w:cs="宋体"/>
          <w:b w:val="0"/>
          <w:i w:val="0"/>
          <w:snapToGrid/>
          <w:color w:val="auto"/>
          <w:sz w:val="24"/>
          <w:szCs w:val="24"/>
          <w:highlight w:val="none"/>
          <w:u w:val="none"/>
          <w:shd w:val="clear" w:color="auto" w:fill="FFFFFF"/>
          <w:lang w:eastAsia="zh-CN"/>
        </w:rPr>
        <w:t>进行票决排名确定排序的中标候选人。即各定标委员会成员对定标候选人进行投票，按得票高低推荐排序的前三名中标候选人。</w:t>
      </w:r>
      <w:r>
        <w:rPr>
          <w:rFonts w:hint="eastAsia" w:ascii="宋体" w:hAnsi="宋体" w:eastAsia="宋体" w:cs="宋体"/>
          <w:color w:val="auto"/>
          <w:sz w:val="24"/>
          <w:szCs w:val="24"/>
          <w:highlight w:val="none"/>
          <w:u w:val="none"/>
          <w:lang w:val="en-US" w:eastAsia="zh-CN"/>
        </w:rPr>
        <w:t>若第一轮投票中前三名中标候选人有</w:t>
      </w:r>
      <w:r>
        <w:rPr>
          <w:rFonts w:hint="eastAsia" w:ascii="宋体" w:hAnsi="宋体" w:eastAsia="宋体" w:cs="宋体"/>
          <w:color w:val="auto"/>
          <w:sz w:val="24"/>
          <w:szCs w:val="24"/>
          <w:highlight w:val="none"/>
          <w:u w:val="none"/>
          <w:shd w:val="clear" w:color="auto" w:fill="FFFFFF"/>
          <w:lang w:val="en-US" w:eastAsia="zh-CN"/>
        </w:rPr>
        <w:t>得票相同且影响中标候选人排序确定的，由定标委员会对总票数相同的单位进行再次票决确定排序,</w:t>
      </w:r>
      <w:r>
        <w:rPr>
          <w:rFonts w:hint="eastAsia" w:ascii="宋体" w:hAnsi="宋体" w:eastAsia="宋体" w:cs="宋体"/>
          <w:color w:val="auto"/>
          <w:sz w:val="24"/>
          <w:szCs w:val="24"/>
          <w:highlight w:val="none"/>
          <w:u w:val="none"/>
          <w:lang w:val="en-US" w:eastAsia="zh-CN"/>
        </w:rPr>
        <w:t>直至决出排序的前三名中标候选人。若定标候选人中没有符合评审要求的三名中标候选人，则宣告本次招标失败。</w:t>
      </w:r>
      <w:r>
        <w:rPr>
          <w:rFonts w:hint="eastAsia" w:ascii="宋体" w:hAnsi="宋体" w:eastAsia="宋体" w:cs="宋体"/>
          <w:b w:val="0"/>
          <w:i w:val="0"/>
          <w:snapToGrid/>
          <w:color w:val="auto"/>
          <w:sz w:val="24"/>
          <w:szCs w:val="24"/>
          <w:highlight w:val="none"/>
          <w:u w:val="none"/>
          <w:shd w:val="clear" w:color="auto" w:fill="FFFFFF"/>
          <w:lang w:eastAsia="zh-CN"/>
        </w:rPr>
        <w:t>票决采用记名方式并注明投票理由。</w:t>
      </w:r>
    </w:p>
    <w:p w14:paraId="40D9E50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宋体" w:hAnsi="宋体" w:eastAsia="宋体" w:cs="宋体"/>
          <w:b/>
          <w:bCs/>
          <w:color w:val="auto"/>
          <w:sz w:val="24"/>
          <w:szCs w:val="24"/>
          <w:highlight w:val="none"/>
          <w:u w:val="none"/>
          <w:shd w:val="clear" w:color="auto" w:fill="FFFFFF"/>
        </w:rPr>
      </w:pPr>
      <w:r>
        <w:rPr>
          <w:rFonts w:hint="eastAsia" w:ascii="宋体" w:hAnsi="宋体" w:eastAsia="宋体" w:cs="宋体"/>
          <w:b/>
          <w:bCs/>
          <w:color w:val="auto"/>
          <w:spacing w:val="0"/>
          <w:position w:val="0"/>
          <w:sz w:val="24"/>
          <w:szCs w:val="24"/>
          <w:highlight w:val="none"/>
          <w:u w:val="none" w:color="auto"/>
          <w:lang w:val="en-US" w:eastAsia="zh-CN"/>
        </w:rPr>
        <w:t>5.1.1.</w:t>
      </w:r>
      <w:r>
        <w:rPr>
          <w:rFonts w:hint="eastAsia" w:ascii="宋体" w:hAnsi="宋体" w:eastAsia="宋体" w:cs="宋体"/>
          <w:b/>
          <w:bCs/>
          <w:color w:val="auto"/>
          <w:sz w:val="24"/>
          <w:szCs w:val="24"/>
          <w:highlight w:val="none"/>
          <w:u w:val="none"/>
          <w:shd w:val="clear" w:color="auto" w:fill="FFFFFF"/>
        </w:rPr>
        <w:t>项目情况介绍</w:t>
      </w:r>
    </w:p>
    <w:p w14:paraId="31594E7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eastAsia="zh-CN"/>
        </w:rPr>
      </w:pPr>
      <w:r>
        <w:rPr>
          <w:rFonts w:hint="eastAsia" w:ascii="宋体" w:hAnsi="宋体" w:eastAsia="宋体" w:cs="宋体"/>
          <w:b w:val="0"/>
          <w:bCs w:val="0"/>
          <w:color w:val="auto"/>
          <w:spacing w:val="0"/>
          <w:position w:val="0"/>
          <w:sz w:val="24"/>
          <w:szCs w:val="24"/>
          <w:highlight w:val="none"/>
          <w:u w:val="none" w:color="auto"/>
          <w:lang w:eastAsia="zh-CN"/>
        </w:rPr>
        <w:t>招标人代表介绍项目的概况及招标要求，以及定标方法与定标工作规则，不得发表具有倾向性的言论。</w:t>
      </w:r>
    </w:p>
    <w:p w14:paraId="2B63202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宋体" w:hAnsi="宋体" w:eastAsia="宋体" w:cs="宋体"/>
          <w:b/>
          <w:bCs/>
          <w:color w:val="auto"/>
          <w:spacing w:val="0"/>
          <w:position w:val="0"/>
          <w:sz w:val="24"/>
          <w:szCs w:val="24"/>
          <w:highlight w:val="none"/>
          <w:u w:val="none" w:color="auto"/>
          <w:lang w:val="en-US" w:eastAsia="zh-CN"/>
        </w:rPr>
      </w:pPr>
      <w:r>
        <w:rPr>
          <w:rFonts w:hint="eastAsia" w:ascii="宋体" w:hAnsi="宋体" w:eastAsia="宋体" w:cs="宋体"/>
          <w:b/>
          <w:bCs/>
          <w:color w:val="auto"/>
          <w:spacing w:val="0"/>
          <w:position w:val="0"/>
          <w:sz w:val="24"/>
          <w:szCs w:val="24"/>
          <w:highlight w:val="none"/>
          <w:u w:val="none" w:color="auto"/>
          <w:lang w:val="en-US" w:eastAsia="zh-CN"/>
        </w:rPr>
        <w:t>5.1.2.</w:t>
      </w:r>
      <w:r>
        <w:rPr>
          <w:rFonts w:hint="eastAsia" w:ascii="宋体" w:hAnsi="宋体" w:eastAsia="宋体" w:cs="宋体"/>
          <w:b/>
          <w:bCs/>
          <w:color w:val="auto"/>
          <w:sz w:val="24"/>
          <w:szCs w:val="24"/>
          <w:highlight w:val="none"/>
          <w:u w:val="none"/>
          <w:shd w:val="clear" w:color="auto" w:fill="FFFFFF"/>
        </w:rPr>
        <w:t>审阅定标资料</w:t>
      </w:r>
    </w:p>
    <w:p w14:paraId="65146BA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eastAsia="zh-CN"/>
        </w:rPr>
      </w:pPr>
      <w:r>
        <w:rPr>
          <w:rFonts w:hint="eastAsia" w:ascii="宋体" w:hAnsi="宋体" w:eastAsia="宋体" w:cs="宋体"/>
          <w:b w:val="0"/>
          <w:bCs w:val="0"/>
          <w:color w:val="auto"/>
          <w:spacing w:val="0"/>
          <w:position w:val="0"/>
          <w:sz w:val="24"/>
          <w:szCs w:val="24"/>
          <w:highlight w:val="none"/>
          <w:u w:val="none" w:color="auto"/>
          <w:lang w:eastAsia="zh-CN"/>
        </w:rPr>
        <w:t>定标委员会成员对各定标候选人的投标文件进行审阅，审阅内容主要是定标工作规则所规定的定标因素，</w:t>
      </w:r>
      <w:r>
        <w:rPr>
          <w:rFonts w:hint="eastAsia" w:ascii="宋体" w:hAnsi="宋体" w:eastAsia="宋体" w:cs="宋体"/>
          <w:b w:val="0"/>
          <w:bCs w:val="0"/>
          <w:color w:val="auto"/>
          <w:spacing w:val="0"/>
          <w:position w:val="0"/>
          <w:sz w:val="24"/>
          <w:szCs w:val="24"/>
          <w:highlight w:val="none"/>
          <w:u w:val="none" w:color="auto"/>
          <w:lang w:val="en-US" w:eastAsia="zh-CN"/>
        </w:rPr>
        <w:t>聚焦于项目需求与候选人能力的匹配度</w:t>
      </w:r>
      <w:r>
        <w:rPr>
          <w:rFonts w:hint="eastAsia" w:ascii="宋体" w:hAnsi="宋体" w:eastAsia="宋体" w:cs="宋体"/>
          <w:color w:val="auto"/>
          <w:sz w:val="24"/>
          <w:szCs w:val="24"/>
          <w:highlight w:val="none"/>
          <w:u w:val="none"/>
          <w:shd w:val="clear" w:color="auto" w:fill="FFFFFF"/>
          <w:lang w:eastAsia="zh-CN"/>
        </w:rPr>
        <w:t>。</w:t>
      </w:r>
    </w:p>
    <w:p w14:paraId="28D62039">
      <w:pPr>
        <w:pStyle w:val="12"/>
        <w:keepNext w:val="0"/>
        <w:keepLines w:val="0"/>
        <w:pageBreakBefore w:val="0"/>
        <w:numPr>
          <w:ilvl w:val="0"/>
          <w:numId w:val="0"/>
        </w:numPr>
        <w:shd w:val="clear" w:color="auto" w:fill="FFFFFF"/>
        <w:kinsoku/>
        <w:wordWrap/>
        <w:overflowPunct/>
        <w:topLinePunct w:val="0"/>
        <w:autoSpaceDE/>
        <w:autoSpaceDN/>
        <w:bidi w:val="0"/>
        <w:adjustRightInd/>
        <w:snapToGrid/>
        <w:spacing w:before="0" w:beforeLines="0" w:beforeAutospacing="0" w:after="0" w:afterLines="0" w:afterAutospacing="0" w:line="360" w:lineRule="auto"/>
        <w:ind w:firstLine="482" w:firstLineChars="200"/>
        <w:jc w:val="both"/>
        <w:textAlignment w:val="auto"/>
        <w:outlineLvl w:val="9"/>
        <w:rPr>
          <w:rFonts w:hint="eastAsia" w:ascii="宋体" w:hAnsi="宋体" w:eastAsia="宋体" w:cs="宋体"/>
          <w:b/>
          <w:bCs/>
          <w:color w:val="auto"/>
          <w:sz w:val="24"/>
          <w:szCs w:val="24"/>
          <w:highlight w:val="none"/>
          <w:u w:val="none"/>
          <w:shd w:val="clear" w:color="auto" w:fill="FFFFFF"/>
        </w:rPr>
      </w:pPr>
      <w:r>
        <w:rPr>
          <w:rFonts w:hint="eastAsia" w:ascii="宋体" w:hAnsi="宋体" w:eastAsia="宋体" w:cs="宋体"/>
          <w:b/>
          <w:bCs/>
          <w:color w:val="auto"/>
          <w:spacing w:val="0"/>
          <w:position w:val="0"/>
          <w:sz w:val="24"/>
          <w:szCs w:val="24"/>
          <w:highlight w:val="none"/>
          <w:u w:val="none" w:color="auto"/>
          <w:lang w:val="en-US" w:eastAsia="zh-CN"/>
        </w:rPr>
        <w:t>5.1.3.</w:t>
      </w:r>
      <w:r>
        <w:rPr>
          <w:rFonts w:hint="eastAsia" w:ascii="宋体" w:hAnsi="宋体" w:eastAsia="宋体" w:cs="宋体"/>
          <w:b/>
          <w:bCs/>
          <w:color w:val="auto"/>
          <w:sz w:val="24"/>
          <w:szCs w:val="24"/>
          <w:highlight w:val="none"/>
          <w:u w:val="none"/>
          <w:shd w:val="clear" w:color="auto" w:fill="FFFFFF"/>
        </w:rPr>
        <w:t>疑问澄清</w:t>
      </w:r>
    </w:p>
    <w:p w14:paraId="7F6080F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color w:val="auto"/>
          <w:sz w:val="24"/>
          <w:szCs w:val="24"/>
          <w:highlight w:val="none"/>
          <w:u w:val="none"/>
          <w:shd w:val="clear" w:color="auto" w:fill="FFFFFF"/>
        </w:rPr>
        <w:t>讨论过程中，若成员对投标文件内容或项目细节存在疑问，可向招标人代表提出。招标人应现场作出答复，答复内容不得改变招标文件和投标文件的实质性内容，不得明示或暗示中标人。问答过程需形成书面记录，并由提问人与答复人签字确认。</w:t>
      </w:r>
    </w:p>
    <w:p w14:paraId="2116CA6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宋体" w:hAnsi="宋体" w:eastAsia="宋体" w:cs="宋体"/>
          <w:b/>
          <w:bCs/>
          <w:color w:val="auto"/>
          <w:kern w:val="0"/>
          <w:sz w:val="24"/>
          <w:szCs w:val="24"/>
          <w:highlight w:val="none"/>
          <w:u w:val="none"/>
          <w:shd w:val="clear" w:color="auto" w:fill="FFFFFF"/>
          <w:lang w:val="en-US" w:eastAsia="zh-CN" w:bidi="ar-SA"/>
        </w:rPr>
      </w:pPr>
      <w:r>
        <w:rPr>
          <w:rFonts w:hint="eastAsia" w:ascii="宋体" w:hAnsi="宋体" w:eastAsia="宋体" w:cs="宋体"/>
          <w:b/>
          <w:bCs/>
          <w:color w:val="auto"/>
          <w:kern w:val="0"/>
          <w:sz w:val="24"/>
          <w:szCs w:val="24"/>
          <w:highlight w:val="none"/>
          <w:u w:val="none"/>
          <w:shd w:val="clear" w:color="auto" w:fill="FFFFFF"/>
          <w:lang w:val="en-US" w:eastAsia="zh-CN" w:bidi="ar-SA"/>
        </w:rPr>
        <w:t>5.1.4.投票，收票，点票和汇总</w:t>
      </w:r>
    </w:p>
    <w:p w14:paraId="3D9FAC90">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eastAsia="zh-CN"/>
        </w:rPr>
        <w:t>定标委员会成员按照票决定标法程序，根据公平、公正、择优原则，独立完成票决后，统一由定标工作人员收集、清点，并对票数进行汇总排名。得票相同且影响中标候选人排序确定的，可由定标委员会对总票数相同的单位进行再次票决确定排序。</w:t>
      </w:r>
    </w:p>
    <w:p w14:paraId="358DA39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宋体" w:hAnsi="宋体" w:eastAsia="宋体" w:cs="宋体"/>
          <w:b w:val="0"/>
          <w:bCs/>
          <w:color w:val="auto"/>
          <w:sz w:val="24"/>
          <w:szCs w:val="24"/>
          <w:highlight w:val="none"/>
          <w:lang w:eastAsia="zh-CN"/>
        </w:rPr>
      </w:pPr>
      <w:r>
        <w:rPr>
          <w:rFonts w:hint="eastAsia" w:ascii="宋体" w:hAnsi="宋体" w:eastAsia="宋体" w:cs="宋体"/>
          <w:b/>
          <w:bCs/>
          <w:color w:val="auto"/>
          <w:kern w:val="0"/>
          <w:sz w:val="24"/>
          <w:szCs w:val="24"/>
          <w:highlight w:val="none"/>
          <w:u w:val="none"/>
          <w:shd w:val="clear" w:color="auto" w:fill="FFFFFF"/>
          <w:lang w:val="en-US" w:eastAsia="zh-CN" w:bidi="ar-SA"/>
        </w:rPr>
        <w:t>5.1.5.公布结果和出具定标报告</w:t>
      </w:r>
    </w:p>
    <w:p w14:paraId="6F04ECF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color w:val="auto"/>
          <w:sz w:val="24"/>
          <w:szCs w:val="24"/>
          <w:highlight w:val="none"/>
          <w:lang w:eastAsia="zh-CN"/>
        </w:rPr>
        <w:t>点票工作完成后，定标委员会组长汇总定标结果，编制定标报告，确定中标候选人，全体成员签名。</w:t>
      </w:r>
    </w:p>
    <w:p w14:paraId="73597560">
      <w:pPr>
        <w:pStyle w:val="12"/>
        <w:keepNext w:val="0"/>
        <w:keepLines w:val="0"/>
        <w:pageBreakBefore w:val="0"/>
        <w:numPr>
          <w:ilvl w:val="0"/>
          <w:numId w:val="0"/>
        </w:numPr>
        <w:shd w:val="clear" w:color="auto" w:fill="FFFFFF"/>
        <w:kinsoku/>
        <w:wordWrap/>
        <w:overflowPunct/>
        <w:topLinePunct w:val="0"/>
        <w:autoSpaceDE/>
        <w:autoSpaceDN/>
        <w:bidi w:val="0"/>
        <w:adjustRightInd/>
        <w:snapToGrid/>
        <w:spacing w:before="0" w:beforeLines="0" w:beforeAutospacing="0" w:after="0" w:afterLines="0" w:afterAutospacing="0" w:line="360" w:lineRule="auto"/>
        <w:ind w:leftChars="200"/>
        <w:jc w:val="both"/>
        <w:textAlignment w:val="auto"/>
        <w:outlineLvl w:val="9"/>
        <w:rPr>
          <w:rFonts w:hint="eastAsia" w:ascii="宋体" w:hAnsi="宋体" w:eastAsia="宋体" w:cs="宋体"/>
          <w:b/>
          <w:bCs/>
          <w:color w:val="auto"/>
          <w:sz w:val="24"/>
          <w:szCs w:val="24"/>
          <w:highlight w:val="none"/>
          <w:u w:val="none"/>
          <w:shd w:val="clear" w:color="auto" w:fill="FFFFFF"/>
        </w:rPr>
      </w:pPr>
      <w:r>
        <w:rPr>
          <w:rFonts w:hint="eastAsia" w:ascii="宋体" w:hAnsi="宋体" w:eastAsia="宋体" w:cs="宋体"/>
          <w:b/>
          <w:bCs/>
          <w:color w:val="auto"/>
          <w:spacing w:val="0"/>
          <w:position w:val="0"/>
          <w:sz w:val="24"/>
          <w:szCs w:val="24"/>
          <w:highlight w:val="none"/>
          <w:u w:val="none" w:color="auto"/>
          <w:lang w:val="en-US" w:eastAsia="zh-CN"/>
        </w:rPr>
        <w:t>5.1.6.</w:t>
      </w:r>
      <w:r>
        <w:rPr>
          <w:rFonts w:hint="eastAsia" w:ascii="宋体" w:hAnsi="宋体" w:eastAsia="宋体" w:cs="宋体"/>
          <w:b/>
          <w:bCs/>
          <w:color w:val="auto"/>
          <w:sz w:val="24"/>
          <w:szCs w:val="24"/>
          <w:highlight w:val="none"/>
          <w:u w:val="none"/>
          <w:shd w:val="clear" w:color="auto" w:fill="FFFFFF"/>
        </w:rPr>
        <w:t>全程监督</w:t>
      </w:r>
    </w:p>
    <w:p w14:paraId="42C77B4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color w:val="auto"/>
          <w:sz w:val="24"/>
          <w:szCs w:val="24"/>
          <w:highlight w:val="none"/>
          <w:lang w:eastAsia="zh-CN"/>
        </w:rPr>
      </w:pPr>
      <w:r>
        <w:rPr>
          <w:rFonts w:hint="eastAsia" w:ascii="宋体" w:hAnsi="宋体" w:eastAsia="宋体" w:cs="宋体"/>
          <w:b w:val="0"/>
          <w:bCs/>
          <w:color w:val="auto"/>
          <w:sz w:val="24"/>
          <w:szCs w:val="24"/>
          <w:highlight w:val="none"/>
          <w:lang w:eastAsia="zh-CN"/>
        </w:rPr>
        <w:t>招标监督小组对集体议定的全过程进行监督，确保程序合规、讨论充分、记录完整，结论形成过程公正、透明。</w:t>
      </w:r>
    </w:p>
    <w:p w14:paraId="6C6211A1">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宋体" w:hAnsi="宋体" w:eastAsia="宋体" w:cs="宋体"/>
          <w:b/>
          <w:bCs/>
          <w:color w:val="auto"/>
          <w:spacing w:val="0"/>
          <w:position w:val="0"/>
          <w:sz w:val="24"/>
          <w:szCs w:val="24"/>
          <w:highlight w:val="none"/>
          <w:u w:val="none" w:color="auto"/>
          <w:lang w:val="en-US" w:eastAsia="zh-CN"/>
        </w:rPr>
      </w:pPr>
      <w:r>
        <w:rPr>
          <w:rFonts w:hint="eastAsia" w:ascii="宋体" w:hAnsi="宋体" w:eastAsia="宋体" w:cs="宋体"/>
          <w:b/>
          <w:bCs/>
          <w:color w:val="auto"/>
          <w:spacing w:val="0"/>
          <w:position w:val="0"/>
          <w:sz w:val="24"/>
          <w:szCs w:val="24"/>
          <w:highlight w:val="none"/>
          <w:u w:val="none" w:color="auto"/>
          <w:lang w:val="en-US" w:eastAsia="zh-CN"/>
        </w:rPr>
        <w:t>5.2定标因素</w:t>
      </w:r>
    </w:p>
    <w:p w14:paraId="546EFB8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i/>
          <w:iCs/>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在同等条件下，择优的定标因素和相对标准有以下几个方面：</w:t>
      </w:r>
    </w:p>
    <w:p w14:paraId="6264BCE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（1）拟派团队管理能力与水平（履约能力）</w:t>
      </w:r>
    </w:p>
    <w:p w14:paraId="088F27FF">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相对标准：拟派团队管理能力与水平（履约能力）强的定标候选人优于拟派团队管理能力与水平（履约能力）一般的定标候选人。</w:t>
      </w:r>
    </w:p>
    <w:p w14:paraId="0AD9522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（2）企业信誉</w:t>
      </w:r>
    </w:p>
    <w:p w14:paraId="746214B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相对标准：企业信誉评价好的定标候选人优于企业信誉评价一般的定标候选人。</w:t>
      </w:r>
    </w:p>
    <w:p w14:paraId="29593FC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（3）企业社会贡献（助力“百千万工程”、社会公益项目）</w:t>
      </w:r>
    </w:p>
    <w:p w14:paraId="05E40F0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相对标准：承诺助力“百千万工程”的定标候选人优于未承诺的定标候选人（以《助力项目承诺书》为准）；参与过社会公益项目的定标候选人优于未参与过的定标候选人（提供相关佐证）。</w:t>
      </w:r>
    </w:p>
    <w:p w14:paraId="2CEA812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（4）评标报告</w:t>
      </w:r>
    </w:p>
    <w:p w14:paraId="2AADDC8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相对标准：评标委员会评审意见为具有优势</w:t>
      </w:r>
      <w:r>
        <w:rPr>
          <w:rFonts w:hint="eastAsia" w:ascii="宋体" w:hAnsi="宋体" w:eastAsia="宋体" w:cs="宋体"/>
          <w:color w:val="auto"/>
          <w:sz w:val="24"/>
          <w:szCs w:val="24"/>
          <w:highlight w:val="none"/>
        </w:rPr>
        <w:t>风险</w:t>
      </w:r>
      <w:r>
        <w:rPr>
          <w:rFonts w:hint="eastAsia" w:ascii="宋体" w:hAnsi="宋体" w:eastAsia="宋体" w:cs="宋体"/>
          <w:color w:val="auto"/>
          <w:sz w:val="24"/>
          <w:szCs w:val="24"/>
          <w:highlight w:val="none"/>
          <w:lang w:val="en-US" w:eastAsia="zh-CN"/>
        </w:rPr>
        <w:t>低</w:t>
      </w:r>
      <w:r>
        <w:rPr>
          <w:rFonts w:hint="eastAsia" w:ascii="宋体" w:hAnsi="宋体" w:eastAsia="宋体" w:cs="宋体"/>
          <w:b w:val="0"/>
          <w:bCs w:val="0"/>
          <w:color w:val="auto"/>
          <w:spacing w:val="0"/>
          <w:position w:val="0"/>
          <w:sz w:val="24"/>
          <w:szCs w:val="24"/>
          <w:highlight w:val="none"/>
          <w:u w:val="none" w:color="auto"/>
          <w:lang w:val="en-US" w:eastAsia="zh-CN"/>
        </w:rPr>
        <w:t>的定标候选人优于评标委员会评审意见为没有优势</w:t>
      </w:r>
      <w:r>
        <w:rPr>
          <w:rFonts w:hint="eastAsia" w:ascii="宋体" w:hAnsi="宋体" w:eastAsia="宋体" w:cs="宋体"/>
          <w:color w:val="auto"/>
          <w:sz w:val="24"/>
          <w:szCs w:val="24"/>
          <w:highlight w:val="none"/>
        </w:rPr>
        <w:t>风险</w:t>
      </w:r>
      <w:r>
        <w:rPr>
          <w:rFonts w:hint="eastAsia" w:ascii="宋体" w:hAnsi="宋体" w:eastAsia="宋体" w:cs="宋体"/>
          <w:color w:val="auto"/>
          <w:sz w:val="24"/>
          <w:szCs w:val="24"/>
          <w:highlight w:val="none"/>
          <w:lang w:val="en-US" w:eastAsia="zh-CN"/>
        </w:rPr>
        <w:t>高</w:t>
      </w:r>
      <w:r>
        <w:rPr>
          <w:rFonts w:hint="eastAsia" w:ascii="宋体" w:hAnsi="宋体" w:eastAsia="宋体" w:cs="宋体"/>
          <w:b w:val="0"/>
          <w:bCs w:val="0"/>
          <w:color w:val="auto"/>
          <w:spacing w:val="0"/>
          <w:position w:val="0"/>
          <w:sz w:val="24"/>
          <w:szCs w:val="24"/>
          <w:highlight w:val="none"/>
          <w:u w:val="none" w:color="auto"/>
          <w:lang w:val="en-US" w:eastAsia="zh-CN"/>
        </w:rPr>
        <w:t>的</w:t>
      </w:r>
      <w:r>
        <w:rPr>
          <w:rFonts w:hint="eastAsia" w:ascii="宋体" w:hAnsi="宋体" w:eastAsia="宋体" w:cs="宋体"/>
          <w:color w:val="auto"/>
          <w:sz w:val="24"/>
          <w:szCs w:val="24"/>
          <w:highlight w:val="none"/>
        </w:rPr>
        <w:t>定标候选人</w:t>
      </w:r>
      <w:r>
        <w:rPr>
          <w:rFonts w:hint="eastAsia" w:ascii="宋体" w:hAnsi="宋体" w:eastAsia="宋体" w:cs="宋体"/>
          <w:color w:val="auto"/>
          <w:sz w:val="24"/>
          <w:szCs w:val="24"/>
          <w:highlight w:val="none"/>
          <w:lang w:eastAsia="zh-CN"/>
        </w:rPr>
        <w:t>（</w:t>
      </w:r>
      <w:r>
        <w:rPr>
          <w:rFonts w:hint="eastAsia" w:ascii="宋体" w:hAnsi="宋体" w:eastAsia="宋体" w:cs="宋体"/>
          <w:b w:val="0"/>
          <w:bCs w:val="0"/>
          <w:color w:val="auto"/>
          <w:spacing w:val="0"/>
          <w:position w:val="0"/>
          <w:sz w:val="24"/>
          <w:szCs w:val="24"/>
          <w:highlight w:val="none"/>
          <w:u w:val="none" w:color="auto"/>
          <w:lang w:val="en-US" w:eastAsia="zh-CN"/>
        </w:rPr>
        <w:t>综合考虑评标委员会的评审意见，对各定标候选人</w:t>
      </w:r>
      <w:r>
        <w:rPr>
          <w:rFonts w:hint="eastAsia" w:ascii="宋体" w:hAnsi="宋体" w:eastAsia="宋体" w:cs="宋体"/>
          <w:color w:val="auto"/>
          <w:sz w:val="24"/>
          <w:szCs w:val="24"/>
          <w:highlight w:val="none"/>
        </w:rPr>
        <w:t>的优势、风险等评审情况</w:t>
      </w:r>
      <w:r>
        <w:rPr>
          <w:rFonts w:hint="eastAsia" w:ascii="宋体" w:hAnsi="宋体" w:eastAsia="宋体" w:cs="宋体"/>
          <w:b w:val="0"/>
          <w:bCs w:val="0"/>
          <w:color w:val="auto"/>
          <w:spacing w:val="0"/>
          <w:position w:val="0"/>
          <w:sz w:val="24"/>
          <w:szCs w:val="24"/>
          <w:highlight w:val="none"/>
          <w:u w:val="none" w:color="auto"/>
          <w:lang w:val="en-US" w:eastAsia="zh-CN"/>
        </w:rPr>
        <w:t>进行评审比较</w:t>
      </w:r>
      <w:r>
        <w:rPr>
          <w:rFonts w:hint="eastAsia" w:ascii="宋体" w:hAnsi="宋体" w:eastAsia="宋体" w:cs="宋体"/>
          <w:color w:val="auto"/>
          <w:sz w:val="24"/>
          <w:szCs w:val="24"/>
          <w:highlight w:val="none"/>
          <w:lang w:eastAsia="zh-CN"/>
        </w:rPr>
        <w:t>）</w:t>
      </w:r>
      <w:r>
        <w:rPr>
          <w:rFonts w:hint="eastAsia" w:ascii="宋体" w:hAnsi="宋体" w:eastAsia="宋体" w:cs="宋体"/>
          <w:b w:val="0"/>
          <w:bCs w:val="0"/>
          <w:color w:val="auto"/>
          <w:spacing w:val="0"/>
          <w:position w:val="0"/>
          <w:sz w:val="24"/>
          <w:szCs w:val="24"/>
          <w:highlight w:val="none"/>
          <w:u w:val="none" w:color="auto"/>
          <w:lang w:val="en-US" w:eastAsia="zh-CN"/>
        </w:rPr>
        <w:t>。</w:t>
      </w:r>
    </w:p>
    <w:p w14:paraId="30E1ECD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（5）农民工工资保障情况</w:t>
      </w:r>
    </w:p>
    <w:p w14:paraId="71F45191">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bCs/>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spacing w:val="0"/>
          <w:position w:val="0"/>
          <w:sz w:val="24"/>
          <w:szCs w:val="24"/>
          <w:highlight w:val="none"/>
          <w:u w:val="none" w:color="auto"/>
          <w:lang w:val="en-US" w:eastAsia="zh-CN"/>
        </w:rPr>
        <w:t>相对标准：农民工工资保障情况好的定标候选人优于农民工工资保障情况差的定标候选人（结合</w:t>
      </w:r>
      <w:r>
        <w:rPr>
          <w:rFonts w:hint="eastAsia" w:ascii="宋体" w:hAnsi="宋体" w:eastAsia="宋体" w:cs="宋体"/>
          <w:b w:val="0"/>
          <w:bCs w:val="0"/>
          <w:color w:val="auto"/>
          <w:kern w:val="0"/>
          <w:sz w:val="24"/>
          <w:szCs w:val="24"/>
          <w:highlight w:val="none"/>
          <w:u w:val="none"/>
          <w:shd w:val="clear" w:color="auto" w:fill="FFFFFF"/>
          <w:lang w:val="en-US" w:eastAsia="zh-CN" w:bidi="ar-SA"/>
        </w:rPr>
        <w:t>定标候选人提交的证明材料和招标人查询的材料进行评审）。</w:t>
      </w:r>
    </w:p>
    <w:p w14:paraId="59CB271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宋体" w:hAnsi="宋体" w:eastAsia="宋体" w:cs="宋体"/>
          <w:b/>
          <w:bCs/>
          <w:color w:val="auto"/>
          <w:kern w:val="0"/>
          <w:sz w:val="24"/>
          <w:szCs w:val="24"/>
          <w:highlight w:val="none"/>
          <w:u w:val="none"/>
          <w:shd w:val="clear" w:color="auto" w:fill="FFFFFF"/>
          <w:lang w:val="en-US" w:eastAsia="zh-CN" w:bidi="ar-SA"/>
        </w:rPr>
      </w:pPr>
      <w:r>
        <w:rPr>
          <w:rFonts w:hint="eastAsia" w:ascii="宋体" w:hAnsi="宋体" w:eastAsia="宋体" w:cs="宋体"/>
          <w:b/>
          <w:bCs/>
          <w:color w:val="auto"/>
          <w:kern w:val="0"/>
          <w:sz w:val="24"/>
          <w:szCs w:val="24"/>
          <w:highlight w:val="none"/>
          <w:u w:val="none"/>
          <w:shd w:val="clear" w:color="auto" w:fill="FFFFFF"/>
          <w:lang w:val="en-US" w:eastAsia="zh-CN" w:bidi="ar-SA"/>
        </w:rPr>
        <w:t>6.定标结果公示</w:t>
      </w:r>
    </w:p>
    <w:p w14:paraId="3FF6B900">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Style w:val="20"/>
          <w:rFonts w:hint="eastAsia" w:ascii="宋体" w:hAnsi="宋体" w:eastAsia="宋体" w:cs="宋体"/>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定标委员会完成定标</w:t>
      </w:r>
      <w:r>
        <w:rPr>
          <w:rStyle w:val="20"/>
          <w:rFonts w:hint="eastAsia" w:ascii="宋体" w:hAnsi="宋体" w:eastAsia="宋体" w:cs="宋体"/>
          <w:b w:val="0"/>
          <w:bCs w:val="0"/>
          <w:color w:val="auto"/>
          <w:kern w:val="0"/>
          <w:sz w:val="24"/>
          <w:szCs w:val="24"/>
          <w:highlight w:val="none"/>
          <w:lang w:val="en-US" w:eastAsia="zh-CN"/>
        </w:rPr>
        <w:t>后</w:t>
      </w:r>
      <w:r>
        <w:rPr>
          <w:rStyle w:val="20"/>
          <w:rFonts w:hint="eastAsia" w:ascii="宋体" w:hAnsi="宋体" w:eastAsia="宋体" w:cs="宋体"/>
          <w:color w:val="auto"/>
          <w:kern w:val="0"/>
          <w:sz w:val="24"/>
          <w:szCs w:val="24"/>
          <w:highlight w:val="none"/>
          <w:lang w:val="en-US" w:eastAsia="zh-CN"/>
        </w:rPr>
        <w:t>，招标人应于定标会结束后3个工作日内将中标候选人和定标情况在广东省招标投标监管网和韶关市公共资源交易中心工程交易系统上公示，公示时间不少于3个工作日。公示主要内容包括：公示主要内容包括：定标报告（定标成员信息除外）、中标人名单、中标价和拟投入本项目的项目负责人、技术负责人及各专业负责人（如有）等内容。</w:t>
      </w:r>
    </w:p>
    <w:p w14:paraId="030EA7EB">
      <w:pPr>
        <w:keepNext w:val="0"/>
        <w:keepLines w:val="0"/>
        <w:pageBreakBefore w:val="0"/>
        <w:wordWrap/>
        <w:overflowPunct/>
        <w:topLinePunct w:val="0"/>
        <w:bidi w:val="0"/>
        <w:spacing w:line="360" w:lineRule="auto"/>
        <w:rPr>
          <w:rFonts w:hint="eastAsia"/>
          <w:color w:val="auto"/>
          <w:sz w:val="24"/>
          <w:szCs w:val="24"/>
          <w:highlight w:val="none"/>
          <w:lang w:val="en-US" w:eastAsia="zh-CN"/>
        </w:rPr>
      </w:pPr>
    </w:p>
    <w:p w14:paraId="63554396">
      <w:pPr>
        <w:keepNext w:val="0"/>
        <w:keepLines w:val="0"/>
        <w:pageBreakBefore w:val="0"/>
        <w:wordWrap/>
        <w:overflowPunct/>
        <w:topLinePunct w:val="0"/>
        <w:bidi w:val="0"/>
        <w:spacing w:before="78" w:line="360" w:lineRule="auto"/>
        <w:ind w:left="3525"/>
        <w:outlineLvl w:val="0"/>
        <w:rPr>
          <w:rFonts w:hint="eastAsia" w:ascii="宋体" w:hAnsi="宋体" w:eastAsia="宋体" w:cs="宋体"/>
          <w:b/>
          <w:bCs/>
          <w:color w:val="auto"/>
          <w:spacing w:val="-7"/>
          <w:sz w:val="24"/>
          <w:szCs w:val="24"/>
          <w:highlight w:val="none"/>
        </w:rPr>
      </w:pPr>
    </w:p>
    <w:p w14:paraId="09ABEA5F">
      <w:pPr>
        <w:pStyle w:val="2"/>
        <w:rPr>
          <w:rFonts w:hint="eastAsia" w:ascii="宋体" w:hAnsi="宋体" w:eastAsia="宋体" w:cs="宋体"/>
          <w:b/>
          <w:bCs/>
          <w:color w:val="auto"/>
          <w:spacing w:val="-7"/>
          <w:sz w:val="24"/>
          <w:szCs w:val="24"/>
          <w:highlight w:val="none"/>
        </w:rPr>
      </w:pPr>
    </w:p>
    <w:p w14:paraId="0A396179">
      <w:pPr>
        <w:rPr>
          <w:rFonts w:hint="eastAsia" w:ascii="宋体" w:hAnsi="宋体" w:eastAsia="宋体" w:cs="宋体"/>
          <w:b/>
          <w:bCs/>
          <w:color w:val="auto"/>
          <w:spacing w:val="-7"/>
          <w:sz w:val="24"/>
          <w:szCs w:val="24"/>
          <w:highlight w:val="none"/>
        </w:rPr>
      </w:pPr>
    </w:p>
    <w:p w14:paraId="4AD40A13">
      <w:pPr>
        <w:pStyle w:val="2"/>
        <w:rPr>
          <w:rFonts w:hint="eastAsia" w:ascii="宋体" w:hAnsi="宋体" w:eastAsia="宋体" w:cs="宋体"/>
          <w:b/>
          <w:bCs/>
          <w:color w:val="auto"/>
          <w:spacing w:val="-7"/>
          <w:sz w:val="24"/>
          <w:szCs w:val="24"/>
          <w:highlight w:val="none"/>
        </w:rPr>
      </w:pPr>
    </w:p>
    <w:p w14:paraId="62C08327">
      <w:pPr>
        <w:rPr>
          <w:rFonts w:hint="eastAsia" w:ascii="宋体" w:hAnsi="宋体" w:eastAsia="宋体" w:cs="宋体"/>
          <w:b/>
          <w:bCs/>
          <w:color w:val="auto"/>
          <w:spacing w:val="-7"/>
          <w:sz w:val="24"/>
          <w:szCs w:val="24"/>
          <w:highlight w:val="none"/>
        </w:rPr>
      </w:pPr>
    </w:p>
    <w:p w14:paraId="78BF5276">
      <w:pPr>
        <w:pStyle w:val="2"/>
        <w:rPr>
          <w:rFonts w:hint="eastAsia" w:ascii="宋体" w:hAnsi="宋体" w:eastAsia="宋体" w:cs="宋体"/>
          <w:b/>
          <w:bCs/>
          <w:color w:val="auto"/>
          <w:spacing w:val="-7"/>
          <w:sz w:val="24"/>
          <w:szCs w:val="24"/>
          <w:highlight w:val="none"/>
        </w:rPr>
      </w:pPr>
    </w:p>
    <w:p w14:paraId="31DF38DE">
      <w:pPr>
        <w:rPr>
          <w:rFonts w:hint="eastAsia" w:ascii="宋体" w:hAnsi="宋体" w:eastAsia="宋体" w:cs="宋体"/>
          <w:b/>
          <w:bCs/>
          <w:color w:val="auto"/>
          <w:spacing w:val="-7"/>
          <w:sz w:val="24"/>
          <w:szCs w:val="24"/>
          <w:highlight w:val="none"/>
        </w:rPr>
      </w:pPr>
    </w:p>
    <w:p w14:paraId="019A8ECB">
      <w:pPr>
        <w:pStyle w:val="2"/>
        <w:rPr>
          <w:rFonts w:hint="eastAsia"/>
          <w:highlight w:val="none"/>
        </w:rPr>
      </w:pPr>
    </w:p>
    <w:p w14:paraId="5F34689B">
      <w:pPr>
        <w:pStyle w:val="2"/>
        <w:rPr>
          <w:rFonts w:hint="eastAsia"/>
          <w:highlight w:val="none"/>
        </w:rPr>
      </w:pPr>
    </w:p>
    <w:p w14:paraId="4AEC3161">
      <w:pPr>
        <w:rPr>
          <w:rFonts w:hint="eastAsia" w:ascii="宋体" w:hAnsi="宋体" w:eastAsia="宋体" w:cs="宋体"/>
          <w:b/>
          <w:bCs/>
          <w:color w:val="auto"/>
          <w:spacing w:val="-7"/>
          <w:sz w:val="24"/>
          <w:szCs w:val="24"/>
          <w:highlight w:val="none"/>
        </w:rPr>
      </w:pPr>
    </w:p>
    <w:p w14:paraId="125A965B">
      <w:pPr>
        <w:spacing w:before="78" w:line="220" w:lineRule="auto"/>
        <w:ind w:left="9"/>
        <w:jc w:val="center"/>
        <w:outlineLvl w:val="1"/>
        <w:rPr>
          <w:rFonts w:hint="eastAsia" w:ascii="宋体" w:hAnsi="宋体" w:eastAsia="宋体" w:cs="宋体"/>
          <w:b/>
          <w:bCs/>
          <w:color w:val="auto"/>
          <w:spacing w:val="-3"/>
          <w:sz w:val="24"/>
          <w:szCs w:val="24"/>
          <w:highlight w:val="none"/>
          <w:lang w:val="en-US" w:eastAsia="zh-CN"/>
        </w:rPr>
      </w:pPr>
      <w:bookmarkStart w:id="153" w:name="_Toc209"/>
      <w:bookmarkStart w:id="154" w:name="_Toc4926"/>
      <w:r>
        <w:rPr>
          <w:rFonts w:hint="eastAsia" w:ascii="宋体" w:hAnsi="宋体" w:eastAsia="宋体" w:cs="宋体"/>
          <w:b/>
          <w:bCs/>
          <w:color w:val="auto"/>
          <w:spacing w:val="-3"/>
          <w:sz w:val="24"/>
          <w:szCs w:val="24"/>
          <w:highlight w:val="none"/>
        </w:rPr>
        <w:t>第</w:t>
      </w:r>
      <w:r>
        <w:rPr>
          <w:rFonts w:hint="eastAsia" w:ascii="宋体" w:hAnsi="宋体" w:eastAsia="宋体" w:cs="宋体"/>
          <w:b/>
          <w:bCs/>
          <w:color w:val="auto"/>
          <w:spacing w:val="-3"/>
          <w:sz w:val="24"/>
          <w:szCs w:val="24"/>
          <w:highlight w:val="none"/>
          <w:lang w:val="en-US" w:eastAsia="zh-CN"/>
        </w:rPr>
        <w:t>六</w:t>
      </w:r>
      <w:r>
        <w:rPr>
          <w:rFonts w:hint="eastAsia" w:ascii="宋体" w:hAnsi="宋体" w:eastAsia="宋体" w:cs="宋体"/>
          <w:b/>
          <w:bCs/>
          <w:color w:val="auto"/>
          <w:spacing w:val="-3"/>
          <w:sz w:val="24"/>
          <w:szCs w:val="24"/>
          <w:highlight w:val="none"/>
        </w:rPr>
        <w:t>节 中标确认</w:t>
      </w:r>
      <w:bookmarkEnd w:id="153"/>
      <w:bookmarkEnd w:id="154"/>
    </w:p>
    <w:p w14:paraId="276CA96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宋体" w:hAnsi="宋体" w:eastAsia="宋体" w:cs="宋体"/>
          <w:b/>
          <w:bCs/>
          <w:color w:val="auto"/>
          <w:kern w:val="0"/>
          <w:sz w:val="24"/>
          <w:szCs w:val="24"/>
          <w:highlight w:val="none"/>
          <w:u w:val="none"/>
          <w:shd w:val="clear" w:color="auto" w:fill="FFFFFF"/>
          <w:lang w:val="en-US" w:eastAsia="zh-CN" w:bidi="ar-SA"/>
        </w:rPr>
      </w:pPr>
      <w:r>
        <w:rPr>
          <w:rFonts w:hint="eastAsia" w:ascii="宋体" w:hAnsi="宋体" w:eastAsia="宋体" w:cs="宋体"/>
          <w:b/>
          <w:bCs/>
          <w:color w:val="auto"/>
          <w:kern w:val="0"/>
          <w:sz w:val="24"/>
          <w:szCs w:val="24"/>
          <w:highlight w:val="none"/>
          <w:u w:val="none"/>
          <w:shd w:val="clear" w:color="auto" w:fill="FFFFFF"/>
          <w:lang w:val="en-US" w:eastAsia="zh-CN" w:bidi="ar-SA"/>
        </w:rPr>
        <w:t>1.中标人确定</w:t>
      </w:r>
    </w:p>
    <w:p w14:paraId="3A29BAB1">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1.1 中标人确定。中标结果公示期满无异议的，招标人确认排名第一的中标候选人为中标人，中标人的投标报价即为中标价。</w:t>
      </w:r>
    </w:p>
    <w:p w14:paraId="2EA71AC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1.2 中标人确定后，招标人应当于7日内在线完成加盖招标人单位电子签章的中标通知书并发放到中标人及各相关单位。招标人最迟应当在投标有效期届满30日前发出中标通知书，否则，应当按照本投标人须知投标有效期的规定延长投标有效期。</w:t>
      </w:r>
      <w:r>
        <w:rPr>
          <w:rFonts w:hint="eastAsia" w:ascii="宋体" w:hAnsi="宋体" w:eastAsia="宋体" w:cs="宋体"/>
          <w:snapToGrid w:val="0"/>
          <w:color w:val="auto"/>
          <w:kern w:val="0"/>
          <w:sz w:val="24"/>
          <w:szCs w:val="24"/>
          <w:highlight w:val="none"/>
        </w:rPr>
        <w:t>在中标通知书发出后5个工作日内，韶关市公共资源交易中心将投标保证金（或银行保函）退还给中标候选人以外的投标人。</w:t>
      </w:r>
    </w:p>
    <w:p w14:paraId="58F427C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1.3 招标人应当自中标通知书发出之日起15日内，通过广东省招标投标监管网和公共资源交易平台发布中标结果公示。 招标人应当自确定中标人之日起15日内，在线向有关招标管理部门提交招标投标情况的书面报告。</w:t>
      </w:r>
    </w:p>
    <w:p w14:paraId="723C0190">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宋体" w:hAnsi="宋体" w:eastAsia="宋体" w:cs="宋体"/>
          <w:b/>
          <w:color w:val="auto"/>
          <w:sz w:val="24"/>
          <w:szCs w:val="24"/>
          <w:highlight w:val="none"/>
        </w:rPr>
      </w:pP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rPr>
        <w:t>.</w:t>
      </w:r>
      <w:r>
        <w:rPr>
          <w:rFonts w:hint="eastAsia" w:ascii="宋体" w:hAnsi="宋体" w:eastAsia="宋体" w:cs="宋体"/>
          <w:b/>
          <w:bCs/>
          <w:color w:val="auto"/>
          <w:sz w:val="24"/>
          <w:szCs w:val="24"/>
          <w:highlight w:val="none"/>
          <w:lang w:eastAsia="zh-CN"/>
        </w:rPr>
        <w:t>异议和投诉</w:t>
      </w:r>
    </w:p>
    <w:p w14:paraId="5075223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2.1 投标人或者其他利害关系人对招标项目的评标和中标结果有异议的，应当在定标候选人和中标候选人公示期间按规定线上向招标人提出，逾期提出的不予受理。招标人自收到异议之日起3日内作出答复；作出答复前，应当暂停招标投标活动。经招标人书面答复，异议人仍不满意的，可在法律规定的时限内向行政监督部门提出书面投诉。异议（投诉）提出、处理的具体办法和要求，按照《韶关市工程建设项目招标投标活动异议和投诉处理办法》（韶发改〔2021〕44号）执行。</w:t>
      </w:r>
    </w:p>
    <w:p w14:paraId="3DC88F0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2.2在定标候选人和中标候选人公示期间有关评标结果的异议成立的，招标人原则上应当组织原评标委员会和原定标委员会对有关的问题予以纠正，问题纠正后再公示定标候选人和中标候选人。</w:t>
      </w:r>
    </w:p>
    <w:p w14:paraId="79D9286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2.3投标人或其他利害关系人认为招标投标活动不符合法律、行政法规规定的，可以自知道或者应当知道之日起10日内按规定线上向有关招标管理部门投诉。投诉应当有明确的请求和必要的证明材料。招标管理部门应当自收到投诉之日起30个工作日内作出书面处理决定。</w:t>
      </w:r>
    </w:p>
    <w:p w14:paraId="46163FFD">
      <w:pPr>
        <w:pStyle w:val="12"/>
        <w:keepNext w:val="0"/>
        <w:keepLines w:val="0"/>
        <w:pageBreakBefore w:val="0"/>
        <w:widowControl w:val="0"/>
        <w:shd w:val="clear" w:color="auto" w:fill="auto"/>
        <w:kinsoku/>
        <w:wordWrap/>
        <w:overflowPunct/>
        <w:topLinePunct w:val="0"/>
        <w:bidi w:val="0"/>
        <w:adjustRightInd/>
        <w:snapToGrid/>
        <w:spacing w:before="0" w:beforeLines="0" w:after="0" w:afterLines="0" w:line="360" w:lineRule="auto"/>
        <w:ind w:left="0" w:leftChars="0" w:firstLine="482" w:firstLineChars="200"/>
        <w:jc w:val="both"/>
        <w:textAlignment w:val="auto"/>
        <w:outlineLvl w:val="9"/>
        <w:rPr>
          <w:rFonts w:hint="eastAsia" w:ascii="宋体" w:hAnsi="宋体" w:eastAsia="宋体" w:cs="宋体"/>
          <w:b/>
          <w:bCs/>
          <w:i/>
          <w:color w:val="auto"/>
          <w:sz w:val="24"/>
          <w:szCs w:val="24"/>
          <w:highlight w:val="none"/>
        </w:rPr>
      </w:pPr>
      <w:bookmarkStart w:id="155" w:name="_Toc236550039"/>
      <w:r>
        <w:rPr>
          <w:rStyle w:val="17"/>
          <w:rFonts w:hint="eastAsia" w:ascii="宋体" w:hAnsi="宋体" w:eastAsia="宋体" w:cs="宋体"/>
          <w:b/>
          <w:bCs/>
          <w:i w:val="0"/>
          <w:color w:val="auto"/>
          <w:sz w:val="24"/>
          <w:szCs w:val="24"/>
          <w:highlight w:val="none"/>
          <w:lang w:val="en-US" w:eastAsia="zh-CN"/>
        </w:rPr>
        <w:t>3</w:t>
      </w:r>
      <w:r>
        <w:rPr>
          <w:rStyle w:val="17"/>
          <w:rFonts w:hint="eastAsia" w:ascii="宋体" w:hAnsi="宋体" w:eastAsia="宋体" w:cs="宋体"/>
          <w:b/>
          <w:bCs/>
          <w:i w:val="0"/>
          <w:color w:val="auto"/>
          <w:sz w:val="24"/>
          <w:szCs w:val="24"/>
          <w:highlight w:val="none"/>
        </w:rPr>
        <w:t>．废除授标</w:t>
      </w:r>
      <w:bookmarkEnd w:id="155"/>
      <w:r>
        <w:rPr>
          <w:rStyle w:val="17"/>
          <w:rFonts w:hint="eastAsia" w:ascii="宋体" w:hAnsi="宋体" w:eastAsia="宋体" w:cs="宋体"/>
          <w:b/>
          <w:bCs/>
          <w:i w:val="0"/>
          <w:color w:val="auto"/>
          <w:sz w:val="24"/>
          <w:szCs w:val="24"/>
          <w:highlight w:val="none"/>
        </w:rPr>
        <w:t>及授标</w:t>
      </w:r>
    </w:p>
    <w:p w14:paraId="0362AA0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3.1评定标完成后，中标候选人有下列情形之一的，招标人应按规定取消中标候选人资格或废除授标：</w:t>
      </w:r>
    </w:p>
    <w:p w14:paraId="2CBAA0D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（1）以他人名义投标或者以其他方式弄虚作假骗取中标的；</w:t>
      </w:r>
    </w:p>
    <w:p w14:paraId="24BDE8DF">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（2）与其他投标人串通投标或以行贿的手段谋取中标的；</w:t>
      </w:r>
    </w:p>
    <w:p w14:paraId="6C85C9FB">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（3）不是从本投标企业基本账户提交投标担保或以虚假方式提交投标保证金保函（保单）的；</w:t>
      </w:r>
    </w:p>
    <w:p w14:paraId="7C70DC61">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（4）中标人于投标有效期终止之前撤回投标文件，或者排名第一的中标候选人放弃中标资格的；</w:t>
      </w:r>
    </w:p>
    <w:p w14:paraId="7AB9C1D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（5）因中标人过错而未能按照规定与招标人签订工程总承包合同或中标人因不可抗力提出不能履行合同的；</w:t>
      </w:r>
    </w:p>
    <w:p w14:paraId="6044F17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（6）因中标人过错而未能按照招标文件要求向招标人提交履约担保的；</w:t>
      </w:r>
    </w:p>
    <w:p w14:paraId="0B03F671">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（7）中标单位拟派的项目负责人从投标截止时间起在其他建设工程担任项目负责人；</w:t>
      </w:r>
    </w:p>
    <w:p w14:paraId="155A8FD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（8）中标人被有关部门查实存在影响中标结果的违法行为，不符合中标条件的；</w:t>
      </w:r>
    </w:p>
    <w:p w14:paraId="7BE77A8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（9）中标人在参加本项目投标时有本企业投标承诺书所列被依法限制或暂停承揽业务或停业的处罚的；</w:t>
      </w:r>
    </w:p>
    <w:p w14:paraId="24E9515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（10）招标文件明确规定可以废除授标的其他情形。</w:t>
      </w:r>
    </w:p>
    <w:p w14:paraId="6FB0715F">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3.2 排名第一的中标候选人被取消中标候选人资格或废除授标，招标人可以按照定标委员会提出的中标候选人名单排序按规定依次确定其他中标候选人为中标人，并按规定实行中标结果公示；也可以按规定重新组织招标或报原项目审批、核准部门重新审批、核准招标方式。</w:t>
      </w:r>
    </w:p>
    <w:p w14:paraId="271899B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3.3 招标人有下列情形之一的，应依法承担相应的责任：</w:t>
      </w:r>
    </w:p>
    <w:p w14:paraId="02A329C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（1）无正当理由不发出中标通知书的；</w:t>
      </w:r>
    </w:p>
    <w:p w14:paraId="5E11F3F0">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（2）招标人不按照规定确定中标人的；</w:t>
      </w:r>
    </w:p>
    <w:p w14:paraId="196BBAC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（3）中标通知书发出后无正当理由改变中标结果的；</w:t>
      </w:r>
    </w:p>
    <w:p w14:paraId="5913D60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（4）无正当理由不与中标人签订工程总承包合同的；</w:t>
      </w:r>
    </w:p>
    <w:p w14:paraId="541DA46B">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Style w:val="20"/>
          <w:rFonts w:hint="eastAsia" w:ascii="宋体" w:hAnsi="宋体" w:eastAsia="宋体" w:cs="宋体"/>
          <w:color w:val="auto"/>
          <w:kern w:val="0"/>
          <w:sz w:val="24"/>
          <w:szCs w:val="24"/>
          <w:highlight w:val="none"/>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（5）在签订工程总承包合同时向中标人提出附加条件或者更改合同实质性内容的。</w:t>
      </w:r>
    </w:p>
    <w:p w14:paraId="06AE4C69">
      <w:pPr>
        <w:keepNext w:val="0"/>
        <w:keepLines w:val="0"/>
        <w:pageBreakBefore w:val="0"/>
        <w:wordWrap/>
        <w:overflowPunct/>
        <w:topLinePunct w:val="0"/>
        <w:bidi w:val="0"/>
        <w:spacing w:line="360" w:lineRule="auto"/>
        <w:rPr>
          <w:rFonts w:hint="eastAsia"/>
          <w:color w:val="auto"/>
          <w:sz w:val="24"/>
          <w:szCs w:val="24"/>
          <w:highlight w:val="none"/>
        </w:rPr>
        <w:sectPr>
          <w:endnotePr>
            <w:numFmt w:val="decimal"/>
          </w:endnotePr>
          <w:pgSz w:w="11906" w:h="16838"/>
          <w:pgMar w:top="1247" w:right="1304" w:bottom="1247" w:left="1304" w:header="850" w:footer="544" w:gutter="0"/>
          <w:cols w:space="720" w:num="1"/>
          <w:rtlGutter w:val="0"/>
          <w:docGrid w:linePitch="327" w:charSpace="0"/>
        </w:sectPr>
      </w:pPr>
    </w:p>
    <w:p w14:paraId="477FF410">
      <w:pPr>
        <w:spacing w:before="78" w:line="219" w:lineRule="auto"/>
        <w:ind w:left="3525"/>
        <w:outlineLvl w:val="0"/>
        <w:rPr>
          <w:rFonts w:hint="eastAsia" w:ascii="宋体" w:hAnsi="宋体" w:eastAsia="宋体" w:cs="宋体"/>
          <w:color w:val="auto"/>
          <w:sz w:val="24"/>
          <w:szCs w:val="24"/>
          <w:highlight w:val="none"/>
        </w:rPr>
      </w:pPr>
      <w:bookmarkStart w:id="156" w:name="_Toc13655"/>
      <w:r>
        <w:rPr>
          <w:rFonts w:hint="eastAsia" w:ascii="宋体" w:hAnsi="宋体" w:eastAsia="宋体" w:cs="宋体"/>
          <w:b/>
          <w:bCs/>
          <w:color w:val="auto"/>
          <w:spacing w:val="-7"/>
          <w:sz w:val="24"/>
          <w:szCs w:val="24"/>
          <w:highlight w:val="none"/>
        </w:rPr>
        <w:t>第二章</w:t>
      </w:r>
      <w:r>
        <w:rPr>
          <w:rFonts w:hint="eastAsia" w:ascii="宋体" w:hAnsi="宋体" w:eastAsia="宋体" w:cs="宋体"/>
          <w:color w:val="auto"/>
          <w:spacing w:val="32"/>
          <w:sz w:val="24"/>
          <w:szCs w:val="24"/>
          <w:highlight w:val="none"/>
        </w:rPr>
        <w:t xml:space="preserve"> </w:t>
      </w:r>
      <w:r>
        <w:rPr>
          <w:rFonts w:hint="eastAsia" w:ascii="宋体" w:hAnsi="宋体" w:eastAsia="宋体" w:cs="宋体"/>
          <w:b/>
          <w:bCs/>
          <w:color w:val="auto"/>
          <w:spacing w:val="-7"/>
          <w:sz w:val="24"/>
          <w:szCs w:val="24"/>
          <w:highlight w:val="none"/>
        </w:rPr>
        <w:t>中标人须知</w:t>
      </w:r>
      <w:bookmarkEnd w:id="156"/>
    </w:p>
    <w:p w14:paraId="0D76B119">
      <w:pPr>
        <w:spacing w:before="78" w:line="219" w:lineRule="auto"/>
        <w:ind w:left="582"/>
        <w:outlineLvl w:val="2"/>
        <w:rPr>
          <w:rFonts w:hint="eastAsia" w:ascii="宋体" w:hAnsi="宋体" w:eastAsia="宋体" w:cs="宋体"/>
          <w:color w:val="auto"/>
          <w:sz w:val="24"/>
          <w:szCs w:val="24"/>
          <w:highlight w:val="none"/>
        </w:rPr>
      </w:pPr>
      <w:bookmarkStart w:id="157" w:name="_Toc21697"/>
      <w:r>
        <w:rPr>
          <w:rFonts w:hint="eastAsia" w:ascii="宋体" w:hAnsi="宋体" w:eastAsia="宋体" w:cs="宋体"/>
          <w:b/>
          <w:bCs/>
          <w:color w:val="auto"/>
          <w:spacing w:val="-9"/>
          <w:sz w:val="24"/>
          <w:szCs w:val="24"/>
          <w:highlight w:val="none"/>
        </w:rPr>
        <w:t>1</w:t>
      </w:r>
      <w:r>
        <w:rPr>
          <w:rFonts w:hint="eastAsia" w:ascii="宋体" w:hAnsi="宋体" w:eastAsia="宋体" w:cs="宋体"/>
          <w:b/>
          <w:bCs/>
          <w:color w:val="auto"/>
          <w:spacing w:val="-25"/>
          <w:sz w:val="24"/>
          <w:szCs w:val="24"/>
          <w:highlight w:val="none"/>
        </w:rPr>
        <w:t xml:space="preserve"> </w:t>
      </w:r>
      <w:r>
        <w:rPr>
          <w:rFonts w:hint="eastAsia" w:ascii="宋体" w:hAnsi="宋体" w:eastAsia="宋体" w:cs="宋体"/>
          <w:b/>
          <w:bCs/>
          <w:color w:val="auto"/>
          <w:spacing w:val="-9"/>
          <w:sz w:val="24"/>
          <w:szCs w:val="24"/>
          <w:highlight w:val="none"/>
        </w:rPr>
        <w:t>．中标通知书</w:t>
      </w:r>
      <w:bookmarkEnd w:id="157"/>
    </w:p>
    <w:p w14:paraId="32F31BA3">
      <w:pPr>
        <w:spacing w:before="152" w:line="332" w:lineRule="auto"/>
        <w:ind w:left="17" w:firstLine="559"/>
        <w:jc w:val="both"/>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招标人确定第一中标候选人为中标人，并在中标人确定之日起</w:t>
      </w:r>
      <w:r>
        <w:rPr>
          <w:rFonts w:hint="eastAsia" w:ascii="宋体" w:hAnsi="宋体" w:eastAsia="宋体" w:cs="宋体"/>
          <w:color w:val="auto"/>
          <w:spacing w:val="-49"/>
          <w:sz w:val="24"/>
          <w:szCs w:val="24"/>
          <w:highlight w:val="none"/>
        </w:rPr>
        <w:t xml:space="preserve"> </w:t>
      </w:r>
      <w:r>
        <w:rPr>
          <w:rFonts w:hint="eastAsia" w:ascii="宋体" w:hAnsi="宋体" w:eastAsia="宋体" w:cs="宋体"/>
          <w:color w:val="auto"/>
          <w:spacing w:val="1"/>
          <w:sz w:val="24"/>
          <w:szCs w:val="24"/>
          <w:highlight w:val="none"/>
        </w:rPr>
        <w:t>7日内向中</w:t>
      </w:r>
      <w:r>
        <w:rPr>
          <w:rFonts w:hint="eastAsia" w:ascii="宋体" w:hAnsi="宋体" w:eastAsia="宋体" w:cs="宋体"/>
          <w:color w:val="auto"/>
          <w:sz w:val="24"/>
          <w:szCs w:val="24"/>
          <w:highlight w:val="none"/>
        </w:rPr>
        <w:t>标人发</w:t>
      </w:r>
      <w:r>
        <w:rPr>
          <w:rFonts w:hint="eastAsia" w:ascii="宋体" w:hAnsi="宋体" w:eastAsia="宋体" w:cs="宋体"/>
          <w:color w:val="auto"/>
          <w:spacing w:val="-3"/>
          <w:sz w:val="24"/>
          <w:szCs w:val="24"/>
          <w:highlight w:val="none"/>
        </w:rPr>
        <w:t>出中标通知书，中标人必须按韶关市公共资源交易中心的规定办理相关手续后方可领取。</w:t>
      </w:r>
      <w:r>
        <w:rPr>
          <w:rFonts w:hint="eastAsia" w:ascii="宋体" w:hAnsi="宋体" w:eastAsia="宋体" w:cs="宋体"/>
          <w:color w:val="auto"/>
          <w:spacing w:val="-2"/>
          <w:sz w:val="24"/>
          <w:szCs w:val="24"/>
          <w:highlight w:val="none"/>
        </w:rPr>
        <w:t>中标通知书对招标人和中标人均具有法律约束力。中标通知书发出后，招标人改变中标</w:t>
      </w:r>
      <w:r>
        <w:rPr>
          <w:rFonts w:hint="eastAsia" w:ascii="宋体" w:hAnsi="宋体" w:eastAsia="宋体" w:cs="宋体"/>
          <w:color w:val="auto"/>
          <w:spacing w:val="-1"/>
          <w:sz w:val="24"/>
          <w:szCs w:val="24"/>
          <w:highlight w:val="none"/>
        </w:rPr>
        <w:t>结果和中标人放弃中标的，应当承担法律责任。</w:t>
      </w:r>
    </w:p>
    <w:p w14:paraId="013B0F34">
      <w:pPr>
        <w:pStyle w:val="5"/>
        <w:spacing w:line="394" w:lineRule="auto"/>
        <w:rPr>
          <w:rFonts w:hint="eastAsia" w:ascii="宋体" w:hAnsi="宋体" w:eastAsia="宋体" w:cs="宋体"/>
          <w:color w:val="auto"/>
          <w:highlight w:val="none"/>
        </w:rPr>
      </w:pPr>
    </w:p>
    <w:p w14:paraId="05CE895D">
      <w:pPr>
        <w:spacing w:before="78" w:line="221" w:lineRule="auto"/>
        <w:ind w:left="572"/>
        <w:outlineLvl w:val="2"/>
        <w:rPr>
          <w:rFonts w:hint="eastAsia" w:ascii="宋体" w:hAnsi="宋体" w:eastAsia="宋体" w:cs="宋体"/>
          <w:color w:val="auto"/>
          <w:sz w:val="24"/>
          <w:szCs w:val="24"/>
          <w:highlight w:val="none"/>
        </w:rPr>
      </w:pPr>
      <w:bookmarkStart w:id="158" w:name="_Toc979"/>
      <w:r>
        <w:rPr>
          <w:rFonts w:hint="eastAsia" w:ascii="宋体" w:hAnsi="宋体" w:eastAsia="宋体" w:cs="宋体"/>
          <w:b/>
          <w:bCs/>
          <w:color w:val="auto"/>
          <w:spacing w:val="-7"/>
          <w:sz w:val="24"/>
          <w:szCs w:val="24"/>
          <w:highlight w:val="none"/>
        </w:rPr>
        <w:t>2</w:t>
      </w:r>
      <w:r>
        <w:rPr>
          <w:rFonts w:hint="eastAsia" w:ascii="宋体" w:hAnsi="宋体" w:eastAsia="宋体" w:cs="宋体"/>
          <w:b/>
          <w:bCs/>
          <w:color w:val="auto"/>
          <w:spacing w:val="-24"/>
          <w:sz w:val="24"/>
          <w:szCs w:val="24"/>
          <w:highlight w:val="none"/>
        </w:rPr>
        <w:t xml:space="preserve"> </w:t>
      </w:r>
      <w:r>
        <w:rPr>
          <w:rFonts w:hint="eastAsia" w:ascii="宋体" w:hAnsi="宋体" w:eastAsia="宋体" w:cs="宋体"/>
          <w:b/>
          <w:bCs/>
          <w:color w:val="auto"/>
          <w:spacing w:val="-7"/>
          <w:sz w:val="24"/>
          <w:szCs w:val="24"/>
          <w:highlight w:val="none"/>
        </w:rPr>
        <w:t>．中标结果公示</w:t>
      </w:r>
      <w:bookmarkEnd w:id="158"/>
    </w:p>
    <w:p w14:paraId="3A691EA9">
      <w:pPr>
        <w:spacing w:before="115" w:line="316" w:lineRule="auto"/>
        <w:ind w:left="2" w:right="203" w:firstLine="595"/>
        <w:jc w:val="both"/>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中标通知书发出后</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pacing w:val="-2"/>
          <w:sz w:val="24"/>
          <w:szCs w:val="24"/>
          <w:highlight w:val="none"/>
        </w:rPr>
        <w:t>15日内，招标人应将中标结果在广东省招标投标</w:t>
      </w:r>
      <w:r>
        <w:rPr>
          <w:rFonts w:hint="eastAsia" w:ascii="宋体" w:hAnsi="宋体" w:eastAsia="宋体" w:cs="宋体"/>
          <w:color w:val="auto"/>
          <w:spacing w:val="-3"/>
          <w:sz w:val="24"/>
          <w:szCs w:val="24"/>
          <w:highlight w:val="none"/>
        </w:rPr>
        <w:t>监管网（http:</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2"/>
          <w:sz w:val="24"/>
          <w:szCs w:val="24"/>
          <w:highlight w:val="none"/>
        </w:rPr>
        <w:t>//zbtb.gd.gov.cn）、全国公共资源交易平台（广东省</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2"/>
          <w:sz w:val="24"/>
          <w:szCs w:val="24"/>
          <w:highlight w:val="none"/>
        </w:rPr>
        <w:t>·韶关市</w:t>
      </w:r>
      <w:r>
        <w:rPr>
          <w:rFonts w:hint="eastAsia" w:ascii="宋体" w:hAnsi="宋体" w:eastAsia="宋体" w:cs="宋体"/>
          <w:color w:val="auto"/>
          <w:spacing w:val="-34"/>
          <w:sz w:val="24"/>
          <w:szCs w:val="24"/>
          <w:highlight w:val="none"/>
        </w:rPr>
        <w:t>）（</w:t>
      </w:r>
      <w:r>
        <w:rPr>
          <w:rFonts w:hint="eastAsia" w:ascii="宋体" w:hAnsi="宋体" w:eastAsia="宋体" w:cs="宋体"/>
          <w:color w:val="auto"/>
          <w:spacing w:val="-2"/>
          <w:sz w:val="24"/>
          <w:szCs w:val="24"/>
          <w:highlight w:val="none"/>
        </w:rPr>
        <w:t>https://ygp.</w:t>
      </w:r>
      <w:r>
        <w:rPr>
          <w:rFonts w:hint="eastAsia" w:ascii="宋体" w:hAnsi="宋体" w:eastAsia="宋体" w:cs="宋体"/>
          <w:color w:val="auto"/>
          <w:spacing w:val="-3"/>
          <w:sz w:val="24"/>
          <w:szCs w:val="24"/>
          <w:highlight w:val="none"/>
        </w:rPr>
        <w:t>gdzwfw.gov.</w:t>
      </w:r>
      <w:r>
        <w:rPr>
          <w:rFonts w:hint="eastAsia" w:ascii="宋体" w:hAnsi="宋体" w:eastAsia="宋体" w:cs="宋体"/>
          <w:color w:val="auto"/>
          <w:sz w:val="24"/>
          <w:szCs w:val="24"/>
          <w:highlight w:val="none"/>
        </w:rPr>
        <w:t xml:space="preserve"> cn/ggzy-portal/#/440200/index）进行公示。</w:t>
      </w:r>
    </w:p>
    <w:p w14:paraId="48284D2A">
      <w:pPr>
        <w:pStyle w:val="5"/>
        <w:spacing w:line="475" w:lineRule="auto"/>
        <w:rPr>
          <w:rFonts w:hint="eastAsia" w:ascii="宋体" w:hAnsi="宋体" w:eastAsia="宋体" w:cs="宋体"/>
          <w:color w:val="auto"/>
          <w:highlight w:val="none"/>
        </w:rPr>
      </w:pPr>
    </w:p>
    <w:p w14:paraId="7F9996BC">
      <w:pPr>
        <w:spacing w:before="79" w:line="221" w:lineRule="auto"/>
        <w:ind w:left="570"/>
        <w:outlineLvl w:val="2"/>
        <w:rPr>
          <w:rFonts w:hint="eastAsia" w:ascii="宋体" w:hAnsi="宋体" w:eastAsia="宋体" w:cs="宋体"/>
          <w:color w:val="auto"/>
          <w:sz w:val="24"/>
          <w:szCs w:val="24"/>
          <w:highlight w:val="none"/>
        </w:rPr>
      </w:pPr>
      <w:bookmarkStart w:id="159" w:name="_Toc13145"/>
      <w:r>
        <w:rPr>
          <w:rFonts w:hint="eastAsia" w:ascii="宋体" w:hAnsi="宋体" w:eastAsia="宋体" w:cs="宋体"/>
          <w:b/>
          <w:bCs/>
          <w:color w:val="auto"/>
          <w:spacing w:val="-8"/>
          <w:sz w:val="24"/>
          <w:szCs w:val="24"/>
          <w:highlight w:val="none"/>
        </w:rPr>
        <w:t>3</w:t>
      </w:r>
      <w:r>
        <w:rPr>
          <w:rFonts w:hint="eastAsia" w:ascii="宋体" w:hAnsi="宋体" w:eastAsia="宋体" w:cs="宋体"/>
          <w:b/>
          <w:bCs/>
          <w:color w:val="auto"/>
          <w:spacing w:val="-25"/>
          <w:sz w:val="24"/>
          <w:szCs w:val="24"/>
          <w:highlight w:val="none"/>
        </w:rPr>
        <w:t xml:space="preserve"> </w:t>
      </w:r>
      <w:r>
        <w:rPr>
          <w:rFonts w:hint="eastAsia" w:ascii="宋体" w:hAnsi="宋体" w:eastAsia="宋体" w:cs="宋体"/>
          <w:b/>
          <w:bCs/>
          <w:color w:val="auto"/>
          <w:spacing w:val="-8"/>
          <w:sz w:val="24"/>
          <w:szCs w:val="24"/>
          <w:highlight w:val="none"/>
        </w:rPr>
        <w:t>．履约保证</w:t>
      </w:r>
      <w:bookmarkEnd w:id="159"/>
    </w:p>
    <w:p w14:paraId="2A654F72">
      <w:pPr>
        <w:keepNext w:val="0"/>
        <w:keepLines w:val="0"/>
        <w:pageBreakBefore w:val="0"/>
        <w:widowControl/>
        <w:kinsoku w:val="0"/>
        <w:wordWrap/>
        <w:overflowPunct/>
        <w:topLinePunct w:val="0"/>
        <w:autoSpaceDE w:val="0"/>
        <w:autoSpaceDN w:val="0"/>
        <w:bidi w:val="0"/>
        <w:adjustRightInd w:val="0"/>
        <w:snapToGrid w:val="0"/>
        <w:spacing w:before="153" w:line="312" w:lineRule="auto"/>
        <w:ind w:firstLine="47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3.1</w:t>
      </w:r>
      <w:r>
        <w:rPr>
          <w:rFonts w:hint="eastAsia" w:ascii="宋体" w:hAnsi="宋体" w:eastAsia="宋体" w:cs="宋体"/>
          <w:b/>
          <w:bCs/>
          <w:color w:val="auto"/>
          <w:spacing w:val="17"/>
          <w:sz w:val="24"/>
          <w:szCs w:val="24"/>
          <w:highlight w:val="none"/>
        </w:rPr>
        <w:t xml:space="preserve">  </w:t>
      </w:r>
      <w:r>
        <w:rPr>
          <w:rFonts w:hint="eastAsia" w:ascii="宋体" w:hAnsi="宋体" w:eastAsia="宋体" w:cs="宋体"/>
          <w:color w:val="auto"/>
          <w:spacing w:val="-3"/>
          <w:sz w:val="24"/>
          <w:szCs w:val="24"/>
          <w:highlight w:val="none"/>
        </w:rPr>
        <w:t>中标人须在领取中标通知书之日起</w:t>
      </w:r>
      <w:r>
        <w:rPr>
          <w:rFonts w:hint="eastAsia" w:ascii="宋体" w:hAnsi="宋体" w:eastAsia="宋体" w:cs="宋体"/>
          <w:color w:val="auto"/>
          <w:spacing w:val="-3"/>
          <w:sz w:val="24"/>
          <w:szCs w:val="24"/>
          <w:highlight w:val="none"/>
          <w:u w:val="single"/>
          <w:lang w:val="en-US" w:eastAsia="zh-CN"/>
        </w:rPr>
        <w:t xml:space="preserve"> 10 </w:t>
      </w:r>
      <w:r>
        <w:rPr>
          <w:rFonts w:hint="eastAsia" w:ascii="宋体" w:hAnsi="宋体" w:eastAsia="宋体" w:cs="宋体"/>
          <w:color w:val="auto"/>
          <w:spacing w:val="-3"/>
          <w:sz w:val="24"/>
          <w:szCs w:val="24"/>
          <w:highlight w:val="none"/>
        </w:rPr>
        <w:t>个工作日内、签订合同前向招标人提交金额</w:t>
      </w:r>
      <w:r>
        <w:rPr>
          <w:rFonts w:hint="eastAsia" w:ascii="宋体" w:hAnsi="宋体" w:eastAsia="宋体" w:cs="宋体"/>
          <w:color w:val="auto"/>
          <w:spacing w:val="-1"/>
          <w:position w:val="2"/>
          <w:sz w:val="24"/>
          <w:szCs w:val="24"/>
          <w:highlight w:val="none"/>
        </w:rPr>
        <w:t>为中标价</w:t>
      </w:r>
      <w:r>
        <w:rPr>
          <w:rFonts w:hint="eastAsia" w:ascii="宋体" w:hAnsi="宋体" w:eastAsia="宋体" w:cs="宋体"/>
          <w:color w:val="auto"/>
          <w:spacing w:val="-1"/>
          <w:position w:val="2"/>
          <w:sz w:val="24"/>
          <w:szCs w:val="24"/>
          <w:highlight w:val="none"/>
          <w:u w:val="single"/>
          <w:lang w:val="en-US" w:eastAsia="zh-CN"/>
        </w:rPr>
        <w:t xml:space="preserve"> 5</w:t>
      </w:r>
      <w:r>
        <w:rPr>
          <w:rFonts w:hint="eastAsia" w:ascii="宋体" w:hAnsi="宋体" w:eastAsia="宋体" w:cs="宋体"/>
          <w:color w:val="auto"/>
          <w:spacing w:val="-1"/>
          <w:position w:val="2"/>
          <w:sz w:val="24"/>
          <w:szCs w:val="24"/>
          <w:highlight w:val="none"/>
          <w:u w:val="single"/>
        </w:rPr>
        <w:t xml:space="preserve">%  </w:t>
      </w:r>
      <w:r>
        <w:rPr>
          <w:rFonts w:hint="eastAsia" w:ascii="宋体" w:hAnsi="宋体" w:eastAsia="宋体" w:cs="宋体"/>
          <w:color w:val="auto"/>
          <w:spacing w:val="-1"/>
          <w:position w:val="2"/>
          <w:sz w:val="24"/>
          <w:szCs w:val="24"/>
          <w:highlight w:val="none"/>
        </w:rPr>
        <w:t>的履约保证。联合体中标的，由联合体牵头人提交。</w:t>
      </w:r>
    </w:p>
    <w:p w14:paraId="63F343AD">
      <w:pPr>
        <w:spacing w:before="89" w:line="286" w:lineRule="auto"/>
        <w:ind w:left="12" w:right="108" w:firstLine="473"/>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1"/>
          <w:sz w:val="24"/>
          <w:szCs w:val="24"/>
          <w:highlight w:val="none"/>
        </w:rPr>
        <w:t>3.2</w:t>
      </w:r>
      <w:r>
        <w:rPr>
          <w:rFonts w:hint="eastAsia" w:ascii="宋体" w:hAnsi="宋体" w:eastAsia="宋体" w:cs="宋体"/>
          <w:b/>
          <w:bCs/>
          <w:color w:val="auto"/>
          <w:spacing w:val="34"/>
          <w:w w:val="101"/>
          <w:sz w:val="24"/>
          <w:szCs w:val="24"/>
          <w:highlight w:val="none"/>
        </w:rPr>
        <w:t xml:space="preserve"> </w:t>
      </w:r>
      <w:r>
        <w:rPr>
          <w:rFonts w:hint="eastAsia" w:ascii="宋体" w:hAnsi="宋体" w:eastAsia="宋体" w:cs="宋体"/>
          <w:color w:val="auto"/>
          <w:spacing w:val="-1"/>
          <w:position w:val="2"/>
          <w:sz w:val="24"/>
          <w:szCs w:val="24"/>
          <w:highlight w:val="none"/>
        </w:rPr>
        <w:t>中标人根据《关于统一在市公共资源交易一体化服务平台缴退工程建设项目履约保证金的通知》办理相关手续，履约保证的形式包括履约保证金、履约保证担保、履约保证保险三种，由中标人自主选择</w:t>
      </w:r>
      <w:r>
        <w:rPr>
          <w:rFonts w:hint="eastAsia" w:ascii="宋体" w:hAnsi="宋体" w:eastAsia="宋体" w:cs="宋体"/>
          <w:color w:val="auto"/>
          <w:spacing w:val="-2"/>
          <w:sz w:val="24"/>
          <w:szCs w:val="24"/>
          <w:highlight w:val="none"/>
        </w:rPr>
        <w:t>。商业保函、银行保函或保险合同（或保险单）的</w:t>
      </w:r>
      <w:r>
        <w:rPr>
          <w:rFonts w:hint="eastAsia" w:ascii="宋体" w:hAnsi="宋体" w:eastAsia="宋体" w:cs="宋体"/>
          <w:color w:val="auto"/>
          <w:spacing w:val="16"/>
          <w:sz w:val="24"/>
          <w:szCs w:val="24"/>
          <w:highlight w:val="none"/>
        </w:rPr>
        <w:t xml:space="preserve"> </w:t>
      </w:r>
      <w:r>
        <w:rPr>
          <w:rFonts w:hint="eastAsia" w:ascii="宋体" w:hAnsi="宋体" w:eastAsia="宋体" w:cs="宋体"/>
          <w:color w:val="auto"/>
          <w:spacing w:val="-1"/>
          <w:sz w:val="24"/>
          <w:szCs w:val="24"/>
          <w:highlight w:val="none"/>
        </w:rPr>
        <w:t>有效期应当自合同生效之日起至项目通过竣工验收之日后</w:t>
      </w:r>
      <w:r>
        <w:rPr>
          <w:rFonts w:hint="eastAsia" w:ascii="宋体" w:hAnsi="宋体" w:eastAsia="宋体" w:cs="宋体"/>
          <w:color w:val="auto"/>
          <w:spacing w:val="-41"/>
          <w:sz w:val="24"/>
          <w:szCs w:val="24"/>
          <w:highlight w:val="none"/>
        </w:rPr>
        <w:t xml:space="preserve"> </w:t>
      </w:r>
      <w:r>
        <w:rPr>
          <w:rFonts w:hint="eastAsia" w:ascii="宋体" w:hAnsi="宋体" w:eastAsia="宋体" w:cs="宋体"/>
          <w:color w:val="auto"/>
          <w:spacing w:val="-1"/>
          <w:sz w:val="24"/>
          <w:szCs w:val="24"/>
          <w:highlight w:val="none"/>
        </w:rPr>
        <w:t>28 天止。</w:t>
      </w:r>
    </w:p>
    <w:p w14:paraId="78DED6D5">
      <w:pPr>
        <w:wordWrap w:val="0"/>
        <w:spacing w:line="440" w:lineRule="exact"/>
        <w:ind w:firstLine="562"/>
        <w:rPr>
          <w:rFonts w:hint="eastAsia" w:ascii="宋体" w:hAnsi="宋体" w:eastAsia="宋体" w:cs="宋体"/>
          <w:color w:val="auto"/>
          <w:highlight w:val="none"/>
          <w:lang w:eastAsia="zh-CN"/>
        </w:rPr>
      </w:pP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position w:val="2"/>
          <w:sz w:val="24"/>
          <w:szCs w:val="24"/>
          <w:highlight w:val="none"/>
          <w:lang w:eastAsia="zh-CN"/>
        </w:rPr>
        <w:t>注：中标通知书发出时，招标人发起收缴履约保证金并填写保证金金额、缴交时限和项目工期；由中标人在建设工程交易系统中自主选择一种进行缴交。项目竣工后，由招标人发起退保。）</w:t>
      </w:r>
    </w:p>
    <w:p w14:paraId="5680480B">
      <w:pPr>
        <w:spacing w:before="145" w:line="319" w:lineRule="auto"/>
        <w:ind w:left="12" w:right="108" w:firstLine="473"/>
        <w:rPr>
          <w:rFonts w:hint="eastAsia" w:ascii="宋体" w:hAnsi="宋体" w:eastAsia="宋体" w:cs="宋体"/>
          <w:color w:val="auto"/>
          <w:sz w:val="24"/>
          <w:szCs w:val="24"/>
          <w:highlight w:val="none"/>
        </w:rPr>
      </w:pPr>
      <w:r>
        <w:rPr>
          <w:rFonts w:hint="eastAsia" w:ascii="宋体" w:hAnsi="宋体" w:eastAsia="宋体" w:cs="宋体"/>
          <w:b/>
          <w:bCs/>
          <w:color w:val="auto"/>
          <w:spacing w:val="-4"/>
          <w:sz w:val="24"/>
          <w:szCs w:val="24"/>
          <w:highlight w:val="none"/>
        </w:rPr>
        <w:t>3.3</w:t>
      </w:r>
      <w:r>
        <w:rPr>
          <w:rFonts w:hint="eastAsia" w:ascii="宋体" w:hAnsi="宋体" w:eastAsia="宋体" w:cs="宋体"/>
          <w:b/>
          <w:bCs/>
          <w:color w:val="auto"/>
          <w:spacing w:val="16"/>
          <w:sz w:val="24"/>
          <w:szCs w:val="24"/>
          <w:highlight w:val="none"/>
        </w:rPr>
        <w:t xml:space="preserve">  </w:t>
      </w:r>
      <w:r>
        <w:rPr>
          <w:rFonts w:hint="eastAsia" w:ascii="宋体" w:hAnsi="宋体" w:eastAsia="宋体" w:cs="宋体"/>
          <w:color w:val="auto"/>
          <w:spacing w:val="-4"/>
          <w:sz w:val="24"/>
          <w:szCs w:val="24"/>
          <w:highlight w:val="none"/>
        </w:rPr>
        <w:t>中标人在领取中标通知书之日起</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pacing w:val="-4"/>
          <w:sz w:val="24"/>
          <w:szCs w:val="24"/>
          <w:highlight w:val="none"/>
        </w:rPr>
        <w:t>10 个工</w:t>
      </w:r>
      <w:r>
        <w:rPr>
          <w:rFonts w:hint="eastAsia" w:ascii="宋体" w:hAnsi="宋体" w:eastAsia="宋体" w:cs="宋体"/>
          <w:color w:val="auto"/>
          <w:spacing w:val="-5"/>
          <w:sz w:val="24"/>
          <w:szCs w:val="24"/>
          <w:highlight w:val="none"/>
        </w:rPr>
        <w:t>作日内仍未提交履约保证的，招标人发</w:t>
      </w:r>
      <w:r>
        <w:rPr>
          <w:rFonts w:hint="eastAsia" w:ascii="宋体" w:hAnsi="宋体" w:eastAsia="宋体" w:cs="宋体"/>
          <w:color w:val="auto"/>
          <w:spacing w:val="1"/>
          <w:sz w:val="24"/>
          <w:szCs w:val="24"/>
          <w:highlight w:val="none"/>
        </w:rPr>
        <w:t>出第一次提醒函；在领取中标通知书之日起</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pacing w:val="1"/>
          <w:sz w:val="24"/>
          <w:szCs w:val="24"/>
          <w:highlight w:val="none"/>
        </w:rPr>
        <w:t>15 个工作日内仍未提交的</w:t>
      </w:r>
      <w:r>
        <w:rPr>
          <w:rFonts w:hint="eastAsia" w:ascii="宋体" w:hAnsi="宋体" w:eastAsia="宋体" w:cs="宋体"/>
          <w:color w:val="auto"/>
          <w:sz w:val="24"/>
          <w:szCs w:val="24"/>
          <w:highlight w:val="none"/>
        </w:rPr>
        <w:t>，招标人发出第</w:t>
      </w:r>
      <w:r>
        <w:rPr>
          <w:rFonts w:hint="eastAsia" w:ascii="宋体" w:hAnsi="宋体" w:eastAsia="宋体" w:cs="宋体"/>
          <w:color w:val="auto"/>
          <w:spacing w:val="1"/>
          <w:sz w:val="24"/>
          <w:szCs w:val="24"/>
          <w:highlight w:val="none"/>
        </w:rPr>
        <w:t>二次提醒函；在领取中标通知书之日起</w:t>
      </w:r>
      <w:r>
        <w:rPr>
          <w:rFonts w:hint="eastAsia" w:ascii="宋体" w:hAnsi="宋体" w:eastAsia="宋体" w:cs="宋体"/>
          <w:color w:val="auto"/>
          <w:spacing w:val="-39"/>
          <w:sz w:val="24"/>
          <w:szCs w:val="24"/>
          <w:highlight w:val="none"/>
        </w:rPr>
        <w:t xml:space="preserve"> </w:t>
      </w:r>
      <w:r>
        <w:rPr>
          <w:rFonts w:hint="eastAsia" w:ascii="宋体" w:hAnsi="宋体" w:eastAsia="宋体" w:cs="宋体"/>
          <w:color w:val="auto"/>
          <w:spacing w:val="1"/>
          <w:sz w:val="24"/>
          <w:szCs w:val="24"/>
          <w:highlight w:val="none"/>
        </w:rPr>
        <w:t>20 个工作日内仍未提交的，视其放弃中标。并</w:t>
      </w:r>
      <w:r>
        <w:rPr>
          <w:rFonts w:hint="eastAsia" w:ascii="宋体" w:hAnsi="宋体" w:eastAsia="宋体" w:cs="宋体"/>
          <w:color w:val="auto"/>
          <w:spacing w:val="-2"/>
          <w:sz w:val="24"/>
          <w:szCs w:val="24"/>
          <w:highlight w:val="none"/>
        </w:rPr>
        <w:t>由招标人通报建设行政管理部门。如采用商业保函、银行保函或保险合同方式缴纳履约保证金，在保函或保险合同到期前一个月，中标人须主动办理续期手续或提交新的商业</w:t>
      </w:r>
      <w:r>
        <w:rPr>
          <w:rFonts w:hint="eastAsia" w:ascii="宋体" w:hAnsi="宋体" w:eastAsia="宋体" w:cs="宋体"/>
          <w:color w:val="auto"/>
          <w:spacing w:val="-1"/>
          <w:sz w:val="24"/>
          <w:szCs w:val="24"/>
          <w:highlight w:val="none"/>
        </w:rPr>
        <w:t>保函、银行保函或保险合同。</w:t>
      </w:r>
    </w:p>
    <w:p w14:paraId="1772FFBF">
      <w:pPr>
        <w:spacing w:before="152" w:line="299" w:lineRule="auto"/>
        <w:ind w:left="12" w:right="108" w:firstLine="474"/>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3.4  </w:t>
      </w:r>
      <w:r>
        <w:rPr>
          <w:rFonts w:hint="eastAsia" w:ascii="宋体" w:hAnsi="宋体" w:eastAsia="宋体" w:cs="宋体"/>
          <w:color w:val="auto"/>
          <w:sz w:val="24"/>
          <w:szCs w:val="24"/>
          <w:highlight w:val="none"/>
        </w:rPr>
        <w:t>在工程实施过程中，如果承包人（即招标阶段的中标人，下同）由于自身的资</w:t>
      </w:r>
      <w:r>
        <w:rPr>
          <w:rFonts w:hint="eastAsia" w:ascii="宋体" w:hAnsi="宋体" w:eastAsia="宋体" w:cs="宋体"/>
          <w:color w:val="auto"/>
          <w:spacing w:val="-2"/>
          <w:sz w:val="24"/>
          <w:szCs w:val="24"/>
          <w:highlight w:val="none"/>
        </w:rPr>
        <w:t>金、技术、质量、非不可抗力等原因给发包人（即招标阶段的招标人，下同）造成经济</w:t>
      </w:r>
      <w:r>
        <w:rPr>
          <w:rFonts w:hint="eastAsia" w:ascii="宋体" w:hAnsi="宋体" w:eastAsia="宋体" w:cs="宋体"/>
          <w:color w:val="auto"/>
          <w:spacing w:val="-1"/>
          <w:sz w:val="24"/>
          <w:szCs w:val="24"/>
          <w:highlight w:val="none"/>
        </w:rPr>
        <w:t>损失，发包人有权扣划相应金额的履约保证。</w:t>
      </w:r>
    </w:p>
    <w:p w14:paraId="10E237DB">
      <w:pPr>
        <w:spacing w:before="154" w:line="220" w:lineRule="auto"/>
        <w:ind w:left="486"/>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3.5  </w:t>
      </w:r>
      <w:r>
        <w:rPr>
          <w:rFonts w:hint="eastAsia" w:ascii="宋体" w:hAnsi="宋体" w:eastAsia="宋体" w:cs="宋体"/>
          <w:color w:val="auto"/>
          <w:sz w:val="24"/>
          <w:szCs w:val="24"/>
          <w:highlight w:val="none"/>
        </w:rPr>
        <w:t>项目通过竣工验收之日后</w:t>
      </w:r>
      <w:r>
        <w:rPr>
          <w:rFonts w:hint="eastAsia" w:ascii="宋体" w:hAnsi="宋体" w:eastAsia="宋体" w:cs="宋体"/>
          <w:color w:val="auto"/>
          <w:spacing w:val="-55"/>
          <w:sz w:val="24"/>
          <w:szCs w:val="24"/>
          <w:highlight w:val="none"/>
        </w:rPr>
        <w:t xml:space="preserve"> </w:t>
      </w:r>
      <w:r>
        <w:rPr>
          <w:rFonts w:hint="eastAsia" w:ascii="宋体" w:hAnsi="宋体" w:eastAsia="宋体" w:cs="宋体"/>
          <w:color w:val="auto"/>
          <w:sz w:val="24"/>
          <w:szCs w:val="24"/>
          <w:highlight w:val="none"/>
        </w:rPr>
        <w:t>28 天内，发包人将履</w:t>
      </w:r>
      <w:r>
        <w:rPr>
          <w:rFonts w:hint="eastAsia" w:ascii="宋体" w:hAnsi="宋体" w:eastAsia="宋体" w:cs="宋体"/>
          <w:color w:val="auto"/>
          <w:spacing w:val="-1"/>
          <w:sz w:val="24"/>
          <w:szCs w:val="24"/>
          <w:highlight w:val="none"/>
        </w:rPr>
        <w:t>约保证退还给承包人。</w:t>
      </w:r>
    </w:p>
    <w:p w14:paraId="432F8D77">
      <w:pPr>
        <w:pStyle w:val="5"/>
        <w:spacing w:line="256" w:lineRule="auto"/>
        <w:rPr>
          <w:rFonts w:hint="eastAsia" w:ascii="宋体" w:hAnsi="宋体" w:eastAsia="宋体" w:cs="宋体"/>
          <w:color w:val="auto"/>
          <w:highlight w:val="none"/>
        </w:rPr>
      </w:pPr>
    </w:p>
    <w:p w14:paraId="53274F32">
      <w:pPr>
        <w:pStyle w:val="5"/>
        <w:spacing w:line="257" w:lineRule="auto"/>
        <w:rPr>
          <w:rFonts w:hint="eastAsia" w:ascii="宋体" w:hAnsi="宋体" w:eastAsia="宋体" w:cs="宋体"/>
          <w:color w:val="auto"/>
          <w:highlight w:val="none"/>
        </w:rPr>
      </w:pPr>
    </w:p>
    <w:p w14:paraId="1374047A">
      <w:pPr>
        <w:spacing w:before="78" w:line="222" w:lineRule="auto"/>
        <w:ind w:left="488"/>
        <w:outlineLvl w:val="2"/>
        <w:rPr>
          <w:rFonts w:hint="eastAsia" w:ascii="宋体" w:hAnsi="宋体" w:eastAsia="宋体" w:cs="宋体"/>
          <w:color w:val="auto"/>
          <w:sz w:val="24"/>
          <w:szCs w:val="24"/>
          <w:highlight w:val="none"/>
        </w:rPr>
      </w:pPr>
      <w:bookmarkStart w:id="160" w:name="_Toc133"/>
      <w:r>
        <w:rPr>
          <w:rFonts w:hint="eastAsia" w:ascii="宋体" w:hAnsi="宋体" w:eastAsia="宋体" w:cs="宋体"/>
          <w:b/>
          <w:bCs/>
          <w:color w:val="auto"/>
          <w:spacing w:val="-8"/>
          <w:sz w:val="24"/>
          <w:szCs w:val="24"/>
          <w:highlight w:val="none"/>
        </w:rPr>
        <w:t>4</w:t>
      </w:r>
      <w:r>
        <w:rPr>
          <w:rFonts w:hint="eastAsia" w:ascii="宋体" w:hAnsi="宋体" w:eastAsia="宋体" w:cs="宋体"/>
          <w:b/>
          <w:bCs/>
          <w:color w:val="auto"/>
          <w:spacing w:val="-27"/>
          <w:sz w:val="24"/>
          <w:szCs w:val="24"/>
          <w:highlight w:val="none"/>
        </w:rPr>
        <w:t xml:space="preserve"> </w:t>
      </w:r>
      <w:r>
        <w:rPr>
          <w:rFonts w:hint="eastAsia" w:ascii="宋体" w:hAnsi="宋体" w:eastAsia="宋体" w:cs="宋体"/>
          <w:b/>
          <w:bCs/>
          <w:color w:val="auto"/>
          <w:spacing w:val="-8"/>
          <w:sz w:val="24"/>
          <w:szCs w:val="24"/>
          <w:highlight w:val="none"/>
        </w:rPr>
        <w:t>．合同订立</w:t>
      </w:r>
      <w:bookmarkEnd w:id="160"/>
    </w:p>
    <w:p w14:paraId="1A200521">
      <w:pPr>
        <w:spacing w:before="150" w:line="279" w:lineRule="auto"/>
        <w:ind w:left="13" w:right="108" w:firstLine="474"/>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4.1  </w:t>
      </w:r>
      <w:r>
        <w:rPr>
          <w:rFonts w:hint="eastAsia" w:ascii="宋体" w:hAnsi="宋体" w:eastAsia="宋体" w:cs="宋体"/>
          <w:color w:val="auto"/>
          <w:sz w:val="24"/>
          <w:szCs w:val="24"/>
          <w:highlight w:val="none"/>
        </w:rPr>
        <w:t>招标人应当自中标通知书发出之日起</w:t>
      </w:r>
      <w:r>
        <w:rPr>
          <w:rFonts w:hint="eastAsia" w:ascii="宋体" w:hAnsi="宋体" w:eastAsia="宋体" w:cs="宋体"/>
          <w:color w:val="auto"/>
          <w:sz w:val="24"/>
          <w:szCs w:val="24"/>
          <w:highlight w:val="none"/>
          <w:u w:val="single"/>
          <w:lang w:val="en-US" w:eastAsia="zh-CN"/>
        </w:rPr>
        <w:t xml:space="preserve"> 三十 </w:t>
      </w:r>
      <w:r>
        <w:rPr>
          <w:rFonts w:hint="eastAsia" w:ascii="宋体" w:hAnsi="宋体" w:eastAsia="宋体" w:cs="宋体"/>
          <w:color w:val="auto"/>
          <w:sz w:val="24"/>
          <w:szCs w:val="24"/>
          <w:highlight w:val="none"/>
        </w:rPr>
        <w:t>日内，按照招标文件、中标人的投标</w:t>
      </w:r>
      <w:r>
        <w:rPr>
          <w:rFonts w:hint="eastAsia" w:ascii="宋体" w:hAnsi="宋体" w:eastAsia="宋体" w:cs="宋体"/>
          <w:color w:val="auto"/>
          <w:spacing w:val="-1"/>
          <w:sz w:val="24"/>
          <w:szCs w:val="24"/>
          <w:highlight w:val="none"/>
        </w:rPr>
        <w:t>文件与中标人订立书面合同。</w:t>
      </w:r>
    </w:p>
    <w:p w14:paraId="2679C49D">
      <w:pPr>
        <w:spacing w:before="156" w:line="219" w:lineRule="auto"/>
        <w:ind w:left="488"/>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4.2  </w:t>
      </w:r>
      <w:r>
        <w:rPr>
          <w:rFonts w:hint="eastAsia" w:ascii="宋体" w:hAnsi="宋体" w:eastAsia="宋体" w:cs="宋体"/>
          <w:color w:val="auto"/>
          <w:spacing w:val="-1"/>
          <w:sz w:val="24"/>
          <w:szCs w:val="24"/>
          <w:highlight w:val="none"/>
        </w:rPr>
        <w:t>不正常报价的梳理和确认</w:t>
      </w:r>
    </w:p>
    <w:p w14:paraId="4BC8F1D0">
      <w:pPr>
        <w:spacing w:before="154" w:line="299" w:lineRule="auto"/>
        <w:ind w:left="14" w:right="64" w:firstLine="473"/>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4.2.1 合同订立期间，在不改变中标人的投标总价的前提下，招标人应对中标人的</w:t>
      </w:r>
      <w:r>
        <w:rPr>
          <w:rFonts w:hint="eastAsia" w:ascii="宋体" w:hAnsi="宋体" w:eastAsia="宋体" w:cs="宋体"/>
          <w:b/>
          <w:bCs/>
          <w:color w:val="auto"/>
          <w:spacing w:val="-3"/>
          <w:sz w:val="24"/>
          <w:szCs w:val="24"/>
          <w:highlight w:val="none"/>
        </w:rPr>
        <w:t>投标报价进行全面分析和整理，从而发现并提取其中可能存在的算术性错误、错漏项、不平衡报价等不正常报价，并修正其中的算术性错误。</w:t>
      </w:r>
      <w:r>
        <w:rPr>
          <w:rFonts w:hint="eastAsia" w:ascii="宋体" w:hAnsi="宋体" w:eastAsia="宋体" w:cs="宋体"/>
          <w:color w:val="auto"/>
          <w:spacing w:val="-3"/>
          <w:sz w:val="24"/>
          <w:szCs w:val="24"/>
          <w:highlight w:val="none"/>
        </w:rPr>
        <w:t>招标人不具备</w:t>
      </w:r>
      <w:r>
        <w:rPr>
          <w:rFonts w:hint="eastAsia" w:ascii="宋体" w:hAnsi="宋体" w:eastAsia="宋体" w:cs="宋体"/>
          <w:color w:val="auto"/>
          <w:spacing w:val="-4"/>
          <w:sz w:val="24"/>
          <w:szCs w:val="24"/>
          <w:highlight w:val="none"/>
        </w:rPr>
        <w:t>以上能力的，可授</w:t>
      </w:r>
      <w:r>
        <w:rPr>
          <w:rFonts w:hint="eastAsia" w:ascii="宋体" w:hAnsi="宋体" w:eastAsia="宋体" w:cs="宋体"/>
          <w:color w:val="auto"/>
          <w:spacing w:val="-1"/>
          <w:sz w:val="24"/>
          <w:szCs w:val="24"/>
          <w:highlight w:val="none"/>
        </w:rPr>
        <w:t>权编制本项目</w:t>
      </w:r>
      <w:r>
        <w:rPr>
          <w:rFonts w:hint="eastAsia" w:ascii="宋体" w:hAnsi="宋体" w:eastAsia="宋体" w:cs="宋体"/>
          <w:color w:val="auto"/>
          <w:spacing w:val="-1"/>
          <w:sz w:val="24"/>
          <w:szCs w:val="24"/>
          <w:highlight w:val="none"/>
          <w:lang w:eastAsia="zh-CN"/>
        </w:rPr>
        <w:t>最高投标限价</w:t>
      </w:r>
      <w:r>
        <w:rPr>
          <w:rFonts w:hint="eastAsia" w:ascii="宋体" w:hAnsi="宋体" w:eastAsia="宋体" w:cs="宋体"/>
          <w:color w:val="auto"/>
          <w:spacing w:val="-1"/>
          <w:sz w:val="24"/>
          <w:szCs w:val="24"/>
          <w:highlight w:val="none"/>
        </w:rPr>
        <w:t>的造价咨询单位实施。</w:t>
      </w:r>
    </w:p>
    <w:p w14:paraId="4CE5699A">
      <w:pPr>
        <w:spacing w:before="121" w:line="309" w:lineRule="auto"/>
        <w:ind w:left="14" w:right="65" w:firstLine="473"/>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4.2.2  </w:t>
      </w:r>
      <w:r>
        <w:rPr>
          <w:rFonts w:hint="eastAsia" w:ascii="宋体" w:hAnsi="宋体" w:eastAsia="宋体" w:cs="宋体"/>
          <w:color w:val="auto"/>
          <w:spacing w:val="2"/>
          <w:sz w:val="24"/>
          <w:szCs w:val="24"/>
          <w:highlight w:val="none"/>
        </w:rPr>
        <w:t>算术性错误的分析和修正。投标报价汇</w:t>
      </w:r>
      <w:r>
        <w:rPr>
          <w:rFonts w:hint="eastAsia" w:ascii="宋体" w:hAnsi="宋体" w:eastAsia="宋体" w:cs="宋体"/>
          <w:color w:val="auto"/>
          <w:spacing w:val="1"/>
          <w:sz w:val="24"/>
          <w:szCs w:val="24"/>
          <w:highlight w:val="none"/>
        </w:rPr>
        <w:t>总表中，投标总价与各分项费用之和</w:t>
      </w:r>
      <w:r>
        <w:rPr>
          <w:rFonts w:hint="eastAsia" w:ascii="宋体" w:hAnsi="宋体" w:eastAsia="宋体" w:cs="宋体"/>
          <w:color w:val="auto"/>
          <w:spacing w:val="-2"/>
          <w:sz w:val="24"/>
          <w:szCs w:val="24"/>
          <w:highlight w:val="none"/>
        </w:rPr>
        <w:t>不一致的，以投标总价为准修正分项费用；投标报价汇总表的各分项费用与对应分项表中的费用不一致的，以投标报价汇总表中的分项费用为准修正对应分项表中的费用；各</w:t>
      </w:r>
      <w:r>
        <w:rPr>
          <w:rFonts w:hint="eastAsia" w:ascii="宋体" w:hAnsi="宋体" w:eastAsia="宋体" w:cs="宋体"/>
          <w:color w:val="auto"/>
          <w:sz w:val="24"/>
          <w:szCs w:val="24"/>
          <w:highlight w:val="none"/>
        </w:rPr>
        <w:t>分项表中总价金额与依据单价计算出的结果不</w:t>
      </w:r>
      <w:r>
        <w:rPr>
          <w:rFonts w:hint="eastAsia" w:ascii="宋体" w:hAnsi="宋体" w:eastAsia="宋体" w:cs="宋体"/>
          <w:color w:val="auto"/>
          <w:spacing w:val="-1"/>
          <w:sz w:val="24"/>
          <w:szCs w:val="24"/>
          <w:highlight w:val="none"/>
        </w:rPr>
        <w:t>一致的，以总价为准修正单价。</w:t>
      </w:r>
    </w:p>
    <w:p w14:paraId="11DE13F3">
      <w:pPr>
        <w:spacing w:before="157" w:line="279" w:lineRule="auto"/>
        <w:ind w:left="12" w:right="66" w:firstLine="47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4.2.3  </w:t>
      </w:r>
      <w:r>
        <w:rPr>
          <w:rFonts w:hint="eastAsia" w:ascii="宋体" w:hAnsi="宋体" w:eastAsia="宋体" w:cs="宋体"/>
          <w:color w:val="auto"/>
          <w:spacing w:val="2"/>
          <w:sz w:val="24"/>
          <w:szCs w:val="24"/>
          <w:highlight w:val="none"/>
        </w:rPr>
        <w:t>错漏项的认定。中标人已标价工程量清</w:t>
      </w:r>
      <w:r>
        <w:rPr>
          <w:rFonts w:hint="eastAsia" w:ascii="宋体" w:hAnsi="宋体" w:eastAsia="宋体" w:cs="宋体"/>
          <w:color w:val="auto"/>
          <w:spacing w:val="1"/>
          <w:sz w:val="24"/>
          <w:szCs w:val="24"/>
          <w:highlight w:val="none"/>
        </w:rPr>
        <w:t>单中，任一清单项目未填报价格或价</w:t>
      </w:r>
      <w:r>
        <w:rPr>
          <w:rFonts w:hint="eastAsia" w:ascii="宋体" w:hAnsi="宋体" w:eastAsia="宋体" w:cs="宋体"/>
          <w:color w:val="auto"/>
          <w:spacing w:val="-1"/>
          <w:sz w:val="24"/>
          <w:szCs w:val="24"/>
          <w:highlight w:val="none"/>
        </w:rPr>
        <w:t>格为零的，视为错漏项。</w:t>
      </w:r>
    </w:p>
    <w:p w14:paraId="59E7D3F9">
      <w:pPr>
        <w:spacing w:before="121" w:line="360" w:lineRule="auto"/>
        <w:ind w:firstLine="490" w:firstLineChars="200"/>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4.2.4  </w:t>
      </w:r>
      <w:r>
        <w:rPr>
          <w:rFonts w:hint="eastAsia" w:ascii="宋体" w:hAnsi="宋体" w:eastAsia="宋体" w:cs="宋体"/>
          <w:color w:val="auto"/>
          <w:spacing w:val="2"/>
          <w:sz w:val="24"/>
          <w:szCs w:val="24"/>
          <w:highlight w:val="none"/>
        </w:rPr>
        <w:t>不平衡报价的认定。经修正算术性错误后的中标人已标价工程量清单中，</w:t>
      </w:r>
      <w:r>
        <w:rPr>
          <w:rFonts w:hint="eastAsia" w:ascii="宋体" w:hAnsi="宋体" w:eastAsia="宋体" w:cs="宋体"/>
          <w:color w:val="auto"/>
          <w:spacing w:val="2"/>
          <w:sz w:val="24"/>
          <w:szCs w:val="24"/>
          <w:highlight w:val="none"/>
          <w:u w:val="single"/>
        </w:rPr>
        <w:t>对于投标报价中综合单价相对</w:t>
      </w:r>
      <w:r>
        <w:rPr>
          <w:rFonts w:hint="eastAsia" w:ascii="宋体" w:hAnsi="宋体" w:eastAsia="宋体" w:cs="宋体"/>
          <w:color w:val="auto"/>
          <w:spacing w:val="2"/>
          <w:sz w:val="24"/>
          <w:szCs w:val="24"/>
          <w:highlight w:val="none"/>
          <w:u w:val="single"/>
          <w:lang w:eastAsia="zh-CN"/>
        </w:rPr>
        <w:t>最高投标限价</w:t>
      </w:r>
      <w:r>
        <w:rPr>
          <w:rFonts w:hint="eastAsia" w:ascii="宋体" w:hAnsi="宋体" w:eastAsia="宋体" w:cs="宋体"/>
          <w:color w:val="auto"/>
          <w:spacing w:val="2"/>
          <w:sz w:val="24"/>
          <w:szCs w:val="24"/>
          <w:highlight w:val="none"/>
          <w:u w:val="single"/>
        </w:rPr>
        <w:t xml:space="preserve">《分部分项工程和单价措施项目清单与计价表》中对应综合单价的偏差大于±15% </w:t>
      </w:r>
      <w:r>
        <w:rPr>
          <w:rFonts w:hint="eastAsia" w:ascii="宋体" w:hAnsi="宋体" w:eastAsia="宋体" w:cs="宋体"/>
          <w:color w:val="auto"/>
          <w:spacing w:val="2"/>
          <w:sz w:val="24"/>
          <w:szCs w:val="24"/>
          <w:highlight w:val="none"/>
          <w:u w:val="none"/>
        </w:rPr>
        <w:t>的清</w:t>
      </w:r>
      <w:r>
        <w:rPr>
          <w:rFonts w:hint="eastAsia" w:ascii="宋体" w:hAnsi="宋体" w:eastAsia="宋体" w:cs="宋体"/>
          <w:color w:val="auto"/>
          <w:spacing w:val="-3"/>
          <w:sz w:val="24"/>
          <w:szCs w:val="24"/>
          <w:highlight w:val="none"/>
          <w:u w:val="none"/>
        </w:rPr>
        <w:t>单项目</w:t>
      </w:r>
      <w:r>
        <w:rPr>
          <w:rFonts w:hint="eastAsia" w:ascii="宋体" w:hAnsi="宋体" w:eastAsia="宋体" w:cs="宋体"/>
          <w:color w:val="auto"/>
          <w:spacing w:val="-3"/>
          <w:sz w:val="24"/>
          <w:szCs w:val="24"/>
          <w:highlight w:val="none"/>
        </w:rPr>
        <w:t>，视为不平衡报价项目。</w:t>
      </w:r>
    </w:p>
    <w:p w14:paraId="4DB1B0CA">
      <w:pPr>
        <w:spacing w:before="146" w:line="330" w:lineRule="auto"/>
        <w:ind w:left="10" w:right="65" w:firstLine="478"/>
        <w:jc w:val="both"/>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4.2.5 </w:t>
      </w:r>
      <w:r>
        <w:rPr>
          <w:rFonts w:hint="eastAsia" w:ascii="宋体" w:hAnsi="宋体" w:eastAsia="宋体" w:cs="宋体"/>
          <w:color w:val="auto"/>
          <w:spacing w:val="-3"/>
          <w:sz w:val="24"/>
          <w:szCs w:val="24"/>
          <w:highlight w:val="none"/>
        </w:rPr>
        <w:t>施工合同签订前，招标人或其授权的造价咨询单位应就发现的以上所有不平衡报价进行修正，形成《不平衡报价修正报告》，并由招标人和中标人共同签章确认，构成施工合同的组成部分。</w:t>
      </w:r>
    </w:p>
    <w:p w14:paraId="57725225">
      <w:pPr>
        <w:spacing w:before="34" w:line="326" w:lineRule="auto"/>
        <w:ind w:left="12" w:right="65" w:firstLine="475"/>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4.2.6 合同履行过程中，被认定为错漏项的清单项目，结算时按照第三章“拟签订</w:t>
      </w:r>
      <w:r>
        <w:rPr>
          <w:rFonts w:hint="eastAsia" w:ascii="宋体" w:hAnsi="宋体" w:eastAsia="宋体" w:cs="宋体"/>
          <w:b/>
          <w:bCs/>
          <w:color w:val="auto"/>
          <w:spacing w:val="-6"/>
          <w:sz w:val="24"/>
          <w:szCs w:val="24"/>
          <w:highlight w:val="none"/>
        </w:rPr>
        <w:t>合同的主要条款</w:t>
      </w:r>
      <w:r>
        <w:rPr>
          <w:rFonts w:hint="eastAsia" w:ascii="宋体" w:hAnsi="宋体" w:eastAsia="宋体" w:cs="宋体"/>
          <w:color w:val="auto"/>
          <w:spacing w:val="-77"/>
          <w:sz w:val="24"/>
          <w:szCs w:val="24"/>
          <w:highlight w:val="none"/>
        </w:rPr>
        <w:t xml:space="preserve"> </w:t>
      </w:r>
      <w:r>
        <w:rPr>
          <w:rFonts w:hint="eastAsia" w:ascii="宋体" w:hAnsi="宋体" w:eastAsia="宋体" w:cs="宋体"/>
          <w:b/>
          <w:bCs/>
          <w:color w:val="auto"/>
          <w:spacing w:val="-6"/>
          <w:sz w:val="24"/>
          <w:szCs w:val="24"/>
          <w:highlight w:val="none"/>
        </w:rPr>
        <w:t>”规定处理。</w:t>
      </w:r>
    </w:p>
    <w:p w14:paraId="6AFE27E5">
      <w:pPr>
        <w:spacing w:before="33" w:line="317" w:lineRule="auto"/>
        <w:ind w:left="12" w:right="38" w:firstLine="476"/>
        <w:jc w:val="both"/>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4.2.7  合同履行过程中，合同约定的调</w:t>
      </w:r>
      <w:r>
        <w:rPr>
          <w:rFonts w:hint="eastAsia" w:ascii="宋体" w:hAnsi="宋体" w:eastAsia="宋体" w:cs="宋体"/>
          <w:b/>
          <w:bCs/>
          <w:color w:val="auto"/>
          <w:spacing w:val="-1"/>
          <w:sz w:val="24"/>
          <w:szCs w:val="24"/>
          <w:highlight w:val="none"/>
        </w:rPr>
        <w:t>整因素（如工程量偏差、工程变更、项目特</w:t>
      </w:r>
      <w:r>
        <w:rPr>
          <w:rFonts w:hint="eastAsia" w:ascii="宋体" w:hAnsi="宋体" w:eastAsia="宋体" w:cs="宋体"/>
          <w:b/>
          <w:bCs/>
          <w:color w:val="auto"/>
          <w:spacing w:val="-4"/>
          <w:sz w:val="24"/>
          <w:szCs w:val="24"/>
          <w:highlight w:val="none"/>
        </w:rPr>
        <w:t>征不符、招标工程量清单缺项等）出现时，被认定为不平衡报价的清单项目以及</w:t>
      </w:r>
      <w:r>
        <w:rPr>
          <w:rFonts w:hint="eastAsia" w:ascii="宋体" w:hAnsi="宋体" w:eastAsia="宋体" w:cs="宋体"/>
          <w:b/>
          <w:bCs/>
          <w:color w:val="auto"/>
          <w:spacing w:val="-5"/>
          <w:sz w:val="24"/>
          <w:szCs w:val="24"/>
          <w:highlight w:val="none"/>
        </w:rPr>
        <w:t>采用被</w:t>
      </w:r>
      <w:r>
        <w:rPr>
          <w:rFonts w:hint="eastAsia" w:ascii="宋体" w:hAnsi="宋体" w:eastAsia="宋体" w:cs="宋体"/>
          <w:b/>
          <w:bCs/>
          <w:color w:val="auto"/>
          <w:spacing w:val="-3"/>
          <w:sz w:val="24"/>
          <w:szCs w:val="24"/>
          <w:highlight w:val="none"/>
        </w:rPr>
        <w:t>认定为不平衡报价的清单项目的价格作为取价（或参照取</w:t>
      </w:r>
      <w:r>
        <w:rPr>
          <w:rFonts w:hint="eastAsia" w:ascii="宋体" w:hAnsi="宋体" w:eastAsia="宋体" w:cs="宋体"/>
          <w:b/>
          <w:bCs/>
          <w:color w:val="auto"/>
          <w:spacing w:val="-4"/>
          <w:sz w:val="24"/>
          <w:szCs w:val="24"/>
          <w:highlight w:val="none"/>
        </w:rPr>
        <w:t>价）依据的变更、新增项目，</w:t>
      </w:r>
      <w:r>
        <w:rPr>
          <w:rFonts w:hint="eastAsia" w:ascii="宋体" w:hAnsi="宋体" w:eastAsia="宋体" w:cs="宋体"/>
          <w:color w:val="auto"/>
          <w:sz w:val="24"/>
          <w:szCs w:val="24"/>
          <w:highlight w:val="none"/>
        </w:rPr>
        <w:t xml:space="preserve"> </w:t>
      </w:r>
      <w:r>
        <w:rPr>
          <w:rFonts w:hint="eastAsia" w:ascii="宋体" w:hAnsi="宋体" w:eastAsia="宋体" w:cs="宋体"/>
          <w:b/>
          <w:bCs/>
          <w:color w:val="auto"/>
          <w:spacing w:val="-3"/>
          <w:sz w:val="24"/>
          <w:szCs w:val="24"/>
          <w:highlight w:val="none"/>
        </w:rPr>
        <w:t>按照第三章“拟签订合同的主要条款</w:t>
      </w:r>
      <w:r>
        <w:rPr>
          <w:rFonts w:hint="eastAsia" w:ascii="宋体" w:hAnsi="宋体" w:eastAsia="宋体" w:cs="宋体"/>
          <w:color w:val="auto"/>
          <w:spacing w:val="-86"/>
          <w:sz w:val="24"/>
          <w:szCs w:val="24"/>
          <w:highlight w:val="none"/>
        </w:rPr>
        <w:t xml:space="preserve"> </w:t>
      </w:r>
      <w:r>
        <w:rPr>
          <w:rFonts w:hint="eastAsia" w:ascii="宋体" w:hAnsi="宋体" w:eastAsia="宋体" w:cs="宋体"/>
          <w:b/>
          <w:bCs/>
          <w:color w:val="auto"/>
          <w:spacing w:val="-3"/>
          <w:sz w:val="24"/>
          <w:szCs w:val="24"/>
          <w:highlight w:val="none"/>
        </w:rPr>
        <w:t>”有关规定调整</w:t>
      </w:r>
      <w:r>
        <w:rPr>
          <w:rFonts w:hint="eastAsia" w:ascii="宋体" w:hAnsi="宋体" w:eastAsia="宋体" w:cs="宋体"/>
          <w:b/>
          <w:bCs/>
          <w:color w:val="auto"/>
          <w:spacing w:val="-4"/>
          <w:sz w:val="24"/>
          <w:szCs w:val="24"/>
          <w:highlight w:val="none"/>
        </w:rPr>
        <w:t>合同价款。</w:t>
      </w:r>
    </w:p>
    <w:p w14:paraId="505FDF3C">
      <w:pPr>
        <w:spacing w:before="87" w:line="276" w:lineRule="auto"/>
        <w:ind w:left="487"/>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4.3  </w:t>
      </w:r>
      <w:r>
        <w:rPr>
          <w:rFonts w:hint="eastAsia" w:ascii="宋体" w:hAnsi="宋体" w:eastAsia="宋体" w:cs="宋体"/>
          <w:color w:val="auto"/>
          <w:sz w:val="24"/>
          <w:szCs w:val="24"/>
          <w:highlight w:val="none"/>
        </w:rPr>
        <w:t>本招标项目合同计价方式为：</w:t>
      </w:r>
      <w:r>
        <w:rPr>
          <w:rFonts w:hint="eastAsia" w:ascii="宋体" w:hAnsi="宋体" w:eastAsia="宋体" w:cs="宋体"/>
          <w:color w:val="auto"/>
          <w:sz w:val="24"/>
          <w:szCs w:val="24"/>
          <w:highlight w:val="none"/>
          <w:u w:val="single"/>
        </w:rPr>
        <w:t xml:space="preserve"> 单价 </w:t>
      </w:r>
      <w:r>
        <w:rPr>
          <w:rFonts w:hint="eastAsia" w:ascii="宋体" w:hAnsi="宋体" w:eastAsia="宋体" w:cs="宋体"/>
          <w:color w:val="auto"/>
          <w:spacing w:val="-1"/>
          <w:sz w:val="24"/>
          <w:szCs w:val="24"/>
          <w:highlight w:val="none"/>
        </w:rPr>
        <w:t>合同。</w:t>
      </w:r>
    </w:p>
    <w:p w14:paraId="5126E8F2">
      <w:pPr>
        <w:spacing w:before="120" w:line="298" w:lineRule="auto"/>
        <w:ind w:left="11" w:right="28" w:firstLine="476"/>
        <w:rPr>
          <w:rFonts w:hint="eastAsia" w:ascii="宋体" w:hAnsi="宋体" w:eastAsia="宋体" w:cs="宋体"/>
          <w:color w:val="auto"/>
          <w:sz w:val="24"/>
          <w:szCs w:val="24"/>
          <w:highlight w:val="none"/>
        </w:rPr>
      </w:pPr>
      <w:r>
        <w:rPr>
          <w:rFonts w:hint="eastAsia" w:ascii="宋体" w:hAnsi="宋体" w:eastAsia="宋体" w:cs="宋体"/>
          <w:b/>
          <w:bCs/>
          <w:color w:val="auto"/>
          <w:spacing w:val="-4"/>
          <w:sz w:val="24"/>
          <w:szCs w:val="24"/>
          <w:highlight w:val="none"/>
        </w:rPr>
        <w:t xml:space="preserve">4.4  </w:t>
      </w:r>
      <w:r>
        <w:rPr>
          <w:rFonts w:hint="eastAsia" w:ascii="宋体" w:hAnsi="宋体" w:eastAsia="宋体" w:cs="宋体"/>
          <w:color w:val="auto"/>
          <w:spacing w:val="-4"/>
          <w:sz w:val="24"/>
          <w:szCs w:val="24"/>
          <w:highlight w:val="none"/>
        </w:rPr>
        <w:t>合同的标的、质量、履行期限条款和合同的价款、单</w:t>
      </w:r>
      <w:r>
        <w:rPr>
          <w:rFonts w:hint="eastAsia" w:ascii="宋体" w:hAnsi="宋体" w:eastAsia="宋体" w:cs="宋体"/>
          <w:color w:val="auto"/>
          <w:spacing w:val="-5"/>
          <w:sz w:val="24"/>
          <w:szCs w:val="24"/>
          <w:highlight w:val="none"/>
        </w:rPr>
        <w:t>价、比例条款等主要条款，</w:t>
      </w:r>
      <w:r>
        <w:rPr>
          <w:rFonts w:hint="eastAsia" w:ascii="宋体" w:hAnsi="宋体" w:eastAsia="宋体" w:cs="宋体"/>
          <w:color w:val="auto"/>
          <w:spacing w:val="-2"/>
          <w:sz w:val="24"/>
          <w:szCs w:val="24"/>
          <w:highlight w:val="none"/>
        </w:rPr>
        <w:t>应当与招标文件、中标人的投标文件的内容一致。中标人在签订合同时不得向招标人提出附加条件。</w:t>
      </w:r>
    </w:p>
    <w:p w14:paraId="1A98BEF7">
      <w:pPr>
        <w:spacing w:before="158" w:line="298" w:lineRule="auto"/>
        <w:ind w:left="12" w:right="91" w:firstLine="474"/>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4.5  </w:t>
      </w:r>
      <w:r>
        <w:rPr>
          <w:rFonts w:hint="eastAsia" w:ascii="宋体" w:hAnsi="宋体" w:eastAsia="宋体" w:cs="宋体"/>
          <w:color w:val="auto"/>
          <w:spacing w:val="-3"/>
          <w:sz w:val="24"/>
          <w:szCs w:val="24"/>
          <w:highlight w:val="none"/>
        </w:rPr>
        <w:t>若中标人在领取中标通知书之日起</w:t>
      </w:r>
      <w:r>
        <w:rPr>
          <w:rFonts w:hint="eastAsia" w:ascii="宋体" w:hAnsi="宋体" w:eastAsia="宋体" w:cs="宋体"/>
          <w:color w:val="auto"/>
          <w:spacing w:val="-50"/>
          <w:sz w:val="24"/>
          <w:szCs w:val="24"/>
          <w:highlight w:val="none"/>
        </w:rPr>
        <w:t xml:space="preserve"> </w:t>
      </w:r>
      <w:r>
        <w:rPr>
          <w:rFonts w:hint="eastAsia" w:ascii="宋体" w:hAnsi="宋体" w:eastAsia="宋体" w:cs="宋体"/>
          <w:color w:val="auto"/>
          <w:spacing w:val="-4"/>
          <w:sz w:val="24"/>
          <w:szCs w:val="24"/>
          <w:highlight w:val="none"/>
        </w:rPr>
        <w:t>30天内仍未签订合同，招标人发出第一次提</w:t>
      </w:r>
      <w:r>
        <w:rPr>
          <w:rFonts w:hint="eastAsia" w:ascii="宋体" w:hAnsi="宋体" w:eastAsia="宋体" w:cs="宋体"/>
          <w:color w:val="auto"/>
          <w:spacing w:val="1"/>
          <w:sz w:val="24"/>
          <w:szCs w:val="24"/>
          <w:highlight w:val="none"/>
        </w:rPr>
        <w:t>醒函；在领取中标通知书之日起</w:t>
      </w:r>
      <w:r>
        <w:rPr>
          <w:rFonts w:hint="eastAsia" w:ascii="宋体" w:hAnsi="宋体" w:eastAsia="宋体" w:cs="宋体"/>
          <w:color w:val="auto"/>
          <w:spacing w:val="-53"/>
          <w:sz w:val="24"/>
          <w:szCs w:val="24"/>
          <w:highlight w:val="none"/>
        </w:rPr>
        <w:t xml:space="preserve"> </w:t>
      </w:r>
      <w:r>
        <w:rPr>
          <w:rFonts w:hint="eastAsia" w:ascii="宋体" w:hAnsi="宋体" w:eastAsia="宋体" w:cs="宋体"/>
          <w:color w:val="auto"/>
          <w:spacing w:val="1"/>
          <w:sz w:val="24"/>
          <w:szCs w:val="24"/>
          <w:highlight w:val="none"/>
        </w:rPr>
        <w:t>40天内仍未签订，招标人发出第二次提醒函；在</w:t>
      </w:r>
      <w:r>
        <w:rPr>
          <w:rFonts w:hint="eastAsia" w:ascii="宋体" w:hAnsi="宋体" w:eastAsia="宋体" w:cs="宋体"/>
          <w:color w:val="auto"/>
          <w:sz w:val="24"/>
          <w:szCs w:val="24"/>
          <w:highlight w:val="none"/>
        </w:rPr>
        <w:t>领取</w:t>
      </w:r>
      <w:r>
        <w:rPr>
          <w:rFonts w:hint="eastAsia" w:ascii="宋体" w:hAnsi="宋体" w:eastAsia="宋体" w:cs="宋体"/>
          <w:color w:val="auto"/>
          <w:spacing w:val="-1"/>
          <w:sz w:val="24"/>
          <w:szCs w:val="24"/>
          <w:highlight w:val="none"/>
        </w:rPr>
        <w:t>中标通知书之日起</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1"/>
          <w:sz w:val="24"/>
          <w:szCs w:val="24"/>
          <w:highlight w:val="none"/>
        </w:rPr>
        <w:t>45天内仍未签订，视其放弃中标。</w:t>
      </w:r>
    </w:p>
    <w:p w14:paraId="2096A616">
      <w:pPr>
        <w:spacing w:before="155" w:line="299" w:lineRule="auto"/>
        <w:ind w:left="12" w:right="82" w:firstLine="474"/>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4.6  </w:t>
      </w:r>
      <w:r>
        <w:rPr>
          <w:rFonts w:hint="eastAsia" w:ascii="宋体" w:hAnsi="宋体" w:eastAsia="宋体" w:cs="宋体"/>
          <w:color w:val="auto"/>
          <w:sz w:val="24"/>
          <w:szCs w:val="24"/>
          <w:highlight w:val="none"/>
        </w:rPr>
        <w:t>在书面合同订立之日起</w:t>
      </w:r>
      <w:r>
        <w:rPr>
          <w:rFonts w:hint="eastAsia" w:ascii="宋体" w:hAnsi="宋体" w:eastAsia="宋体" w:cs="宋体"/>
          <w:color w:val="auto"/>
          <w:spacing w:val="-55"/>
          <w:sz w:val="24"/>
          <w:szCs w:val="24"/>
          <w:highlight w:val="none"/>
        </w:rPr>
        <w:t xml:space="preserve"> </w:t>
      </w:r>
      <w:r>
        <w:rPr>
          <w:rFonts w:hint="eastAsia" w:ascii="宋体" w:hAnsi="宋体" w:eastAsia="宋体" w:cs="宋体"/>
          <w:color w:val="auto"/>
          <w:sz w:val="24"/>
          <w:szCs w:val="24"/>
          <w:highlight w:val="none"/>
        </w:rPr>
        <w:t>2 个工作日内，由中标人或招标代理机构将合同上传至</w:t>
      </w:r>
      <w:r>
        <w:rPr>
          <w:rFonts w:hint="eastAsia" w:ascii="宋体" w:hAnsi="宋体" w:eastAsia="宋体" w:cs="宋体"/>
          <w:color w:val="auto"/>
          <w:spacing w:val="-2"/>
          <w:sz w:val="24"/>
          <w:szCs w:val="24"/>
          <w:highlight w:val="none"/>
        </w:rPr>
        <w:t>建设工程交易系统，并发起退还投标保证的申请。韶关市公共资源交易中心在收到申请之日起</w:t>
      </w:r>
      <w:r>
        <w:rPr>
          <w:rFonts w:hint="eastAsia" w:ascii="宋体" w:hAnsi="宋体" w:eastAsia="宋体" w:cs="宋体"/>
          <w:color w:val="auto"/>
          <w:spacing w:val="-34"/>
          <w:sz w:val="24"/>
          <w:szCs w:val="24"/>
          <w:highlight w:val="none"/>
        </w:rPr>
        <w:t xml:space="preserve"> </w:t>
      </w:r>
      <w:r>
        <w:rPr>
          <w:rFonts w:hint="eastAsia" w:ascii="宋体" w:hAnsi="宋体" w:eastAsia="宋体" w:cs="宋体"/>
          <w:color w:val="auto"/>
          <w:spacing w:val="-2"/>
          <w:sz w:val="24"/>
          <w:szCs w:val="24"/>
          <w:highlight w:val="none"/>
        </w:rPr>
        <w:t>3 个工作日内，将投标保证金（或银行保函）退还给中标人和其他中标候选人。</w:t>
      </w:r>
    </w:p>
    <w:p w14:paraId="736E5DE8">
      <w:pPr>
        <w:spacing w:before="78" w:line="220" w:lineRule="auto"/>
        <w:ind w:left="489"/>
        <w:outlineLvl w:val="2"/>
        <w:rPr>
          <w:rFonts w:hint="eastAsia" w:ascii="宋体" w:hAnsi="宋体" w:eastAsia="宋体" w:cs="宋体"/>
          <w:color w:val="auto"/>
          <w:sz w:val="24"/>
          <w:szCs w:val="24"/>
          <w:highlight w:val="none"/>
        </w:rPr>
      </w:pPr>
      <w:bookmarkStart w:id="161" w:name="_Toc4089"/>
      <w:r>
        <w:rPr>
          <w:rFonts w:hint="eastAsia" w:ascii="宋体" w:hAnsi="宋体" w:eastAsia="宋体" w:cs="宋体"/>
          <w:b/>
          <w:bCs/>
          <w:color w:val="auto"/>
          <w:spacing w:val="-6"/>
          <w:sz w:val="24"/>
          <w:szCs w:val="24"/>
          <w:highlight w:val="none"/>
        </w:rPr>
        <w:t>5</w:t>
      </w:r>
      <w:r>
        <w:rPr>
          <w:rFonts w:hint="eastAsia" w:ascii="宋体" w:hAnsi="宋体" w:eastAsia="宋体" w:cs="宋体"/>
          <w:b/>
          <w:bCs/>
          <w:color w:val="auto"/>
          <w:spacing w:val="-29"/>
          <w:sz w:val="24"/>
          <w:szCs w:val="24"/>
          <w:highlight w:val="none"/>
        </w:rPr>
        <w:t xml:space="preserve"> </w:t>
      </w:r>
      <w:r>
        <w:rPr>
          <w:rFonts w:hint="eastAsia" w:ascii="宋体" w:hAnsi="宋体" w:eastAsia="宋体" w:cs="宋体"/>
          <w:b/>
          <w:bCs/>
          <w:color w:val="auto"/>
          <w:spacing w:val="-6"/>
          <w:sz w:val="24"/>
          <w:szCs w:val="24"/>
          <w:highlight w:val="none"/>
        </w:rPr>
        <w:t>．放弃中标的处理</w:t>
      </w:r>
      <w:bookmarkEnd w:id="161"/>
    </w:p>
    <w:p w14:paraId="148812D5">
      <w:pPr>
        <w:spacing w:before="150" w:line="319" w:lineRule="auto"/>
        <w:ind w:left="12" w:right="91" w:firstLine="477"/>
        <w:rPr>
          <w:rFonts w:hint="eastAsia" w:ascii="宋体" w:hAnsi="宋体" w:eastAsia="宋体" w:cs="宋体"/>
          <w:color w:val="auto"/>
          <w:highlight w:val="none"/>
        </w:rPr>
      </w:pPr>
      <w:r>
        <w:rPr>
          <w:rFonts w:hint="eastAsia" w:ascii="宋体" w:hAnsi="宋体" w:eastAsia="宋体" w:cs="宋体"/>
          <w:b/>
          <w:bCs/>
          <w:color w:val="auto"/>
          <w:spacing w:val="-1"/>
          <w:sz w:val="24"/>
          <w:szCs w:val="24"/>
          <w:highlight w:val="none"/>
        </w:rPr>
        <w:t>5.1</w:t>
      </w:r>
      <w:r>
        <w:rPr>
          <w:rFonts w:hint="eastAsia" w:ascii="宋体" w:hAnsi="宋体" w:eastAsia="宋体" w:cs="宋体"/>
          <w:b/>
          <w:bCs/>
          <w:color w:val="auto"/>
          <w:spacing w:val="19"/>
          <w:w w:val="101"/>
          <w:sz w:val="24"/>
          <w:szCs w:val="24"/>
          <w:highlight w:val="none"/>
        </w:rPr>
        <w:t xml:space="preserve">  </w:t>
      </w:r>
      <w:r>
        <w:rPr>
          <w:rFonts w:hint="eastAsia" w:ascii="宋体" w:hAnsi="宋体" w:eastAsia="宋体" w:cs="宋体"/>
          <w:color w:val="auto"/>
          <w:spacing w:val="-1"/>
          <w:sz w:val="24"/>
          <w:szCs w:val="24"/>
          <w:highlight w:val="none"/>
        </w:rPr>
        <w:t>中标人无正当理由放弃中标的，取消其中标资格，其投标保证不予退还，给招</w:t>
      </w:r>
      <w:r>
        <w:rPr>
          <w:rFonts w:hint="eastAsia" w:ascii="宋体" w:hAnsi="宋体" w:eastAsia="宋体" w:cs="宋体"/>
          <w:color w:val="auto"/>
          <w:spacing w:val="-2"/>
          <w:sz w:val="24"/>
          <w:szCs w:val="24"/>
          <w:highlight w:val="none"/>
        </w:rPr>
        <w:t>标人造成的损失超过投标保证金额的，弃标人还应当对超过部分予以赔偿。招标人可按照评标委员会提交的中标候选人名单排序依次确定其他中标候选人为中标人，如果招标人认为其他中标候选人的条件明显不利于招标人的，也可以重新招标。因此种情况造成招标人重新招标的，招标人可不接受该弃标人再次投标。同时，</w:t>
      </w:r>
      <w:r>
        <w:rPr>
          <w:rFonts w:hint="eastAsia" w:ascii="宋体" w:hAnsi="宋体" w:eastAsia="宋体" w:cs="宋体"/>
          <w:b/>
          <w:bCs/>
          <w:color w:val="auto"/>
          <w:spacing w:val="-2"/>
          <w:sz w:val="24"/>
          <w:szCs w:val="24"/>
          <w:highlight w:val="none"/>
        </w:rPr>
        <w:t>招</w:t>
      </w:r>
      <w:r>
        <w:rPr>
          <w:rFonts w:hint="eastAsia" w:ascii="宋体" w:hAnsi="宋体" w:eastAsia="宋体" w:cs="宋体"/>
          <w:b/>
          <w:bCs/>
          <w:color w:val="auto"/>
          <w:spacing w:val="-3"/>
          <w:sz w:val="24"/>
          <w:szCs w:val="24"/>
          <w:highlight w:val="none"/>
        </w:rPr>
        <w:t>标人应将该弃标人的失信行为向行政监督部门报告。</w:t>
      </w:r>
    </w:p>
    <w:p w14:paraId="7BD56114">
      <w:pPr>
        <w:spacing w:before="79" w:line="298" w:lineRule="auto"/>
        <w:ind w:left="10" w:right="91" w:firstLine="479"/>
        <w:rPr>
          <w:rFonts w:hint="eastAsia" w:ascii="宋体" w:hAnsi="宋体" w:eastAsia="宋体" w:cs="宋体"/>
          <w:color w:val="auto"/>
          <w:sz w:val="24"/>
          <w:szCs w:val="24"/>
          <w:highlight w:val="none"/>
        </w:rPr>
      </w:pPr>
      <w:r>
        <w:rPr>
          <w:rFonts w:hint="eastAsia" w:ascii="宋体" w:hAnsi="宋体" w:eastAsia="宋体" w:cs="宋体"/>
          <w:b/>
          <w:bCs/>
          <w:color w:val="auto"/>
          <w:spacing w:val="-5"/>
          <w:sz w:val="24"/>
          <w:szCs w:val="24"/>
          <w:highlight w:val="none"/>
        </w:rPr>
        <w:t>5.2</w:t>
      </w:r>
      <w:r>
        <w:rPr>
          <w:rFonts w:hint="eastAsia" w:ascii="宋体" w:hAnsi="宋体" w:eastAsia="宋体" w:cs="宋体"/>
          <w:b/>
          <w:bCs/>
          <w:color w:val="auto"/>
          <w:spacing w:val="16"/>
          <w:sz w:val="24"/>
          <w:szCs w:val="24"/>
          <w:highlight w:val="none"/>
        </w:rPr>
        <w:t xml:space="preserve">  </w:t>
      </w:r>
      <w:r>
        <w:rPr>
          <w:rFonts w:hint="eastAsia" w:ascii="宋体" w:hAnsi="宋体" w:eastAsia="宋体" w:cs="宋体"/>
          <w:color w:val="auto"/>
          <w:spacing w:val="-5"/>
          <w:sz w:val="24"/>
          <w:szCs w:val="24"/>
          <w:highlight w:val="none"/>
        </w:rPr>
        <w:t>中标人因不可抗力提出不能履行合同的，须在领取中标通知书之日起</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pacing w:val="-5"/>
          <w:sz w:val="24"/>
          <w:szCs w:val="24"/>
          <w:highlight w:val="none"/>
        </w:rPr>
        <w:t>10天</w:t>
      </w:r>
      <w:r>
        <w:rPr>
          <w:rFonts w:hint="eastAsia" w:ascii="宋体" w:hAnsi="宋体" w:eastAsia="宋体" w:cs="宋体"/>
          <w:color w:val="auto"/>
          <w:spacing w:val="-6"/>
          <w:sz w:val="24"/>
          <w:szCs w:val="24"/>
          <w:highlight w:val="none"/>
        </w:rPr>
        <w:t>内提</w:t>
      </w:r>
      <w:r>
        <w:rPr>
          <w:rFonts w:hint="eastAsia" w:ascii="宋体" w:hAnsi="宋体" w:eastAsia="宋体" w:cs="宋体"/>
          <w:color w:val="auto"/>
          <w:spacing w:val="-2"/>
          <w:sz w:val="24"/>
          <w:szCs w:val="24"/>
          <w:highlight w:val="none"/>
        </w:rPr>
        <w:t>供有关证明文件或资料，其投标保证予以退还，招标人可按照评标委员会提出的中标候选人名单排序依次确定其他中标候选人为中标人。如果招标人认为其他中标候选人的条</w:t>
      </w:r>
      <w:bookmarkStart w:id="162" w:name="bookmark84"/>
      <w:bookmarkEnd w:id="162"/>
      <w:r>
        <w:rPr>
          <w:rFonts w:hint="eastAsia" w:ascii="宋体" w:hAnsi="宋体" w:eastAsia="宋体" w:cs="宋体"/>
          <w:color w:val="auto"/>
          <w:spacing w:val="-2"/>
          <w:sz w:val="24"/>
          <w:szCs w:val="24"/>
          <w:highlight w:val="none"/>
        </w:rPr>
        <w:t>件明显不利于招标人的，也可以重新招标</w:t>
      </w:r>
      <w:r>
        <w:rPr>
          <w:rFonts w:hint="eastAsia" w:ascii="宋体" w:hAnsi="宋体" w:eastAsia="宋体" w:cs="宋体"/>
          <w:color w:val="auto"/>
          <w:spacing w:val="-1"/>
          <w:sz w:val="24"/>
          <w:szCs w:val="24"/>
          <w:highlight w:val="none"/>
        </w:rPr>
        <w:t>。</w:t>
      </w:r>
    </w:p>
    <w:p w14:paraId="40983202">
      <w:pPr>
        <w:pStyle w:val="13"/>
        <w:rPr>
          <w:rFonts w:hint="eastAsia" w:ascii="宋体" w:hAnsi="宋体" w:eastAsia="宋体" w:cs="宋体"/>
          <w:color w:val="auto"/>
          <w:highlight w:val="none"/>
        </w:rPr>
        <w:sectPr>
          <w:footerReference r:id="rId10"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10B3EAE0">
      <w:pPr>
        <w:spacing w:before="78" w:line="219" w:lineRule="auto"/>
        <w:ind w:left="2923"/>
        <w:outlineLvl w:val="0"/>
        <w:rPr>
          <w:rFonts w:hint="eastAsia" w:ascii="宋体" w:hAnsi="宋体" w:eastAsia="宋体" w:cs="宋体"/>
          <w:color w:val="auto"/>
          <w:sz w:val="24"/>
          <w:szCs w:val="24"/>
          <w:highlight w:val="none"/>
        </w:rPr>
      </w:pPr>
      <w:bookmarkStart w:id="163" w:name="bookmark86"/>
      <w:bookmarkEnd w:id="163"/>
      <w:bookmarkStart w:id="164" w:name="_Toc7715"/>
      <w:r>
        <w:rPr>
          <w:rFonts w:hint="eastAsia" w:ascii="宋体" w:hAnsi="宋体" w:eastAsia="宋体" w:cs="宋体"/>
          <w:b/>
          <w:bCs/>
          <w:color w:val="auto"/>
          <w:spacing w:val="-3"/>
          <w:sz w:val="24"/>
          <w:szCs w:val="24"/>
          <w:highlight w:val="none"/>
        </w:rPr>
        <w:t>第三章</w:t>
      </w:r>
      <w:r>
        <w:rPr>
          <w:rFonts w:hint="eastAsia" w:ascii="宋体" w:hAnsi="宋体" w:eastAsia="宋体" w:cs="宋体"/>
          <w:color w:val="auto"/>
          <w:spacing w:val="-3"/>
          <w:sz w:val="24"/>
          <w:szCs w:val="24"/>
          <w:highlight w:val="none"/>
        </w:rPr>
        <w:t xml:space="preserve"> </w:t>
      </w:r>
      <w:r>
        <w:rPr>
          <w:rFonts w:hint="eastAsia" w:ascii="宋体" w:hAnsi="宋体" w:eastAsia="宋体" w:cs="宋体"/>
          <w:b/>
          <w:bCs/>
          <w:color w:val="auto"/>
          <w:spacing w:val="-3"/>
          <w:sz w:val="24"/>
          <w:szCs w:val="24"/>
          <w:highlight w:val="none"/>
        </w:rPr>
        <w:t>拟签订合同的主要条款</w:t>
      </w:r>
      <w:bookmarkEnd w:id="164"/>
    </w:p>
    <w:p w14:paraId="5C534CD3">
      <w:pPr>
        <w:pStyle w:val="5"/>
        <w:spacing w:line="257" w:lineRule="auto"/>
        <w:rPr>
          <w:rFonts w:hint="eastAsia" w:ascii="宋体" w:hAnsi="宋体" w:eastAsia="宋体" w:cs="宋体"/>
          <w:color w:val="auto"/>
          <w:highlight w:val="none"/>
        </w:rPr>
      </w:pPr>
    </w:p>
    <w:p w14:paraId="69498346">
      <w:pPr>
        <w:pStyle w:val="5"/>
        <w:spacing w:line="257" w:lineRule="auto"/>
        <w:rPr>
          <w:rFonts w:hint="eastAsia" w:ascii="宋体" w:hAnsi="宋体" w:eastAsia="宋体" w:cs="宋体"/>
          <w:color w:val="auto"/>
          <w:highlight w:val="none"/>
        </w:rPr>
      </w:pPr>
    </w:p>
    <w:p w14:paraId="50F7B5FC">
      <w:pPr>
        <w:spacing w:before="78" w:line="220" w:lineRule="auto"/>
        <w:ind w:left="498"/>
        <w:outlineLvl w:val="2"/>
        <w:rPr>
          <w:rFonts w:hint="eastAsia" w:ascii="宋体" w:hAnsi="宋体" w:eastAsia="宋体" w:cs="宋体"/>
          <w:color w:val="auto"/>
          <w:sz w:val="24"/>
          <w:szCs w:val="24"/>
          <w:highlight w:val="none"/>
        </w:rPr>
      </w:pPr>
      <w:bookmarkStart w:id="165" w:name="_Toc6603"/>
      <w:r>
        <w:rPr>
          <w:rFonts w:hint="eastAsia" w:ascii="宋体" w:hAnsi="宋体" w:eastAsia="宋体" w:cs="宋体"/>
          <w:b/>
          <w:bCs/>
          <w:color w:val="auto"/>
          <w:spacing w:val="-8"/>
          <w:sz w:val="24"/>
          <w:szCs w:val="24"/>
          <w:highlight w:val="none"/>
        </w:rPr>
        <w:t>1</w:t>
      </w:r>
      <w:r>
        <w:rPr>
          <w:rFonts w:hint="eastAsia" w:ascii="宋体" w:hAnsi="宋体" w:eastAsia="宋体" w:cs="宋体"/>
          <w:b/>
          <w:bCs/>
          <w:color w:val="auto"/>
          <w:spacing w:val="-26"/>
          <w:sz w:val="24"/>
          <w:szCs w:val="24"/>
          <w:highlight w:val="none"/>
        </w:rPr>
        <w:t xml:space="preserve"> </w:t>
      </w:r>
      <w:r>
        <w:rPr>
          <w:rFonts w:hint="eastAsia" w:ascii="宋体" w:hAnsi="宋体" w:eastAsia="宋体" w:cs="宋体"/>
          <w:b/>
          <w:bCs/>
          <w:color w:val="auto"/>
          <w:spacing w:val="-8"/>
          <w:sz w:val="24"/>
          <w:szCs w:val="24"/>
          <w:highlight w:val="none"/>
        </w:rPr>
        <w:t>．工程承包方式</w:t>
      </w:r>
      <w:bookmarkEnd w:id="165"/>
    </w:p>
    <w:p w14:paraId="15E51171">
      <w:pPr>
        <w:spacing w:before="153" w:line="299" w:lineRule="auto"/>
        <w:ind w:left="11" w:right="295" w:firstLine="487"/>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1.1  </w:t>
      </w:r>
      <w:r>
        <w:rPr>
          <w:rFonts w:hint="eastAsia" w:ascii="宋体" w:hAnsi="宋体" w:eastAsia="宋体" w:cs="宋体"/>
          <w:color w:val="auto"/>
          <w:sz w:val="24"/>
          <w:szCs w:val="24"/>
          <w:highlight w:val="none"/>
        </w:rPr>
        <w:t>承包人以中标价按包工包料、包质量、包安全包文明施工、包工期</w:t>
      </w:r>
      <w:r>
        <w:rPr>
          <w:rFonts w:hint="eastAsia" w:ascii="宋体" w:hAnsi="宋体" w:eastAsia="宋体" w:cs="宋体"/>
          <w:color w:val="auto"/>
          <w:spacing w:val="-1"/>
          <w:sz w:val="24"/>
          <w:szCs w:val="24"/>
          <w:highlight w:val="none"/>
        </w:rPr>
        <w:t>方式总承包</w:t>
      </w:r>
      <w:r>
        <w:rPr>
          <w:rFonts w:hint="eastAsia" w:ascii="宋体" w:hAnsi="宋体" w:eastAsia="宋体" w:cs="宋体"/>
          <w:color w:val="auto"/>
          <w:spacing w:val="-2"/>
          <w:sz w:val="24"/>
          <w:szCs w:val="24"/>
          <w:highlight w:val="none"/>
        </w:rPr>
        <w:t>施工，不允许转包和违法分包，如果确需分包须与发包人协商，在得到发包人和监理单</w:t>
      </w:r>
      <w:r>
        <w:rPr>
          <w:rFonts w:hint="eastAsia" w:ascii="宋体" w:hAnsi="宋体" w:eastAsia="宋体" w:cs="宋体"/>
          <w:color w:val="auto"/>
          <w:spacing w:val="-1"/>
          <w:sz w:val="24"/>
          <w:szCs w:val="24"/>
          <w:highlight w:val="none"/>
        </w:rPr>
        <w:t>位同意后报建设行政主管部门备案。</w:t>
      </w:r>
    </w:p>
    <w:p w14:paraId="2B524C76">
      <w:pPr>
        <w:spacing w:before="153" w:line="219" w:lineRule="auto"/>
        <w:ind w:left="580"/>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1.1.1  </w:t>
      </w:r>
      <w:r>
        <w:rPr>
          <w:rFonts w:hint="eastAsia" w:ascii="宋体" w:hAnsi="宋体" w:eastAsia="宋体" w:cs="宋体"/>
          <w:color w:val="auto"/>
          <w:spacing w:val="-1"/>
          <w:sz w:val="24"/>
          <w:szCs w:val="24"/>
          <w:highlight w:val="none"/>
        </w:rPr>
        <w:t>包工包料：材料符合招标文件要求并报验使用；办理用工保险。</w:t>
      </w:r>
    </w:p>
    <w:p w14:paraId="2C8F6059">
      <w:pPr>
        <w:spacing w:before="156" w:line="220" w:lineRule="auto"/>
        <w:ind w:left="580"/>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1.1.2  </w:t>
      </w:r>
      <w:r>
        <w:rPr>
          <w:rFonts w:hint="eastAsia" w:ascii="宋体" w:hAnsi="宋体" w:eastAsia="宋体" w:cs="宋体"/>
          <w:color w:val="auto"/>
          <w:spacing w:val="-1"/>
          <w:sz w:val="24"/>
          <w:szCs w:val="24"/>
          <w:highlight w:val="none"/>
        </w:rPr>
        <w:t>包质量：符合招标文件要求。</w:t>
      </w:r>
    </w:p>
    <w:p w14:paraId="0FB12A34">
      <w:pPr>
        <w:spacing w:before="153" w:line="220" w:lineRule="auto"/>
        <w:ind w:left="580"/>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1.1.3  </w:t>
      </w:r>
      <w:r>
        <w:rPr>
          <w:rFonts w:hint="eastAsia" w:ascii="宋体" w:hAnsi="宋体" w:eastAsia="宋体" w:cs="宋体"/>
          <w:color w:val="auto"/>
          <w:spacing w:val="-1"/>
          <w:sz w:val="24"/>
          <w:szCs w:val="24"/>
          <w:highlight w:val="none"/>
        </w:rPr>
        <w:t>包安全包文明施工：符合招标文件要求。</w:t>
      </w:r>
    </w:p>
    <w:p w14:paraId="3398DD31">
      <w:pPr>
        <w:spacing w:before="154" w:line="219" w:lineRule="auto"/>
        <w:ind w:left="580"/>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1.1.4  </w:t>
      </w:r>
      <w:r>
        <w:rPr>
          <w:rFonts w:hint="eastAsia" w:ascii="宋体" w:hAnsi="宋体" w:eastAsia="宋体" w:cs="宋体"/>
          <w:color w:val="auto"/>
          <w:spacing w:val="-1"/>
          <w:sz w:val="24"/>
          <w:szCs w:val="24"/>
          <w:highlight w:val="none"/>
        </w:rPr>
        <w:t>包工期：本招标项目施工必须在招标工期内完成。</w:t>
      </w:r>
    </w:p>
    <w:p w14:paraId="1E6FD563">
      <w:pPr>
        <w:pStyle w:val="5"/>
        <w:spacing w:line="257" w:lineRule="auto"/>
        <w:rPr>
          <w:rFonts w:hint="eastAsia" w:ascii="宋体" w:hAnsi="宋体" w:eastAsia="宋体" w:cs="宋体"/>
          <w:color w:val="auto"/>
          <w:highlight w:val="none"/>
        </w:rPr>
      </w:pPr>
    </w:p>
    <w:p w14:paraId="0E04F086">
      <w:pPr>
        <w:pStyle w:val="5"/>
        <w:spacing w:line="257" w:lineRule="auto"/>
        <w:rPr>
          <w:rFonts w:hint="eastAsia" w:ascii="宋体" w:hAnsi="宋体" w:eastAsia="宋体" w:cs="宋体"/>
          <w:color w:val="auto"/>
          <w:highlight w:val="none"/>
        </w:rPr>
      </w:pPr>
    </w:p>
    <w:p w14:paraId="53182D61">
      <w:pPr>
        <w:spacing w:before="78" w:line="220" w:lineRule="auto"/>
        <w:ind w:left="488"/>
        <w:outlineLvl w:val="2"/>
        <w:rPr>
          <w:rFonts w:hint="eastAsia" w:ascii="宋体" w:hAnsi="宋体" w:eastAsia="宋体" w:cs="宋体"/>
          <w:color w:val="auto"/>
          <w:sz w:val="24"/>
          <w:szCs w:val="24"/>
          <w:highlight w:val="none"/>
        </w:rPr>
      </w:pPr>
      <w:bookmarkStart w:id="166" w:name="bookmark88"/>
      <w:bookmarkEnd w:id="166"/>
      <w:bookmarkStart w:id="167" w:name="_Toc24910"/>
      <w:r>
        <w:rPr>
          <w:rFonts w:hint="eastAsia" w:ascii="宋体" w:hAnsi="宋体" w:eastAsia="宋体" w:cs="宋体"/>
          <w:b/>
          <w:bCs/>
          <w:color w:val="auto"/>
          <w:spacing w:val="-7"/>
          <w:sz w:val="24"/>
          <w:szCs w:val="24"/>
          <w:highlight w:val="none"/>
        </w:rPr>
        <w:t>2</w:t>
      </w:r>
      <w:r>
        <w:rPr>
          <w:rFonts w:hint="eastAsia" w:ascii="宋体" w:hAnsi="宋体" w:eastAsia="宋体" w:cs="宋体"/>
          <w:b/>
          <w:bCs/>
          <w:color w:val="auto"/>
          <w:spacing w:val="-24"/>
          <w:sz w:val="24"/>
          <w:szCs w:val="24"/>
          <w:highlight w:val="none"/>
        </w:rPr>
        <w:t xml:space="preserve"> </w:t>
      </w:r>
      <w:r>
        <w:rPr>
          <w:rFonts w:hint="eastAsia" w:ascii="宋体" w:hAnsi="宋体" w:eastAsia="宋体" w:cs="宋体"/>
          <w:b/>
          <w:bCs/>
          <w:color w:val="auto"/>
          <w:spacing w:val="-7"/>
          <w:sz w:val="24"/>
          <w:szCs w:val="24"/>
          <w:highlight w:val="none"/>
        </w:rPr>
        <w:t>．工程结算原则</w:t>
      </w:r>
      <w:bookmarkEnd w:id="167"/>
    </w:p>
    <w:p w14:paraId="684618CF">
      <w:pPr>
        <w:spacing w:before="153" w:line="219" w:lineRule="auto"/>
        <w:ind w:left="488"/>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2.1 </w:t>
      </w:r>
      <w:r>
        <w:rPr>
          <w:rFonts w:hint="eastAsia" w:ascii="宋体" w:hAnsi="宋体" w:eastAsia="宋体" w:cs="宋体"/>
          <w:color w:val="auto"/>
          <w:spacing w:val="-1"/>
          <w:sz w:val="24"/>
          <w:szCs w:val="24"/>
          <w:highlight w:val="none"/>
        </w:rPr>
        <w:t>承包人的投标总价为中标价，即为签约合同价。</w:t>
      </w:r>
    </w:p>
    <w:p w14:paraId="50873142">
      <w:pPr>
        <w:spacing w:before="155" w:line="319" w:lineRule="auto"/>
        <w:ind w:left="12" w:right="231" w:firstLine="47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2.2 </w:t>
      </w:r>
      <w:r>
        <w:rPr>
          <w:rFonts w:hint="eastAsia" w:ascii="宋体" w:hAnsi="宋体" w:eastAsia="宋体" w:cs="宋体"/>
          <w:color w:val="auto"/>
          <w:spacing w:val="2"/>
          <w:sz w:val="24"/>
          <w:szCs w:val="24"/>
          <w:highlight w:val="none"/>
        </w:rPr>
        <w:t>招标工程量清单标明的工程量是投标人投标报价的</w:t>
      </w:r>
      <w:r>
        <w:rPr>
          <w:rFonts w:hint="eastAsia" w:ascii="宋体" w:hAnsi="宋体" w:eastAsia="宋体" w:cs="宋体"/>
          <w:color w:val="auto"/>
          <w:spacing w:val="1"/>
          <w:sz w:val="24"/>
          <w:szCs w:val="24"/>
          <w:highlight w:val="none"/>
        </w:rPr>
        <w:t>共同基础，竣工结算的工程</w:t>
      </w:r>
      <w:r>
        <w:rPr>
          <w:rFonts w:hint="eastAsia" w:ascii="宋体" w:hAnsi="宋体" w:eastAsia="宋体" w:cs="宋体"/>
          <w:color w:val="auto"/>
          <w:spacing w:val="-5"/>
          <w:sz w:val="24"/>
          <w:szCs w:val="24"/>
          <w:highlight w:val="none"/>
        </w:rPr>
        <w:t>量按</w:t>
      </w:r>
      <w:bookmarkStart w:id="168" w:name="OLE_LINK28"/>
      <w:r>
        <w:rPr>
          <w:rFonts w:hint="eastAsia" w:ascii="宋体" w:hAnsi="宋体" w:eastAsia="宋体" w:cs="宋体"/>
          <w:color w:val="auto"/>
          <w:spacing w:val="-5"/>
          <w:sz w:val="24"/>
          <w:szCs w:val="24"/>
          <w:highlight w:val="none"/>
        </w:rPr>
        <w:t>《建设工程工程量清单计价</w:t>
      </w:r>
      <w:r>
        <w:rPr>
          <w:rFonts w:hint="eastAsia" w:ascii="宋体" w:hAnsi="宋体" w:eastAsia="宋体" w:cs="宋体"/>
          <w:color w:val="auto"/>
          <w:spacing w:val="-5"/>
          <w:sz w:val="24"/>
          <w:szCs w:val="24"/>
          <w:highlight w:val="none"/>
          <w:lang w:val="en-US" w:eastAsia="zh-CN"/>
        </w:rPr>
        <w:t>标准</w:t>
      </w:r>
      <w:r>
        <w:rPr>
          <w:rFonts w:hint="eastAsia" w:ascii="宋体" w:hAnsi="宋体" w:eastAsia="宋体" w:cs="宋体"/>
          <w:color w:val="auto"/>
          <w:spacing w:val="-5"/>
          <w:sz w:val="24"/>
          <w:szCs w:val="24"/>
          <w:highlight w:val="none"/>
        </w:rPr>
        <w:t>》（GB50500—</w:t>
      </w:r>
      <w:r>
        <w:rPr>
          <w:rFonts w:hint="eastAsia" w:ascii="宋体" w:hAnsi="宋体" w:eastAsia="宋体" w:cs="宋体"/>
          <w:color w:val="auto"/>
          <w:spacing w:val="-5"/>
          <w:sz w:val="24"/>
          <w:szCs w:val="24"/>
          <w:highlight w:val="none"/>
          <w:lang w:val="en-US" w:eastAsia="zh-CN"/>
        </w:rPr>
        <w:t>2024</w:t>
      </w:r>
      <w:r>
        <w:rPr>
          <w:rFonts w:hint="eastAsia" w:ascii="宋体" w:hAnsi="宋体" w:eastAsia="宋体" w:cs="宋体"/>
          <w:color w:val="auto"/>
          <w:spacing w:val="-5"/>
          <w:sz w:val="24"/>
          <w:szCs w:val="24"/>
          <w:highlight w:val="none"/>
        </w:rPr>
        <w:t>）对工程计量的规定进行计量，</w:t>
      </w:r>
      <w:r>
        <w:rPr>
          <w:rFonts w:hint="eastAsia" w:ascii="宋体" w:hAnsi="宋体" w:eastAsia="宋体" w:cs="宋体"/>
          <w:color w:val="auto"/>
          <w:spacing w:val="-2"/>
          <w:sz w:val="24"/>
          <w:szCs w:val="24"/>
          <w:highlight w:val="none"/>
        </w:rPr>
        <w:t>必须以承包人完成合同工程应予计量的工程量确定。施</w:t>
      </w:r>
      <w:bookmarkEnd w:id="168"/>
      <w:r>
        <w:rPr>
          <w:rFonts w:hint="eastAsia" w:ascii="宋体" w:hAnsi="宋体" w:eastAsia="宋体" w:cs="宋体"/>
          <w:color w:val="auto"/>
          <w:spacing w:val="-2"/>
          <w:sz w:val="24"/>
          <w:szCs w:val="24"/>
          <w:highlight w:val="none"/>
        </w:rPr>
        <w:t>工中进行工程计量，当发现招标工程量清单中出现缺项、工程量偏差、或因工程变更引起工程量增减时，应按承包人在履行合同义务中完成的工程量计算。因承包人原因造成的超出合同工程范围施工或返工</w:t>
      </w:r>
      <w:r>
        <w:rPr>
          <w:rFonts w:hint="eastAsia" w:ascii="宋体" w:hAnsi="宋体" w:eastAsia="宋体" w:cs="宋体"/>
          <w:color w:val="auto"/>
          <w:spacing w:val="-1"/>
          <w:sz w:val="24"/>
          <w:szCs w:val="24"/>
          <w:highlight w:val="none"/>
        </w:rPr>
        <w:t>的工程量，发包人不予计量。</w:t>
      </w:r>
    </w:p>
    <w:p w14:paraId="52C2BD5C">
      <w:pPr>
        <w:spacing w:before="38" w:line="299" w:lineRule="auto"/>
        <w:ind w:left="12" w:right="183" w:firstLine="475"/>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2.3  </w:t>
      </w:r>
      <w:r>
        <w:rPr>
          <w:rFonts w:hint="eastAsia" w:ascii="宋体" w:hAnsi="宋体" w:eastAsia="宋体" w:cs="宋体"/>
          <w:color w:val="auto"/>
          <w:sz w:val="24"/>
          <w:szCs w:val="24"/>
          <w:highlight w:val="none"/>
        </w:rPr>
        <w:t>施工合同履行期间，若出现下列情形的，发、承包双方应当按照以下规定调整</w:t>
      </w:r>
      <w:r>
        <w:rPr>
          <w:rFonts w:hint="eastAsia" w:ascii="宋体" w:hAnsi="宋体" w:eastAsia="宋体" w:cs="宋体"/>
          <w:color w:val="auto"/>
          <w:spacing w:val="-3"/>
          <w:sz w:val="24"/>
          <w:szCs w:val="24"/>
          <w:highlight w:val="none"/>
        </w:rPr>
        <w:t>合同价款：</w:t>
      </w:r>
    </w:p>
    <w:p w14:paraId="123F83B6">
      <w:pPr>
        <w:spacing w:before="227" w:line="220" w:lineRule="auto"/>
        <w:ind w:left="487"/>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2.3.1  </w:t>
      </w:r>
      <w:r>
        <w:rPr>
          <w:rFonts w:hint="eastAsia" w:ascii="宋体" w:hAnsi="宋体" w:eastAsia="宋体" w:cs="宋体"/>
          <w:color w:val="auto"/>
          <w:spacing w:val="-1"/>
          <w:sz w:val="24"/>
          <w:szCs w:val="24"/>
          <w:highlight w:val="none"/>
        </w:rPr>
        <w:t>法律法规变化</w:t>
      </w:r>
    </w:p>
    <w:p w14:paraId="4F8CA025">
      <w:pPr>
        <w:spacing w:before="156" w:line="298" w:lineRule="auto"/>
        <w:ind w:left="10" w:right="183" w:firstLine="477"/>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"2.3.1.1"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3"/>
          <w:sz w:val="24"/>
          <w:szCs w:val="24"/>
          <w:highlight w:val="none"/>
        </w:rPr>
        <w:t>2.3.1.1</w:t>
      </w:r>
      <w:r>
        <w:rPr>
          <w:rFonts w:hint="eastAsia" w:ascii="宋体" w:hAnsi="宋体" w:eastAsia="宋体" w:cs="宋体"/>
          <w:b/>
          <w:bCs/>
          <w:color w:val="auto"/>
          <w:spacing w:val="-3"/>
          <w:sz w:val="24"/>
          <w:szCs w:val="24"/>
          <w:highlight w:val="none"/>
        </w:rPr>
        <w:fldChar w:fldCharType="end"/>
      </w:r>
      <w:r>
        <w:rPr>
          <w:rFonts w:hint="eastAsia" w:ascii="宋体" w:hAnsi="宋体" w:eastAsia="宋体" w:cs="宋体"/>
          <w:b/>
          <w:bCs/>
          <w:color w:val="auto"/>
          <w:spacing w:val="-3"/>
          <w:sz w:val="24"/>
          <w:szCs w:val="24"/>
          <w:highlight w:val="none"/>
        </w:rPr>
        <w:t xml:space="preserve">  </w:t>
      </w:r>
      <w:r>
        <w:rPr>
          <w:rFonts w:hint="eastAsia" w:ascii="宋体" w:hAnsi="宋体" w:eastAsia="宋体" w:cs="宋体"/>
          <w:color w:val="auto"/>
          <w:spacing w:val="-3"/>
          <w:sz w:val="24"/>
          <w:szCs w:val="24"/>
          <w:highlight w:val="none"/>
        </w:rPr>
        <w:t>基准日之后，因国家法律、法规、规章和政策发生变化引起工程造价增减变</w:t>
      </w:r>
      <w:r>
        <w:rPr>
          <w:rFonts w:hint="eastAsia" w:ascii="宋体" w:hAnsi="宋体" w:eastAsia="宋体" w:cs="宋体"/>
          <w:color w:val="auto"/>
          <w:spacing w:val="-2"/>
          <w:sz w:val="24"/>
          <w:szCs w:val="24"/>
          <w:highlight w:val="none"/>
        </w:rPr>
        <w:t>化时，发、承包双方应按照省级建设主管部门（或省级行业主管部门）或其授权的工程</w:t>
      </w:r>
      <w:r>
        <w:rPr>
          <w:rFonts w:hint="eastAsia" w:ascii="宋体" w:hAnsi="宋体" w:eastAsia="宋体" w:cs="宋体"/>
          <w:color w:val="auto"/>
          <w:spacing w:val="-1"/>
          <w:sz w:val="24"/>
          <w:szCs w:val="24"/>
          <w:highlight w:val="none"/>
        </w:rPr>
        <w:t>造价管理机构据此发布的最新规定调整合同价款。</w:t>
      </w:r>
    </w:p>
    <w:p w14:paraId="1DD96964">
      <w:pPr>
        <w:spacing w:before="157" w:line="325" w:lineRule="auto"/>
        <w:ind w:left="12" w:right="183" w:firstLine="479"/>
        <w:rPr>
          <w:rFonts w:hint="eastAsia" w:ascii="宋体" w:hAnsi="宋体" w:eastAsia="宋体" w:cs="宋体"/>
          <w:color w:val="auto"/>
          <w:sz w:val="24"/>
          <w:szCs w:val="24"/>
          <w:highlight w:val="none"/>
        </w:rPr>
      </w:pPr>
      <w:r>
        <w:rPr>
          <w:rFonts w:hint="eastAsia" w:ascii="宋体" w:hAnsi="宋体" w:eastAsia="宋体" w:cs="宋体"/>
          <w:b/>
          <w:bCs/>
          <w:color w:val="auto"/>
          <w:spacing w:val="-11"/>
          <w:sz w:val="24"/>
          <w:szCs w:val="24"/>
          <w:highlight w:val="none"/>
        </w:rPr>
        <w:t>注：本招标文件所称“基准日</w:t>
      </w:r>
      <w:r>
        <w:rPr>
          <w:rFonts w:hint="eastAsia" w:ascii="宋体" w:hAnsi="宋体" w:eastAsia="宋体" w:cs="宋体"/>
          <w:color w:val="auto"/>
          <w:spacing w:val="-88"/>
          <w:sz w:val="24"/>
          <w:szCs w:val="24"/>
          <w:highlight w:val="none"/>
        </w:rPr>
        <w:t xml:space="preserve"> </w:t>
      </w:r>
      <w:r>
        <w:rPr>
          <w:rFonts w:hint="eastAsia" w:ascii="宋体" w:hAnsi="宋体" w:eastAsia="宋体" w:cs="宋体"/>
          <w:b/>
          <w:bCs/>
          <w:color w:val="auto"/>
          <w:spacing w:val="-11"/>
          <w:sz w:val="24"/>
          <w:szCs w:val="24"/>
          <w:highlight w:val="none"/>
        </w:rPr>
        <w:t>”，均指投标文</w:t>
      </w:r>
      <w:r>
        <w:rPr>
          <w:rFonts w:hint="eastAsia" w:ascii="宋体" w:hAnsi="宋体" w:eastAsia="宋体" w:cs="宋体"/>
          <w:b/>
          <w:bCs/>
          <w:color w:val="auto"/>
          <w:spacing w:val="-12"/>
          <w:sz w:val="24"/>
          <w:szCs w:val="24"/>
          <w:highlight w:val="none"/>
        </w:rPr>
        <w:t>件递交截止时间（见第一章第二节“重</w:t>
      </w:r>
      <w:r>
        <w:rPr>
          <w:rFonts w:hint="eastAsia" w:ascii="宋体" w:hAnsi="宋体" w:eastAsia="宋体" w:cs="宋体"/>
          <w:b/>
          <w:bCs/>
          <w:color w:val="auto"/>
          <w:spacing w:val="-5"/>
          <w:sz w:val="24"/>
          <w:szCs w:val="24"/>
          <w:highlight w:val="none"/>
        </w:rPr>
        <w:t>要事项时间地点一览表</w:t>
      </w:r>
      <w:r>
        <w:rPr>
          <w:rFonts w:hint="eastAsia" w:ascii="宋体" w:hAnsi="宋体" w:eastAsia="宋体" w:cs="宋体"/>
          <w:color w:val="auto"/>
          <w:spacing w:val="-73"/>
          <w:sz w:val="24"/>
          <w:szCs w:val="24"/>
          <w:highlight w:val="none"/>
        </w:rPr>
        <w:t xml:space="preserve"> </w:t>
      </w:r>
      <w:r>
        <w:rPr>
          <w:rFonts w:hint="eastAsia" w:ascii="宋体" w:hAnsi="宋体" w:eastAsia="宋体" w:cs="宋体"/>
          <w:b/>
          <w:bCs/>
          <w:color w:val="auto"/>
          <w:spacing w:val="-5"/>
          <w:sz w:val="24"/>
          <w:szCs w:val="24"/>
          <w:highlight w:val="none"/>
        </w:rPr>
        <w:t>”）前</w:t>
      </w:r>
      <w:r>
        <w:rPr>
          <w:rFonts w:hint="eastAsia" w:ascii="宋体" w:hAnsi="宋体" w:eastAsia="宋体" w:cs="宋体"/>
          <w:color w:val="auto"/>
          <w:spacing w:val="-55"/>
          <w:sz w:val="24"/>
          <w:szCs w:val="24"/>
          <w:highlight w:val="none"/>
        </w:rPr>
        <w:t xml:space="preserve"> </w:t>
      </w:r>
      <w:r>
        <w:rPr>
          <w:rFonts w:hint="eastAsia" w:ascii="宋体" w:hAnsi="宋体" w:eastAsia="宋体" w:cs="宋体"/>
          <w:b/>
          <w:bCs/>
          <w:color w:val="auto"/>
          <w:spacing w:val="-5"/>
          <w:sz w:val="24"/>
          <w:szCs w:val="24"/>
          <w:highlight w:val="none"/>
        </w:rPr>
        <w:t>28 天。</w:t>
      </w:r>
    </w:p>
    <w:p w14:paraId="5D934C11">
      <w:pPr>
        <w:spacing w:before="33" w:line="299" w:lineRule="auto"/>
        <w:ind w:left="11" w:firstLine="476"/>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"2.3.1.2"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1"/>
          <w:sz w:val="24"/>
          <w:szCs w:val="24"/>
          <w:highlight w:val="none"/>
        </w:rPr>
        <w:t>2.3.1.2</w:t>
      </w:r>
      <w:r>
        <w:rPr>
          <w:rFonts w:hint="eastAsia" w:ascii="宋体" w:hAnsi="宋体" w:eastAsia="宋体" w:cs="宋体"/>
          <w:b/>
          <w:bCs/>
          <w:color w:val="auto"/>
          <w:spacing w:val="1"/>
          <w:sz w:val="24"/>
          <w:szCs w:val="24"/>
          <w:highlight w:val="none"/>
        </w:rPr>
        <w:fldChar w:fldCharType="end"/>
      </w:r>
      <w:r>
        <w:rPr>
          <w:rFonts w:hint="eastAsia" w:ascii="宋体" w:hAnsi="宋体" w:eastAsia="宋体" w:cs="宋体"/>
          <w:b/>
          <w:bCs/>
          <w:color w:val="auto"/>
          <w:spacing w:val="16"/>
          <w:sz w:val="24"/>
          <w:szCs w:val="24"/>
          <w:highlight w:val="none"/>
        </w:rPr>
        <w:t xml:space="preserve">  </w:t>
      </w:r>
      <w:r>
        <w:rPr>
          <w:rFonts w:hint="eastAsia" w:ascii="宋体" w:hAnsi="宋体" w:eastAsia="宋体" w:cs="宋体"/>
          <w:color w:val="auto"/>
          <w:spacing w:val="1"/>
          <w:sz w:val="24"/>
          <w:szCs w:val="24"/>
          <w:highlight w:val="none"/>
        </w:rPr>
        <w:t>因承包人原因导致工程延误，本章第</w:t>
      </w:r>
      <w:r>
        <w:rPr>
          <w:rFonts w:hint="eastAsia" w:ascii="宋体" w:hAnsi="宋体" w:eastAsia="宋体" w:cs="宋体"/>
          <w:color w:val="auto"/>
          <w:spacing w:val="-51"/>
          <w:sz w:val="24"/>
          <w:szCs w:val="24"/>
          <w:highlight w:val="none"/>
        </w:rPr>
        <w:t xml:space="preserve"> </w:t>
      </w:r>
      <w:r>
        <w:rPr>
          <w:rFonts w:hint="eastAsia" w:ascii="宋体" w:hAnsi="宋体" w:eastAsia="宋体" w:cs="宋体"/>
          <w:b/>
          <w:bCs/>
          <w:color w:val="auto"/>
          <w:spacing w:val="1"/>
          <w:sz w:val="24"/>
          <w:szCs w:val="24"/>
          <w:highlight w:val="none"/>
        </w:rPr>
        <w:t>2</w:t>
      </w:r>
      <w:r>
        <w:rPr>
          <w:rFonts w:hint="eastAsia" w:ascii="宋体" w:hAnsi="宋体" w:eastAsia="宋体" w:cs="宋体"/>
          <w:b/>
          <w:bCs/>
          <w:color w:val="auto"/>
          <w:sz w:val="24"/>
          <w:szCs w:val="24"/>
          <w:highlight w:val="none"/>
        </w:rPr>
        <w:t xml:space="preserve">.3.1.1 </w:t>
      </w:r>
      <w:r>
        <w:rPr>
          <w:rFonts w:hint="eastAsia" w:ascii="宋体" w:hAnsi="宋体" w:eastAsia="宋体" w:cs="宋体"/>
          <w:color w:val="auto"/>
          <w:sz w:val="24"/>
          <w:szCs w:val="24"/>
          <w:highlight w:val="none"/>
        </w:rPr>
        <w:t>子目中的法定机构根据国家法</w:t>
      </w:r>
      <w:r>
        <w:rPr>
          <w:rFonts w:hint="eastAsia" w:ascii="宋体" w:hAnsi="宋体" w:eastAsia="宋体" w:cs="宋体"/>
          <w:color w:val="auto"/>
          <w:spacing w:val="-3"/>
          <w:sz w:val="24"/>
          <w:szCs w:val="24"/>
          <w:highlight w:val="none"/>
        </w:rPr>
        <w:t>律法规变化发布新规的时间在合同工程原定竣工时间之后的，合同价款调增的不予调整，</w:t>
      </w:r>
      <w:r>
        <w:rPr>
          <w:rFonts w:hint="eastAsia" w:ascii="宋体" w:hAnsi="宋体" w:eastAsia="宋体" w:cs="宋体"/>
          <w:color w:val="auto"/>
          <w:spacing w:val="-1"/>
          <w:sz w:val="24"/>
          <w:szCs w:val="24"/>
          <w:highlight w:val="none"/>
        </w:rPr>
        <w:t>合同价款调减的予以调整。</w:t>
      </w:r>
    </w:p>
    <w:p w14:paraId="0FEEE35F">
      <w:pPr>
        <w:spacing w:before="155" w:line="220" w:lineRule="auto"/>
        <w:ind w:left="487"/>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2.3.2  </w:t>
      </w:r>
      <w:r>
        <w:rPr>
          <w:rFonts w:hint="eastAsia" w:ascii="宋体" w:hAnsi="宋体" w:eastAsia="宋体" w:cs="宋体"/>
          <w:color w:val="auto"/>
          <w:spacing w:val="-1"/>
          <w:sz w:val="24"/>
          <w:szCs w:val="24"/>
          <w:highlight w:val="none"/>
        </w:rPr>
        <w:t>工程量偏差或变化</w:t>
      </w:r>
    </w:p>
    <w:p w14:paraId="692AAD08">
      <w:pPr>
        <w:spacing w:before="158" w:line="309" w:lineRule="auto"/>
        <w:ind w:left="10" w:right="183" w:firstLine="477"/>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"2.3.2.1"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3"/>
          <w:sz w:val="24"/>
          <w:szCs w:val="24"/>
          <w:highlight w:val="none"/>
        </w:rPr>
        <w:t>2.3.2.1</w:t>
      </w:r>
      <w:r>
        <w:rPr>
          <w:rFonts w:hint="eastAsia" w:ascii="宋体" w:hAnsi="宋体" w:eastAsia="宋体" w:cs="宋体"/>
          <w:b/>
          <w:bCs/>
          <w:color w:val="auto"/>
          <w:spacing w:val="-3"/>
          <w:sz w:val="24"/>
          <w:szCs w:val="24"/>
          <w:highlight w:val="none"/>
        </w:rPr>
        <w:fldChar w:fldCharType="end"/>
      </w:r>
      <w:r>
        <w:rPr>
          <w:rFonts w:hint="eastAsia" w:ascii="宋体" w:hAnsi="宋体" w:eastAsia="宋体" w:cs="宋体"/>
          <w:b/>
          <w:bCs/>
          <w:color w:val="auto"/>
          <w:spacing w:val="-3"/>
          <w:sz w:val="24"/>
          <w:szCs w:val="24"/>
          <w:highlight w:val="none"/>
        </w:rPr>
        <w:t xml:space="preserve">  </w:t>
      </w:r>
      <w:r>
        <w:rPr>
          <w:rFonts w:hint="eastAsia" w:ascii="宋体" w:hAnsi="宋体" w:eastAsia="宋体" w:cs="宋体"/>
          <w:color w:val="auto"/>
          <w:spacing w:val="-3"/>
          <w:sz w:val="24"/>
          <w:szCs w:val="24"/>
          <w:highlight w:val="none"/>
        </w:rPr>
        <w:t>合同履行期间，当应予计算的实际工程量与招标工程量清单出现偏差或因工程变更引起已标价工程量清单项目的工程数量发生变化时，工程量偏差或变化在</w:t>
      </w:r>
      <w:r>
        <w:rPr>
          <w:rFonts w:hint="eastAsia" w:ascii="宋体" w:hAnsi="宋体" w:eastAsia="宋体" w:cs="宋体"/>
          <w:color w:val="auto"/>
          <w:spacing w:val="-21"/>
          <w:sz w:val="24"/>
          <w:szCs w:val="24"/>
          <w:highlight w:val="none"/>
        </w:rPr>
        <w:t xml:space="preserve"> </w:t>
      </w:r>
      <w:r>
        <w:rPr>
          <w:rFonts w:hint="eastAsia" w:ascii="宋体" w:hAnsi="宋体" w:eastAsia="宋体" w:cs="宋体"/>
          <w:color w:val="auto"/>
          <w:spacing w:val="-3"/>
          <w:sz w:val="24"/>
          <w:szCs w:val="24"/>
          <w:highlight w:val="none"/>
        </w:rPr>
        <w:t>15%以</w:t>
      </w:r>
      <w:r>
        <w:rPr>
          <w:rFonts w:hint="eastAsia" w:ascii="宋体" w:hAnsi="宋体" w:eastAsia="宋体" w:cs="宋体"/>
          <w:color w:val="auto"/>
          <w:spacing w:val="-4"/>
          <w:sz w:val="24"/>
          <w:szCs w:val="24"/>
          <w:highlight w:val="none"/>
        </w:rPr>
        <w:t>内（含</w:t>
      </w:r>
      <w:r>
        <w:rPr>
          <w:rFonts w:hint="eastAsia" w:ascii="宋体" w:hAnsi="宋体" w:eastAsia="宋体" w:cs="宋体"/>
          <w:color w:val="auto"/>
          <w:spacing w:val="-26"/>
          <w:sz w:val="24"/>
          <w:szCs w:val="24"/>
          <w:highlight w:val="none"/>
        </w:rPr>
        <w:t xml:space="preserve"> </w:t>
      </w:r>
      <w:r>
        <w:rPr>
          <w:rFonts w:hint="eastAsia" w:ascii="宋体" w:hAnsi="宋体" w:eastAsia="宋体" w:cs="宋体"/>
          <w:color w:val="auto"/>
          <w:spacing w:val="-4"/>
          <w:sz w:val="24"/>
          <w:szCs w:val="24"/>
          <w:highlight w:val="none"/>
        </w:rPr>
        <w:t>15%）的，其综合单价不予调整；工程量偏差或变化超过</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pacing w:val="-4"/>
          <w:sz w:val="24"/>
          <w:szCs w:val="24"/>
          <w:highlight w:val="none"/>
        </w:rPr>
        <w:t>15%的，按照以下规定</w:t>
      </w:r>
      <w:r>
        <w:rPr>
          <w:rFonts w:hint="eastAsia" w:ascii="宋体" w:hAnsi="宋体" w:eastAsia="宋体" w:cs="宋体"/>
          <w:color w:val="auto"/>
          <w:spacing w:val="-3"/>
          <w:sz w:val="24"/>
          <w:szCs w:val="24"/>
          <w:highlight w:val="none"/>
        </w:rPr>
        <w:t>调整：</w:t>
      </w:r>
    </w:p>
    <w:p w14:paraId="5440C71D">
      <w:pPr>
        <w:spacing w:before="78" w:line="327" w:lineRule="auto"/>
        <w:ind w:left="12" w:firstLine="478"/>
        <w:jc w:val="both"/>
        <w:rPr>
          <w:rFonts w:hint="eastAsia" w:ascii="宋体" w:hAnsi="宋体" w:eastAsia="宋体" w:cs="宋体"/>
          <w:color w:val="auto"/>
          <w:sz w:val="24"/>
          <w:szCs w:val="24"/>
          <w:highlight w:val="none"/>
        </w:rPr>
      </w:pPr>
      <w:bookmarkStart w:id="169" w:name="bookmark142"/>
      <w:bookmarkEnd w:id="169"/>
      <w:r>
        <w:rPr>
          <w:rFonts w:hint="eastAsia" w:ascii="宋体" w:hAnsi="宋体" w:eastAsia="宋体" w:cs="宋体"/>
          <w:color w:val="auto"/>
          <w:spacing w:val="-3"/>
          <w:sz w:val="24"/>
          <w:szCs w:val="24"/>
          <w:highlight w:val="none"/>
        </w:rPr>
        <w:t>对于合理报价的清单项目，当工程量增加超过</w:t>
      </w:r>
      <w:r>
        <w:rPr>
          <w:rFonts w:hint="eastAsia" w:ascii="宋体" w:hAnsi="宋体" w:eastAsia="宋体" w:cs="宋体"/>
          <w:color w:val="auto"/>
          <w:spacing w:val="-27"/>
          <w:sz w:val="24"/>
          <w:szCs w:val="24"/>
          <w:highlight w:val="none"/>
        </w:rPr>
        <w:t xml:space="preserve"> </w:t>
      </w:r>
      <w:r>
        <w:rPr>
          <w:rFonts w:hint="eastAsia" w:ascii="宋体" w:hAnsi="宋体" w:eastAsia="宋体" w:cs="宋体"/>
          <w:color w:val="auto"/>
          <w:spacing w:val="-3"/>
          <w:sz w:val="24"/>
          <w:szCs w:val="24"/>
          <w:highlight w:val="none"/>
        </w:rPr>
        <w:t>15%时，增加部分的工程量的综合单</w:t>
      </w:r>
      <w:r>
        <w:rPr>
          <w:rFonts w:hint="eastAsia" w:ascii="宋体" w:hAnsi="宋体" w:eastAsia="宋体" w:cs="宋体"/>
          <w:color w:val="auto"/>
          <w:spacing w:val="-7"/>
          <w:sz w:val="24"/>
          <w:szCs w:val="24"/>
          <w:highlight w:val="none"/>
        </w:rPr>
        <w:t>价以</w:t>
      </w:r>
      <w:r>
        <w:rPr>
          <w:rFonts w:hint="eastAsia" w:ascii="宋体" w:hAnsi="宋体" w:eastAsia="宋体" w:cs="宋体"/>
          <w:color w:val="auto"/>
          <w:spacing w:val="-3"/>
          <w:sz w:val="24"/>
          <w:szCs w:val="24"/>
          <w:highlight w:val="none"/>
        </w:rPr>
        <w:t>投标报价《分部分项工程和单价措施项目清单与计价表》中综合单价为基价调低 3%；当工程量减少超过 15%时，减少后剩余部分的工程量的综合单价以投标报价《分部分项工程和单价措施项目清单与计价表》中综合单价为基价调高 3%</w:t>
      </w:r>
      <w:r>
        <w:rPr>
          <w:rFonts w:hint="eastAsia" w:ascii="宋体" w:hAnsi="宋体" w:eastAsia="宋体" w:cs="宋体"/>
          <w:color w:val="auto"/>
          <w:spacing w:val="-1"/>
          <w:sz w:val="24"/>
          <w:szCs w:val="24"/>
          <w:highlight w:val="none"/>
        </w:rPr>
        <w:t>。</w:t>
      </w:r>
    </w:p>
    <w:p w14:paraId="2282BBC8">
      <w:pPr>
        <w:spacing w:before="97" w:line="324" w:lineRule="auto"/>
        <w:ind w:left="13" w:right="179" w:firstLine="477"/>
        <w:rPr>
          <w:rFonts w:hint="eastAsia" w:ascii="宋体" w:hAnsi="宋体" w:eastAsia="宋体" w:cs="宋体"/>
          <w:color w:val="auto"/>
          <w:sz w:val="24"/>
          <w:szCs w:val="24"/>
          <w:highlight w:val="none"/>
        </w:rPr>
      </w:pPr>
      <w:r>
        <w:rPr>
          <w:rFonts w:hint="eastAsia" w:ascii="宋体" w:hAnsi="宋体" w:eastAsia="宋体" w:cs="宋体"/>
          <w:b/>
          <w:bCs/>
          <w:color w:val="auto"/>
          <w:spacing w:val="-4"/>
          <w:sz w:val="24"/>
          <w:szCs w:val="24"/>
          <w:highlight w:val="none"/>
        </w:rPr>
        <w:t>对于按照第二章“</w:t>
      </w:r>
      <w:r>
        <w:rPr>
          <w:rFonts w:hint="eastAsia" w:ascii="宋体" w:hAnsi="宋体" w:eastAsia="宋体" w:cs="宋体"/>
          <w:color w:val="auto"/>
          <w:spacing w:val="-89"/>
          <w:sz w:val="24"/>
          <w:szCs w:val="24"/>
          <w:highlight w:val="none"/>
        </w:rPr>
        <w:t xml:space="preserve"> </w:t>
      </w:r>
      <w:r>
        <w:rPr>
          <w:rFonts w:hint="eastAsia" w:ascii="宋体" w:hAnsi="宋体" w:eastAsia="宋体" w:cs="宋体"/>
          <w:b/>
          <w:bCs/>
          <w:color w:val="auto"/>
          <w:spacing w:val="-4"/>
          <w:sz w:val="24"/>
          <w:szCs w:val="24"/>
          <w:highlight w:val="none"/>
        </w:rPr>
        <w:t>中标人须知</w:t>
      </w:r>
      <w:r>
        <w:rPr>
          <w:rFonts w:hint="eastAsia" w:ascii="宋体" w:hAnsi="宋体" w:eastAsia="宋体" w:cs="宋体"/>
          <w:color w:val="auto"/>
          <w:spacing w:val="-89"/>
          <w:sz w:val="24"/>
          <w:szCs w:val="24"/>
          <w:highlight w:val="none"/>
        </w:rPr>
        <w:t xml:space="preserve"> </w:t>
      </w:r>
      <w:r>
        <w:rPr>
          <w:rFonts w:hint="eastAsia" w:ascii="宋体" w:hAnsi="宋体" w:eastAsia="宋体" w:cs="宋体"/>
          <w:b/>
          <w:bCs/>
          <w:color w:val="auto"/>
          <w:spacing w:val="-4"/>
          <w:sz w:val="24"/>
          <w:szCs w:val="24"/>
          <w:highlight w:val="none"/>
        </w:rPr>
        <w:t>”第</w:t>
      </w:r>
      <w:r>
        <w:rPr>
          <w:rFonts w:hint="eastAsia" w:ascii="宋体" w:hAnsi="宋体" w:eastAsia="宋体" w:cs="宋体"/>
          <w:color w:val="auto"/>
          <w:spacing w:val="-54"/>
          <w:sz w:val="24"/>
          <w:szCs w:val="24"/>
          <w:highlight w:val="none"/>
        </w:rPr>
        <w:t xml:space="preserve"> </w:t>
      </w:r>
      <w:r>
        <w:rPr>
          <w:rFonts w:hint="eastAsia" w:ascii="宋体" w:hAnsi="宋体" w:eastAsia="宋体" w:cs="宋体"/>
          <w:b/>
          <w:bCs/>
          <w:color w:val="auto"/>
          <w:spacing w:val="-4"/>
          <w:sz w:val="24"/>
          <w:szCs w:val="24"/>
          <w:highlight w:val="none"/>
        </w:rPr>
        <w:t>4.2 条被认定为不平衡报价的清单项目，其综合</w:t>
      </w:r>
      <w:r>
        <w:rPr>
          <w:rFonts w:hint="eastAsia" w:ascii="宋体" w:hAnsi="宋体" w:eastAsia="宋体" w:cs="宋体"/>
          <w:b/>
          <w:bCs/>
          <w:color w:val="auto"/>
          <w:spacing w:val="-3"/>
          <w:sz w:val="24"/>
          <w:szCs w:val="24"/>
          <w:highlight w:val="none"/>
        </w:rPr>
        <w:t>单价按照以下方法调整：</w:t>
      </w:r>
    </w:p>
    <w:p w14:paraId="36DE154B">
      <w:pPr>
        <w:spacing w:before="97" w:line="324" w:lineRule="auto"/>
        <w:ind w:left="13" w:right="179" w:firstLine="477"/>
        <w:rPr>
          <w:rFonts w:hint="eastAsia" w:ascii="宋体" w:hAnsi="宋体" w:eastAsia="宋体" w:cs="宋体"/>
          <w:b/>
          <w:bCs/>
          <w:color w:val="auto"/>
          <w:spacing w:val="-4"/>
          <w:sz w:val="24"/>
          <w:szCs w:val="24"/>
          <w:highlight w:val="none"/>
        </w:rPr>
      </w:pPr>
      <w:r>
        <w:rPr>
          <w:rFonts w:hint="eastAsia" w:ascii="宋体" w:hAnsi="宋体" w:eastAsia="宋体" w:cs="宋体"/>
          <w:b/>
          <w:bCs/>
          <w:color w:val="auto"/>
          <w:spacing w:val="-4"/>
          <w:sz w:val="24"/>
          <w:szCs w:val="24"/>
          <w:highlight w:val="none"/>
        </w:rPr>
        <w:t>以</w:t>
      </w:r>
      <w:r>
        <w:rPr>
          <w:rFonts w:hint="eastAsia" w:ascii="宋体" w:hAnsi="宋体" w:eastAsia="宋体" w:cs="宋体"/>
          <w:b/>
          <w:bCs/>
          <w:color w:val="auto"/>
          <w:spacing w:val="-4"/>
          <w:sz w:val="24"/>
          <w:szCs w:val="24"/>
          <w:highlight w:val="none"/>
          <w:lang w:eastAsia="zh-CN"/>
        </w:rPr>
        <w:t>最高投标限价</w:t>
      </w:r>
      <w:r>
        <w:rPr>
          <w:rFonts w:hint="eastAsia" w:ascii="宋体" w:hAnsi="宋体" w:eastAsia="宋体" w:cs="宋体"/>
          <w:b/>
          <w:bCs/>
          <w:color w:val="auto"/>
          <w:spacing w:val="-4"/>
          <w:sz w:val="24"/>
          <w:szCs w:val="24"/>
          <w:highlight w:val="none"/>
        </w:rPr>
        <w:t>中《分部分项工程和单价措施项目清单与计价表》子目相对应综合单价×（1-中标下浮率）。</w:t>
      </w:r>
    </w:p>
    <w:p w14:paraId="55E5B01A">
      <w:pPr>
        <w:spacing w:before="97" w:line="324" w:lineRule="auto"/>
        <w:ind w:left="13" w:right="179" w:firstLine="477"/>
        <w:rPr>
          <w:rFonts w:hint="eastAsia" w:ascii="宋体" w:hAnsi="宋体" w:eastAsia="宋体" w:cs="宋体"/>
          <w:b/>
          <w:bCs/>
          <w:color w:val="auto"/>
          <w:spacing w:val="-4"/>
          <w:sz w:val="24"/>
          <w:szCs w:val="24"/>
          <w:highlight w:val="none"/>
        </w:rPr>
      </w:pPr>
      <w:bookmarkStart w:id="170" w:name="_Toc12035"/>
      <w:bookmarkStart w:id="171" w:name="_Toc18478"/>
      <w:bookmarkStart w:id="172" w:name="_Toc30068"/>
      <w:r>
        <w:rPr>
          <w:rFonts w:hint="eastAsia" w:ascii="宋体" w:hAnsi="宋体" w:eastAsia="宋体" w:cs="宋体"/>
          <w:b/>
          <w:bCs/>
          <w:color w:val="auto"/>
          <w:spacing w:val="-4"/>
          <w:sz w:val="24"/>
          <w:szCs w:val="24"/>
          <w:highlight w:val="none"/>
        </w:rPr>
        <w:t>中标下浮率=[1-（中标价-</w:t>
      </w:r>
      <w:r>
        <w:rPr>
          <w:rFonts w:hint="eastAsia" w:ascii="宋体" w:hAnsi="宋体" w:eastAsia="宋体" w:cs="宋体"/>
          <w:b/>
          <w:bCs/>
          <w:color w:val="auto"/>
          <w:spacing w:val="-4"/>
          <w:sz w:val="24"/>
          <w:szCs w:val="24"/>
          <w:highlight w:val="none"/>
          <w:lang w:val="en-US" w:eastAsia="zh-CN"/>
        </w:rPr>
        <w:t>中标安全生产措施费</w:t>
      </w:r>
      <w:r>
        <w:rPr>
          <w:rFonts w:hint="eastAsia" w:ascii="宋体" w:hAnsi="宋体" w:eastAsia="宋体" w:cs="宋体"/>
          <w:b/>
          <w:bCs/>
          <w:color w:val="auto"/>
          <w:spacing w:val="-4"/>
          <w:sz w:val="24"/>
          <w:szCs w:val="24"/>
          <w:highlight w:val="none"/>
        </w:rPr>
        <w:t>-暂列金额-暂估价）/（</w:t>
      </w:r>
      <w:bookmarkEnd w:id="170"/>
      <w:bookmarkEnd w:id="171"/>
      <w:bookmarkStart w:id="173" w:name="_Toc15512"/>
      <w:bookmarkStart w:id="174" w:name="_Toc13602"/>
      <w:r>
        <w:rPr>
          <w:rFonts w:hint="eastAsia" w:ascii="宋体" w:hAnsi="宋体" w:eastAsia="宋体" w:cs="宋体"/>
          <w:b/>
          <w:bCs/>
          <w:color w:val="auto"/>
          <w:spacing w:val="-4"/>
          <w:sz w:val="24"/>
          <w:szCs w:val="24"/>
          <w:highlight w:val="none"/>
          <w:lang w:eastAsia="zh-CN"/>
        </w:rPr>
        <w:t>最高投标限价</w:t>
      </w:r>
      <w:r>
        <w:rPr>
          <w:rFonts w:hint="eastAsia" w:ascii="宋体" w:hAnsi="宋体" w:eastAsia="宋体" w:cs="宋体"/>
          <w:b/>
          <w:bCs/>
          <w:color w:val="auto"/>
          <w:spacing w:val="-4"/>
          <w:sz w:val="24"/>
          <w:szCs w:val="24"/>
          <w:highlight w:val="none"/>
        </w:rPr>
        <w:t>-控制价</w:t>
      </w:r>
      <w:r>
        <w:rPr>
          <w:rFonts w:hint="eastAsia" w:ascii="宋体" w:hAnsi="宋体" w:eastAsia="宋体" w:cs="宋体"/>
          <w:b/>
          <w:bCs/>
          <w:color w:val="auto"/>
          <w:spacing w:val="-4"/>
          <w:sz w:val="24"/>
          <w:szCs w:val="24"/>
          <w:highlight w:val="none"/>
          <w:lang w:val="en-US" w:eastAsia="zh-CN"/>
        </w:rPr>
        <w:t>安全生产措施费</w:t>
      </w:r>
      <w:r>
        <w:rPr>
          <w:rFonts w:hint="eastAsia" w:ascii="宋体" w:hAnsi="宋体" w:eastAsia="宋体" w:cs="宋体"/>
          <w:b/>
          <w:bCs/>
          <w:color w:val="auto"/>
          <w:spacing w:val="-4"/>
          <w:sz w:val="24"/>
          <w:szCs w:val="24"/>
          <w:highlight w:val="none"/>
        </w:rPr>
        <w:t>-暂列金额-暂估价）] ×100%</w:t>
      </w:r>
      <w:bookmarkEnd w:id="172"/>
      <w:bookmarkEnd w:id="173"/>
      <w:bookmarkEnd w:id="174"/>
    </w:p>
    <w:p w14:paraId="6ABFAD1C">
      <w:pPr>
        <w:spacing w:before="123" w:line="301" w:lineRule="auto"/>
        <w:ind w:left="10" w:right="116" w:firstLine="482"/>
        <w:jc w:val="both"/>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若修正后的该部分《分部分项工程和单价措施项目清单与计价表》总金额大于原投</w:t>
      </w:r>
      <w:r>
        <w:rPr>
          <w:rFonts w:hint="eastAsia" w:ascii="宋体" w:hAnsi="宋体" w:eastAsia="宋体" w:cs="宋体"/>
          <w:color w:val="auto"/>
          <w:spacing w:val="-1"/>
          <w:sz w:val="24"/>
          <w:szCs w:val="24"/>
          <w:highlight w:val="none"/>
        </w:rPr>
        <w:t>标报价中的该部分总金额，则从投标报价需</w:t>
      </w:r>
      <w:r>
        <w:rPr>
          <w:rFonts w:hint="eastAsia" w:ascii="宋体" w:hAnsi="宋体" w:eastAsia="宋体" w:cs="宋体"/>
          <w:color w:val="auto"/>
          <w:spacing w:val="-2"/>
          <w:sz w:val="24"/>
          <w:szCs w:val="24"/>
          <w:highlight w:val="none"/>
        </w:rPr>
        <w:t>调高的综合单价中选择偏离最大的清单开始</w:t>
      </w:r>
      <w:r>
        <w:rPr>
          <w:rFonts w:hint="eastAsia" w:ascii="宋体" w:hAnsi="宋体" w:eastAsia="宋体" w:cs="宋体"/>
          <w:color w:val="auto"/>
          <w:spacing w:val="-1"/>
          <w:sz w:val="24"/>
          <w:szCs w:val="24"/>
          <w:highlight w:val="none"/>
        </w:rPr>
        <w:t>调整，调整幅度逐步减少，直至修正后的该</w:t>
      </w:r>
      <w:r>
        <w:rPr>
          <w:rFonts w:hint="eastAsia" w:ascii="宋体" w:hAnsi="宋体" w:eastAsia="宋体" w:cs="宋体"/>
          <w:color w:val="auto"/>
          <w:spacing w:val="-2"/>
          <w:sz w:val="24"/>
          <w:szCs w:val="24"/>
          <w:highlight w:val="none"/>
        </w:rPr>
        <w:t>部分《分部分项工程和单价措施项目清单与</w:t>
      </w:r>
      <w:r>
        <w:rPr>
          <w:rFonts w:hint="eastAsia" w:ascii="宋体" w:hAnsi="宋体" w:eastAsia="宋体" w:cs="宋体"/>
          <w:color w:val="auto"/>
          <w:spacing w:val="-1"/>
          <w:sz w:val="24"/>
          <w:szCs w:val="24"/>
          <w:highlight w:val="none"/>
        </w:rPr>
        <w:t>计价表》总金额与原投标报价中的该部分总</w:t>
      </w:r>
      <w:r>
        <w:rPr>
          <w:rFonts w:hint="eastAsia" w:ascii="宋体" w:hAnsi="宋体" w:eastAsia="宋体" w:cs="宋体"/>
          <w:color w:val="auto"/>
          <w:spacing w:val="-2"/>
          <w:sz w:val="24"/>
          <w:szCs w:val="24"/>
          <w:highlight w:val="none"/>
        </w:rPr>
        <w:t>金额一致；若修正后的该部分《分部分项工</w:t>
      </w:r>
      <w:r>
        <w:rPr>
          <w:rFonts w:hint="eastAsia" w:ascii="宋体" w:hAnsi="宋体" w:eastAsia="宋体" w:cs="宋体"/>
          <w:color w:val="auto"/>
          <w:spacing w:val="-1"/>
          <w:sz w:val="24"/>
          <w:szCs w:val="24"/>
          <w:highlight w:val="none"/>
        </w:rPr>
        <w:t>程和单价措施项目清单与计价表》总金额小</w:t>
      </w:r>
      <w:r>
        <w:rPr>
          <w:rFonts w:hint="eastAsia" w:ascii="宋体" w:hAnsi="宋体" w:eastAsia="宋体" w:cs="宋体"/>
          <w:color w:val="auto"/>
          <w:spacing w:val="-2"/>
          <w:sz w:val="24"/>
          <w:szCs w:val="24"/>
          <w:highlight w:val="none"/>
        </w:rPr>
        <w:t>于原投标报价中的该部分总金额，则从投标</w:t>
      </w:r>
      <w:r>
        <w:rPr>
          <w:rFonts w:hint="eastAsia" w:ascii="宋体" w:hAnsi="宋体" w:eastAsia="宋体" w:cs="宋体"/>
          <w:color w:val="auto"/>
          <w:spacing w:val="-1"/>
          <w:sz w:val="24"/>
          <w:szCs w:val="24"/>
          <w:highlight w:val="none"/>
        </w:rPr>
        <w:t>报价需调低的综合单价中选择偏离最大的清</w:t>
      </w:r>
      <w:r>
        <w:rPr>
          <w:rFonts w:hint="eastAsia" w:ascii="宋体" w:hAnsi="宋体" w:eastAsia="宋体" w:cs="宋体"/>
          <w:color w:val="auto"/>
          <w:spacing w:val="-2"/>
          <w:sz w:val="24"/>
          <w:szCs w:val="24"/>
          <w:highlight w:val="none"/>
        </w:rPr>
        <w:t>单开始调整，调整幅度逐步减少，直至修正</w:t>
      </w:r>
      <w:r>
        <w:rPr>
          <w:rFonts w:hint="eastAsia" w:ascii="宋体" w:hAnsi="宋体" w:eastAsia="宋体" w:cs="宋体"/>
          <w:color w:val="auto"/>
          <w:spacing w:val="-1"/>
          <w:sz w:val="24"/>
          <w:szCs w:val="24"/>
          <w:highlight w:val="none"/>
        </w:rPr>
        <w:t>后的该部分《分部分项工程和单价措施项目</w:t>
      </w:r>
      <w:r>
        <w:rPr>
          <w:rFonts w:hint="eastAsia" w:ascii="宋体" w:hAnsi="宋体" w:eastAsia="宋体" w:cs="宋体"/>
          <w:color w:val="auto"/>
          <w:spacing w:val="-2"/>
          <w:sz w:val="24"/>
          <w:szCs w:val="24"/>
          <w:highlight w:val="none"/>
        </w:rPr>
        <w:t>清单与计价表》总金额与原投标报价中的该</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2"/>
          <w:sz w:val="24"/>
          <w:szCs w:val="24"/>
          <w:highlight w:val="none"/>
        </w:rPr>
        <w:t>部分总金额一致。修正后的总造价应与总中标价保持一致，形成《不平衡报价修正报告》，</w:t>
      </w:r>
      <w:r>
        <w:rPr>
          <w:rFonts w:hint="eastAsia" w:ascii="宋体" w:hAnsi="宋体" w:eastAsia="宋体" w:cs="宋体"/>
          <w:color w:val="auto"/>
          <w:spacing w:val="-1"/>
          <w:sz w:val="24"/>
          <w:szCs w:val="24"/>
          <w:highlight w:val="none"/>
        </w:rPr>
        <w:t>并由招标人和中标人共同签章确认。</w:t>
      </w:r>
    </w:p>
    <w:p w14:paraId="2BD2CB57">
      <w:pPr>
        <w:spacing w:before="129" w:line="299" w:lineRule="auto"/>
        <w:ind w:left="12" w:right="179" w:firstLine="476"/>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"2.3.2.2"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1"/>
          <w:sz w:val="24"/>
          <w:szCs w:val="24"/>
          <w:highlight w:val="none"/>
        </w:rPr>
        <w:t>2.3.2.2</w:t>
      </w:r>
      <w:r>
        <w:rPr>
          <w:rFonts w:hint="eastAsia" w:ascii="宋体" w:hAnsi="宋体" w:eastAsia="宋体" w:cs="宋体"/>
          <w:b/>
          <w:bCs/>
          <w:color w:val="auto"/>
          <w:spacing w:val="1"/>
          <w:sz w:val="24"/>
          <w:szCs w:val="24"/>
          <w:highlight w:val="none"/>
        </w:rPr>
        <w:fldChar w:fldCharType="end"/>
      </w:r>
      <w:r>
        <w:rPr>
          <w:rFonts w:hint="eastAsia" w:ascii="宋体" w:hAnsi="宋体" w:eastAsia="宋体" w:cs="宋体"/>
          <w:b/>
          <w:bCs/>
          <w:color w:val="auto"/>
          <w:spacing w:val="1"/>
          <w:sz w:val="24"/>
          <w:szCs w:val="24"/>
          <w:highlight w:val="none"/>
        </w:rPr>
        <w:t xml:space="preserve">  </w:t>
      </w:r>
      <w:r>
        <w:rPr>
          <w:rFonts w:hint="eastAsia" w:ascii="宋体" w:hAnsi="宋体" w:eastAsia="宋体" w:cs="宋体"/>
          <w:color w:val="auto"/>
          <w:spacing w:val="1"/>
          <w:sz w:val="24"/>
          <w:szCs w:val="24"/>
          <w:highlight w:val="none"/>
        </w:rPr>
        <w:t>如果工程量出现本章第</w:t>
      </w:r>
      <w:r>
        <w:rPr>
          <w:rFonts w:hint="eastAsia" w:ascii="宋体" w:hAnsi="宋体" w:eastAsia="宋体" w:cs="宋体"/>
          <w:color w:val="auto"/>
          <w:spacing w:val="-41"/>
          <w:sz w:val="24"/>
          <w:szCs w:val="24"/>
          <w:highlight w:val="none"/>
        </w:rPr>
        <w:t xml:space="preserve"> </w:t>
      </w:r>
      <w:r>
        <w:rPr>
          <w:rFonts w:hint="eastAsia" w:ascii="宋体" w:hAnsi="宋体" w:eastAsia="宋体" w:cs="宋体"/>
          <w:b/>
          <w:bCs/>
          <w:color w:val="auto"/>
          <w:spacing w:val="1"/>
          <w:sz w:val="24"/>
          <w:szCs w:val="24"/>
          <w:highlight w:val="none"/>
        </w:rPr>
        <w:t xml:space="preserve">2.3.2.1 </w:t>
      </w:r>
      <w:r>
        <w:rPr>
          <w:rFonts w:hint="eastAsia" w:ascii="宋体" w:hAnsi="宋体" w:eastAsia="宋体" w:cs="宋体"/>
          <w:color w:val="auto"/>
          <w:spacing w:val="1"/>
          <w:sz w:val="24"/>
          <w:szCs w:val="24"/>
          <w:highlight w:val="none"/>
        </w:rPr>
        <w:t>子目的变化，且该变化引起相关措施项目相</w:t>
      </w:r>
      <w:r>
        <w:rPr>
          <w:rFonts w:hint="eastAsia" w:ascii="宋体" w:hAnsi="宋体" w:eastAsia="宋体" w:cs="宋体"/>
          <w:color w:val="auto"/>
          <w:spacing w:val="-2"/>
          <w:sz w:val="24"/>
          <w:szCs w:val="24"/>
          <w:highlight w:val="none"/>
        </w:rPr>
        <w:t>应发生变化时，按系数或单一总价方式计价的，工程量增加的措施项目费调增，工程量</w:t>
      </w:r>
      <w:r>
        <w:rPr>
          <w:rFonts w:hint="eastAsia" w:ascii="宋体" w:hAnsi="宋体" w:eastAsia="宋体" w:cs="宋体"/>
          <w:color w:val="auto"/>
          <w:spacing w:val="-1"/>
          <w:sz w:val="24"/>
          <w:szCs w:val="24"/>
          <w:highlight w:val="none"/>
        </w:rPr>
        <w:t>减少的措施项目费调减。</w:t>
      </w:r>
    </w:p>
    <w:p w14:paraId="06C738C3">
      <w:pPr>
        <w:spacing w:before="154" w:line="221" w:lineRule="auto"/>
        <w:ind w:left="488"/>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2.3.3  </w:t>
      </w:r>
      <w:r>
        <w:rPr>
          <w:rFonts w:hint="eastAsia" w:ascii="宋体" w:hAnsi="宋体" w:eastAsia="宋体" w:cs="宋体"/>
          <w:color w:val="auto"/>
          <w:spacing w:val="-1"/>
          <w:sz w:val="24"/>
          <w:szCs w:val="24"/>
          <w:highlight w:val="none"/>
        </w:rPr>
        <w:t>工程变更</w:t>
      </w:r>
    </w:p>
    <w:p w14:paraId="46C43F19">
      <w:pPr>
        <w:spacing w:before="153" w:line="279" w:lineRule="auto"/>
        <w:ind w:left="19" w:right="179" w:firstLine="468"/>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"2.3.3.1"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3"/>
          <w:sz w:val="24"/>
          <w:szCs w:val="24"/>
          <w:highlight w:val="none"/>
        </w:rPr>
        <w:t>2.3.3.1</w:t>
      </w:r>
      <w:r>
        <w:rPr>
          <w:rFonts w:hint="eastAsia" w:ascii="宋体" w:hAnsi="宋体" w:eastAsia="宋体" w:cs="宋体"/>
          <w:b/>
          <w:bCs/>
          <w:color w:val="auto"/>
          <w:spacing w:val="-3"/>
          <w:sz w:val="24"/>
          <w:szCs w:val="24"/>
          <w:highlight w:val="none"/>
        </w:rPr>
        <w:fldChar w:fldCharType="end"/>
      </w:r>
      <w:r>
        <w:rPr>
          <w:rFonts w:hint="eastAsia" w:ascii="宋体" w:hAnsi="宋体" w:eastAsia="宋体" w:cs="宋体"/>
          <w:b/>
          <w:bCs/>
          <w:color w:val="auto"/>
          <w:spacing w:val="-3"/>
          <w:sz w:val="24"/>
          <w:szCs w:val="24"/>
          <w:highlight w:val="none"/>
        </w:rPr>
        <w:t xml:space="preserve">  </w:t>
      </w:r>
      <w:r>
        <w:rPr>
          <w:rFonts w:hint="eastAsia" w:ascii="宋体" w:hAnsi="宋体" w:eastAsia="宋体" w:cs="宋体"/>
          <w:color w:val="auto"/>
          <w:spacing w:val="-3"/>
          <w:sz w:val="24"/>
          <w:szCs w:val="24"/>
          <w:highlight w:val="none"/>
        </w:rPr>
        <w:t>合同履行期间，因工程变更引起已标价工程量清单项目发生变化时，按照以下规定调整：</w:t>
      </w:r>
    </w:p>
    <w:p w14:paraId="02B699CB">
      <w:pPr>
        <w:numPr>
          <w:ilvl w:val="0"/>
          <w:numId w:val="2"/>
        </w:numPr>
        <w:spacing w:before="78" w:line="360" w:lineRule="auto"/>
        <w:ind w:firstLine="242" w:firstLineChars="100"/>
        <w:rPr>
          <w:rFonts w:hint="eastAsia" w:ascii="宋体" w:hAnsi="宋体" w:eastAsia="宋体" w:cs="宋体"/>
          <w:b/>
          <w:bCs/>
          <w:color w:val="auto"/>
          <w:spacing w:val="-2"/>
          <w:sz w:val="24"/>
          <w:szCs w:val="24"/>
          <w:highlight w:val="none"/>
        </w:rPr>
      </w:pPr>
      <w:r>
        <w:rPr>
          <w:rFonts w:hint="eastAsia" w:ascii="宋体" w:hAnsi="宋体" w:eastAsia="宋体" w:cs="宋体"/>
          <w:color w:val="auto"/>
          <w:spacing w:val="1"/>
          <w:sz w:val="24"/>
          <w:szCs w:val="24"/>
          <w:highlight w:val="none"/>
        </w:rPr>
        <w:t>已标价工程量清单中有适用于变更工程项目的，采用该项目的单价。</w:t>
      </w:r>
      <w:r>
        <w:rPr>
          <w:rFonts w:hint="eastAsia" w:ascii="宋体" w:hAnsi="宋体" w:eastAsia="宋体" w:cs="宋体"/>
          <w:b/>
          <w:bCs/>
          <w:color w:val="auto"/>
          <w:spacing w:val="1"/>
          <w:sz w:val="24"/>
          <w:szCs w:val="24"/>
          <w:highlight w:val="none"/>
        </w:rPr>
        <w:t>但如果</w:t>
      </w:r>
      <w:bookmarkStart w:id="175" w:name="bookmark143"/>
      <w:bookmarkEnd w:id="175"/>
      <w:r>
        <w:rPr>
          <w:rFonts w:hint="eastAsia" w:ascii="宋体" w:hAnsi="宋体" w:eastAsia="宋体" w:cs="宋体"/>
          <w:b/>
          <w:bCs/>
          <w:color w:val="auto"/>
          <w:spacing w:val="-7"/>
          <w:sz w:val="24"/>
          <w:szCs w:val="24"/>
          <w:highlight w:val="none"/>
        </w:rPr>
        <w:t>被采用的项目属于按照第二章“中标人须知</w:t>
      </w:r>
      <w:r>
        <w:rPr>
          <w:rFonts w:hint="eastAsia" w:ascii="宋体" w:hAnsi="宋体" w:eastAsia="宋体" w:cs="宋体"/>
          <w:color w:val="auto"/>
          <w:spacing w:val="-88"/>
          <w:sz w:val="24"/>
          <w:szCs w:val="24"/>
          <w:highlight w:val="none"/>
        </w:rPr>
        <w:t xml:space="preserve"> </w:t>
      </w:r>
      <w:r>
        <w:rPr>
          <w:rFonts w:hint="eastAsia" w:ascii="宋体" w:hAnsi="宋体" w:eastAsia="宋体" w:cs="宋体"/>
          <w:b/>
          <w:bCs/>
          <w:color w:val="auto"/>
          <w:spacing w:val="-7"/>
          <w:sz w:val="24"/>
          <w:szCs w:val="24"/>
          <w:highlight w:val="none"/>
        </w:rPr>
        <w:t>”第</w:t>
      </w:r>
      <w:r>
        <w:rPr>
          <w:rFonts w:hint="eastAsia" w:ascii="宋体" w:hAnsi="宋体" w:eastAsia="宋体" w:cs="宋体"/>
          <w:color w:val="auto"/>
          <w:spacing w:val="-54"/>
          <w:sz w:val="24"/>
          <w:szCs w:val="24"/>
          <w:highlight w:val="none"/>
        </w:rPr>
        <w:t xml:space="preserve"> </w:t>
      </w:r>
      <w:r>
        <w:rPr>
          <w:rFonts w:hint="eastAsia" w:ascii="宋体" w:hAnsi="宋体" w:eastAsia="宋体" w:cs="宋体"/>
          <w:b/>
          <w:bCs/>
          <w:color w:val="auto"/>
          <w:spacing w:val="-8"/>
          <w:sz w:val="24"/>
          <w:szCs w:val="24"/>
          <w:highlight w:val="none"/>
        </w:rPr>
        <w:t>4.2 条被认定为不平衡报价的清单项目，</w:t>
      </w:r>
      <w:r>
        <w:rPr>
          <w:rFonts w:hint="eastAsia" w:ascii="宋体" w:hAnsi="宋体" w:eastAsia="宋体" w:cs="宋体"/>
          <w:color w:val="auto"/>
          <w:sz w:val="24"/>
          <w:szCs w:val="24"/>
          <w:highlight w:val="none"/>
        </w:rPr>
        <w:t xml:space="preserve"> </w:t>
      </w:r>
      <w:r>
        <w:rPr>
          <w:rFonts w:hint="eastAsia" w:ascii="宋体" w:hAnsi="宋体" w:eastAsia="宋体" w:cs="宋体"/>
          <w:b/>
          <w:bCs/>
          <w:color w:val="auto"/>
          <w:spacing w:val="-2"/>
          <w:sz w:val="24"/>
          <w:szCs w:val="24"/>
          <w:highlight w:val="none"/>
        </w:rPr>
        <w:t>变更工程项目的单价按照</w:t>
      </w:r>
      <w:r>
        <w:rPr>
          <w:rFonts w:hint="eastAsia" w:ascii="宋体" w:hAnsi="宋体" w:eastAsia="宋体" w:cs="宋体"/>
          <w:b/>
          <w:bCs/>
          <w:color w:val="auto"/>
          <w:spacing w:val="-7"/>
          <w:sz w:val="24"/>
          <w:szCs w:val="24"/>
          <w:highlight w:val="none"/>
        </w:rPr>
        <w:t>本章 2.3.2.1 的</w:t>
      </w:r>
      <w:r>
        <w:rPr>
          <w:rFonts w:hint="eastAsia" w:ascii="宋体" w:hAnsi="宋体" w:eastAsia="宋体" w:cs="宋体"/>
          <w:b/>
          <w:bCs/>
          <w:color w:val="auto"/>
          <w:spacing w:val="-2"/>
          <w:sz w:val="24"/>
          <w:szCs w:val="24"/>
          <w:highlight w:val="none"/>
        </w:rPr>
        <w:t>方法调整。】</w:t>
      </w:r>
    </w:p>
    <w:p w14:paraId="607212D6">
      <w:pPr>
        <w:numPr>
          <w:ilvl w:val="0"/>
          <w:numId w:val="0"/>
        </w:numPr>
        <w:spacing w:before="78" w:line="360" w:lineRule="auto"/>
        <w:ind w:firstLine="237" w:firstLineChars="100"/>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lang w:eastAsia="zh-CN"/>
        </w:rPr>
        <w:t>（</w:t>
      </w:r>
      <w:r>
        <w:rPr>
          <w:rFonts w:hint="eastAsia" w:ascii="宋体" w:hAnsi="宋体" w:eastAsia="宋体" w:cs="宋体"/>
          <w:b/>
          <w:bCs/>
          <w:color w:val="auto"/>
          <w:spacing w:val="-2"/>
          <w:sz w:val="24"/>
          <w:szCs w:val="24"/>
          <w:highlight w:val="none"/>
          <w:lang w:val="en-US" w:eastAsia="zh-CN"/>
        </w:rPr>
        <w:t>2</w:t>
      </w:r>
      <w:r>
        <w:rPr>
          <w:rFonts w:hint="eastAsia" w:ascii="宋体" w:hAnsi="宋体" w:eastAsia="宋体" w:cs="宋体"/>
          <w:b/>
          <w:bCs/>
          <w:color w:val="auto"/>
          <w:spacing w:val="-2"/>
          <w:sz w:val="24"/>
          <w:szCs w:val="24"/>
          <w:highlight w:val="none"/>
          <w:lang w:eastAsia="zh-CN"/>
        </w:rPr>
        <w:t>）</w:t>
      </w:r>
      <w:r>
        <w:rPr>
          <w:rFonts w:hint="eastAsia" w:ascii="宋体" w:hAnsi="宋体" w:eastAsia="宋体" w:cs="宋体"/>
          <w:color w:val="auto"/>
          <w:spacing w:val="1"/>
          <w:sz w:val="24"/>
          <w:szCs w:val="24"/>
          <w:highlight w:val="none"/>
        </w:rPr>
        <w:t>已标价工程量清单中没有适用但有类似于变更工程项目的，可在合理范围内</w:t>
      </w:r>
      <w:r>
        <w:rPr>
          <w:rFonts w:hint="eastAsia" w:ascii="宋体" w:hAnsi="宋体" w:eastAsia="宋体" w:cs="宋体"/>
          <w:color w:val="auto"/>
          <w:spacing w:val="-3"/>
          <w:sz w:val="24"/>
          <w:szCs w:val="24"/>
          <w:highlight w:val="none"/>
        </w:rPr>
        <w:t>参照类似项目的单价。</w:t>
      </w:r>
      <w:r>
        <w:rPr>
          <w:rFonts w:hint="eastAsia" w:ascii="宋体" w:hAnsi="宋体" w:eastAsia="宋体" w:cs="宋体"/>
          <w:b/>
          <w:bCs/>
          <w:color w:val="auto"/>
          <w:spacing w:val="-3"/>
          <w:sz w:val="24"/>
          <w:szCs w:val="24"/>
          <w:highlight w:val="none"/>
        </w:rPr>
        <w:t>但如果被参考的类似项目属于按照第二章“</w:t>
      </w:r>
      <w:r>
        <w:rPr>
          <w:rFonts w:hint="eastAsia" w:ascii="宋体" w:hAnsi="宋体" w:eastAsia="宋体" w:cs="宋体"/>
          <w:color w:val="auto"/>
          <w:spacing w:val="-88"/>
          <w:sz w:val="24"/>
          <w:szCs w:val="24"/>
          <w:highlight w:val="none"/>
        </w:rPr>
        <w:t xml:space="preserve"> </w:t>
      </w:r>
      <w:r>
        <w:rPr>
          <w:rFonts w:hint="eastAsia" w:ascii="宋体" w:hAnsi="宋体" w:eastAsia="宋体" w:cs="宋体"/>
          <w:b/>
          <w:bCs/>
          <w:color w:val="auto"/>
          <w:spacing w:val="-4"/>
          <w:sz w:val="24"/>
          <w:szCs w:val="24"/>
          <w:highlight w:val="none"/>
        </w:rPr>
        <w:t>中标人须知</w:t>
      </w:r>
      <w:r>
        <w:rPr>
          <w:rFonts w:hint="eastAsia" w:ascii="宋体" w:hAnsi="宋体" w:eastAsia="宋体" w:cs="宋体"/>
          <w:color w:val="auto"/>
          <w:spacing w:val="-85"/>
          <w:sz w:val="24"/>
          <w:szCs w:val="24"/>
          <w:highlight w:val="none"/>
        </w:rPr>
        <w:t xml:space="preserve"> </w:t>
      </w:r>
      <w:r>
        <w:rPr>
          <w:rFonts w:hint="eastAsia" w:ascii="宋体" w:hAnsi="宋体" w:eastAsia="宋体" w:cs="宋体"/>
          <w:b/>
          <w:bCs/>
          <w:color w:val="auto"/>
          <w:spacing w:val="-4"/>
          <w:sz w:val="24"/>
          <w:szCs w:val="24"/>
          <w:highlight w:val="none"/>
        </w:rPr>
        <w:t>”第</w:t>
      </w:r>
      <w:r>
        <w:rPr>
          <w:rFonts w:hint="eastAsia" w:ascii="宋体" w:hAnsi="宋体" w:eastAsia="宋体" w:cs="宋体"/>
          <w:color w:val="auto"/>
          <w:spacing w:val="-54"/>
          <w:sz w:val="24"/>
          <w:szCs w:val="24"/>
          <w:highlight w:val="none"/>
        </w:rPr>
        <w:t xml:space="preserve"> </w:t>
      </w:r>
      <w:r>
        <w:rPr>
          <w:rFonts w:hint="eastAsia" w:ascii="宋体" w:hAnsi="宋体" w:eastAsia="宋体" w:cs="宋体"/>
          <w:b/>
          <w:bCs/>
          <w:color w:val="auto"/>
          <w:spacing w:val="-4"/>
          <w:sz w:val="24"/>
          <w:szCs w:val="24"/>
          <w:highlight w:val="none"/>
        </w:rPr>
        <w:t>4.2</w:t>
      </w:r>
      <w:r>
        <w:rPr>
          <w:rFonts w:hint="eastAsia" w:ascii="宋体" w:hAnsi="宋体" w:eastAsia="宋体" w:cs="宋体"/>
          <w:b/>
          <w:bCs/>
          <w:color w:val="auto"/>
          <w:sz w:val="24"/>
          <w:szCs w:val="24"/>
          <w:highlight w:val="none"/>
        </w:rPr>
        <w:t xml:space="preserve">   </w:t>
      </w:r>
      <w:r>
        <w:rPr>
          <w:rFonts w:hint="eastAsia" w:ascii="宋体" w:hAnsi="宋体" w:eastAsia="宋体" w:cs="宋体"/>
          <w:b/>
          <w:bCs/>
          <w:color w:val="auto"/>
          <w:spacing w:val="-4"/>
          <w:sz w:val="24"/>
          <w:szCs w:val="24"/>
          <w:highlight w:val="none"/>
        </w:rPr>
        <w:t>条被认定为不平衡报价的清单项目，变更工程项目的单价按照本章2.3.2.1 的方法调整。</w:t>
      </w:r>
    </w:p>
    <w:p w14:paraId="614A34F7">
      <w:pPr>
        <w:numPr>
          <w:ilvl w:val="0"/>
          <w:numId w:val="0"/>
        </w:numPr>
        <w:spacing w:before="38" w:line="310" w:lineRule="auto"/>
        <w:ind w:right="81" w:rightChars="0" w:firstLine="242" w:firstLineChars="100"/>
        <w:jc w:val="both"/>
        <w:rPr>
          <w:rFonts w:hint="eastAsia" w:ascii="宋体" w:hAnsi="宋体" w:eastAsia="宋体" w:cs="宋体"/>
          <w:color w:val="auto"/>
          <w:spacing w:val="-2"/>
          <w:sz w:val="24"/>
          <w:szCs w:val="24"/>
          <w:highlight w:val="none"/>
        </w:rPr>
      </w:pP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lang w:val="en-US" w:eastAsia="zh-CN"/>
        </w:rPr>
        <w:t>3</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已标价工程量清单中没有适用也没有类似于变更工程项目的，由承包人根据</w:t>
      </w:r>
      <w:r>
        <w:rPr>
          <w:rFonts w:hint="eastAsia" w:ascii="宋体" w:hAnsi="宋体" w:eastAsia="宋体" w:cs="宋体"/>
          <w:color w:val="auto"/>
          <w:spacing w:val="-2"/>
          <w:sz w:val="24"/>
          <w:szCs w:val="24"/>
          <w:highlight w:val="none"/>
        </w:rPr>
        <w:t>变更工程资料、计量规则、计价办法、施工当月项目所在地工程造价管理机构发布的价格信息和中标下浮率提出变更工程项目的单价，报发包人确认后调整。中标下浮率的计算公式如下：</w:t>
      </w:r>
    </w:p>
    <w:p w14:paraId="5948F271">
      <w:pPr>
        <w:spacing w:before="126" w:line="314" w:lineRule="auto"/>
        <w:ind w:left="29" w:right="21" w:firstLine="503"/>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中标下浮率=[1-（中标价-中标</w:t>
      </w:r>
      <w:r>
        <w:rPr>
          <w:rFonts w:hint="eastAsia" w:ascii="宋体" w:hAnsi="宋体" w:eastAsia="宋体" w:cs="宋体"/>
          <w:b/>
          <w:bCs/>
          <w:color w:val="auto"/>
          <w:spacing w:val="-2"/>
          <w:sz w:val="24"/>
          <w:szCs w:val="24"/>
          <w:highlight w:val="none"/>
          <w:lang w:val="en-US" w:eastAsia="zh-CN"/>
        </w:rPr>
        <w:t>安全生产措施费</w:t>
      </w:r>
      <w:r>
        <w:rPr>
          <w:rFonts w:hint="eastAsia" w:ascii="宋体" w:hAnsi="宋体" w:eastAsia="宋体" w:cs="宋体"/>
          <w:b/>
          <w:bCs/>
          <w:color w:val="auto"/>
          <w:spacing w:val="-2"/>
          <w:sz w:val="24"/>
          <w:szCs w:val="24"/>
          <w:highlight w:val="none"/>
        </w:rPr>
        <w:t>-暂列</w:t>
      </w:r>
      <w:r>
        <w:rPr>
          <w:rFonts w:hint="eastAsia" w:ascii="宋体" w:hAnsi="宋体" w:eastAsia="宋体" w:cs="宋体"/>
          <w:b/>
          <w:bCs/>
          <w:color w:val="auto"/>
          <w:spacing w:val="-3"/>
          <w:sz w:val="24"/>
          <w:szCs w:val="24"/>
          <w:highlight w:val="none"/>
        </w:rPr>
        <w:t>金额-暂估价）/（</w:t>
      </w:r>
      <w:r>
        <w:rPr>
          <w:rFonts w:hint="eastAsia" w:ascii="宋体" w:hAnsi="宋体" w:eastAsia="宋体" w:cs="宋体"/>
          <w:b/>
          <w:bCs/>
          <w:color w:val="auto"/>
          <w:spacing w:val="-3"/>
          <w:sz w:val="24"/>
          <w:szCs w:val="24"/>
          <w:highlight w:val="none"/>
          <w:lang w:eastAsia="zh-CN"/>
        </w:rPr>
        <w:t>最高投标限价</w:t>
      </w:r>
      <w:r>
        <w:rPr>
          <w:rFonts w:hint="eastAsia" w:ascii="宋体" w:hAnsi="宋体" w:eastAsia="宋体" w:cs="宋体"/>
          <w:b/>
          <w:bCs/>
          <w:color w:val="auto"/>
          <w:spacing w:val="-3"/>
          <w:sz w:val="24"/>
          <w:szCs w:val="24"/>
          <w:highlight w:val="none"/>
        </w:rPr>
        <w:t>-控制价</w:t>
      </w:r>
      <w:r>
        <w:rPr>
          <w:rFonts w:hint="eastAsia" w:ascii="宋体" w:hAnsi="宋体" w:eastAsia="宋体" w:cs="宋体"/>
          <w:b/>
          <w:bCs/>
          <w:color w:val="auto"/>
          <w:spacing w:val="-2"/>
          <w:sz w:val="24"/>
          <w:szCs w:val="24"/>
          <w:highlight w:val="none"/>
          <w:lang w:val="en-US" w:eastAsia="zh-CN"/>
        </w:rPr>
        <w:t>安全生产措施费</w:t>
      </w:r>
      <w:r>
        <w:rPr>
          <w:rFonts w:hint="eastAsia" w:ascii="宋体" w:hAnsi="宋体" w:eastAsia="宋体" w:cs="宋体"/>
          <w:b/>
          <w:bCs/>
          <w:color w:val="auto"/>
          <w:spacing w:val="-3"/>
          <w:sz w:val="24"/>
          <w:szCs w:val="24"/>
          <w:highlight w:val="none"/>
        </w:rPr>
        <w:t>-暂列金额-暂估价）]</w:t>
      </w:r>
      <w:r>
        <w:rPr>
          <w:rFonts w:hint="eastAsia" w:ascii="宋体" w:hAnsi="宋体" w:eastAsia="宋体" w:cs="宋体"/>
          <w:color w:val="auto"/>
          <w:spacing w:val="-73"/>
          <w:sz w:val="24"/>
          <w:szCs w:val="24"/>
          <w:highlight w:val="none"/>
        </w:rPr>
        <w:t xml:space="preserve"> </w:t>
      </w:r>
      <w:r>
        <w:rPr>
          <w:rFonts w:hint="eastAsia" w:ascii="宋体" w:hAnsi="宋体" w:eastAsia="宋体" w:cs="宋体"/>
          <w:b/>
          <w:bCs/>
          <w:color w:val="auto"/>
          <w:spacing w:val="-3"/>
          <w:sz w:val="24"/>
          <w:szCs w:val="24"/>
          <w:highlight w:val="none"/>
        </w:rPr>
        <w:t>×100%</w:t>
      </w:r>
    </w:p>
    <w:p w14:paraId="3F324216">
      <w:pPr>
        <w:spacing w:before="145" w:line="309" w:lineRule="auto"/>
        <w:ind w:right="81" w:firstLine="242" w:firstLineChars="100"/>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lang w:val="en-US" w:eastAsia="zh-CN"/>
        </w:rPr>
        <w:t>4</w:t>
      </w:r>
      <w:r>
        <w:rPr>
          <w:rFonts w:hint="eastAsia" w:ascii="宋体" w:hAnsi="宋体" w:eastAsia="宋体" w:cs="宋体"/>
          <w:color w:val="auto"/>
          <w:spacing w:val="1"/>
          <w:sz w:val="24"/>
          <w:szCs w:val="24"/>
          <w:highlight w:val="none"/>
          <w:lang w:eastAsia="zh-CN"/>
        </w:rPr>
        <w:t>）</w:t>
      </w:r>
      <w:r>
        <w:rPr>
          <w:rFonts w:hint="eastAsia" w:ascii="宋体" w:hAnsi="宋体" w:eastAsia="宋体" w:cs="宋体"/>
          <w:snapToGrid w:val="0"/>
          <w:color w:val="auto"/>
          <w:kern w:val="0"/>
          <w:sz w:val="24"/>
          <w:szCs w:val="24"/>
          <w:highlight w:val="none"/>
          <w:lang w:eastAsia="zh-CN"/>
        </w:rPr>
        <w:t>已标价工程量清单中没有适用也没有类似于变更工程项目，且施工当月项目所在地工程造价管理机构发布的价格信息缺项的，由承包人根据变更工程资料、计量规则、计价办法和通过市场调查等取得有合法依据的市场价格提出变更工程项目的单价，报发包人确认后调整。</w:t>
      </w:r>
    </w:p>
    <w:p w14:paraId="5B2F5D0A">
      <w:pPr>
        <w:spacing w:before="156" w:line="309" w:lineRule="auto"/>
        <w:ind w:left="7" w:right="81" w:firstLine="477"/>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"2.3.3.2"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3"/>
          <w:sz w:val="24"/>
          <w:szCs w:val="24"/>
          <w:highlight w:val="none"/>
        </w:rPr>
        <w:t>2.3.3.2</w:t>
      </w:r>
      <w:r>
        <w:rPr>
          <w:rFonts w:hint="eastAsia" w:ascii="宋体" w:hAnsi="宋体" w:eastAsia="宋体" w:cs="宋体"/>
          <w:b/>
          <w:bCs/>
          <w:color w:val="auto"/>
          <w:spacing w:val="-3"/>
          <w:sz w:val="24"/>
          <w:szCs w:val="24"/>
          <w:highlight w:val="none"/>
        </w:rPr>
        <w:fldChar w:fldCharType="end"/>
      </w:r>
      <w:r>
        <w:rPr>
          <w:rFonts w:hint="eastAsia" w:ascii="宋体" w:hAnsi="宋体" w:eastAsia="宋体" w:cs="宋体"/>
          <w:b/>
          <w:bCs/>
          <w:color w:val="auto"/>
          <w:spacing w:val="-3"/>
          <w:sz w:val="24"/>
          <w:szCs w:val="24"/>
          <w:highlight w:val="none"/>
        </w:rPr>
        <w:t xml:space="preserve">  </w:t>
      </w:r>
      <w:r>
        <w:rPr>
          <w:rFonts w:hint="eastAsia" w:ascii="宋体" w:hAnsi="宋体" w:eastAsia="宋体" w:cs="宋体"/>
          <w:color w:val="auto"/>
          <w:spacing w:val="-3"/>
          <w:sz w:val="24"/>
          <w:szCs w:val="24"/>
          <w:highlight w:val="none"/>
        </w:rPr>
        <w:t>工程变更引起施工方案改变并使措施项目发生变化时，承包人提出调整措施</w:t>
      </w:r>
      <w:r>
        <w:rPr>
          <w:rFonts w:hint="eastAsia" w:ascii="宋体" w:hAnsi="宋体" w:eastAsia="宋体" w:cs="宋体"/>
          <w:color w:val="auto"/>
          <w:spacing w:val="-2"/>
          <w:sz w:val="24"/>
          <w:szCs w:val="24"/>
          <w:highlight w:val="none"/>
        </w:rPr>
        <w:t>项目费的，应事先将拟实施的方案提交发包人确认，并应详细说明与原方案措施项目相比的变化情况。拟实施的方案经发、承包双方确认后执行，并按照本章下列规定调整措施项目费：</w:t>
      </w:r>
    </w:p>
    <w:p w14:paraId="2F8C611A">
      <w:pPr>
        <w:spacing w:before="152" w:line="220" w:lineRule="auto"/>
        <w:ind w:left="499"/>
        <w:rPr>
          <w:rFonts w:hint="eastAsia" w:ascii="宋体" w:hAnsi="宋体" w:eastAsia="宋体" w:cs="宋体"/>
          <w:b w:val="0"/>
          <w:bCs w:val="0"/>
          <w:color w:val="auto"/>
          <w:sz w:val="24"/>
          <w:szCs w:val="24"/>
          <w:highlight w:val="none"/>
        </w:rPr>
      </w:pPr>
      <w:r>
        <w:rPr>
          <w:rFonts w:hint="eastAsia" w:ascii="宋体" w:hAnsi="宋体" w:eastAsia="宋体" w:cs="宋体"/>
          <w:color w:val="auto"/>
          <w:spacing w:val="-1"/>
          <w:sz w:val="24"/>
          <w:szCs w:val="24"/>
          <w:highlight w:val="none"/>
        </w:rPr>
        <w:t>（1</w:t>
      </w:r>
      <w:r>
        <w:rPr>
          <w:rFonts w:hint="eastAsia" w:ascii="宋体" w:hAnsi="宋体" w:eastAsia="宋体" w:cs="宋体"/>
          <w:b/>
          <w:bCs/>
          <w:color w:val="auto"/>
          <w:spacing w:val="-1"/>
          <w:sz w:val="24"/>
          <w:szCs w:val="24"/>
          <w:highlight w:val="none"/>
        </w:rPr>
        <w:t>）</w:t>
      </w:r>
      <w:r>
        <w:rPr>
          <w:rFonts w:hint="eastAsia" w:ascii="宋体" w:hAnsi="宋体" w:eastAsia="宋体" w:cs="宋体"/>
          <w:b w:val="0"/>
          <w:bCs w:val="0"/>
          <w:color w:val="auto"/>
          <w:spacing w:val="-1"/>
          <w:sz w:val="24"/>
          <w:szCs w:val="24"/>
          <w:highlight w:val="none"/>
        </w:rPr>
        <w:t>安全生产措施费应按照实际发生变化的措施项目计算。</w:t>
      </w:r>
    </w:p>
    <w:p w14:paraId="333CD790">
      <w:pPr>
        <w:spacing w:before="156" w:line="309" w:lineRule="auto"/>
        <w:ind w:left="7" w:right="81" w:firstLine="477"/>
        <w:rPr>
          <w:rFonts w:hint="eastAsia" w:ascii="宋体" w:hAnsi="宋体" w:eastAsia="宋体" w:cs="宋体"/>
          <w:color w:val="auto"/>
          <w:spacing w:val="-3"/>
          <w:sz w:val="24"/>
          <w:szCs w:val="24"/>
          <w:highlight w:val="none"/>
        </w:rPr>
      </w:pPr>
      <w:r>
        <w:rPr>
          <w:rFonts w:hint="eastAsia" w:ascii="宋体" w:hAnsi="宋体" w:eastAsia="宋体" w:cs="宋体"/>
          <w:color w:val="auto"/>
          <w:spacing w:val="1"/>
          <w:sz w:val="24"/>
          <w:szCs w:val="24"/>
          <w:highlight w:val="none"/>
        </w:rPr>
        <w:t>（2）</w:t>
      </w:r>
      <w:r>
        <w:rPr>
          <w:rFonts w:hint="eastAsia" w:ascii="宋体" w:hAnsi="宋体" w:eastAsia="宋体" w:cs="宋体"/>
          <w:color w:val="auto"/>
          <w:spacing w:val="-3"/>
          <w:sz w:val="24"/>
          <w:szCs w:val="24"/>
          <w:highlight w:val="none"/>
        </w:rPr>
        <w:t>采用单价计算的措施项目费，应按照实际发生变化的措施项目，按本章第 2.3.3.1 子目的规定确定单价。</w:t>
      </w:r>
    </w:p>
    <w:p w14:paraId="088DAF00">
      <w:pPr>
        <w:spacing w:before="154" w:line="360" w:lineRule="auto"/>
        <w:ind w:left="8" w:right="81" w:firstLine="49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（3）按总价或系数计算的措施项目费，应按照实际发生变化的措施项目费调整并</w:t>
      </w:r>
      <w:r>
        <w:rPr>
          <w:rFonts w:hint="eastAsia" w:ascii="宋体" w:hAnsi="宋体" w:eastAsia="宋体" w:cs="宋体"/>
          <w:color w:val="auto"/>
          <w:spacing w:val="-3"/>
          <w:sz w:val="24"/>
          <w:szCs w:val="24"/>
          <w:highlight w:val="none"/>
        </w:rPr>
        <w:t>考虑中标下浮率因素，即调整金额＝按照实际变化调整后的金额×（ 1-中标下浮率）。</w:t>
      </w:r>
    </w:p>
    <w:p w14:paraId="515109DD">
      <w:pPr>
        <w:spacing w:before="157" w:line="324" w:lineRule="auto"/>
        <w:ind w:left="21" w:right="81" w:firstLine="47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如果承包人未事先将拟实施的方案提交发包人确认，视为工程变更不引起措施项目费的调整或承包人放弃调整措施项目费的权利。</w:t>
      </w:r>
    </w:p>
    <w:p w14:paraId="0D1EB54E">
      <w:pPr>
        <w:spacing w:before="35" w:line="309" w:lineRule="auto"/>
        <w:ind w:right="81" w:firstLine="420" w:firstLineChars="200"/>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"2.3.3.3"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3"/>
          <w:sz w:val="24"/>
          <w:szCs w:val="24"/>
          <w:highlight w:val="none"/>
        </w:rPr>
        <w:t>2.3.3.3</w:t>
      </w:r>
      <w:r>
        <w:rPr>
          <w:rFonts w:hint="eastAsia" w:ascii="宋体" w:hAnsi="宋体" w:eastAsia="宋体" w:cs="宋体"/>
          <w:b/>
          <w:bCs/>
          <w:color w:val="auto"/>
          <w:spacing w:val="-3"/>
          <w:sz w:val="24"/>
          <w:szCs w:val="24"/>
          <w:highlight w:val="none"/>
        </w:rPr>
        <w:fldChar w:fldCharType="end"/>
      </w:r>
      <w:r>
        <w:rPr>
          <w:rFonts w:hint="eastAsia" w:ascii="宋体" w:hAnsi="宋体" w:eastAsia="宋体" w:cs="宋体"/>
          <w:b/>
          <w:bCs/>
          <w:color w:val="auto"/>
          <w:spacing w:val="-3"/>
          <w:sz w:val="24"/>
          <w:szCs w:val="24"/>
          <w:highlight w:val="none"/>
        </w:rPr>
        <w:t xml:space="preserve">  </w:t>
      </w:r>
      <w:r>
        <w:rPr>
          <w:rFonts w:hint="eastAsia" w:ascii="宋体" w:hAnsi="宋体" w:eastAsia="宋体" w:cs="宋体"/>
          <w:color w:val="auto"/>
          <w:spacing w:val="-3"/>
          <w:sz w:val="24"/>
          <w:szCs w:val="24"/>
          <w:highlight w:val="none"/>
        </w:rPr>
        <w:t>当因非承包人原因，发包人提出的工程变更删减了合同中的某项原定工作或</w:t>
      </w:r>
      <w:r>
        <w:rPr>
          <w:rFonts w:hint="eastAsia" w:ascii="宋体" w:hAnsi="宋体" w:eastAsia="宋体" w:cs="宋体"/>
          <w:color w:val="auto"/>
          <w:spacing w:val="-2"/>
          <w:sz w:val="24"/>
          <w:szCs w:val="24"/>
          <w:highlight w:val="none"/>
        </w:rPr>
        <w:t>工程，致使承包人发生的费用或（和）得到的收益不能被包括在其他已支付或应支付的项目中，也未被包含在任何替代的工作或工程中时，承包人有权提出并应得到合理的费用及利润补偿。</w:t>
      </w:r>
    </w:p>
    <w:p w14:paraId="047FB0FC">
      <w:pPr>
        <w:spacing w:before="155" w:line="220" w:lineRule="auto"/>
        <w:ind w:left="484"/>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2.3.4  </w:t>
      </w:r>
      <w:r>
        <w:rPr>
          <w:rFonts w:hint="eastAsia" w:ascii="宋体" w:hAnsi="宋体" w:eastAsia="宋体" w:cs="宋体"/>
          <w:color w:val="auto"/>
          <w:spacing w:val="-1"/>
          <w:sz w:val="24"/>
          <w:szCs w:val="24"/>
          <w:highlight w:val="none"/>
        </w:rPr>
        <w:t>项目特征不符</w:t>
      </w:r>
    </w:p>
    <w:p w14:paraId="6D62B6B4">
      <w:pPr>
        <w:spacing w:before="78" w:line="331" w:lineRule="auto"/>
        <w:ind w:left="8" w:right="108" w:firstLine="480"/>
        <w:jc w:val="both"/>
        <w:rPr>
          <w:rFonts w:hint="eastAsia" w:ascii="宋体" w:hAnsi="宋体" w:eastAsia="宋体" w:cs="宋体"/>
          <w:color w:val="auto"/>
          <w:sz w:val="24"/>
          <w:szCs w:val="24"/>
          <w:highlight w:val="none"/>
        </w:rPr>
      </w:pPr>
      <w:bookmarkStart w:id="176" w:name="bookmark144"/>
      <w:bookmarkEnd w:id="176"/>
      <w:r>
        <w:rPr>
          <w:rFonts w:hint="eastAsia" w:ascii="宋体" w:hAnsi="宋体" w:eastAsia="宋体" w:cs="宋体"/>
          <w:color w:val="auto"/>
          <w:spacing w:val="-2"/>
          <w:sz w:val="24"/>
          <w:szCs w:val="24"/>
          <w:highlight w:val="none"/>
        </w:rPr>
        <w:t>承包人应按照发包人提供的设计图纸实施合同工程，若在合同履行期间出现设计图纸（含设计变更）与招标工程量清单任一项目的特征描述不符，且该变化引起该项目工</w:t>
      </w:r>
      <w:r>
        <w:rPr>
          <w:rFonts w:hint="eastAsia" w:ascii="宋体" w:hAnsi="宋体" w:eastAsia="宋体" w:cs="宋体"/>
          <w:color w:val="auto"/>
          <w:sz w:val="24"/>
          <w:szCs w:val="24"/>
          <w:highlight w:val="none"/>
        </w:rPr>
        <w:t>程造价增减变化的，应按照实际施工的项目特征，并按本章第</w:t>
      </w:r>
      <w:r>
        <w:rPr>
          <w:rFonts w:hint="eastAsia" w:ascii="宋体" w:hAnsi="宋体" w:eastAsia="宋体" w:cs="宋体"/>
          <w:color w:val="auto"/>
          <w:spacing w:val="-52"/>
          <w:sz w:val="24"/>
          <w:szCs w:val="24"/>
          <w:highlight w:val="none"/>
        </w:rPr>
        <w:t xml:space="preserve"> </w:t>
      </w:r>
      <w:r>
        <w:rPr>
          <w:rFonts w:hint="eastAsia" w:ascii="宋体" w:hAnsi="宋体" w:eastAsia="宋体" w:cs="宋体"/>
          <w:b/>
          <w:bCs/>
          <w:color w:val="auto"/>
          <w:sz w:val="24"/>
          <w:szCs w:val="24"/>
          <w:highlight w:val="none"/>
        </w:rPr>
        <w:t xml:space="preserve">2.3.3 </w:t>
      </w:r>
      <w:r>
        <w:rPr>
          <w:rFonts w:hint="eastAsia" w:ascii="宋体" w:hAnsi="宋体" w:eastAsia="宋体" w:cs="宋体"/>
          <w:color w:val="auto"/>
          <w:sz w:val="24"/>
          <w:szCs w:val="24"/>
          <w:highlight w:val="none"/>
        </w:rPr>
        <w:t>目相</w:t>
      </w:r>
      <w:r>
        <w:rPr>
          <w:rFonts w:hint="eastAsia" w:ascii="宋体" w:hAnsi="宋体" w:eastAsia="宋体" w:cs="宋体"/>
          <w:color w:val="auto"/>
          <w:spacing w:val="-1"/>
          <w:sz w:val="24"/>
          <w:szCs w:val="24"/>
          <w:highlight w:val="none"/>
        </w:rPr>
        <w:t>关条款的规定重新确定相应工程量清单项目的综合单价，并调整合同价款。</w:t>
      </w:r>
    </w:p>
    <w:p w14:paraId="5EC40401">
      <w:pPr>
        <w:spacing w:before="38" w:line="221" w:lineRule="auto"/>
        <w:ind w:left="485"/>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2.3.5  </w:t>
      </w:r>
      <w:r>
        <w:rPr>
          <w:rFonts w:hint="eastAsia" w:ascii="宋体" w:hAnsi="宋体" w:eastAsia="宋体" w:cs="宋体"/>
          <w:color w:val="auto"/>
          <w:spacing w:val="-1"/>
          <w:sz w:val="24"/>
          <w:szCs w:val="24"/>
          <w:highlight w:val="none"/>
        </w:rPr>
        <w:t>招标工程量清单缺项</w:t>
      </w:r>
    </w:p>
    <w:p w14:paraId="0C2F665E">
      <w:pPr>
        <w:spacing w:before="152" w:line="278" w:lineRule="auto"/>
        <w:ind w:left="9" w:right="56" w:firstLine="476"/>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"2.3.5.1"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1"/>
          <w:sz w:val="24"/>
          <w:szCs w:val="24"/>
          <w:highlight w:val="none"/>
        </w:rPr>
        <w:t>2.3.5.1</w:t>
      </w:r>
      <w:r>
        <w:rPr>
          <w:rFonts w:hint="eastAsia" w:ascii="宋体" w:hAnsi="宋体" w:eastAsia="宋体" w:cs="宋体"/>
          <w:b/>
          <w:bCs/>
          <w:color w:val="auto"/>
          <w:spacing w:val="-1"/>
          <w:sz w:val="24"/>
          <w:szCs w:val="24"/>
          <w:highlight w:val="none"/>
        </w:rPr>
        <w:fldChar w:fldCharType="end"/>
      </w:r>
      <w:r>
        <w:rPr>
          <w:rFonts w:hint="eastAsia" w:ascii="宋体" w:hAnsi="宋体" w:eastAsia="宋体" w:cs="宋体"/>
          <w:b/>
          <w:bCs/>
          <w:color w:val="auto"/>
          <w:spacing w:val="-1"/>
          <w:sz w:val="24"/>
          <w:szCs w:val="24"/>
          <w:highlight w:val="none"/>
        </w:rPr>
        <w:t xml:space="preserve">  </w:t>
      </w:r>
      <w:r>
        <w:rPr>
          <w:rFonts w:hint="eastAsia" w:ascii="宋体" w:hAnsi="宋体" w:eastAsia="宋体" w:cs="宋体"/>
          <w:color w:val="auto"/>
          <w:spacing w:val="-1"/>
          <w:sz w:val="24"/>
          <w:szCs w:val="24"/>
          <w:highlight w:val="none"/>
        </w:rPr>
        <w:t>合同履行期间，由于招标</w:t>
      </w:r>
      <w:r>
        <w:rPr>
          <w:rFonts w:hint="eastAsia" w:ascii="宋体" w:hAnsi="宋体" w:eastAsia="宋体" w:cs="宋体"/>
          <w:color w:val="auto"/>
          <w:spacing w:val="-2"/>
          <w:sz w:val="24"/>
          <w:szCs w:val="24"/>
          <w:highlight w:val="none"/>
        </w:rPr>
        <w:t>工程量清单中缺项，新增分部分项工程清单项目，</w:t>
      </w:r>
      <w:r>
        <w:rPr>
          <w:rFonts w:hint="eastAsia" w:ascii="宋体" w:hAnsi="宋体" w:eastAsia="宋体" w:cs="宋体"/>
          <w:color w:val="auto"/>
          <w:spacing w:val="-1"/>
          <w:sz w:val="24"/>
          <w:szCs w:val="24"/>
          <w:highlight w:val="none"/>
        </w:rPr>
        <w:t>应按照本章第</w:t>
      </w:r>
      <w:r>
        <w:rPr>
          <w:rFonts w:hint="eastAsia" w:ascii="宋体" w:hAnsi="宋体" w:eastAsia="宋体" w:cs="宋体"/>
          <w:color w:val="auto"/>
          <w:spacing w:val="-39"/>
          <w:sz w:val="24"/>
          <w:szCs w:val="24"/>
          <w:highlight w:val="none"/>
        </w:rPr>
        <w:t xml:space="preserve"> </w:t>
      </w:r>
      <w:r>
        <w:rPr>
          <w:rFonts w:hint="eastAsia" w:ascii="宋体" w:hAnsi="宋体" w:eastAsia="宋体" w:cs="宋体"/>
          <w:b/>
          <w:bCs/>
          <w:color w:val="auto"/>
          <w:spacing w:val="-1"/>
          <w:sz w:val="24"/>
          <w:szCs w:val="24"/>
          <w:highlight w:val="none"/>
        </w:rPr>
        <w:t xml:space="preserve">2.3.3.1 </w:t>
      </w:r>
      <w:r>
        <w:rPr>
          <w:rFonts w:hint="eastAsia" w:ascii="宋体" w:hAnsi="宋体" w:eastAsia="宋体" w:cs="宋体"/>
          <w:color w:val="auto"/>
          <w:spacing w:val="-1"/>
          <w:sz w:val="24"/>
          <w:szCs w:val="24"/>
          <w:highlight w:val="none"/>
        </w:rPr>
        <w:t>子目的规定确定单价，并调整合同价款。</w:t>
      </w:r>
    </w:p>
    <w:p w14:paraId="44C1D396">
      <w:pPr>
        <w:spacing w:before="157" w:line="219" w:lineRule="auto"/>
        <w:ind w:firstLine="420" w:firstLineChars="200"/>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"2.3.5.2"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1"/>
          <w:sz w:val="24"/>
          <w:szCs w:val="24"/>
          <w:highlight w:val="none"/>
        </w:rPr>
        <w:t>2.3.5.2</w:t>
      </w:r>
      <w:r>
        <w:rPr>
          <w:rFonts w:hint="eastAsia" w:ascii="宋体" w:hAnsi="宋体" w:eastAsia="宋体" w:cs="宋体"/>
          <w:b/>
          <w:bCs/>
          <w:color w:val="auto"/>
          <w:spacing w:val="-1"/>
          <w:sz w:val="24"/>
          <w:szCs w:val="24"/>
          <w:highlight w:val="none"/>
        </w:rPr>
        <w:fldChar w:fldCharType="end"/>
      </w:r>
      <w:r>
        <w:rPr>
          <w:rFonts w:hint="eastAsia" w:ascii="宋体" w:hAnsi="宋体" w:eastAsia="宋体" w:cs="宋体"/>
          <w:b/>
          <w:bCs/>
          <w:color w:val="auto"/>
          <w:spacing w:val="-1"/>
          <w:sz w:val="24"/>
          <w:szCs w:val="24"/>
          <w:highlight w:val="none"/>
        </w:rPr>
        <w:t xml:space="preserve">  </w:t>
      </w:r>
      <w:r>
        <w:rPr>
          <w:rFonts w:hint="eastAsia" w:ascii="宋体" w:hAnsi="宋体" w:eastAsia="宋体" w:cs="宋体"/>
          <w:color w:val="auto"/>
          <w:spacing w:val="-1"/>
          <w:sz w:val="24"/>
          <w:szCs w:val="24"/>
          <w:highlight w:val="none"/>
        </w:rPr>
        <w:t>新增分部分项工程清单项目后，引起</w:t>
      </w:r>
      <w:r>
        <w:rPr>
          <w:rFonts w:hint="eastAsia" w:ascii="宋体" w:hAnsi="宋体" w:eastAsia="宋体" w:cs="宋体"/>
          <w:color w:val="auto"/>
          <w:spacing w:val="-2"/>
          <w:sz w:val="24"/>
          <w:szCs w:val="24"/>
          <w:highlight w:val="none"/>
        </w:rPr>
        <w:t>措施项目发生变化的，应按照本章第</w:t>
      </w:r>
      <w:r>
        <w:rPr>
          <w:rFonts w:hint="eastAsia" w:ascii="宋体" w:hAnsi="宋体" w:eastAsia="宋体" w:cs="宋体"/>
          <w:color w:val="auto"/>
          <w:spacing w:val="-54"/>
          <w:sz w:val="24"/>
          <w:szCs w:val="24"/>
          <w:highlight w:val="none"/>
        </w:rPr>
        <w:t xml:space="preserve"> </w:t>
      </w:r>
      <w:r>
        <w:rPr>
          <w:rFonts w:hint="eastAsia" w:ascii="宋体" w:hAnsi="宋体" w:eastAsia="宋体" w:cs="宋体"/>
          <w:b/>
          <w:bCs/>
          <w:color w:val="auto"/>
          <w:spacing w:val="-2"/>
          <w:sz w:val="24"/>
          <w:szCs w:val="24"/>
          <w:highlight w:val="none"/>
        </w:rPr>
        <w:t>2.</w:t>
      </w:r>
      <w:r>
        <w:rPr>
          <w:rFonts w:hint="eastAsia" w:ascii="宋体" w:hAnsi="宋体" w:eastAsia="宋体" w:cs="宋体"/>
          <w:b/>
          <w:bCs/>
          <w:color w:val="auto"/>
          <w:sz w:val="24"/>
          <w:szCs w:val="24"/>
          <w:highlight w:val="none"/>
        </w:rPr>
        <w:t xml:space="preserve">3.3.2 </w:t>
      </w:r>
      <w:r>
        <w:rPr>
          <w:rFonts w:hint="eastAsia" w:ascii="宋体" w:hAnsi="宋体" w:eastAsia="宋体" w:cs="宋体"/>
          <w:color w:val="auto"/>
          <w:sz w:val="24"/>
          <w:szCs w:val="24"/>
          <w:highlight w:val="none"/>
        </w:rPr>
        <w:t>子目的规定，在承包人提交的实施方案被发包人批准后调整</w:t>
      </w:r>
      <w:r>
        <w:rPr>
          <w:rFonts w:hint="eastAsia" w:ascii="宋体" w:hAnsi="宋体" w:eastAsia="宋体" w:cs="宋体"/>
          <w:color w:val="auto"/>
          <w:spacing w:val="-1"/>
          <w:sz w:val="24"/>
          <w:szCs w:val="24"/>
          <w:highlight w:val="none"/>
        </w:rPr>
        <w:t>合同价款。</w:t>
      </w:r>
    </w:p>
    <w:p w14:paraId="068505DF">
      <w:pPr>
        <w:spacing w:before="156" w:line="279" w:lineRule="auto"/>
        <w:ind w:left="13" w:right="108" w:firstLine="471"/>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"2.3.5.3"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4"/>
          <w:sz w:val="24"/>
          <w:szCs w:val="24"/>
          <w:highlight w:val="none"/>
        </w:rPr>
        <w:t>2.3.5.3</w:t>
      </w:r>
      <w:r>
        <w:rPr>
          <w:rFonts w:hint="eastAsia" w:ascii="宋体" w:hAnsi="宋体" w:eastAsia="宋体" w:cs="宋体"/>
          <w:b/>
          <w:bCs/>
          <w:color w:val="auto"/>
          <w:spacing w:val="-4"/>
          <w:sz w:val="24"/>
          <w:szCs w:val="24"/>
          <w:highlight w:val="none"/>
        </w:rPr>
        <w:fldChar w:fldCharType="end"/>
      </w:r>
      <w:r>
        <w:rPr>
          <w:rFonts w:hint="eastAsia" w:ascii="宋体" w:hAnsi="宋体" w:eastAsia="宋体" w:cs="宋体"/>
          <w:b/>
          <w:bCs/>
          <w:color w:val="auto"/>
          <w:spacing w:val="22"/>
          <w:w w:val="101"/>
          <w:sz w:val="24"/>
          <w:szCs w:val="24"/>
          <w:highlight w:val="none"/>
        </w:rPr>
        <w:t xml:space="preserve">  </w:t>
      </w:r>
      <w:r>
        <w:rPr>
          <w:rFonts w:hint="eastAsia" w:ascii="宋体" w:hAnsi="宋体" w:eastAsia="宋体" w:cs="宋体"/>
          <w:color w:val="auto"/>
          <w:spacing w:val="-4"/>
          <w:sz w:val="24"/>
          <w:szCs w:val="24"/>
          <w:highlight w:val="none"/>
        </w:rPr>
        <w:t>由于招标工程量清单中措施项目缺项，承包人应将新增措施项目实施方案提</w:t>
      </w:r>
      <w:r>
        <w:rPr>
          <w:rFonts w:hint="eastAsia" w:ascii="宋体" w:hAnsi="宋体" w:eastAsia="宋体" w:cs="宋体"/>
          <w:color w:val="auto"/>
          <w:spacing w:val="-1"/>
          <w:sz w:val="24"/>
          <w:szCs w:val="24"/>
          <w:highlight w:val="none"/>
        </w:rPr>
        <w:t>交发包人批准后，按照本章第</w:t>
      </w:r>
      <w:r>
        <w:rPr>
          <w:rFonts w:hint="eastAsia" w:ascii="宋体" w:hAnsi="宋体" w:eastAsia="宋体" w:cs="宋体"/>
          <w:color w:val="auto"/>
          <w:spacing w:val="-36"/>
          <w:sz w:val="24"/>
          <w:szCs w:val="24"/>
          <w:highlight w:val="none"/>
        </w:rPr>
        <w:t xml:space="preserve"> </w:t>
      </w:r>
      <w:r>
        <w:rPr>
          <w:rFonts w:hint="eastAsia" w:ascii="宋体" w:hAnsi="宋体" w:eastAsia="宋体" w:cs="宋体"/>
          <w:b/>
          <w:bCs/>
          <w:color w:val="auto"/>
          <w:spacing w:val="-1"/>
          <w:sz w:val="24"/>
          <w:szCs w:val="24"/>
          <w:highlight w:val="none"/>
        </w:rPr>
        <w:t xml:space="preserve">2.3.3.1 </w:t>
      </w:r>
      <w:r>
        <w:rPr>
          <w:rFonts w:hint="eastAsia" w:ascii="宋体" w:hAnsi="宋体" w:eastAsia="宋体" w:cs="宋体"/>
          <w:color w:val="auto"/>
          <w:spacing w:val="-1"/>
          <w:sz w:val="24"/>
          <w:szCs w:val="24"/>
          <w:highlight w:val="none"/>
        </w:rPr>
        <w:t>子目、第</w:t>
      </w:r>
      <w:r>
        <w:rPr>
          <w:rFonts w:hint="eastAsia" w:ascii="宋体" w:hAnsi="宋体" w:eastAsia="宋体" w:cs="宋体"/>
          <w:color w:val="auto"/>
          <w:spacing w:val="-55"/>
          <w:sz w:val="24"/>
          <w:szCs w:val="24"/>
          <w:highlight w:val="none"/>
        </w:rPr>
        <w:t xml:space="preserve"> </w:t>
      </w:r>
      <w:r>
        <w:rPr>
          <w:rFonts w:hint="eastAsia" w:ascii="宋体" w:hAnsi="宋体" w:eastAsia="宋体" w:cs="宋体"/>
          <w:b/>
          <w:bCs/>
          <w:color w:val="auto"/>
          <w:spacing w:val="-1"/>
          <w:sz w:val="24"/>
          <w:szCs w:val="24"/>
          <w:highlight w:val="none"/>
        </w:rPr>
        <w:t xml:space="preserve">2.3.3.2 </w:t>
      </w:r>
      <w:r>
        <w:rPr>
          <w:rFonts w:hint="eastAsia" w:ascii="宋体" w:hAnsi="宋体" w:eastAsia="宋体" w:cs="宋体"/>
          <w:color w:val="auto"/>
          <w:spacing w:val="-1"/>
          <w:sz w:val="24"/>
          <w:szCs w:val="24"/>
          <w:highlight w:val="none"/>
        </w:rPr>
        <w:t>子目的规定调整合同价款。</w:t>
      </w:r>
    </w:p>
    <w:p w14:paraId="13F65CBF">
      <w:pPr>
        <w:spacing w:before="154" w:line="219" w:lineRule="auto"/>
        <w:ind w:left="485"/>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2.3.6  </w:t>
      </w:r>
      <w:r>
        <w:rPr>
          <w:rFonts w:hint="eastAsia" w:ascii="宋体" w:hAnsi="宋体" w:eastAsia="宋体" w:cs="宋体"/>
          <w:color w:val="auto"/>
          <w:spacing w:val="-1"/>
          <w:sz w:val="24"/>
          <w:szCs w:val="24"/>
          <w:highlight w:val="none"/>
        </w:rPr>
        <w:t>物价变化</w:t>
      </w:r>
    </w:p>
    <w:p w14:paraId="2033D4F9">
      <w:pPr>
        <w:spacing w:before="156" w:line="315" w:lineRule="auto"/>
        <w:ind w:left="8" w:right="108" w:firstLine="477"/>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"2.3.6.1"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3"/>
          <w:sz w:val="24"/>
          <w:szCs w:val="24"/>
          <w:highlight w:val="none"/>
        </w:rPr>
        <w:t>2.3.6.1</w:t>
      </w:r>
      <w:r>
        <w:rPr>
          <w:rFonts w:hint="eastAsia" w:ascii="宋体" w:hAnsi="宋体" w:eastAsia="宋体" w:cs="宋体"/>
          <w:b/>
          <w:bCs/>
          <w:color w:val="auto"/>
          <w:spacing w:val="-3"/>
          <w:sz w:val="24"/>
          <w:szCs w:val="24"/>
          <w:highlight w:val="none"/>
        </w:rPr>
        <w:fldChar w:fldCharType="end"/>
      </w:r>
      <w:r>
        <w:rPr>
          <w:rFonts w:hint="eastAsia" w:ascii="宋体" w:hAnsi="宋体" w:eastAsia="宋体" w:cs="宋体"/>
          <w:b/>
          <w:bCs/>
          <w:color w:val="auto"/>
          <w:spacing w:val="-3"/>
          <w:sz w:val="24"/>
          <w:szCs w:val="24"/>
          <w:highlight w:val="none"/>
        </w:rPr>
        <w:t xml:space="preserve">  </w:t>
      </w:r>
      <w:r>
        <w:rPr>
          <w:rFonts w:hint="eastAsia" w:ascii="宋体" w:hAnsi="宋体" w:eastAsia="宋体" w:cs="宋体"/>
          <w:color w:val="auto"/>
          <w:spacing w:val="-3"/>
          <w:sz w:val="24"/>
          <w:szCs w:val="24"/>
          <w:highlight w:val="none"/>
        </w:rPr>
        <w:t>合同履行期间，项目所在地工程造价管理机构发布的动态人工调整系数发生变化时，如果承包人投标报价中人工费（以下简称“</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3"/>
          <w:sz w:val="24"/>
          <w:szCs w:val="24"/>
          <w:highlight w:val="none"/>
        </w:rPr>
        <w:t>中标人工费</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3"/>
          <w:sz w:val="24"/>
          <w:szCs w:val="24"/>
          <w:highlight w:val="none"/>
        </w:rPr>
        <w:t>”）</w:t>
      </w:r>
      <w:r>
        <w:rPr>
          <w:rFonts w:hint="eastAsia" w:ascii="宋体" w:hAnsi="宋体" w:eastAsia="宋体" w:cs="宋体"/>
          <w:color w:val="auto"/>
          <w:spacing w:val="-4"/>
          <w:sz w:val="24"/>
          <w:szCs w:val="24"/>
          <w:highlight w:val="none"/>
        </w:rPr>
        <w:t>等于或超过施工当</w:t>
      </w:r>
      <w:r>
        <w:rPr>
          <w:rFonts w:hint="eastAsia" w:ascii="宋体" w:hAnsi="宋体" w:eastAsia="宋体" w:cs="宋体"/>
          <w:color w:val="auto"/>
          <w:spacing w:val="-2"/>
          <w:sz w:val="24"/>
          <w:szCs w:val="24"/>
          <w:highlight w:val="none"/>
        </w:rPr>
        <w:t>月经动态调整后的定额人工费，该清单项目中标人工费不予调整；如果中标人工费低于施工当月经动态调整后的定额人工费，该清单项目中标人工费可以调整，相关费用按有</w:t>
      </w:r>
      <w:r>
        <w:rPr>
          <w:rFonts w:hint="eastAsia" w:ascii="宋体" w:hAnsi="宋体" w:eastAsia="宋体" w:cs="宋体"/>
          <w:color w:val="auto"/>
          <w:spacing w:val="-1"/>
          <w:sz w:val="24"/>
          <w:szCs w:val="24"/>
          <w:highlight w:val="none"/>
        </w:rPr>
        <w:t>关规定进行相应调整。结算人工费调整公式为：</w:t>
      </w:r>
    </w:p>
    <w:p w14:paraId="29AB0F6A">
      <w:pPr>
        <w:spacing w:before="153" w:line="220" w:lineRule="auto"/>
        <w:ind w:left="494"/>
        <w:rPr>
          <w:rFonts w:hint="eastAsia" w:ascii="宋体" w:hAnsi="宋体" w:eastAsia="宋体" w:cs="宋体"/>
          <w:color w:val="auto"/>
          <w:sz w:val="15"/>
          <w:szCs w:val="15"/>
          <w:highlight w:val="none"/>
        </w:rPr>
      </w:pPr>
      <w:r>
        <w:rPr>
          <w:rFonts w:hint="eastAsia" w:ascii="宋体" w:hAnsi="宋体" w:eastAsia="宋体" w:cs="宋体"/>
          <w:color w:val="auto"/>
          <w:spacing w:val="-1"/>
          <w:sz w:val="24"/>
          <w:szCs w:val="24"/>
          <w:highlight w:val="none"/>
        </w:rPr>
        <w:t>结算人工费＝中标人工费×F</w:t>
      </w:r>
      <w:r>
        <w:rPr>
          <w:rFonts w:hint="eastAsia" w:ascii="宋体" w:hAnsi="宋体" w:eastAsia="宋体" w:cs="宋体"/>
          <w:color w:val="auto"/>
          <w:spacing w:val="-1"/>
          <w:position w:val="-1"/>
          <w:sz w:val="15"/>
          <w:szCs w:val="15"/>
          <w:highlight w:val="none"/>
        </w:rPr>
        <w:t>1</w:t>
      </w:r>
    </w:p>
    <w:p w14:paraId="27F82D1B">
      <w:pPr>
        <w:spacing w:before="152" w:line="219" w:lineRule="auto"/>
        <w:ind w:left="493"/>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式中，F</w:t>
      </w:r>
      <w:r>
        <w:rPr>
          <w:rFonts w:hint="eastAsia" w:ascii="宋体" w:hAnsi="宋体" w:eastAsia="宋体" w:cs="宋体"/>
          <w:color w:val="auto"/>
          <w:spacing w:val="-1"/>
          <w:position w:val="-1"/>
          <w:sz w:val="15"/>
          <w:szCs w:val="15"/>
          <w:highlight w:val="none"/>
        </w:rPr>
        <w:t>1</w:t>
      </w:r>
      <w:r>
        <w:rPr>
          <w:rFonts w:hint="eastAsia" w:ascii="宋体" w:hAnsi="宋体" w:eastAsia="宋体" w:cs="宋体"/>
          <w:color w:val="auto"/>
          <w:spacing w:val="23"/>
          <w:w w:val="101"/>
          <w:position w:val="-1"/>
          <w:sz w:val="15"/>
          <w:szCs w:val="15"/>
          <w:highlight w:val="none"/>
        </w:rPr>
        <w:t xml:space="preserve"> </w:t>
      </w:r>
      <w:r>
        <w:rPr>
          <w:rFonts w:hint="eastAsia" w:ascii="宋体" w:hAnsi="宋体" w:eastAsia="宋体" w:cs="宋体"/>
          <w:color w:val="auto"/>
          <w:spacing w:val="-1"/>
          <w:sz w:val="24"/>
          <w:szCs w:val="24"/>
          <w:highlight w:val="none"/>
        </w:rPr>
        <w:t>为施工当月项目所在地工程造价管理机构发布的动态人工调整系数。</w:t>
      </w:r>
    </w:p>
    <w:p w14:paraId="6301761F">
      <w:pPr>
        <w:spacing w:before="119" w:line="324" w:lineRule="auto"/>
        <w:ind w:left="1" w:right="108" w:firstLine="483"/>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fldChar w:fldCharType="begin"/>
      </w:r>
      <w:r>
        <w:rPr>
          <w:rFonts w:hint="eastAsia" w:ascii="宋体" w:hAnsi="宋体" w:eastAsia="宋体" w:cs="宋体"/>
          <w:b/>
          <w:bCs/>
          <w:color w:val="auto"/>
          <w:spacing w:val="-1"/>
          <w:sz w:val="24"/>
          <w:szCs w:val="24"/>
          <w:highlight w:val="none"/>
        </w:rPr>
        <w:instrText xml:space="preserve"> HYPERLINK "2.3.6.2" </w:instrText>
      </w:r>
      <w:r>
        <w:rPr>
          <w:rFonts w:hint="eastAsia" w:ascii="宋体" w:hAnsi="宋体" w:eastAsia="宋体" w:cs="宋体"/>
          <w:b/>
          <w:bCs/>
          <w:color w:val="auto"/>
          <w:spacing w:val="-1"/>
          <w:sz w:val="24"/>
          <w:szCs w:val="24"/>
          <w:highlight w:val="none"/>
        </w:rPr>
        <w:fldChar w:fldCharType="separate"/>
      </w:r>
      <w:r>
        <w:rPr>
          <w:rFonts w:hint="eastAsia" w:ascii="宋体" w:hAnsi="宋体" w:eastAsia="宋体" w:cs="宋体"/>
          <w:b/>
          <w:bCs/>
          <w:color w:val="auto"/>
          <w:spacing w:val="-1"/>
          <w:sz w:val="24"/>
          <w:szCs w:val="24"/>
          <w:highlight w:val="none"/>
        </w:rPr>
        <w:t>2.3.6.2</w:t>
      </w:r>
      <w:r>
        <w:rPr>
          <w:rFonts w:hint="eastAsia" w:ascii="宋体" w:hAnsi="宋体" w:eastAsia="宋体" w:cs="宋体"/>
          <w:b/>
          <w:bCs/>
          <w:color w:val="auto"/>
          <w:spacing w:val="-1"/>
          <w:sz w:val="24"/>
          <w:szCs w:val="24"/>
          <w:highlight w:val="none"/>
        </w:rPr>
        <w:fldChar w:fldCharType="end"/>
      </w:r>
      <w:r>
        <w:rPr>
          <w:rFonts w:hint="eastAsia" w:ascii="宋体" w:hAnsi="宋体" w:eastAsia="宋体" w:cs="宋体"/>
          <w:b/>
          <w:bCs/>
          <w:color w:val="auto"/>
          <w:spacing w:val="-1"/>
          <w:sz w:val="24"/>
          <w:szCs w:val="24"/>
          <w:highlight w:val="none"/>
        </w:rPr>
        <w:t xml:space="preserve">  </w:t>
      </w:r>
      <w:r>
        <w:rPr>
          <w:rFonts w:hint="eastAsia" w:ascii="宋体" w:hAnsi="宋体" w:eastAsia="宋体" w:cs="宋体"/>
          <w:color w:val="auto"/>
          <w:spacing w:val="-1"/>
          <w:sz w:val="24"/>
          <w:szCs w:val="24"/>
          <w:highlight w:val="none"/>
        </w:rPr>
        <w:t>本招标项目约定，材料、工程设备</w:t>
      </w:r>
      <w:r>
        <w:rPr>
          <w:rFonts w:hint="eastAsia" w:ascii="宋体" w:hAnsi="宋体" w:eastAsia="宋体" w:cs="宋体"/>
          <w:color w:val="auto"/>
          <w:spacing w:val="-2"/>
          <w:sz w:val="24"/>
          <w:szCs w:val="24"/>
          <w:highlight w:val="none"/>
        </w:rPr>
        <w:t>单价涨跌风险幅度值</w:t>
      </w:r>
      <w:r>
        <w:rPr>
          <w:rFonts w:hint="eastAsia" w:ascii="宋体" w:hAnsi="宋体" w:eastAsia="宋体" w:cs="宋体"/>
          <w:color w:val="auto"/>
          <w:spacing w:val="-59"/>
          <w:sz w:val="24"/>
          <w:szCs w:val="24"/>
          <w:highlight w:val="none"/>
        </w:rPr>
        <w:t xml:space="preserve"> </w:t>
      </w:r>
      <w:r>
        <w:rPr>
          <w:rFonts w:hint="eastAsia" w:ascii="宋体" w:hAnsi="宋体" w:eastAsia="宋体" w:cs="宋体"/>
          <w:color w:val="auto"/>
          <w:spacing w:val="-2"/>
          <w:sz w:val="24"/>
          <w:szCs w:val="24"/>
          <w:highlight w:val="none"/>
        </w:rPr>
        <w:t>A 为</w:t>
      </w:r>
      <w:r>
        <w:rPr>
          <w:rFonts w:hint="eastAsia" w:ascii="宋体" w:hAnsi="宋体" w:eastAsia="宋体" w:cs="宋体"/>
          <w:color w:val="auto"/>
          <w:spacing w:val="-2"/>
          <w:sz w:val="24"/>
          <w:szCs w:val="24"/>
          <w:highlight w:val="none"/>
          <w:u w:val="single"/>
        </w:rPr>
        <w:t xml:space="preserve">  5%   </w:t>
      </w:r>
      <w:r>
        <w:rPr>
          <w:rFonts w:hint="eastAsia" w:ascii="宋体" w:hAnsi="宋体" w:eastAsia="宋体" w:cs="宋体"/>
          <w:color w:val="auto"/>
          <w:spacing w:val="-2"/>
          <w:sz w:val="24"/>
          <w:szCs w:val="24"/>
          <w:highlight w:val="none"/>
        </w:rPr>
        <w:t>。合同履</w:t>
      </w:r>
      <w:r>
        <w:rPr>
          <w:rFonts w:hint="eastAsia" w:ascii="宋体" w:hAnsi="宋体" w:eastAsia="宋体" w:cs="宋体"/>
          <w:color w:val="auto"/>
          <w:spacing w:val="-1"/>
          <w:sz w:val="24"/>
          <w:szCs w:val="24"/>
          <w:highlight w:val="none"/>
        </w:rPr>
        <w:t>行期间，当《承包人提供主要材料和工程设备一览表》（</w:t>
      </w:r>
      <w:r>
        <w:rPr>
          <w:rFonts w:hint="eastAsia" w:ascii="宋体" w:hAnsi="宋体" w:eastAsia="宋体" w:cs="宋体"/>
          <w:color w:val="auto"/>
          <w:spacing w:val="-2"/>
          <w:sz w:val="24"/>
          <w:szCs w:val="24"/>
          <w:highlight w:val="none"/>
        </w:rPr>
        <w:t>详见招标工程量清单）中的材</w:t>
      </w:r>
      <w:r>
        <w:rPr>
          <w:rFonts w:hint="eastAsia" w:ascii="宋体" w:hAnsi="宋体" w:eastAsia="宋体" w:cs="宋体"/>
          <w:color w:val="auto"/>
          <w:spacing w:val="-3"/>
          <w:sz w:val="24"/>
          <w:szCs w:val="24"/>
          <w:highlight w:val="none"/>
        </w:rPr>
        <w:t>料、工程设备单价涨跌幅度等于或低于</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3"/>
          <w:sz w:val="24"/>
          <w:szCs w:val="24"/>
          <w:highlight w:val="none"/>
        </w:rPr>
        <w:t>A 值时，该材料、工程设备单价不予调整；超过</w:t>
      </w:r>
      <w:r>
        <w:rPr>
          <w:rFonts w:hint="eastAsia" w:ascii="宋体" w:hAnsi="宋体" w:eastAsia="宋体" w:cs="宋体"/>
          <w:color w:val="auto"/>
          <w:sz w:val="24"/>
          <w:szCs w:val="24"/>
          <w:highlight w:val="none"/>
        </w:rPr>
        <w:t>A 值时，其超过部分可以调整。相关费用按有关规定进行相</w:t>
      </w:r>
      <w:r>
        <w:rPr>
          <w:rFonts w:hint="eastAsia" w:ascii="宋体" w:hAnsi="宋体" w:eastAsia="宋体" w:cs="宋体"/>
          <w:color w:val="auto"/>
          <w:spacing w:val="-1"/>
          <w:sz w:val="24"/>
          <w:szCs w:val="24"/>
          <w:highlight w:val="none"/>
        </w:rPr>
        <w:t>应调整。</w:t>
      </w:r>
    </w:p>
    <w:p w14:paraId="266AED0D">
      <w:pPr>
        <w:spacing w:before="126" w:line="295" w:lineRule="auto"/>
        <w:ind w:left="11" w:right="108" w:firstLine="477"/>
        <w:jc w:val="both"/>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lang w:eastAsia="zh-CN"/>
        </w:rPr>
        <w:t>a ．如果承包人投标报价中材料、工程设备单价（以下简称“ 中标单价 ”）低于基准日当月项目所在地工程造价管理机构发布的对应材料、工程设备单价（以下简称“基准单价 ”），该材料、工程设备的结算单价调整公式为：</w:t>
      </w:r>
    </w:p>
    <w:p w14:paraId="17CE028D">
      <w:pPr>
        <w:wordWrap w:val="0"/>
        <w:adjustRightInd w:val="0"/>
        <w:snapToGrid w:val="0"/>
        <w:spacing w:before="360" w:beforeLines="150" w:after="240" w:afterLines="100" w:line="44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a．涨价时，</w:t>
      </w:r>
      <w:r>
        <w:rPr>
          <w:rFonts w:hint="eastAsia" w:ascii="宋体" w:hAnsi="宋体" w:eastAsia="宋体" w:cs="宋体"/>
          <w:snapToGrid w:val="0"/>
          <w:color w:val="auto"/>
          <w:kern w:val="0"/>
          <w:position w:val="-30"/>
          <w:sz w:val="24"/>
          <w:szCs w:val="24"/>
          <w:highlight w:val="none"/>
        </w:rPr>
        <w:object>
          <v:shape id="_x0000_i1025" o:spt="75" type="#_x0000_t75" style="height:33.95pt;width:200.95pt;" o:ole="t" filled="f" o:preferrelative="t" stroked="f" coordsize="21600,21600">
            <v:path/>
            <v:fill on="f" focussize="0,0"/>
            <v:stroke on="f"/>
            <v:imagedata r:id="rId30" embosscolor="#FFFFFF" o:title=""/>
            <o:lock v:ext="edit" grouping="f" rotation="f" text="f" aspectratio="t"/>
            <w10:wrap type="none"/>
            <w10:anchorlock/>
          </v:shape>
          <o:OLEObject Type="Embed" ProgID="Equation.KSEE3" ShapeID="_x0000_i1025" DrawAspect="Content" ObjectID="_1468075725" r:id="rId29">
            <o:LockedField>false</o:LockedField>
          </o:OLEObject>
        </w:object>
      </w:r>
    </w:p>
    <w:p w14:paraId="1DAEC11B">
      <w:pPr>
        <w:wordWrap w:val="0"/>
        <w:adjustRightInd w:val="0"/>
        <w:spacing w:before="360" w:beforeLines="150" w:after="240" w:afterLines="100" w:line="44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跌价时，</w:t>
      </w:r>
      <w:r>
        <w:rPr>
          <w:rFonts w:hint="eastAsia" w:ascii="宋体" w:hAnsi="宋体" w:eastAsia="宋体" w:cs="宋体"/>
          <w:snapToGrid w:val="0"/>
          <w:color w:val="auto"/>
          <w:kern w:val="0"/>
          <w:position w:val="-30"/>
          <w:sz w:val="24"/>
          <w:szCs w:val="24"/>
          <w:highlight w:val="none"/>
        </w:rPr>
        <w:object>
          <v:shape id="_x0000_i1026" o:spt="75" type="#_x0000_t75" style="height:33.95pt;width:198.95pt;" o:ole="t" filled="f" o:preferrelative="t" stroked="f" coordsize="21600,21600">
            <v:path/>
            <v:fill on="f" focussize="0,0"/>
            <v:stroke on="f"/>
            <v:imagedata r:id="rId32" embosscolor="#FFFFFF" o:title=""/>
            <o:lock v:ext="edit" grouping="f" rotation="f" text="f" aspectratio="t"/>
            <w10:wrap type="none"/>
            <w10:anchorlock/>
          </v:shape>
          <o:OLEObject Type="Embed" ProgID="Equation.KSEE3" ShapeID="_x0000_i1026" DrawAspect="Content" ObjectID="_1468075726" r:id="rId31">
            <o:LockedField>false</o:LockedField>
          </o:OLEObject>
        </w:object>
      </w:r>
    </w:p>
    <w:p w14:paraId="0F78345B">
      <w:pPr>
        <w:wordWrap w:val="0"/>
        <w:adjustRightInd w:val="0"/>
        <w:snapToGrid w:val="0"/>
        <w:spacing w:before="360" w:beforeLines="150" w:after="240" w:afterLines="100" w:line="44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b．涨价时，</w:t>
      </w:r>
      <w:r>
        <w:rPr>
          <w:rFonts w:hint="eastAsia" w:ascii="宋体" w:hAnsi="宋体" w:eastAsia="宋体" w:cs="宋体"/>
          <w:snapToGrid w:val="0"/>
          <w:color w:val="auto"/>
          <w:kern w:val="0"/>
          <w:position w:val="-30"/>
          <w:sz w:val="24"/>
          <w:szCs w:val="24"/>
          <w:highlight w:val="none"/>
        </w:rPr>
        <w:object>
          <v:shape id="_x0000_i1027" o:spt="75" type="#_x0000_t75" style="height:33.95pt;width:198.95pt;" o:ole="t" filled="f" o:preferrelative="t" stroked="f" coordsize="21600,21600">
            <v:path/>
            <v:fill on="f" focussize="0,0"/>
            <v:stroke on="f"/>
            <v:imagedata r:id="rId34" embosscolor="#FFFFFF" o:title=""/>
            <o:lock v:ext="edit" grouping="f" rotation="f" text="f" aspectratio="t"/>
            <w10:wrap type="none"/>
            <w10:anchorlock/>
          </v:shape>
          <o:OLEObject Type="Embed" ProgID="Equation.KSEE3" ShapeID="_x0000_i1027" DrawAspect="Content" ObjectID="_1468075727" r:id="rId33">
            <o:LockedField>false</o:LockedField>
          </o:OLEObject>
        </w:object>
      </w:r>
    </w:p>
    <w:p w14:paraId="27B2B575">
      <w:pPr>
        <w:wordWrap w:val="0"/>
        <w:adjustRightInd w:val="0"/>
        <w:spacing w:before="360" w:beforeLines="150" w:after="240" w:afterLines="100" w:line="44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跌价时，</w:t>
      </w:r>
      <w:r>
        <w:rPr>
          <w:rFonts w:hint="eastAsia" w:ascii="宋体" w:hAnsi="宋体" w:eastAsia="宋体" w:cs="宋体"/>
          <w:snapToGrid w:val="0"/>
          <w:color w:val="auto"/>
          <w:kern w:val="0"/>
          <w:position w:val="-30"/>
          <w:sz w:val="24"/>
          <w:szCs w:val="24"/>
          <w:highlight w:val="none"/>
        </w:rPr>
        <w:object>
          <v:shape id="_x0000_i1028" o:spt="75" type="#_x0000_t75" style="height:33.95pt;width:200.95pt;" o:ole="t" filled="f" o:preferrelative="t" stroked="f" coordsize="21600,21600">
            <v:path/>
            <v:fill on="f" focussize="0,0"/>
            <v:stroke on="f"/>
            <v:imagedata r:id="rId36" embosscolor="#FFFFFF" o:title=""/>
            <o:lock v:ext="edit" grouping="f" rotation="f" text="f" aspectratio="t"/>
            <w10:wrap type="none"/>
            <w10:anchorlock/>
          </v:shape>
          <o:OLEObject Type="Embed" ProgID="Equation.KSEE3" ShapeID="_x0000_i1028" DrawAspect="Content" ObjectID="_1468075728" r:id="rId35">
            <o:LockedField>false</o:LockedField>
          </o:OLEObject>
        </w:object>
      </w:r>
    </w:p>
    <w:p w14:paraId="14309D94">
      <w:pPr>
        <w:wordWrap w:val="0"/>
        <w:adjustRightInd w:val="0"/>
        <w:snapToGrid w:val="0"/>
        <w:spacing w:before="360" w:beforeLines="150" w:after="240" w:afterLines="100" w:line="44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c．涨价时，</w:t>
      </w:r>
      <w:r>
        <w:rPr>
          <w:rFonts w:hint="eastAsia" w:ascii="宋体" w:hAnsi="宋体" w:eastAsia="宋体" w:cs="宋体"/>
          <w:snapToGrid w:val="0"/>
          <w:color w:val="auto"/>
          <w:kern w:val="0"/>
          <w:position w:val="-30"/>
          <w:sz w:val="24"/>
          <w:szCs w:val="24"/>
          <w:highlight w:val="none"/>
        </w:rPr>
        <w:object>
          <v:shape id="_x0000_i1029" o:spt="75" type="#_x0000_t75" style="height:33.95pt;width:200.95pt;" o:ole="t" filled="f" o:preferrelative="t" stroked="f" coordsize="21600,21600">
            <v:path/>
            <v:fill on="f" focussize="0,0"/>
            <v:stroke on="f"/>
            <v:imagedata r:id="rId38" embosscolor="#FFFFFF" o:title=""/>
            <o:lock v:ext="edit" grouping="f" rotation="f" text="f" aspectratio="t"/>
            <w10:wrap type="none"/>
            <w10:anchorlock/>
          </v:shape>
          <o:OLEObject Type="Embed" ProgID="Equation.KSEE3" ShapeID="_x0000_i1029" DrawAspect="Content" ObjectID="_1468075729" r:id="rId37">
            <o:LockedField>false</o:LockedField>
          </o:OLEObject>
        </w:object>
      </w:r>
    </w:p>
    <w:p w14:paraId="55761B5C">
      <w:pPr>
        <w:wordWrap w:val="0"/>
        <w:adjustRightInd w:val="0"/>
        <w:spacing w:before="360" w:beforeLines="150" w:after="240" w:afterLines="100" w:line="44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跌价时，</w:t>
      </w:r>
      <w:r>
        <w:rPr>
          <w:rFonts w:hint="eastAsia" w:ascii="宋体" w:hAnsi="宋体" w:eastAsia="宋体" w:cs="宋体"/>
          <w:snapToGrid w:val="0"/>
          <w:color w:val="auto"/>
          <w:kern w:val="0"/>
          <w:position w:val="-30"/>
          <w:sz w:val="24"/>
          <w:szCs w:val="24"/>
          <w:highlight w:val="none"/>
        </w:rPr>
        <w:object>
          <v:shape id="_x0000_i1030" o:spt="75" type="#_x0000_t75" style="height:33.95pt;width:200.95pt;" o:ole="t" filled="f" o:preferrelative="t" stroked="f" coordsize="21600,21600">
            <v:path/>
            <v:fill on="f" focussize="0,0"/>
            <v:stroke on="f"/>
            <v:imagedata r:id="rId40" embosscolor="#FFFFFF" o:title=""/>
            <o:lock v:ext="edit" grouping="f" rotation="f" text="f" aspectratio="t"/>
            <w10:wrap type="none"/>
            <w10:anchorlock/>
          </v:shape>
          <o:OLEObject Type="Embed" ProgID="Equation.KSEE3" ShapeID="_x0000_i1030" DrawAspect="Content" ObjectID="_1468075730" r:id="rId39">
            <o:LockedField>false</o:LockedField>
          </o:OLEObject>
        </w:object>
      </w:r>
    </w:p>
    <w:p w14:paraId="4364D528">
      <w:pPr>
        <w:spacing w:before="78"/>
        <w:ind w:left="330"/>
        <w:rPr>
          <w:rFonts w:hint="eastAsia" w:ascii="宋体" w:hAnsi="宋体" w:eastAsia="宋体" w:cs="宋体"/>
          <w:color w:val="auto"/>
          <w:sz w:val="24"/>
          <w:szCs w:val="24"/>
          <w:highlight w:val="none"/>
        </w:rPr>
      </w:pPr>
    </w:p>
    <w:p w14:paraId="07ED61AB">
      <w:pPr>
        <w:spacing w:before="78" w:line="330" w:lineRule="auto"/>
        <w:ind w:right="59" w:firstLine="507"/>
        <w:jc w:val="both"/>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以上公式中，F</w:t>
      </w:r>
      <w:r>
        <w:rPr>
          <w:rFonts w:hint="eastAsia" w:ascii="宋体" w:hAnsi="宋体" w:eastAsia="宋体" w:cs="宋体"/>
          <w:color w:val="auto"/>
          <w:spacing w:val="-4"/>
          <w:position w:val="-1"/>
          <w:sz w:val="15"/>
          <w:szCs w:val="15"/>
          <w:highlight w:val="none"/>
        </w:rPr>
        <w:t>1</w:t>
      </w:r>
      <w:r>
        <w:rPr>
          <w:rFonts w:hint="eastAsia" w:ascii="宋体" w:hAnsi="宋体" w:eastAsia="宋体" w:cs="宋体"/>
          <w:color w:val="auto"/>
          <w:spacing w:val="26"/>
          <w:position w:val="-1"/>
          <w:sz w:val="15"/>
          <w:szCs w:val="15"/>
          <w:highlight w:val="none"/>
        </w:rPr>
        <w:t xml:space="preserve"> </w:t>
      </w:r>
      <w:r>
        <w:rPr>
          <w:rFonts w:hint="eastAsia" w:ascii="宋体" w:hAnsi="宋体" w:eastAsia="宋体" w:cs="宋体"/>
          <w:color w:val="auto"/>
          <w:spacing w:val="-4"/>
          <w:sz w:val="24"/>
          <w:szCs w:val="24"/>
          <w:highlight w:val="none"/>
        </w:rPr>
        <w:t>为中标单价；F</w:t>
      </w:r>
      <w:r>
        <w:rPr>
          <w:rFonts w:hint="eastAsia" w:ascii="宋体" w:hAnsi="宋体" w:eastAsia="宋体" w:cs="宋体"/>
          <w:color w:val="auto"/>
          <w:spacing w:val="-4"/>
          <w:position w:val="-1"/>
          <w:sz w:val="15"/>
          <w:szCs w:val="15"/>
          <w:highlight w:val="none"/>
        </w:rPr>
        <w:t>0</w:t>
      </w:r>
      <w:r>
        <w:rPr>
          <w:rFonts w:hint="eastAsia" w:ascii="宋体" w:hAnsi="宋体" w:eastAsia="宋体" w:cs="宋体"/>
          <w:color w:val="auto"/>
          <w:spacing w:val="14"/>
          <w:w w:val="101"/>
          <w:position w:val="-1"/>
          <w:sz w:val="15"/>
          <w:szCs w:val="15"/>
          <w:highlight w:val="none"/>
        </w:rPr>
        <w:t xml:space="preserve"> </w:t>
      </w:r>
      <w:r>
        <w:rPr>
          <w:rFonts w:hint="eastAsia" w:ascii="宋体" w:hAnsi="宋体" w:eastAsia="宋体" w:cs="宋体"/>
          <w:color w:val="auto"/>
          <w:spacing w:val="-4"/>
          <w:sz w:val="24"/>
          <w:szCs w:val="24"/>
          <w:highlight w:val="none"/>
        </w:rPr>
        <w:t>为基准单价；F</w:t>
      </w:r>
      <w:r>
        <w:rPr>
          <w:rFonts w:hint="eastAsia" w:ascii="宋体" w:hAnsi="宋体" w:eastAsia="宋体" w:cs="宋体"/>
          <w:color w:val="auto"/>
          <w:spacing w:val="-4"/>
          <w:position w:val="-1"/>
          <w:sz w:val="15"/>
          <w:szCs w:val="15"/>
          <w:highlight w:val="none"/>
        </w:rPr>
        <w:t>2</w:t>
      </w:r>
      <w:r>
        <w:rPr>
          <w:rFonts w:hint="eastAsia" w:ascii="宋体" w:hAnsi="宋体" w:eastAsia="宋体" w:cs="宋体"/>
          <w:color w:val="auto"/>
          <w:spacing w:val="12"/>
          <w:position w:val="-1"/>
          <w:sz w:val="15"/>
          <w:szCs w:val="15"/>
          <w:highlight w:val="none"/>
        </w:rPr>
        <w:t xml:space="preserve"> </w:t>
      </w:r>
      <w:r>
        <w:rPr>
          <w:rFonts w:hint="eastAsia" w:ascii="宋体" w:hAnsi="宋体" w:eastAsia="宋体" w:cs="宋体"/>
          <w:color w:val="auto"/>
          <w:spacing w:val="-4"/>
          <w:sz w:val="24"/>
          <w:szCs w:val="24"/>
          <w:highlight w:val="none"/>
        </w:rPr>
        <w:t>为施工当月项目所在地工程造价管</w:t>
      </w:r>
      <w:r>
        <w:rPr>
          <w:rFonts w:hint="eastAsia" w:ascii="宋体" w:hAnsi="宋体" w:eastAsia="宋体" w:cs="宋体"/>
          <w:color w:val="auto"/>
          <w:spacing w:val="-1"/>
          <w:sz w:val="24"/>
          <w:szCs w:val="24"/>
          <w:highlight w:val="none"/>
        </w:rPr>
        <w:t>理机构发布的材料、工程设备单价；A 为合同约定的材料</w:t>
      </w:r>
      <w:r>
        <w:rPr>
          <w:rFonts w:hint="eastAsia" w:ascii="宋体" w:hAnsi="宋体" w:eastAsia="宋体" w:cs="宋体"/>
          <w:color w:val="auto"/>
          <w:spacing w:val="-2"/>
          <w:sz w:val="24"/>
          <w:szCs w:val="24"/>
          <w:highlight w:val="none"/>
        </w:rPr>
        <w:t>、工程设备单价涨跌风险幅度</w:t>
      </w:r>
      <w:r>
        <w:rPr>
          <w:rFonts w:hint="eastAsia" w:ascii="宋体" w:hAnsi="宋体" w:eastAsia="宋体" w:cs="宋体"/>
          <w:color w:val="auto"/>
          <w:spacing w:val="-5"/>
          <w:sz w:val="24"/>
          <w:szCs w:val="24"/>
          <w:highlight w:val="none"/>
        </w:rPr>
        <w:t>值。</w:t>
      </w:r>
    </w:p>
    <w:p w14:paraId="30753A35">
      <w:pPr>
        <w:spacing w:before="33" w:line="299" w:lineRule="auto"/>
        <w:ind w:right="59" w:firstLine="476"/>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"2.3.6.3"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3"/>
          <w:sz w:val="24"/>
          <w:szCs w:val="24"/>
          <w:highlight w:val="none"/>
        </w:rPr>
        <w:t>2.3.6.3</w:t>
      </w:r>
      <w:r>
        <w:rPr>
          <w:rFonts w:hint="eastAsia" w:ascii="宋体" w:hAnsi="宋体" w:eastAsia="宋体" w:cs="宋体"/>
          <w:b/>
          <w:bCs/>
          <w:color w:val="auto"/>
          <w:spacing w:val="-3"/>
          <w:sz w:val="24"/>
          <w:szCs w:val="24"/>
          <w:highlight w:val="none"/>
        </w:rPr>
        <w:fldChar w:fldCharType="end"/>
      </w:r>
      <w:r>
        <w:rPr>
          <w:rFonts w:hint="eastAsia" w:ascii="宋体" w:hAnsi="宋体" w:eastAsia="宋体" w:cs="宋体"/>
          <w:b/>
          <w:bCs/>
          <w:color w:val="auto"/>
          <w:spacing w:val="-3"/>
          <w:sz w:val="24"/>
          <w:szCs w:val="24"/>
          <w:highlight w:val="none"/>
        </w:rPr>
        <w:t xml:space="preserve">  </w:t>
      </w:r>
      <w:r>
        <w:rPr>
          <w:rFonts w:hint="eastAsia" w:ascii="宋体" w:hAnsi="宋体" w:eastAsia="宋体" w:cs="宋体"/>
          <w:color w:val="auto"/>
          <w:spacing w:val="-3"/>
          <w:sz w:val="24"/>
          <w:szCs w:val="24"/>
          <w:highlight w:val="none"/>
        </w:rPr>
        <w:t>合同履行期间，当《发包人提供材料和工程设备一览表》（详见招标工程量</w:t>
      </w:r>
      <w:r>
        <w:rPr>
          <w:rFonts w:hint="eastAsia" w:ascii="宋体" w:hAnsi="宋体" w:eastAsia="宋体" w:cs="宋体"/>
          <w:color w:val="auto"/>
          <w:spacing w:val="-2"/>
          <w:sz w:val="24"/>
          <w:szCs w:val="24"/>
          <w:highlight w:val="none"/>
        </w:rPr>
        <w:t>清单）中的材料、工程设备单价发生变化时，由发包人按照实际变化调整，并列入合同</w:t>
      </w:r>
      <w:r>
        <w:rPr>
          <w:rFonts w:hint="eastAsia" w:ascii="宋体" w:hAnsi="宋体" w:eastAsia="宋体" w:cs="宋体"/>
          <w:color w:val="auto"/>
          <w:spacing w:val="-4"/>
          <w:sz w:val="24"/>
          <w:szCs w:val="24"/>
          <w:highlight w:val="none"/>
        </w:rPr>
        <w:t>价款。</w:t>
      </w:r>
    </w:p>
    <w:p w14:paraId="0E854E2A">
      <w:pPr>
        <w:spacing w:before="121" w:line="308" w:lineRule="auto"/>
        <w:ind w:firstLine="477"/>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"2.3.6.4"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3"/>
          <w:sz w:val="24"/>
          <w:szCs w:val="24"/>
          <w:highlight w:val="none"/>
        </w:rPr>
        <w:t>2.3.6.4</w:t>
      </w:r>
      <w:r>
        <w:rPr>
          <w:rFonts w:hint="eastAsia" w:ascii="宋体" w:hAnsi="宋体" w:eastAsia="宋体" w:cs="宋体"/>
          <w:b/>
          <w:bCs/>
          <w:color w:val="auto"/>
          <w:spacing w:val="-3"/>
          <w:sz w:val="24"/>
          <w:szCs w:val="24"/>
          <w:highlight w:val="none"/>
        </w:rPr>
        <w:fldChar w:fldCharType="end"/>
      </w:r>
      <w:r>
        <w:rPr>
          <w:rFonts w:hint="eastAsia" w:ascii="宋体" w:hAnsi="宋体" w:eastAsia="宋体" w:cs="宋体"/>
          <w:b/>
          <w:bCs/>
          <w:color w:val="auto"/>
          <w:spacing w:val="-3"/>
          <w:sz w:val="24"/>
          <w:szCs w:val="24"/>
          <w:highlight w:val="none"/>
        </w:rPr>
        <w:t xml:space="preserve">  </w:t>
      </w:r>
      <w:r>
        <w:rPr>
          <w:rFonts w:hint="eastAsia" w:ascii="宋体" w:hAnsi="宋体" w:eastAsia="宋体" w:cs="宋体"/>
          <w:color w:val="auto"/>
          <w:spacing w:val="-3"/>
          <w:sz w:val="24"/>
          <w:szCs w:val="24"/>
          <w:highlight w:val="none"/>
        </w:rPr>
        <w:t>本招标项目约定，施工机具台班单价涨跌风险幅度值</w:t>
      </w:r>
      <w:r>
        <w:rPr>
          <w:rFonts w:hint="eastAsia" w:ascii="宋体" w:hAnsi="宋体" w:eastAsia="宋体" w:cs="宋体"/>
          <w:color w:val="auto"/>
          <w:spacing w:val="-56"/>
          <w:sz w:val="24"/>
          <w:szCs w:val="24"/>
          <w:highlight w:val="none"/>
        </w:rPr>
        <w:t xml:space="preserve"> </w:t>
      </w:r>
      <w:r>
        <w:rPr>
          <w:rFonts w:hint="eastAsia" w:ascii="宋体" w:hAnsi="宋体" w:eastAsia="宋体" w:cs="宋体"/>
          <w:color w:val="auto"/>
          <w:spacing w:val="-3"/>
          <w:sz w:val="24"/>
          <w:szCs w:val="24"/>
          <w:highlight w:val="none"/>
        </w:rPr>
        <w:t>B</w:t>
      </w:r>
      <w:r>
        <w:rPr>
          <w:rFonts w:hint="eastAsia" w:ascii="宋体" w:hAnsi="宋体" w:eastAsia="宋体" w:cs="宋体"/>
          <w:color w:val="auto"/>
          <w:spacing w:val="-4"/>
          <w:sz w:val="24"/>
          <w:szCs w:val="24"/>
          <w:highlight w:val="none"/>
        </w:rPr>
        <w:t xml:space="preserve"> 为</w:t>
      </w:r>
      <w:r>
        <w:rPr>
          <w:rFonts w:hint="eastAsia" w:ascii="宋体" w:hAnsi="宋体" w:eastAsia="宋体" w:cs="宋体"/>
          <w:color w:val="auto"/>
          <w:spacing w:val="14"/>
          <w:sz w:val="24"/>
          <w:szCs w:val="24"/>
          <w:highlight w:val="none"/>
          <w:u w:val="single"/>
        </w:rPr>
        <w:t xml:space="preserve">  </w:t>
      </w:r>
      <w:r>
        <w:rPr>
          <w:rFonts w:hint="eastAsia" w:ascii="宋体" w:hAnsi="宋体" w:eastAsia="宋体" w:cs="宋体"/>
          <w:color w:val="auto"/>
          <w:spacing w:val="-4"/>
          <w:sz w:val="24"/>
          <w:szCs w:val="24"/>
          <w:highlight w:val="none"/>
          <w:u w:val="single"/>
        </w:rPr>
        <w:t xml:space="preserve">10%  </w:t>
      </w:r>
      <w:r>
        <w:rPr>
          <w:rFonts w:hint="eastAsia" w:ascii="宋体" w:hAnsi="宋体" w:eastAsia="宋体" w:cs="宋体"/>
          <w:color w:val="auto"/>
          <w:spacing w:val="-4"/>
          <w:sz w:val="24"/>
          <w:szCs w:val="24"/>
          <w:highlight w:val="none"/>
        </w:rPr>
        <w:t>。合同履行</w:t>
      </w:r>
      <w:r>
        <w:rPr>
          <w:rFonts w:hint="eastAsia" w:ascii="宋体" w:hAnsi="宋体" w:eastAsia="宋体" w:cs="宋体"/>
          <w:color w:val="auto"/>
          <w:spacing w:val="-7"/>
          <w:sz w:val="24"/>
          <w:szCs w:val="24"/>
          <w:highlight w:val="none"/>
        </w:rPr>
        <w:t>期间，当施工机具台班单价涨跌幅度等于或低于</w:t>
      </w:r>
      <w:r>
        <w:rPr>
          <w:rFonts w:hint="eastAsia" w:ascii="宋体" w:hAnsi="宋体" w:eastAsia="宋体" w:cs="宋体"/>
          <w:color w:val="auto"/>
          <w:spacing w:val="-56"/>
          <w:sz w:val="24"/>
          <w:szCs w:val="24"/>
          <w:highlight w:val="none"/>
        </w:rPr>
        <w:t xml:space="preserve"> </w:t>
      </w:r>
      <w:r>
        <w:rPr>
          <w:rFonts w:hint="eastAsia" w:ascii="宋体" w:hAnsi="宋体" w:eastAsia="宋体" w:cs="宋体"/>
          <w:color w:val="auto"/>
          <w:spacing w:val="-7"/>
          <w:sz w:val="24"/>
          <w:szCs w:val="24"/>
          <w:highlight w:val="none"/>
        </w:rPr>
        <w:t>B 值时，该施工机具台班单价不予调</w:t>
      </w:r>
      <w:r>
        <w:rPr>
          <w:rFonts w:hint="eastAsia" w:ascii="宋体" w:hAnsi="宋体" w:eastAsia="宋体" w:cs="宋体"/>
          <w:color w:val="auto"/>
          <w:spacing w:val="-8"/>
          <w:sz w:val="24"/>
          <w:szCs w:val="24"/>
          <w:highlight w:val="none"/>
        </w:rPr>
        <w:t>整；</w:t>
      </w:r>
      <w:r>
        <w:rPr>
          <w:rFonts w:hint="eastAsia" w:ascii="宋体" w:hAnsi="宋体" w:eastAsia="宋体" w:cs="宋体"/>
          <w:color w:val="auto"/>
          <w:sz w:val="24"/>
          <w:szCs w:val="24"/>
          <w:highlight w:val="none"/>
        </w:rPr>
        <w:t>超过</w:t>
      </w:r>
      <w:r>
        <w:rPr>
          <w:rFonts w:hint="eastAsia" w:ascii="宋体" w:hAnsi="宋体" w:eastAsia="宋体" w:cs="宋体"/>
          <w:color w:val="auto"/>
          <w:spacing w:val="-56"/>
          <w:sz w:val="24"/>
          <w:szCs w:val="24"/>
          <w:highlight w:val="none"/>
        </w:rPr>
        <w:t xml:space="preserve"> </w:t>
      </w:r>
      <w:r>
        <w:rPr>
          <w:rFonts w:hint="eastAsia" w:ascii="宋体" w:hAnsi="宋体" w:eastAsia="宋体" w:cs="宋体"/>
          <w:color w:val="auto"/>
          <w:sz w:val="24"/>
          <w:szCs w:val="24"/>
          <w:highlight w:val="none"/>
        </w:rPr>
        <w:t>B 值时，其超过部分可以调整。相关费</w:t>
      </w:r>
      <w:r>
        <w:rPr>
          <w:rFonts w:hint="eastAsia" w:ascii="宋体" w:hAnsi="宋体" w:eastAsia="宋体" w:cs="宋体"/>
          <w:color w:val="auto"/>
          <w:spacing w:val="-1"/>
          <w:sz w:val="24"/>
          <w:szCs w:val="24"/>
          <w:highlight w:val="none"/>
        </w:rPr>
        <w:t>用按有关规定进行相应调整。</w:t>
      </w:r>
    </w:p>
    <w:p w14:paraId="56D691D2">
      <w:pPr>
        <w:spacing w:before="153" w:line="278" w:lineRule="auto"/>
        <w:ind w:left="42" w:right="59" w:firstLine="440"/>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a</w:t>
      </w:r>
      <w:r>
        <w:rPr>
          <w:rFonts w:hint="eastAsia" w:ascii="宋体" w:hAnsi="宋体" w:eastAsia="宋体" w:cs="宋体"/>
          <w:b/>
          <w:bCs/>
          <w:color w:val="auto"/>
          <w:spacing w:val="-26"/>
          <w:sz w:val="24"/>
          <w:szCs w:val="24"/>
          <w:highlight w:val="none"/>
        </w:rPr>
        <w:t xml:space="preserve"> </w:t>
      </w:r>
      <w:r>
        <w:rPr>
          <w:rFonts w:hint="eastAsia" w:ascii="宋体" w:hAnsi="宋体" w:eastAsia="宋体" w:cs="宋体"/>
          <w:color w:val="auto"/>
          <w:spacing w:val="-1"/>
          <w:sz w:val="24"/>
          <w:szCs w:val="24"/>
          <w:highlight w:val="none"/>
        </w:rPr>
        <w:t>．如果承包人投标报价中施工机具台班单价（以下简称“</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1"/>
          <w:sz w:val="24"/>
          <w:szCs w:val="24"/>
          <w:highlight w:val="none"/>
        </w:rPr>
        <w:t>中标单价</w:t>
      </w:r>
      <w:r>
        <w:rPr>
          <w:rFonts w:hint="eastAsia" w:ascii="宋体" w:hAnsi="宋体" w:eastAsia="宋体" w:cs="宋体"/>
          <w:color w:val="auto"/>
          <w:spacing w:val="-85"/>
          <w:sz w:val="24"/>
          <w:szCs w:val="24"/>
          <w:highlight w:val="none"/>
        </w:rPr>
        <w:t xml:space="preserve"> </w:t>
      </w:r>
      <w:r>
        <w:rPr>
          <w:rFonts w:hint="eastAsia" w:ascii="宋体" w:hAnsi="宋体" w:eastAsia="宋体" w:cs="宋体"/>
          <w:color w:val="auto"/>
          <w:spacing w:val="-1"/>
          <w:sz w:val="24"/>
          <w:szCs w:val="24"/>
          <w:highlight w:val="none"/>
        </w:rPr>
        <w:t>”</w:t>
      </w:r>
      <w:r>
        <w:rPr>
          <w:rFonts w:hint="eastAsia" w:ascii="宋体" w:hAnsi="宋体" w:eastAsia="宋体" w:cs="宋体"/>
          <w:color w:val="auto"/>
          <w:spacing w:val="-2"/>
          <w:sz w:val="24"/>
          <w:szCs w:val="24"/>
          <w:highlight w:val="none"/>
        </w:rPr>
        <w:t>）低于基准</w:t>
      </w:r>
      <w:r>
        <w:rPr>
          <w:rFonts w:hint="eastAsia" w:ascii="宋体" w:hAnsi="宋体" w:eastAsia="宋体" w:cs="宋体"/>
          <w:color w:val="auto"/>
          <w:spacing w:val="-3"/>
          <w:sz w:val="24"/>
          <w:szCs w:val="24"/>
          <w:highlight w:val="none"/>
        </w:rPr>
        <w:t>日当月项目所在地工程造价管理机构发布的对应施工机具台班单价（以下简称“基准单</w:t>
      </w:r>
      <w:r>
        <w:rPr>
          <w:rFonts w:hint="eastAsia" w:ascii="宋体" w:hAnsi="宋体" w:eastAsia="宋体" w:cs="宋体"/>
          <w:color w:val="auto"/>
          <w:spacing w:val="-2"/>
          <w:sz w:val="24"/>
          <w:szCs w:val="24"/>
          <w:highlight w:val="none"/>
        </w:rPr>
        <w:t>价</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”），该施工机具台班的结算单价调整公式为：</w:t>
      </w:r>
    </w:p>
    <w:p w14:paraId="2EFEBCF0">
      <w:pPr>
        <w:wordWrap w:val="0"/>
        <w:adjustRightInd w:val="0"/>
        <w:snapToGrid w:val="0"/>
        <w:spacing w:before="360" w:beforeLines="150" w:after="240" w:afterLines="100" w:line="44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涨价时，</w:t>
      </w:r>
      <w:r>
        <w:rPr>
          <w:rFonts w:hint="eastAsia" w:ascii="宋体" w:hAnsi="宋体" w:eastAsia="宋体" w:cs="宋体"/>
          <w:snapToGrid w:val="0"/>
          <w:color w:val="auto"/>
          <w:kern w:val="0"/>
          <w:position w:val="-30"/>
          <w:sz w:val="24"/>
          <w:szCs w:val="24"/>
          <w:highlight w:val="none"/>
        </w:rPr>
        <w:object>
          <v:shape id="_x0000_i1031" o:spt="75" type="#_x0000_t75" style="height:33.95pt;width:200.95pt;" o:ole="t" filled="f" o:preferrelative="t" stroked="f" coordsize="21600,21600">
            <v:path/>
            <v:fill on="f" focussize="0,0"/>
            <v:stroke on="f"/>
            <v:imagedata r:id="rId42" embosscolor="#FFFFFF" o:title=""/>
            <o:lock v:ext="edit" grouping="f" rotation="f" text="f" aspectratio="t"/>
            <w10:wrap type="none"/>
            <w10:anchorlock/>
          </v:shape>
          <o:OLEObject Type="Embed" ProgID="Equation.KSEE3" ShapeID="_x0000_i1031" DrawAspect="Content" ObjectID="_1468075731" r:id="rId41">
            <o:LockedField>false</o:LockedField>
          </o:OLEObject>
        </w:object>
      </w:r>
    </w:p>
    <w:p w14:paraId="05977695">
      <w:pPr>
        <w:wordWrap w:val="0"/>
        <w:adjustRightInd w:val="0"/>
        <w:spacing w:before="360" w:beforeLines="150" w:after="240" w:afterLines="100" w:line="44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跌价时，</w:t>
      </w:r>
      <w:r>
        <w:rPr>
          <w:rFonts w:hint="eastAsia" w:ascii="宋体" w:hAnsi="宋体" w:eastAsia="宋体" w:cs="宋体"/>
          <w:snapToGrid w:val="0"/>
          <w:color w:val="auto"/>
          <w:kern w:val="0"/>
          <w:position w:val="-30"/>
          <w:sz w:val="24"/>
          <w:szCs w:val="24"/>
          <w:highlight w:val="none"/>
        </w:rPr>
        <w:object>
          <v:shape id="_x0000_i1032" o:spt="75" type="#_x0000_t75" style="height:33.95pt;width:198pt;" o:ole="t" filled="f" o:preferrelative="t" stroked="f" coordsize="21600,21600">
            <v:path/>
            <v:fill on="f" focussize="0,0"/>
            <v:stroke on="f"/>
            <v:imagedata r:id="rId44" embosscolor="#FFFFFF" o:title=""/>
            <o:lock v:ext="edit" grouping="f" rotation="f" text="f" aspectratio="t"/>
            <w10:wrap type="none"/>
            <w10:anchorlock/>
          </v:shape>
          <o:OLEObject Type="Embed" ProgID="Equation.KSEE3" ShapeID="_x0000_i1032" DrawAspect="Content" ObjectID="_1468075732" r:id="rId43">
            <o:LockedField>false</o:LockedField>
          </o:OLEObject>
        </w:object>
      </w:r>
    </w:p>
    <w:p w14:paraId="60ECB2AB">
      <w:pPr>
        <w:wordWrap w:val="0"/>
        <w:adjustRightInd w:val="0"/>
        <w:snapToGrid w:val="0"/>
        <w:spacing w:line="440" w:lineRule="exact"/>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b</w:t>
      </w:r>
      <w:r>
        <w:rPr>
          <w:rFonts w:hint="eastAsia" w:ascii="宋体" w:hAnsi="宋体" w:eastAsia="宋体" w:cs="宋体"/>
          <w:snapToGrid w:val="0"/>
          <w:color w:val="auto"/>
          <w:kern w:val="0"/>
          <w:sz w:val="24"/>
          <w:szCs w:val="24"/>
          <w:highlight w:val="none"/>
        </w:rPr>
        <w:t>．如果中标单价高于基准单价，该施工机具台班的结算单价调整公式为：</w:t>
      </w:r>
    </w:p>
    <w:p w14:paraId="1397C7BC">
      <w:pPr>
        <w:wordWrap w:val="0"/>
        <w:adjustRightInd w:val="0"/>
        <w:snapToGrid w:val="0"/>
        <w:spacing w:before="360" w:beforeLines="150" w:after="240" w:afterLines="100" w:line="44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涨价时，</w:t>
      </w:r>
      <w:r>
        <w:rPr>
          <w:rFonts w:hint="eastAsia" w:ascii="宋体" w:hAnsi="宋体" w:eastAsia="宋体" w:cs="宋体"/>
          <w:snapToGrid w:val="0"/>
          <w:color w:val="auto"/>
          <w:kern w:val="0"/>
          <w:position w:val="-30"/>
          <w:sz w:val="24"/>
          <w:szCs w:val="24"/>
          <w:highlight w:val="none"/>
        </w:rPr>
        <w:object>
          <v:shape id="_x0000_i1033" o:spt="75" type="#_x0000_t75" style="height:33.95pt;width:198pt;" o:ole="t" filled="f" o:preferrelative="t" stroked="f" coordsize="21600,21600">
            <v:path/>
            <v:fill on="f" focussize="0,0"/>
            <v:stroke on="f"/>
            <v:imagedata r:id="rId46" embosscolor="#FFFFFF" o:title=""/>
            <o:lock v:ext="edit" grouping="f" rotation="f" text="f" aspectratio="t"/>
            <w10:wrap type="none"/>
            <w10:anchorlock/>
          </v:shape>
          <o:OLEObject Type="Embed" ProgID="Equation.KSEE3" ShapeID="_x0000_i1033" DrawAspect="Content" ObjectID="_1468075733" r:id="rId45">
            <o:LockedField>false</o:LockedField>
          </o:OLEObject>
        </w:object>
      </w:r>
    </w:p>
    <w:p w14:paraId="7EAE322B">
      <w:pPr>
        <w:wordWrap w:val="0"/>
        <w:adjustRightInd w:val="0"/>
        <w:spacing w:before="360" w:beforeLines="150" w:after="240" w:afterLines="100" w:line="44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跌价时，</w:t>
      </w:r>
      <w:r>
        <w:rPr>
          <w:rFonts w:hint="eastAsia" w:ascii="宋体" w:hAnsi="宋体" w:eastAsia="宋体" w:cs="宋体"/>
          <w:snapToGrid w:val="0"/>
          <w:color w:val="auto"/>
          <w:kern w:val="0"/>
          <w:position w:val="-30"/>
          <w:sz w:val="24"/>
          <w:szCs w:val="24"/>
          <w:highlight w:val="none"/>
        </w:rPr>
        <w:object>
          <v:shape id="_x0000_i1034" o:spt="75" type="#_x0000_t75" style="height:33.95pt;width:200.95pt;" o:ole="t" filled="f" o:preferrelative="t" stroked="f" coordsize="21600,21600">
            <v:path/>
            <v:fill on="f" focussize="0,0"/>
            <v:stroke on="f"/>
            <v:imagedata r:id="rId48" embosscolor="#FFFFFF" o:title=""/>
            <o:lock v:ext="edit" grouping="f" rotation="f" text="f" aspectratio="t"/>
            <w10:wrap type="none"/>
            <w10:anchorlock/>
          </v:shape>
          <o:OLEObject Type="Embed" ProgID="Equation.KSEE3" ShapeID="_x0000_i1034" DrawAspect="Content" ObjectID="_1468075734" r:id="rId47">
            <o:LockedField>false</o:LockedField>
          </o:OLEObject>
        </w:object>
      </w:r>
    </w:p>
    <w:p w14:paraId="601355E0">
      <w:pPr>
        <w:wordWrap w:val="0"/>
        <w:adjustRightInd w:val="0"/>
        <w:snapToGrid w:val="0"/>
        <w:spacing w:line="440" w:lineRule="exact"/>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c</w:t>
      </w:r>
      <w:r>
        <w:rPr>
          <w:rFonts w:hint="eastAsia" w:ascii="宋体" w:hAnsi="宋体" w:eastAsia="宋体" w:cs="宋体"/>
          <w:snapToGrid w:val="0"/>
          <w:color w:val="auto"/>
          <w:kern w:val="0"/>
          <w:sz w:val="24"/>
          <w:szCs w:val="24"/>
          <w:highlight w:val="none"/>
        </w:rPr>
        <w:t>．如果中标单价等于基准单价，该施工机具台班的结算单价调整公式为：</w:t>
      </w:r>
    </w:p>
    <w:p w14:paraId="78ED18B4">
      <w:pPr>
        <w:wordWrap w:val="0"/>
        <w:adjustRightInd w:val="0"/>
        <w:snapToGrid w:val="0"/>
        <w:spacing w:before="360" w:beforeLines="150" w:after="240" w:afterLines="100" w:line="44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涨价时，</w:t>
      </w:r>
      <w:r>
        <w:rPr>
          <w:rFonts w:hint="eastAsia" w:ascii="宋体" w:hAnsi="宋体" w:eastAsia="宋体" w:cs="宋体"/>
          <w:snapToGrid w:val="0"/>
          <w:color w:val="auto"/>
          <w:kern w:val="0"/>
          <w:position w:val="-30"/>
          <w:sz w:val="24"/>
          <w:szCs w:val="24"/>
          <w:highlight w:val="none"/>
        </w:rPr>
        <w:object>
          <v:shape id="_x0000_i1035" o:spt="75" type="#_x0000_t75" style="height:33.95pt;width:200.95pt;" o:ole="t" filled="f" o:preferrelative="t" stroked="f" coordsize="21600,21600">
            <v:path/>
            <v:fill on="f" focussize="0,0"/>
            <v:stroke on="f"/>
            <v:imagedata r:id="rId50" embosscolor="#FFFFFF" o:title=""/>
            <o:lock v:ext="edit" grouping="f" rotation="f" text="f" aspectratio="t"/>
            <w10:wrap type="none"/>
            <w10:anchorlock/>
          </v:shape>
          <o:OLEObject Type="Embed" ProgID="Equation.KSEE3" ShapeID="_x0000_i1035" DrawAspect="Content" ObjectID="_1468075735" r:id="rId49">
            <o:LockedField>false</o:LockedField>
          </o:OLEObject>
        </w:object>
      </w:r>
    </w:p>
    <w:p w14:paraId="11B28D87">
      <w:pPr>
        <w:spacing w:before="79" w:line="324" w:lineRule="auto"/>
        <w:ind w:left="11" w:right="65" w:firstLine="504"/>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跌价时，</w:t>
      </w:r>
      <w:r>
        <w:rPr>
          <w:rFonts w:hint="eastAsia" w:ascii="宋体" w:hAnsi="宋体" w:eastAsia="宋体" w:cs="宋体"/>
          <w:snapToGrid w:val="0"/>
          <w:color w:val="auto"/>
          <w:kern w:val="0"/>
          <w:position w:val="-30"/>
          <w:sz w:val="24"/>
          <w:szCs w:val="24"/>
          <w:highlight w:val="none"/>
        </w:rPr>
        <w:object>
          <v:shape id="_x0000_i1036" o:spt="75" type="#_x0000_t75" style="height:33.95pt;width:200.95pt;" o:ole="t" filled="f" o:preferrelative="t" stroked="f" coordsize="21600,21600">
            <v:path/>
            <v:fill on="f" focussize="0,0"/>
            <v:stroke on="f"/>
            <v:imagedata r:id="rId52" embosscolor="#FFFFFF" o:title=""/>
            <o:lock v:ext="edit" grouping="f" rotation="f" text="f" aspectratio="t"/>
            <w10:wrap type="none"/>
            <w10:anchorlock/>
          </v:shape>
          <o:OLEObject Type="Embed" ProgID="Equation.KSEE3" ShapeID="_x0000_i1036" DrawAspect="Content" ObjectID="_1468075736" r:id="rId51">
            <o:LockedField>false</o:LockedField>
          </o:OLEObject>
        </w:object>
      </w:r>
    </w:p>
    <w:p w14:paraId="419E4FE0">
      <w:pPr>
        <w:spacing w:before="79" w:line="324" w:lineRule="auto"/>
        <w:ind w:left="11" w:right="65" w:firstLine="504"/>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以上公式中，F</w:t>
      </w:r>
      <w:r>
        <w:rPr>
          <w:rFonts w:hint="eastAsia" w:ascii="宋体" w:hAnsi="宋体" w:eastAsia="宋体" w:cs="宋体"/>
          <w:color w:val="auto"/>
          <w:spacing w:val="-4"/>
          <w:position w:val="-1"/>
          <w:sz w:val="15"/>
          <w:szCs w:val="15"/>
          <w:highlight w:val="none"/>
        </w:rPr>
        <w:t>1</w:t>
      </w:r>
      <w:r>
        <w:rPr>
          <w:rFonts w:hint="eastAsia" w:ascii="宋体" w:hAnsi="宋体" w:eastAsia="宋体" w:cs="宋体"/>
          <w:color w:val="auto"/>
          <w:spacing w:val="26"/>
          <w:position w:val="-1"/>
          <w:sz w:val="15"/>
          <w:szCs w:val="15"/>
          <w:highlight w:val="none"/>
        </w:rPr>
        <w:t xml:space="preserve"> </w:t>
      </w:r>
      <w:r>
        <w:rPr>
          <w:rFonts w:hint="eastAsia" w:ascii="宋体" w:hAnsi="宋体" w:eastAsia="宋体" w:cs="宋体"/>
          <w:color w:val="auto"/>
          <w:spacing w:val="-4"/>
          <w:sz w:val="24"/>
          <w:szCs w:val="24"/>
          <w:highlight w:val="none"/>
        </w:rPr>
        <w:t>为中标单价；F</w:t>
      </w:r>
      <w:r>
        <w:rPr>
          <w:rFonts w:hint="eastAsia" w:ascii="宋体" w:hAnsi="宋体" w:eastAsia="宋体" w:cs="宋体"/>
          <w:color w:val="auto"/>
          <w:spacing w:val="-4"/>
          <w:position w:val="-1"/>
          <w:sz w:val="15"/>
          <w:szCs w:val="15"/>
          <w:highlight w:val="none"/>
        </w:rPr>
        <w:t>0</w:t>
      </w:r>
      <w:r>
        <w:rPr>
          <w:rFonts w:hint="eastAsia" w:ascii="宋体" w:hAnsi="宋体" w:eastAsia="宋体" w:cs="宋体"/>
          <w:color w:val="auto"/>
          <w:spacing w:val="14"/>
          <w:w w:val="101"/>
          <w:position w:val="-1"/>
          <w:sz w:val="15"/>
          <w:szCs w:val="15"/>
          <w:highlight w:val="none"/>
        </w:rPr>
        <w:t xml:space="preserve"> </w:t>
      </w:r>
      <w:r>
        <w:rPr>
          <w:rFonts w:hint="eastAsia" w:ascii="宋体" w:hAnsi="宋体" w:eastAsia="宋体" w:cs="宋体"/>
          <w:color w:val="auto"/>
          <w:spacing w:val="-4"/>
          <w:sz w:val="24"/>
          <w:szCs w:val="24"/>
          <w:highlight w:val="none"/>
        </w:rPr>
        <w:t>为基准单价；F</w:t>
      </w:r>
      <w:r>
        <w:rPr>
          <w:rFonts w:hint="eastAsia" w:ascii="宋体" w:hAnsi="宋体" w:eastAsia="宋体" w:cs="宋体"/>
          <w:color w:val="auto"/>
          <w:spacing w:val="-4"/>
          <w:position w:val="-1"/>
          <w:sz w:val="15"/>
          <w:szCs w:val="15"/>
          <w:highlight w:val="none"/>
        </w:rPr>
        <w:t>2</w:t>
      </w:r>
      <w:r>
        <w:rPr>
          <w:rFonts w:hint="eastAsia" w:ascii="宋体" w:hAnsi="宋体" w:eastAsia="宋体" w:cs="宋体"/>
          <w:color w:val="auto"/>
          <w:spacing w:val="12"/>
          <w:position w:val="-1"/>
          <w:sz w:val="15"/>
          <w:szCs w:val="15"/>
          <w:highlight w:val="none"/>
        </w:rPr>
        <w:t xml:space="preserve"> </w:t>
      </w:r>
      <w:r>
        <w:rPr>
          <w:rFonts w:hint="eastAsia" w:ascii="宋体" w:hAnsi="宋体" w:eastAsia="宋体" w:cs="宋体"/>
          <w:color w:val="auto"/>
          <w:spacing w:val="-4"/>
          <w:sz w:val="24"/>
          <w:szCs w:val="24"/>
          <w:highlight w:val="none"/>
        </w:rPr>
        <w:t>为施工当月项目所在地工程造价管</w:t>
      </w:r>
      <w:r>
        <w:rPr>
          <w:rFonts w:hint="eastAsia" w:ascii="宋体" w:hAnsi="宋体" w:eastAsia="宋体" w:cs="宋体"/>
          <w:color w:val="auto"/>
          <w:spacing w:val="-1"/>
          <w:sz w:val="24"/>
          <w:szCs w:val="24"/>
          <w:highlight w:val="none"/>
        </w:rPr>
        <w:t>理机构发布的施工机具台班单价；B 为合同约定的施工机具台班单价</w:t>
      </w:r>
      <w:r>
        <w:rPr>
          <w:rFonts w:hint="eastAsia" w:ascii="宋体" w:hAnsi="宋体" w:eastAsia="宋体" w:cs="宋体"/>
          <w:color w:val="auto"/>
          <w:spacing w:val="-2"/>
          <w:sz w:val="24"/>
          <w:szCs w:val="24"/>
          <w:highlight w:val="none"/>
        </w:rPr>
        <w:t>涨跌风险幅度值。</w:t>
      </w:r>
    </w:p>
    <w:p w14:paraId="2203A1B8">
      <w:pPr>
        <w:spacing w:before="39" w:line="219" w:lineRule="auto"/>
        <w:ind w:left="484"/>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2.3.7  </w:t>
      </w:r>
      <w:r>
        <w:rPr>
          <w:rFonts w:hint="eastAsia" w:ascii="宋体" w:hAnsi="宋体" w:eastAsia="宋体" w:cs="宋体"/>
          <w:color w:val="auto"/>
          <w:spacing w:val="-1"/>
          <w:sz w:val="24"/>
          <w:szCs w:val="24"/>
          <w:highlight w:val="none"/>
        </w:rPr>
        <w:t>暂估价和暂列金额</w:t>
      </w:r>
    </w:p>
    <w:p w14:paraId="07450170">
      <w:pPr>
        <w:spacing w:before="154" w:line="299" w:lineRule="auto"/>
        <w:ind w:left="7" w:right="57" w:firstLine="477"/>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"2.3.7.1"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2"/>
          <w:sz w:val="24"/>
          <w:szCs w:val="24"/>
          <w:highlight w:val="none"/>
        </w:rPr>
        <w:t>2.3.7.1</w:t>
      </w:r>
      <w:r>
        <w:rPr>
          <w:rFonts w:hint="eastAsia" w:ascii="宋体" w:hAnsi="宋体" w:eastAsia="宋体" w:cs="宋体"/>
          <w:b/>
          <w:bCs/>
          <w:color w:val="auto"/>
          <w:spacing w:val="-2"/>
          <w:sz w:val="24"/>
          <w:szCs w:val="24"/>
          <w:highlight w:val="none"/>
        </w:rPr>
        <w:fldChar w:fldCharType="end"/>
      </w:r>
      <w:r>
        <w:rPr>
          <w:rFonts w:hint="eastAsia" w:ascii="宋体" w:hAnsi="宋体" w:eastAsia="宋体" w:cs="宋体"/>
          <w:b/>
          <w:bCs/>
          <w:color w:val="auto"/>
          <w:spacing w:val="-2"/>
          <w:sz w:val="24"/>
          <w:szCs w:val="24"/>
          <w:highlight w:val="none"/>
        </w:rPr>
        <w:t xml:space="preserve">  </w:t>
      </w:r>
      <w:r>
        <w:rPr>
          <w:rFonts w:hint="eastAsia" w:ascii="宋体" w:hAnsi="宋体" w:eastAsia="宋体" w:cs="宋体"/>
          <w:snapToGrid w:val="0"/>
          <w:color w:val="auto"/>
          <w:kern w:val="0"/>
          <w:sz w:val="24"/>
          <w:szCs w:val="24"/>
          <w:highlight w:val="none"/>
          <w:lang w:eastAsia="zh-CN"/>
        </w:rPr>
        <w:t xml:space="preserve">暂估价项目按第一章第三节“投标人须知正文 ”第 </w:t>
      </w:r>
      <w:r>
        <w:rPr>
          <w:rFonts w:hint="eastAsia" w:ascii="宋体" w:hAnsi="宋体" w:eastAsia="宋体" w:cs="宋体"/>
          <w:b/>
          <w:bCs/>
          <w:snapToGrid w:val="0"/>
          <w:color w:val="auto"/>
          <w:kern w:val="0"/>
          <w:sz w:val="24"/>
          <w:szCs w:val="24"/>
          <w:highlight w:val="none"/>
          <w:lang w:eastAsia="zh-CN"/>
        </w:rPr>
        <w:t>8.5</w:t>
      </w:r>
      <w:r>
        <w:rPr>
          <w:rFonts w:hint="eastAsia" w:ascii="宋体" w:hAnsi="宋体" w:eastAsia="宋体" w:cs="宋体"/>
          <w:snapToGrid w:val="0"/>
          <w:color w:val="auto"/>
          <w:kern w:val="0"/>
          <w:sz w:val="24"/>
          <w:szCs w:val="24"/>
          <w:highlight w:val="none"/>
          <w:lang w:eastAsia="zh-CN"/>
        </w:rPr>
        <w:t xml:space="preserve"> 条的规定确定专业工程承包人（或材料供应商、工程设备供应商）后，将专业工程合同价款（或材料单价、工程设备单价）取代相应暂估价，并调整合同价款。</w:t>
      </w:r>
    </w:p>
    <w:p w14:paraId="73FF33E6">
      <w:pPr>
        <w:spacing w:before="153" w:line="315" w:lineRule="auto"/>
        <w:ind w:left="8" w:right="2" w:firstLine="476"/>
        <w:rPr>
          <w:rFonts w:hint="eastAsia" w:ascii="宋体" w:hAnsi="宋体" w:eastAsia="宋体" w:cs="宋体"/>
          <w:color w:val="auto"/>
          <w:spacing w:val="-3"/>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"2.3.7.2"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8"/>
          <w:sz w:val="24"/>
          <w:szCs w:val="24"/>
          <w:highlight w:val="none"/>
        </w:rPr>
        <w:t>2.3.7.2</w:t>
      </w:r>
      <w:r>
        <w:rPr>
          <w:rFonts w:hint="eastAsia" w:ascii="宋体" w:hAnsi="宋体" w:eastAsia="宋体" w:cs="宋体"/>
          <w:b/>
          <w:bCs/>
          <w:color w:val="auto"/>
          <w:spacing w:val="-8"/>
          <w:sz w:val="24"/>
          <w:szCs w:val="24"/>
          <w:highlight w:val="none"/>
        </w:rPr>
        <w:fldChar w:fldCharType="end"/>
      </w:r>
      <w:r>
        <w:rPr>
          <w:rFonts w:hint="eastAsia" w:ascii="宋体" w:hAnsi="宋体" w:eastAsia="宋体" w:cs="宋体"/>
          <w:b/>
          <w:bCs/>
          <w:color w:val="auto"/>
          <w:spacing w:val="-8"/>
          <w:sz w:val="24"/>
          <w:szCs w:val="24"/>
          <w:highlight w:val="none"/>
        </w:rPr>
        <w:t xml:space="preserve">  </w:t>
      </w:r>
      <w:r>
        <w:rPr>
          <w:rFonts w:hint="eastAsia" w:ascii="宋体" w:hAnsi="宋体" w:eastAsia="宋体" w:cs="宋体"/>
          <w:color w:val="auto"/>
          <w:spacing w:val="-8"/>
          <w:sz w:val="24"/>
          <w:szCs w:val="24"/>
          <w:highlight w:val="none"/>
        </w:rPr>
        <w:t>暂列金额由发包人掌握和使用。暂列金额项目若有发</w:t>
      </w:r>
      <w:r>
        <w:rPr>
          <w:rFonts w:hint="eastAsia" w:ascii="宋体" w:hAnsi="宋体" w:eastAsia="宋体" w:cs="宋体"/>
          <w:color w:val="auto"/>
          <w:spacing w:val="-9"/>
          <w:sz w:val="24"/>
          <w:szCs w:val="24"/>
          <w:highlight w:val="none"/>
        </w:rPr>
        <w:t>生，按第一章第三节“投</w:t>
      </w:r>
      <w:r>
        <w:rPr>
          <w:rFonts w:hint="eastAsia" w:ascii="宋体" w:hAnsi="宋体" w:eastAsia="宋体" w:cs="宋体"/>
          <w:color w:val="auto"/>
          <w:spacing w:val="-5"/>
          <w:sz w:val="24"/>
          <w:szCs w:val="24"/>
          <w:highlight w:val="none"/>
        </w:rPr>
        <w:t>标人须知正文</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5"/>
          <w:sz w:val="24"/>
          <w:szCs w:val="24"/>
          <w:highlight w:val="none"/>
        </w:rPr>
        <w:t>”第</w:t>
      </w:r>
      <w:r>
        <w:rPr>
          <w:rFonts w:hint="eastAsia" w:ascii="宋体" w:hAnsi="宋体" w:eastAsia="宋体" w:cs="宋体"/>
          <w:color w:val="auto"/>
          <w:spacing w:val="-51"/>
          <w:sz w:val="24"/>
          <w:szCs w:val="24"/>
          <w:highlight w:val="none"/>
        </w:rPr>
        <w:t xml:space="preserve"> </w:t>
      </w:r>
      <w:r>
        <w:rPr>
          <w:rFonts w:hint="eastAsia" w:ascii="宋体" w:hAnsi="宋体" w:eastAsia="宋体" w:cs="宋体"/>
          <w:b/>
          <w:bCs/>
          <w:color w:val="auto"/>
          <w:spacing w:val="-5"/>
          <w:sz w:val="24"/>
          <w:szCs w:val="24"/>
          <w:highlight w:val="none"/>
        </w:rPr>
        <w:t xml:space="preserve">8.6 </w:t>
      </w:r>
      <w:r>
        <w:rPr>
          <w:rFonts w:hint="eastAsia" w:ascii="宋体" w:hAnsi="宋体" w:eastAsia="宋体" w:cs="宋体"/>
          <w:color w:val="auto"/>
          <w:spacing w:val="-5"/>
          <w:sz w:val="24"/>
          <w:szCs w:val="24"/>
          <w:highlight w:val="none"/>
        </w:rPr>
        <w:t>条的规定确定材料供应商（或工程设备供</w:t>
      </w:r>
      <w:r>
        <w:rPr>
          <w:rFonts w:hint="eastAsia" w:ascii="宋体" w:hAnsi="宋体" w:eastAsia="宋体" w:cs="宋体"/>
          <w:color w:val="auto"/>
          <w:spacing w:val="-6"/>
          <w:sz w:val="24"/>
          <w:szCs w:val="24"/>
          <w:highlight w:val="none"/>
        </w:rPr>
        <w:t>应商、服务供应商）后，</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2"/>
          <w:sz w:val="24"/>
          <w:szCs w:val="24"/>
          <w:highlight w:val="none"/>
        </w:rPr>
        <w:t>材料（或工程设备、服务）的合同价款从暂列金额中支付。暂列金额扣除已发生的暂列金额项目合同价款、已发生的合同约定调整因素出现时的调整价款、已发生的索赔以及</w:t>
      </w:r>
      <w:r>
        <w:rPr>
          <w:rFonts w:hint="eastAsia" w:ascii="宋体" w:hAnsi="宋体" w:eastAsia="宋体" w:cs="宋体"/>
          <w:color w:val="auto"/>
          <w:spacing w:val="-1"/>
          <w:sz w:val="24"/>
          <w:szCs w:val="24"/>
          <w:highlight w:val="none"/>
        </w:rPr>
        <w:t>现场签证确认等的费用后，余额（若有）归发包人所有。</w:t>
      </w:r>
    </w:p>
    <w:p w14:paraId="3313F8DF">
      <w:pPr>
        <w:spacing w:before="153" w:line="315" w:lineRule="auto"/>
        <w:ind w:left="8" w:right="2" w:firstLine="476"/>
        <w:rPr>
          <w:rFonts w:hint="eastAsia" w:ascii="宋体" w:hAnsi="宋体" w:eastAsia="宋体" w:cs="宋体"/>
          <w:color w:val="auto"/>
          <w:spacing w:val="-8"/>
          <w:sz w:val="24"/>
          <w:szCs w:val="24"/>
          <w:highlight w:val="none"/>
        </w:rPr>
      </w:pPr>
      <w:r>
        <w:rPr>
          <w:rFonts w:hint="eastAsia" w:ascii="宋体" w:hAnsi="宋体" w:eastAsia="宋体" w:cs="宋体"/>
          <w:b/>
          <w:bCs/>
          <w:color w:val="auto"/>
          <w:spacing w:val="-8"/>
          <w:sz w:val="24"/>
          <w:szCs w:val="24"/>
          <w:highlight w:val="none"/>
        </w:rPr>
        <w:t>2.3.8</w:t>
      </w:r>
      <w:r>
        <w:rPr>
          <w:rFonts w:hint="eastAsia" w:ascii="宋体" w:hAnsi="宋体" w:eastAsia="宋体" w:cs="宋体"/>
          <w:color w:val="auto"/>
          <w:spacing w:val="-8"/>
          <w:sz w:val="24"/>
          <w:szCs w:val="24"/>
          <w:highlight w:val="none"/>
        </w:rPr>
        <w:t xml:space="preserve"> 预算包干费：根据《市政工程工程量计算标准》（GB/T 50857-2024）、《房屋建筑与装饰工程工程量计算标准》（GB/T 50854-2024）、《通用安装工程工程量计算标准》（GB/T 50856-2024）、《园林绿化工程工程量计算标准》（GB/T 50858-2024），以各专业分部分项的人工费与施工机具费之和为基础计算预算包干费。本工程的预算包干内容包括：按《广东省建设工程计价依据（2024）》相关规定。若发生工程签证变更，应按合同约定计取预算包干费。</w:t>
      </w:r>
    </w:p>
    <w:p w14:paraId="1A14D812">
      <w:pPr>
        <w:spacing w:before="153" w:line="315" w:lineRule="auto"/>
        <w:ind w:left="8" w:right="2" w:firstLine="476"/>
        <w:rPr>
          <w:rFonts w:hint="eastAsia" w:ascii="宋体" w:hAnsi="宋体" w:eastAsia="宋体" w:cs="宋体"/>
          <w:color w:val="auto"/>
          <w:spacing w:val="-8"/>
          <w:sz w:val="24"/>
          <w:szCs w:val="24"/>
          <w:highlight w:val="none"/>
        </w:rPr>
      </w:pPr>
      <w:r>
        <w:rPr>
          <w:rFonts w:hint="eastAsia" w:ascii="宋体" w:hAnsi="宋体" w:eastAsia="宋体" w:cs="宋体"/>
          <w:b/>
          <w:bCs/>
          <w:color w:val="auto"/>
          <w:spacing w:val="-8"/>
          <w:sz w:val="24"/>
          <w:szCs w:val="24"/>
          <w:highlight w:val="none"/>
        </w:rPr>
        <w:t>2.3.</w:t>
      </w:r>
      <w:r>
        <w:rPr>
          <w:rFonts w:hint="eastAsia" w:ascii="宋体" w:hAnsi="宋体" w:eastAsia="宋体" w:cs="宋体"/>
          <w:b/>
          <w:bCs/>
          <w:color w:val="auto"/>
          <w:spacing w:val="-8"/>
          <w:sz w:val="24"/>
          <w:szCs w:val="24"/>
          <w:highlight w:val="none"/>
          <w:lang w:val="en-US" w:eastAsia="zh-CN"/>
        </w:rPr>
        <w:t>9</w:t>
      </w:r>
      <w:r>
        <w:rPr>
          <w:rFonts w:hint="eastAsia" w:ascii="宋体" w:hAnsi="宋体" w:eastAsia="宋体" w:cs="宋体"/>
          <w:b/>
          <w:bCs/>
          <w:color w:val="auto"/>
          <w:spacing w:val="-8"/>
          <w:sz w:val="24"/>
          <w:szCs w:val="24"/>
          <w:highlight w:val="none"/>
        </w:rPr>
        <w:t xml:space="preserve"> </w:t>
      </w:r>
      <w:r>
        <w:rPr>
          <w:rFonts w:hint="eastAsia" w:ascii="宋体" w:hAnsi="宋体" w:eastAsia="宋体" w:cs="宋体"/>
          <w:color w:val="auto"/>
          <w:spacing w:val="-8"/>
          <w:sz w:val="24"/>
          <w:szCs w:val="24"/>
          <w:highlight w:val="none"/>
        </w:rPr>
        <w:t>其余事项（如不可抗力、索赔、现场签证等）的调整原则按照《建设工程工程量清单计价</w:t>
      </w:r>
      <w:r>
        <w:rPr>
          <w:rFonts w:hint="eastAsia" w:ascii="宋体" w:hAnsi="宋体" w:eastAsia="宋体" w:cs="宋体"/>
          <w:color w:val="auto"/>
          <w:spacing w:val="-1"/>
          <w:sz w:val="24"/>
          <w:szCs w:val="24"/>
          <w:highlight w:val="none"/>
          <w:lang w:val="en-US" w:eastAsia="zh-CN"/>
        </w:rPr>
        <w:t>标准</w:t>
      </w:r>
      <w:r>
        <w:rPr>
          <w:rFonts w:hint="eastAsia" w:ascii="宋体" w:hAnsi="宋体" w:eastAsia="宋体" w:cs="宋体"/>
          <w:color w:val="auto"/>
          <w:spacing w:val="-8"/>
          <w:sz w:val="24"/>
          <w:szCs w:val="24"/>
          <w:highlight w:val="none"/>
        </w:rPr>
        <w:t>》（GB50500—20</w:t>
      </w:r>
      <w:r>
        <w:rPr>
          <w:rFonts w:hint="eastAsia" w:ascii="宋体" w:hAnsi="宋体" w:eastAsia="宋体" w:cs="宋体"/>
          <w:color w:val="auto"/>
          <w:spacing w:val="-8"/>
          <w:sz w:val="24"/>
          <w:szCs w:val="24"/>
          <w:highlight w:val="none"/>
          <w:lang w:val="en-US" w:eastAsia="zh-CN"/>
        </w:rPr>
        <w:t>24</w:t>
      </w:r>
      <w:r>
        <w:rPr>
          <w:rFonts w:hint="eastAsia" w:ascii="宋体" w:hAnsi="宋体" w:eastAsia="宋体" w:cs="宋体"/>
          <w:color w:val="auto"/>
          <w:spacing w:val="-8"/>
          <w:sz w:val="24"/>
          <w:szCs w:val="24"/>
          <w:highlight w:val="none"/>
        </w:rPr>
        <w:t>）有关规定执行。</w:t>
      </w:r>
    </w:p>
    <w:p w14:paraId="13236EE1">
      <w:pPr>
        <w:spacing w:before="156" w:line="299" w:lineRule="auto"/>
        <w:ind w:left="12" w:right="65" w:firstLine="556"/>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2.4  </w:t>
      </w:r>
      <w:r>
        <w:rPr>
          <w:rFonts w:hint="eastAsia" w:ascii="宋体" w:hAnsi="宋体" w:eastAsia="宋体" w:cs="宋体"/>
          <w:color w:val="auto"/>
          <w:sz w:val="24"/>
          <w:szCs w:val="24"/>
          <w:highlight w:val="none"/>
        </w:rPr>
        <w:t>凡将引起合同价款调增的事项，承包人必须于拟实施</w:t>
      </w:r>
      <w:r>
        <w:rPr>
          <w:rFonts w:hint="eastAsia" w:ascii="宋体" w:hAnsi="宋体" w:eastAsia="宋体" w:cs="宋体"/>
          <w:color w:val="auto"/>
          <w:spacing w:val="-31"/>
          <w:sz w:val="24"/>
          <w:szCs w:val="24"/>
          <w:highlight w:val="none"/>
        </w:rPr>
        <w:t xml:space="preserve"> </w:t>
      </w:r>
      <w:r>
        <w:rPr>
          <w:rFonts w:hint="eastAsia" w:ascii="宋体" w:hAnsi="宋体" w:eastAsia="宋体" w:cs="宋体"/>
          <w:color w:val="auto"/>
          <w:sz w:val="24"/>
          <w:szCs w:val="24"/>
          <w:highlight w:val="none"/>
        </w:rPr>
        <w:t>14</w:t>
      </w:r>
      <w:r>
        <w:rPr>
          <w:rFonts w:hint="eastAsia" w:ascii="宋体" w:hAnsi="宋体" w:eastAsia="宋体" w:cs="宋体"/>
          <w:color w:val="auto"/>
          <w:spacing w:val="16"/>
          <w:sz w:val="24"/>
          <w:szCs w:val="24"/>
          <w:highlight w:val="none"/>
        </w:rPr>
        <w:t xml:space="preserve"> </w:t>
      </w:r>
      <w:r>
        <w:rPr>
          <w:rFonts w:hint="eastAsia" w:ascii="宋体" w:hAnsi="宋体" w:eastAsia="宋体" w:cs="宋体"/>
          <w:color w:val="auto"/>
          <w:sz w:val="24"/>
          <w:szCs w:val="24"/>
          <w:highlight w:val="none"/>
        </w:rPr>
        <w:t>天前，将详细的</w:t>
      </w:r>
      <w:r>
        <w:rPr>
          <w:rFonts w:hint="eastAsia" w:ascii="宋体" w:hAnsi="宋体" w:eastAsia="宋体" w:cs="宋体"/>
          <w:color w:val="auto"/>
          <w:spacing w:val="-1"/>
          <w:sz w:val="24"/>
          <w:szCs w:val="24"/>
          <w:highlight w:val="none"/>
        </w:rPr>
        <w:t>报价</w:t>
      </w:r>
      <w:r>
        <w:rPr>
          <w:rFonts w:hint="eastAsia" w:ascii="宋体" w:hAnsi="宋体" w:eastAsia="宋体" w:cs="宋体"/>
          <w:color w:val="auto"/>
          <w:spacing w:val="-2"/>
          <w:sz w:val="24"/>
          <w:szCs w:val="24"/>
          <w:highlight w:val="none"/>
        </w:rPr>
        <w:t>书（含拟实施项目名称、变更部位、理由、预计造价等）报监理单位审核和发包人批准后方可实施。</w:t>
      </w:r>
    </w:p>
    <w:p w14:paraId="6D92B8A8">
      <w:pPr>
        <w:spacing w:before="153" w:line="279" w:lineRule="auto"/>
        <w:ind w:left="9" w:right="102" w:firstLine="477"/>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2.5 </w:t>
      </w:r>
      <w:r>
        <w:rPr>
          <w:rFonts w:hint="eastAsia" w:ascii="宋体" w:hAnsi="宋体" w:eastAsia="宋体" w:cs="宋体"/>
          <w:color w:val="auto"/>
          <w:spacing w:val="1"/>
          <w:sz w:val="24"/>
          <w:szCs w:val="24"/>
          <w:highlight w:val="none"/>
        </w:rPr>
        <w:t>承包人不得以不完全了解现场情况为理由，提出额外付</w:t>
      </w:r>
      <w:r>
        <w:rPr>
          <w:rFonts w:hint="eastAsia" w:ascii="宋体" w:hAnsi="宋体" w:eastAsia="宋体" w:cs="宋体"/>
          <w:color w:val="auto"/>
          <w:sz w:val="24"/>
          <w:szCs w:val="24"/>
          <w:highlight w:val="none"/>
        </w:rPr>
        <w:t>款或延长工期等要求。</w:t>
      </w:r>
      <w:r>
        <w:rPr>
          <w:rFonts w:hint="eastAsia" w:ascii="宋体" w:hAnsi="宋体" w:eastAsia="宋体" w:cs="宋体"/>
          <w:color w:val="auto"/>
          <w:spacing w:val="-1"/>
          <w:sz w:val="24"/>
          <w:szCs w:val="24"/>
          <w:highlight w:val="none"/>
        </w:rPr>
        <w:t>对此类要求，发包人不作任何考虑及答复。</w:t>
      </w:r>
    </w:p>
    <w:p w14:paraId="1C6774BB">
      <w:pPr>
        <w:spacing w:before="154" w:line="279" w:lineRule="auto"/>
        <w:ind w:left="10" w:right="63" w:firstLine="47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2.6 </w:t>
      </w:r>
      <w:r>
        <w:rPr>
          <w:rFonts w:hint="eastAsia" w:ascii="宋体" w:hAnsi="宋体" w:eastAsia="宋体" w:cs="宋体"/>
          <w:color w:val="auto"/>
          <w:spacing w:val="2"/>
          <w:sz w:val="24"/>
          <w:szCs w:val="24"/>
          <w:highlight w:val="none"/>
        </w:rPr>
        <w:t>承包人已标价工程量清单中漏报、错报或少报的清单项目</w:t>
      </w:r>
      <w:r>
        <w:rPr>
          <w:rFonts w:hint="eastAsia" w:ascii="宋体" w:hAnsi="宋体" w:eastAsia="宋体" w:cs="宋体"/>
          <w:color w:val="auto"/>
          <w:spacing w:val="1"/>
          <w:sz w:val="24"/>
          <w:szCs w:val="24"/>
          <w:highlight w:val="none"/>
        </w:rPr>
        <w:t>，其价格均视为已经</w:t>
      </w:r>
      <w:r>
        <w:rPr>
          <w:rFonts w:hint="eastAsia" w:ascii="宋体" w:hAnsi="宋体" w:eastAsia="宋体" w:cs="宋体"/>
          <w:color w:val="auto"/>
          <w:spacing w:val="-1"/>
          <w:sz w:val="24"/>
          <w:szCs w:val="24"/>
          <w:highlight w:val="none"/>
        </w:rPr>
        <w:t>包含在其它清单项目中，竣工结算时不得重新组价和调整。</w:t>
      </w:r>
    </w:p>
    <w:p w14:paraId="761E818F">
      <w:pPr>
        <w:spacing w:before="155" w:line="299" w:lineRule="auto"/>
        <w:ind w:left="12" w:right="65" w:firstLine="474"/>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2.7  </w:t>
      </w:r>
      <w:r>
        <w:rPr>
          <w:rFonts w:hint="eastAsia" w:ascii="宋体" w:hAnsi="宋体" w:eastAsia="宋体" w:cs="宋体"/>
          <w:color w:val="auto"/>
          <w:sz w:val="24"/>
          <w:szCs w:val="24"/>
          <w:highlight w:val="none"/>
        </w:rPr>
        <w:t>项目完工后，发、承包双方和受其委托具备相应资质的工程造价咨询单位必须</w:t>
      </w:r>
      <w:r>
        <w:rPr>
          <w:rFonts w:hint="eastAsia" w:ascii="宋体" w:hAnsi="宋体" w:eastAsia="宋体" w:cs="宋体"/>
          <w:color w:val="auto"/>
          <w:spacing w:val="-1"/>
          <w:sz w:val="24"/>
          <w:szCs w:val="24"/>
          <w:highlight w:val="none"/>
        </w:rPr>
        <w:t>按照《建设工程工程量清单计价</w:t>
      </w:r>
      <w:r>
        <w:rPr>
          <w:rFonts w:hint="eastAsia" w:ascii="宋体" w:hAnsi="宋体" w:eastAsia="宋体" w:cs="宋体"/>
          <w:color w:val="auto"/>
          <w:spacing w:val="-1"/>
          <w:sz w:val="24"/>
          <w:szCs w:val="24"/>
          <w:highlight w:val="none"/>
          <w:lang w:val="en-US" w:eastAsia="zh-CN"/>
        </w:rPr>
        <w:t>标准</w:t>
      </w:r>
      <w:r>
        <w:rPr>
          <w:rFonts w:hint="eastAsia" w:ascii="宋体" w:hAnsi="宋体" w:eastAsia="宋体" w:cs="宋体"/>
          <w:color w:val="auto"/>
          <w:spacing w:val="-1"/>
          <w:sz w:val="24"/>
          <w:szCs w:val="24"/>
          <w:highlight w:val="none"/>
        </w:rPr>
        <w:t>》（GB50500—20</w:t>
      </w:r>
      <w:r>
        <w:rPr>
          <w:rFonts w:hint="eastAsia" w:ascii="宋体" w:hAnsi="宋体" w:eastAsia="宋体" w:cs="宋体"/>
          <w:color w:val="auto"/>
          <w:spacing w:val="-1"/>
          <w:sz w:val="24"/>
          <w:szCs w:val="24"/>
          <w:highlight w:val="none"/>
          <w:lang w:val="en-US" w:eastAsia="zh-CN"/>
        </w:rPr>
        <w:t>24</w:t>
      </w:r>
      <w:r>
        <w:rPr>
          <w:rFonts w:hint="eastAsia" w:ascii="宋体" w:hAnsi="宋体" w:eastAsia="宋体" w:cs="宋体"/>
          <w:color w:val="auto"/>
          <w:spacing w:val="-1"/>
          <w:sz w:val="24"/>
          <w:szCs w:val="24"/>
          <w:highlight w:val="none"/>
        </w:rPr>
        <w:t>）和国家、省、市的有关规定</w:t>
      </w:r>
      <w:r>
        <w:rPr>
          <w:rFonts w:hint="eastAsia" w:ascii="宋体" w:hAnsi="宋体" w:eastAsia="宋体" w:cs="宋体"/>
          <w:color w:val="auto"/>
          <w:spacing w:val="-2"/>
          <w:sz w:val="24"/>
          <w:szCs w:val="24"/>
          <w:highlight w:val="none"/>
        </w:rPr>
        <w:t>办理竣工结算。</w:t>
      </w:r>
    </w:p>
    <w:p w14:paraId="6404574C">
      <w:pPr>
        <w:spacing w:before="152" w:line="319" w:lineRule="auto"/>
        <w:ind w:left="8" w:right="38" w:firstLine="559"/>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2.8  </w:t>
      </w:r>
      <w:r>
        <w:rPr>
          <w:rFonts w:hint="eastAsia" w:ascii="宋体" w:hAnsi="宋体" w:eastAsia="宋体" w:cs="宋体"/>
          <w:color w:val="auto"/>
          <w:spacing w:val="-1"/>
          <w:sz w:val="24"/>
          <w:szCs w:val="24"/>
          <w:highlight w:val="none"/>
        </w:rPr>
        <w:t>承包人已标价工程量清单中没有的材料（或工程设备</w:t>
      </w:r>
      <w:r>
        <w:rPr>
          <w:rFonts w:hint="eastAsia" w:ascii="宋体" w:hAnsi="宋体" w:eastAsia="宋体" w:cs="宋体"/>
          <w:color w:val="auto"/>
          <w:spacing w:val="-18"/>
          <w:sz w:val="24"/>
          <w:szCs w:val="24"/>
          <w:highlight w:val="none"/>
        </w:rPr>
        <w:t>），</w:t>
      </w:r>
      <w:r>
        <w:rPr>
          <w:rFonts w:hint="eastAsia" w:ascii="宋体" w:hAnsi="宋体" w:eastAsia="宋体" w:cs="宋体"/>
          <w:color w:val="auto"/>
          <w:spacing w:val="-1"/>
          <w:sz w:val="24"/>
          <w:szCs w:val="24"/>
          <w:highlight w:val="none"/>
        </w:rPr>
        <w:t>承包人在使</w:t>
      </w:r>
      <w:r>
        <w:rPr>
          <w:rFonts w:hint="eastAsia" w:ascii="宋体" w:hAnsi="宋体" w:eastAsia="宋体" w:cs="宋体"/>
          <w:color w:val="auto"/>
          <w:spacing w:val="-2"/>
          <w:sz w:val="24"/>
          <w:szCs w:val="24"/>
          <w:highlight w:val="none"/>
        </w:rPr>
        <w:t>用前必须</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将材料（或工程设备）样板、材料合格证明（或产品合格证书）、材料（或工程设备）检验报告提交给监理单位和发包人审核。发</w:t>
      </w:r>
      <w:r>
        <w:rPr>
          <w:rFonts w:hint="eastAsia" w:ascii="宋体" w:hAnsi="宋体" w:eastAsia="宋体" w:cs="宋体"/>
          <w:color w:val="auto"/>
          <w:spacing w:val="-2"/>
          <w:sz w:val="24"/>
          <w:szCs w:val="24"/>
          <w:highlight w:val="none"/>
        </w:rPr>
        <w:t>包人审定并确定价格后，承包人方可采购和</w:t>
      </w:r>
      <w:r>
        <w:rPr>
          <w:rFonts w:hint="eastAsia" w:ascii="宋体" w:hAnsi="宋体" w:eastAsia="宋体" w:cs="宋体"/>
          <w:color w:val="auto"/>
          <w:spacing w:val="-1"/>
          <w:sz w:val="24"/>
          <w:szCs w:val="24"/>
          <w:highlight w:val="none"/>
        </w:rPr>
        <w:t>使用。如果在交货验收和使用过程中发现货</w:t>
      </w:r>
      <w:r>
        <w:rPr>
          <w:rFonts w:hint="eastAsia" w:ascii="宋体" w:hAnsi="宋体" w:eastAsia="宋体" w:cs="宋体"/>
          <w:color w:val="auto"/>
          <w:spacing w:val="-2"/>
          <w:sz w:val="24"/>
          <w:szCs w:val="24"/>
          <w:highlight w:val="none"/>
        </w:rPr>
        <w:t>不对板，监理单位和发包人有权拒用，并要</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求承包人立即进行更换。更换后的材料（或</w:t>
      </w:r>
      <w:r>
        <w:rPr>
          <w:rFonts w:hint="eastAsia" w:ascii="宋体" w:hAnsi="宋体" w:eastAsia="宋体" w:cs="宋体"/>
          <w:color w:val="auto"/>
          <w:spacing w:val="-2"/>
          <w:sz w:val="24"/>
          <w:szCs w:val="24"/>
          <w:highlight w:val="none"/>
        </w:rPr>
        <w:t>工程设备）应再次进行检查和检验。由此增</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加的费用和（或）工期延误由承包人承担。</w:t>
      </w:r>
    </w:p>
    <w:p w14:paraId="623BFEFE">
      <w:pPr>
        <w:spacing w:before="152" w:line="319" w:lineRule="auto"/>
        <w:ind w:left="8" w:right="38" w:firstLine="559"/>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1"/>
          <w:sz w:val="24"/>
          <w:szCs w:val="24"/>
          <w:highlight w:val="none"/>
        </w:rPr>
        <w:t xml:space="preserve">2.9 </w:t>
      </w:r>
      <w:r>
        <w:rPr>
          <w:rFonts w:hint="eastAsia" w:ascii="宋体" w:hAnsi="宋体" w:eastAsia="宋体" w:cs="宋体"/>
          <w:color w:val="auto"/>
          <w:spacing w:val="-1"/>
          <w:sz w:val="24"/>
          <w:szCs w:val="24"/>
          <w:highlight w:val="none"/>
        </w:rPr>
        <w:t>承包人已标价工程量清单中没有的材料（或工程设备）结算价格确定原则：按施工当月项目所在地工程造价管理机构发布的信息价格；若当地信息价格缺项的，由承包人根据变更工程资料依次参考韶关、清远、佛山、东莞、肇庆、惠州、广州等广东省内地区信息价执行；若以上城市均没有信息价则按厂商信息价、</w:t>
      </w:r>
      <w:r>
        <w:rPr>
          <w:rFonts w:hint="eastAsia" w:ascii="宋体" w:hAnsi="宋体" w:eastAsia="宋体" w:cs="宋体"/>
          <w:color w:val="auto"/>
          <w:spacing w:val="-1"/>
          <w:sz w:val="24"/>
          <w:szCs w:val="24"/>
          <w:highlight w:val="none"/>
          <w:lang w:val="en-US" w:eastAsia="zh-CN"/>
        </w:rPr>
        <w:t>造价通、</w:t>
      </w:r>
      <w:r>
        <w:rPr>
          <w:rFonts w:hint="eastAsia" w:ascii="宋体" w:hAnsi="宋体" w:eastAsia="宋体" w:cs="宋体"/>
          <w:color w:val="auto"/>
          <w:spacing w:val="-1"/>
          <w:sz w:val="24"/>
          <w:szCs w:val="24"/>
          <w:highlight w:val="none"/>
        </w:rPr>
        <w:t>电商平台价格（优先从京东、国美、苏宁等大型电商平台查询取其平均价）；若以上方式均无法确定材料价格 的，则采用厂商报价或市场询价等方式取得有合法依据的市场价格，报发包人确认。</w:t>
      </w:r>
    </w:p>
    <w:p w14:paraId="5DDA4611">
      <w:pPr>
        <w:pStyle w:val="29"/>
        <w:snapToGrid w:val="0"/>
        <w:spacing w:line="440" w:lineRule="exact"/>
        <w:ind w:firstLine="480"/>
        <w:jc w:val="both"/>
        <w:outlineLvl w:val="2"/>
        <w:rPr>
          <w:rStyle w:val="20"/>
          <w:rFonts w:hint="eastAsia" w:ascii="宋体" w:hAnsi="宋体" w:eastAsia="宋体" w:cs="宋体"/>
          <w:b/>
          <w:bCs/>
          <w:color w:val="auto"/>
          <w:sz w:val="24"/>
          <w:szCs w:val="24"/>
          <w:highlight w:val="none"/>
        </w:rPr>
      </w:pPr>
      <w:bookmarkStart w:id="177" w:name="_Toc1816"/>
      <w:bookmarkStart w:id="178" w:name="_Toc5247"/>
      <w:r>
        <w:rPr>
          <w:rStyle w:val="20"/>
          <w:rFonts w:hint="eastAsia" w:ascii="宋体" w:hAnsi="宋体" w:eastAsia="宋体" w:cs="宋体"/>
          <w:b/>
          <w:bCs/>
          <w:color w:val="auto"/>
          <w:sz w:val="24"/>
          <w:szCs w:val="24"/>
          <w:highlight w:val="none"/>
        </w:rPr>
        <w:t>3. 工程付款办法</w:t>
      </w:r>
      <w:bookmarkEnd w:id="177"/>
      <w:bookmarkEnd w:id="178"/>
    </w:p>
    <w:p w14:paraId="700B0E94">
      <w:pPr>
        <w:widowControl w:val="0"/>
        <w:kinsoku/>
        <w:wordWrap w:val="0"/>
        <w:autoSpaceDE/>
        <w:autoSpaceDN/>
        <w:adjustRightInd w:val="0"/>
        <w:snapToGrid w:val="0"/>
        <w:spacing w:line="440" w:lineRule="exact"/>
        <w:ind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3.1</w:t>
      </w:r>
      <w:r>
        <w:rPr>
          <w:rFonts w:hint="eastAsia" w:ascii="宋体" w:hAnsi="宋体" w:eastAsia="宋体" w:cs="宋体"/>
          <w:snapToGrid w:val="0"/>
          <w:color w:val="auto"/>
          <w:kern w:val="0"/>
          <w:sz w:val="24"/>
          <w:szCs w:val="20"/>
          <w:highlight w:val="none"/>
          <w:lang w:eastAsia="zh-CN"/>
        </w:rPr>
        <w:t xml:space="preserve"> 本工程 </w:t>
      </w:r>
      <w:r>
        <w:rPr>
          <w:rFonts w:hint="eastAsia" w:ascii="宋体" w:hAnsi="宋体" w:eastAsia="宋体" w:cs="宋体"/>
          <w:snapToGrid w:val="0"/>
          <w:color w:val="auto"/>
          <w:kern w:val="0"/>
          <w:sz w:val="24"/>
          <w:szCs w:val="20"/>
          <w:highlight w:val="none"/>
          <w:u w:val="single"/>
          <w:lang w:eastAsia="zh-CN"/>
        </w:rPr>
        <w:t>支付</w:t>
      </w:r>
      <w:r>
        <w:rPr>
          <w:rFonts w:hint="eastAsia" w:ascii="宋体" w:hAnsi="宋体" w:eastAsia="宋体" w:cs="宋体"/>
          <w:snapToGrid w:val="0"/>
          <w:color w:val="auto"/>
          <w:kern w:val="0"/>
          <w:sz w:val="24"/>
          <w:szCs w:val="20"/>
          <w:highlight w:val="none"/>
          <w:lang w:eastAsia="zh-CN"/>
        </w:rPr>
        <w:t xml:space="preserve"> 施工预付款。</w:t>
      </w:r>
    </w:p>
    <w:p w14:paraId="48B832B0">
      <w:pPr>
        <w:widowControl w:val="0"/>
        <w:kinsoku/>
        <w:wordWrap w:val="0"/>
        <w:autoSpaceDE/>
        <w:autoSpaceDN/>
        <w:adjustRightInd w:val="0"/>
        <w:snapToGrid w:val="0"/>
        <w:spacing w:line="440" w:lineRule="exact"/>
        <w:ind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3.2</w:t>
      </w:r>
      <w:r>
        <w:rPr>
          <w:rFonts w:hint="eastAsia" w:ascii="宋体" w:hAnsi="宋体" w:eastAsia="宋体" w:cs="宋体"/>
          <w:snapToGrid w:val="0"/>
          <w:color w:val="auto"/>
          <w:kern w:val="0"/>
          <w:sz w:val="24"/>
          <w:szCs w:val="20"/>
          <w:highlight w:val="none"/>
          <w:lang w:eastAsia="zh-CN"/>
        </w:rPr>
        <w:t xml:space="preserve"> 施工预付款必须专用于合同工程，并按以下原则支付和抵扣：</w:t>
      </w:r>
    </w:p>
    <w:p w14:paraId="207970DB">
      <w:pPr>
        <w:widowControl w:val="0"/>
        <w:kinsoku/>
        <w:wordWrap w:val="0"/>
        <w:autoSpaceDE/>
        <w:autoSpaceDN/>
        <w:adjustRightInd w:val="0"/>
        <w:snapToGrid w:val="0"/>
        <w:spacing w:line="440" w:lineRule="exact"/>
        <w:ind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3.2.1</w:t>
      </w:r>
      <w:r>
        <w:rPr>
          <w:rFonts w:hint="eastAsia" w:ascii="宋体" w:hAnsi="宋体" w:eastAsia="宋体" w:cs="宋体"/>
          <w:snapToGrid w:val="0"/>
          <w:color w:val="auto"/>
          <w:kern w:val="0"/>
          <w:sz w:val="24"/>
          <w:szCs w:val="20"/>
          <w:highlight w:val="none"/>
          <w:lang w:eastAsia="zh-CN"/>
        </w:rPr>
        <w:t xml:space="preserve"> 施工预付款支付比例为：按施工合同价（暂列金额、专业工程暂估价、安全生产措施费除外）的 30% 支付。</w:t>
      </w:r>
    </w:p>
    <w:p w14:paraId="751D5DD9">
      <w:pPr>
        <w:widowControl w:val="0"/>
        <w:kinsoku/>
        <w:wordWrap w:val="0"/>
        <w:autoSpaceDE/>
        <w:autoSpaceDN/>
        <w:adjustRightInd w:val="0"/>
        <w:snapToGrid w:val="0"/>
        <w:spacing w:line="440" w:lineRule="exact"/>
        <w:ind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3.2.2</w:t>
      </w:r>
      <w:r>
        <w:rPr>
          <w:rFonts w:hint="eastAsia" w:ascii="宋体" w:hAnsi="宋体" w:eastAsia="宋体" w:cs="宋体"/>
          <w:snapToGrid w:val="0"/>
          <w:color w:val="auto"/>
          <w:kern w:val="0"/>
          <w:sz w:val="24"/>
          <w:szCs w:val="20"/>
          <w:highlight w:val="none"/>
          <w:lang w:eastAsia="zh-CN"/>
        </w:rPr>
        <w:t xml:space="preserve"> 本招标项目</w:t>
      </w:r>
      <w:r>
        <w:rPr>
          <w:rFonts w:hint="eastAsia" w:ascii="宋体" w:hAnsi="宋体" w:eastAsia="宋体" w:cs="宋体"/>
          <w:b/>
          <w:bCs/>
          <w:snapToGrid w:val="0"/>
          <w:color w:val="auto"/>
          <w:kern w:val="0"/>
          <w:sz w:val="24"/>
          <w:szCs w:val="20"/>
          <w:highlight w:val="none"/>
          <w:u w:val="single"/>
          <w:lang w:eastAsia="zh-CN"/>
        </w:rPr>
        <w:t xml:space="preserve"> </w:t>
      </w:r>
      <w:r>
        <w:rPr>
          <w:rFonts w:hint="eastAsia" w:ascii="宋体" w:hAnsi="宋体" w:eastAsia="宋体" w:cs="宋体"/>
          <w:b/>
          <w:bCs/>
          <w:snapToGrid w:val="0"/>
          <w:color w:val="auto"/>
          <w:kern w:val="0"/>
          <w:sz w:val="24"/>
          <w:szCs w:val="20"/>
          <w:highlight w:val="none"/>
          <w:u w:val="single"/>
          <w:lang w:val="en-US" w:eastAsia="zh-CN"/>
        </w:rPr>
        <w:t>不</w:t>
      </w:r>
      <w:r>
        <w:rPr>
          <w:rFonts w:hint="eastAsia" w:ascii="宋体" w:hAnsi="宋体" w:eastAsia="宋体" w:cs="宋体"/>
          <w:b/>
          <w:bCs/>
          <w:snapToGrid w:val="0"/>
          <w:color w:val="auto"/>
          <w:kern w:val="0"/>
          <w:sz w:val="24"/>
          <w:szCs w:val="20"/>
          <w:highlight w:val="none"/>
          <w:u w:val="single"/>
          <w:lang w:eastAsia="zh-CN"/>
        </w:rPr>
        <w:t xml:space="preserve">要求 </w:t>
      </w:r>
      <w:r>
        <w:rPr>
          <w:rFonts w:hint="eastAsia" w:ascii="宋体" w:hAnsi="宋体" w:eastAsia="宋体" w:cs="宋体"/>
          <w:snapToGrid w:val="0"/>
          <w:color w:val="auto"/>
          <w:kern w:val="0"/>
          <w:sz w:val="24"/>
          <w:szCs w:val="20"/>
          <w:highlight w:val="none"/>
          <w:lang w:eastAsia="zh-CN"/>
        </w:rPr>
        <w:t>承包人提供与预付款等额的预付款保函。</w:t>
      </w:r>
    </w:p>
    <w:p w14:paraId="3205B6D0">
      <w:pPr>
        <w:widowControl w:val="0"/>
        <w:kinsoku/>
        <w:wordWrap w:val="0"/>
        <w:autoSpaceDE/>
        <w:autoSpaceDN/>
        <w:adjustRightInd w:val="0"/>
        <w:snapToGrid w:val="0"/>
        <w:spacing w:line="440" w:lineRule="exact"/>
        <w:ind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3.2.3</w:t>
      </w:r>
      <w:r>
        <w:rPr>
          <w:rFonts w:hint="eastAsia" w:ascii="宋体" w:hAnsi="宋体" w:eastAsia="宋体" w:cs="宋体"/>
          <w:snapToGrid w:val="0"/>
          <w:color w:val="auto"/>
          <w:kern w:val="0"/>
          <w:sz w:val="24"/>
          <w:szCs w:val="20"/>
          <w:highlight w:val="none"/>
          <w:lang w:eastAsia="zh-CN"/>
        </w:rPr>
        <w:t xml:space="preserve"> 承包人应在签订合同后，</w:t>
      </w:r>
      <w:r>
        <w:rPr>
          <w:rFonts w:hint="eastAsia" w:ascii="宋体" w:hAnsi="宋体" w:eastAsia="宋体" w:cs="宋体"/>
          <w:b/>
          <w:bCs/>
          <w:snapToGrid w:val="0"/>
          <w:color w:val="auto"/>
          <w:kern w:val="0"/>
          <w:sz w:val="24"/>
          <w:szCs w:val="20"/>
          <w:highlight w:val="none"/>
          <w:lang w:eastAsia="zh-CN"/>
        </w:rPr>
        <w:t>在提供符合要求的预付款保函或预付款保险</w:t>
      </w:r>
      <w:r>
        <w:rPr>
          <w:rFonts w:hint="eastAsia" w:ascii="宋体" w:hAnsi="宋体" w:eastAsia="宋体" w:cs="宋体"/>
          <w:snapToGrid w:val="0"/>
          <w:color w:val="auto"/>
          <w:kern w:val="0"/>
          <w:sz w:val="24"/>
          <w:szCs w:val="20"/>
          <w:highlight w:val="none"/>
          <w:lang w:eastAsia="zh-CN"/>
        </w:rPr>
        <w:t>及具备施工条件的前提下，向发包人提交预付款支付申请。发包人应对在收到支付申请的</w:t>
      </w:r>
      <w:r>
        <w:rPr>
          <w:rFonts w:hint="eastAsia" w:ascii="宋体" w:hAnsi="宋体" w:eastAsia="宋体" w:cs="宋体"/>
          <w:snapToGrid w:val="0"/>
          <w:color w:val="auto"/>
          <w:kern w:val="0"/>
          <w:sz w:val="24"/>
          <w:szCs w:val="20"/>
          <w:highlight w:val="none"/>
          <w:lang w:val="en-US" w:eastAsia="zh-CN"/>
        </w:rPr>
        <w:t>7</w:t>
      </w:r>
      <w:r>
        <w:rPr>
          <w:rFonts w:hint="eastAsia" w:ascii="宋体" w:hAnsi="宋体" w:eastAsia="宋体" w:cs="宋体"/>
          <w:snapToGrid w:val="0"/>
          <w:color w:val="auto"/>
          <w:kern w:val="0"/>
          <w:sz w:val="24"/>
          <w:szCs w:val="20"/>
          <w:highlight w:val="none"/>
          <w:lang w:eastAsia="zh-CN"/>
        </w:rPr>
        <w:t>天内进行核实后向承包人发出预付款支付证书，并在签发支付证书后的</w:t>
      </w:r>
      <w:r>
        <w:rPr>
          <w:rFonts w:hint="eastAsia" w:ascii="宋体" w:hAnsi="宋体" w:eastAsia="宋体" w:cs="宋体"/>
          <w:snapToGrid w:val="0"/>
          <w:color w:val="auto"/>
          <w:kern w:val="0"/>
          <w:sz w:val="24"/>
          <w:szCs w:val="20"/>
          <w:highlight w:val="none"/>
          <w:lang w:val="en-US" w:eastAsia="zh-CN"/>
        </w:rPr>
        <w:t>7</w:t>
      </w:r>
      <w:r>
        <w:rPr>
          <w:rFonts w:hint="eastAsia" w:ascii="宋体" w:hAnsi="宋体" w:eastAsia="宋体" w:cs="宋体"/>
          <w:snapToGrid w:val="0"/>
          <w:color w:val="auto"/>
          <w:kern w:val="0"/>
          <w:sz w:val="24"/>
          <w:szCs w:val="20"/>
          <w:highlight w:val="none"/>
          <w:lang w:eastAsia="zh-CN"/>
        </w:rPr>
        <w:t>天内向承包人支付预付款。凡未签订合同或不具备施工条件的工程，发包人不得预付工程款。</w:t>
      </w:r>
    </w:p>
    <w:p w14:paraId="4D185669">
      <w:pPr>
        <w:widowControl w:val="0"/>
        <w:kinsoku/>
        <w:wordWrap w:val="0"/>
        <w:autoSpaceDE/>
        <w:autoSpaceDN/>
        <w:adjustRightInd w:val="0"/>
        <w:snapToGrid w:val="0"/>
        <w:spacing w:line="440" w:lineRule="exact"/>
        <w:ind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3.2.</w:t>
      </w:r>
      <w:r>
        <w:rPr>
          <w:rFonts w:hint="eastAsia" w:ascii="宋体" w:hAnsi="宋体" w:eastAsia="宋体" w:cs="宋体"/>
          <w:b/>
          <w:bCs/>
          <w:snapToGrid w:val="0"/>
          <w:color w:val="auto"/>
          <w:kern w:val="0"/>
          <w:sz w:val="24"/>
          <w:szCs w:val="20"/>
          <w:highlight w:val="none"/>
          <w:lang w:val="en-US" w:eastAsia="zh-CN"/>
        </w:rPr>
        <w:t>4</w:t>
      </w:r>
      <w:r>
        <w:rPr>
          <w:rFonts w:hint="eastAsia" w:ascii="宋体" w:hAnsi="宋体" w:eastAsia="宋体" w:cs="宋体"/>
          <w:snapToGrid w:val="0"/>
          <w:color w:val="auto"/>
          <w:kern w:val="0"/>
          <w:sz w:val="24"/>
          <w:szCs w:val="20"/>
          <w:highlight w:val="none"/>
          <w:lang w:eastAsia="zh-CN"/>
        </w:rPr>
        <w:t xml:space="preserve"> 发包人没有按时支付预付款的，承包人可催告发包人支付；发包人在付款期满后的 7 天内仍未支付的，承包人可在付款期满后的第 8 天起暂停施工。发包人应向承包人支付应付款的利息（从付款期满后之日起计算，利率按同期银行贷款利率计算），并承担违约责任。</w:t>
      </w:r>
    </w:p>
    <w:p w14:paraId="7338FAE4">
      <w:pPr>
        <w:widowControl w:val="0"/>
        <w:kinsoku/>
        <w:wordWrap w:val="0"/>
        <w:autoSpaceDE/>
        <w:autoSpaceDN/>
        <w:adjustRightInd w:val="0"/>
        <w:snapToGrid w:val="0"/>
        <w:spacing w:line="440" w:lineRule="exact"/>
        <w:ind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val="en-US" w:eastAsia="zh-CN"/>
        </w:rPr>
        <w:t>3.2.5</w:t>
      </w:r>
      <w:r>
        <w:rPr>
          <w:rFonts w:hint="eastAsia" w:ascii="宋体" w:hAnsi="宋体" w:eastAsia="宋体" w:cs="宋体"/>
          <w:snapToGrid w:val="0"/>
          <w:color w:val="auto"/>
          <w:kern w:val="0"/>
          <w:sz w:val="24"/>
          <w:szCs w:val="20"/>
          <w:highlight w:val="none"/>
          <w:lang w:val="en-US" w:eastAsia="zh-CN"/>
        </w:rPr>
        <w:t xml:space="preserve"> 预付款将从应付的工程进度款中扣回，在预付款全部扣完之前，发包人不再向承包人支付任何工程进度款。</w:t>
      </w:r>
    </w:p>
    <w:p w14:paraId="070C0CBD">
      <w:pPr>
        <w:widowControl w:val="0"/>
        <w:kinsoku/>
        <w:wordWrap w:val="0"/>
        <w:autoSpaceDE/>
        <w:autoSpaceDN/>
        <w:adjustRightInd w:val="0"/>
        <w:snapToGrid w:val="0"/>
        <w:spacing w:line="440" w:lineRule="exact"/>
        <w:ind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3.3</w:t>
      </w:r>
      <w:r>
        <w:rPr>
          <w:rFonts w:hint="eastAsia" w:ascii="宋体" w:hAnsi="宋体" w:eastAsia="宋体" w:cs="宋体"/>
          <w:snapToGrid w:val="0"/>
          <w:color w:val="auto"/>
          <w:kern w:val="0"/>
          <w:sz w:val="24"/>
          <w:szCs w:val="20"/>
          <w:highlight w:val="none"/>
          <w:lang w:eastAsia="zh-CN"/>
        </w:rPr>
        <w:t xml:space="preserve"> 施工过程中按月支付工程进度款：承包人每月按工程实际完成工程量（含变更及增加工程）申报，承包人必须将《已完成工程量报表》和《工程付款申请书》于当月26 日前报监理单位核实。经监理单位审核、发包人审定后的工程进度款（指已经按照合同约定，扣除该支付期内因承包人违约而应扣除的管理费），于申报次月支付。</w:t>
      </w:r>
    </w:p>
    <w:p w14:paraId="75B9AF69">
      <w:pPr>
        <w:widowControl w:val="0"/>
        <w:kinsoku/>
        <w:wordWrap w:val="0"/>
        <w:autoSpaceDE/>
        <w:autoSpaceDN/>
        <w:adjustRightInd w:val="0"/>
        <w:snapToGrid w:val="0"/>
        <w:spacing w:line="440" w:lineRule="exact"/>
        <w:ind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3.4</w:t>
      </w:r>
      <w:r>
        <w:rPr>
          <w:rFonts w:hint="eastAsia" w:ascii="宋体" w:hAnsi="宋体" w:eastAsia="宋体" w:cs="宋体"/>
          <w:snapToGrid w:val="0"/>
          <w:color w:val="auto"/>
          <w:kern w:val="0"/>
          <w:sz w:val="24"/>
          <w:szCs w:val="20"/>
          <w:highlight w:val="none"/>
          <w:lang w:eastAsia="zh-CN"/>
        </w:rPr>
        <w:t xml:space="preserve"> 每月的工程进度款按工程实际完成工程量的 80% 申请支付，工程进度款中的作业工人工资款项由发包人单独足额拨付到承包人的工资专户。</w:t>
      </w:r>
    </w:p>
    <w:p w14:paraId="3A73F845">
      <w:pPr>
        <w:widowControl w:val="0"/>
        <w:kinsoku/>
        <w:wordWrap w:val="0"/>
        <w:autoSpaceDE/>
        <w:autoSpaceDN/>
        <w:adjustRightInd w:val="0"/>
        <w:snapToGrid w:val="0"/>
        <w:spacing w:line="440" w:lineRule="exact"/>
        <w:ind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w:t>
      </w:r>
      <w:r>
        <w:rPr>
          <w:rFonts w:hint="eastAsia" w:ascii="宋体" w:hAnsi="宋体" w:eastAsia="宋体" w:cs="宋体"/>
          <w:b/>
          <w:bCs/>
          <w:snapToGrid w:val="0"/>
          <w:color w:val="auto"/>
          <w:kern w:val="0"/>
          <w:sz w:val="24"/>
          <w:szCs w:val="20"/>
          <w:highlight w:val="none"/>
          <w:lang w:val="en-US" w:eastAsia="zh-CN"/>
        </w:rPr>
        <w:t>5</w:t>
      </w:r>
      <w:r>
        <w:rPr>
          <w:rFonts w:hint="eastAsia" w:ascii="宋体" w:hAnsi="宋体" w:eastAsia="宋体" w:cs="宋体"/>
          <w:snapToGrid w:val="0"/>
          <w:color w:val="auto"/>
          <w:kern w:val="0"/>
          <w:sz w:val="24"/>
          <w:szCs w:val="20"/>
          <w:highlight w:val="none"/>
          <w:lang w:eastAsia="zh-CN"/>
        </w:rPr>
        <w:t xml:space="preserve"> 措施项目费中的“</w:t>
      </w:r>
      <w:r>
        <w:rPr>
          <w:rFonts w:hint="eastAsia" w:ascii="宋体" w:hAnsi="宋体" w:eastAsia="宋体" w:cs="宋体"/>
          <w:snapToGrid w:val="0"/>
          <w:color w:val="auto"/>
          <w:kern w:val="0"/>
          <w:sz w:val="24"/>
          <w:szCs w:val="20"/>
          <w:highlight w:val="none"/>
          <w:lang w:val="en-US" w:eastAsia="zh-CN"/>
        </w:rPr>
        <w:t>安全生产措施费</w:t>
      </w:r>
      <w:r>
        <w:rPr>
          <w:rFonts w:hint="eastAsia" w:ascii="宋体" w:hAnsi="宋体" w:eastAsia="宋体" w:cs="宋体"/>
          <w:snapToGrid w:val="0"/>
          <w:color w:val="auto"/>
          <w:kern w:val="0"/>
          <w:sz w:val="24"/>
          <w:szCs w:val="20"/>
          <w:highlight w:val="none"/>
          <w:lang w:eastAsia="zh-CN"/>
        </w:rPr>
        <w:t>”拨付按照《广东省建设工程计价依据（20</w:t>
      </w:r>
      <w:r>
        <w:rPr>
          <w:rFonts w:hint="eastAsia" w:ascii="宋体" w:hAnsi="宋体" w:eastAsia="宋体" w:cs="宋体"/>
          <w:snapToGrid w:val="0"/>
          <w:color w:val="auto"/>
          <w:kern w:val="0"/>
          <w:sz w:val="24"/>
          <w:szCs w:val="20"/>
          <w:highlight w:val="none"/>
          <w:lang w:val="en-US" w:eastAsia="zh-CN"/>
        </w:rPr>
        <w:t>24</w:t>
      </w:r>
      <w:r>
        <w:rPr>
          <w:rFonts w:hint="eastAsia" w:ascii="宋体" w:hAnsi="宋体" w:eastAsia="宋体" w:cs="宋体"/>
          <w:snapToGrid w:val="0"/>
          <w:color w:val="auto"/>
          <w:kern w:val="0"/>
          <w:sz w:val="24"/>
          <w:szCs w:val="20"/>
          <w:highlight w:val="none"/>
          <w:lang w:eastAsia="zh-CN"/>
        </w:rPr>
        <w:t>）》执行，按照项目所在地的建设行政主管部门有关规定支付。发生一般事故及以上等级重大安全事故的，发包人可扣除承包人金额相当于所有“</w:t>
      </w:r>
      <w:r>
        <w:rPr>
          <w:rFonts w:hint="eastAsia" w:ascii="宋体" w:hAnsi="宋体" w:eastAsia="宋体" w:cs="宋体"/>
          <w:snapToGrid w:val="0"/>
          <w:color w:val="auto"/>
          <w:kern w:val="0"/>
          <w:sz w:val="24"/>
          <w:szCs w:val="20"/>
          <w:highlight w:val="none"/>
          <w:lang w:val="en-US" w:eastAsia="zh-CN"/>
        </w:rPr>
        <w:t>安全生产措施费</w:t>
      </w:r>
      <w:r>
        <w:rPr>
          <w:rFonts w:hint="eastAsia" w:ascii="宋体" w:hAnsi="宋体" w:eastAsia="宋体" w:cs="宋体"/>
          <w:snapToGrid w:val="0"/>
          <w:color w:val="auto"/>
          <w:kern w:val="0"/>
          <w:sz w:val="24"/>
          <w:szCs w:val="20"/>
          <w:highlight w:val="none"/>
          <w:lang w:eastAsia="zh-CN"/>
        </w:rPr>
        <w:t>”的工程管理费。</w:t>
      </w:r>
    </w:p>
    <w:p w14:paraId="738F555B">
      <w:pPr>
        <w:widowControl w:val="0"/>
        <w:kinsoku/>
        <w:wordWrap w:val="0"/>
        <w:autoSpaceDE/>
        <w:autoSpaceDN/>
        <w:adjustRightInd w:val="0"/>
        <w:snapToGrid w:val="0"/>
        <w:spacing w:line="440" w:lineRule="exact"/>
        <w:ind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w:t>
      </w:r>
      <w:r>
        <w:rPr>
          <w:rFonts w:hint="eastAsia" w:ascii="宋体" w:hAnsi="宋体" w:eastAsia="宋体" w:cs="宋体"/>
          <w:b/>
          <w:bCs/>
          <w:snapToGrid w:val="0"/>
          <w:color w:val="auto"/>
          <w:kern w:val="0"/>
          <w:sz w:val="24"/>
          <w:szCs w:val="20"/>
          <w:highlight w:val="none"/>
          <w:lang w:val="en-US" w:eastAsia="zh-CN"/>
        </w:rPr>
        <w:t>6</w:t>
      </w:r>
      <w:r>
        <w:rPr>
          <w:rFonts w:hint="eastAsia" w:ascii="宋体" w:hAnsi="宋体" w:eastAsia="宋体" w:cs="宋体"/>
          <w:snapToGrid w:val="0"/>
          <w:color w:val="auto"/>
          <w:kern w:val="0"/>
          <w:sz w:val="24"/>
          <w:szCs w:val="20"/>
          <w:highlight w:val="none"/>
          <w:lang w:eastAsia="zh-CN"/>
        </w:rPr>
        <w:t xml:space="preserve"> 变更工程造价必须经监理单位核实，并经发包人核定后方可支付。</w:t>
      </w:r>
    </w:p>
    <w:p w14:paraId="29EEE166">
      <w:pPr>
        <w:widowControl w:val="0"/>
        <w:kinsoku/>
        <w:wordWrap w:val="0"/>
        <w:autoSpaceDE/>
        <w:autoSpaceDN/>
        <w:adjustRightInd w:val="0"/>
        <w:snapToGrid w:val="0"/>
        <w:spacing w:line="440" w:lineRule="exact"/>
        <w:ind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w:t>
      </w:r>
      <w:r>
        <w:rPr>
          <w:rFonts w:hint="eastAsia" w:ascii="宋体" w:hAnsi="宋体" w:eastAsia="宋体" w:cs="宋体"/>
          <w:b/>
          <w:bCs/>
          <w:snapToGrid w:val="0"/>
          <w:color w:val="auto"/>
          <w:kern w:val="0"/>
          <w:sz w:val="24"/>
          <w:szCs w:val="20"/>
          <w:highlight w:val="none"/>
          <w:lang w:val="en-US" w:eastAsia="zh-CN"/>
        </w:rPr>
        <w:t>7</w:t>
      </w:r>
      <w:r>
        <w:rPr>
          <w:rFonts w:hint="eastAsia" w:ascii="宋体" w:hAnsi="宋体" w:eastAsia="宋体" w:cs="宋体"/>
          <w:snapToGrid w:val="0"/>
          <w:color w:val="auto"/>
          <w:kern w:val="0"/>
          <w:sz w:val="24"/>
          <w:szCs w:val="20"/>
          <w:highlight w:val="none"/>
          <w:lang w:eastAsia="zh-CN"/>
        </w:rPr>
        <w:t xml:space="preserve"> 结算审核完成后，</w:t>
      </w:r>
      <w:r>
        <w:rPr>
          <w:rFonts w:hint="eastAsia" w:ascii="宋体" w:hAnsi="宋体" w:eastAsia="宋体" w:cs="宋体"/>
          <w:snapToGrid w:val="0"/>
          <w:color w:val="auto"/>
          <w:kern w:val="0"/>
          <w:sz w:val="24"/>
          <w:szCs w:val="20"/>
          <w:highlight w:val="none"/>
          <w:lang w:val="en-US" w:eastAsia="zh-CN"/>
        </w:rPr>
        <w:t>可</w:t>
      </w:r>
      <w:r>
        <w:rPr>
          <w:rFonts w:hint="eastAsia" w:ascii="宋体" w:hAnsi="宋体" w:eastAsia="宋体" w:cs="宋体"/>
          <w:snapToGrid w:val="0"/>
          <w:color w:val="auto"/>
          <w:kern w:val="0"/>
          <w:sz w:val="24"/>
          <w:szCs w:val="20"/>
          <w:highlight w:val="none"/>
          <w:lang w:eastAsia="zh-CN"/>
        </w:rPr>
        <w:t>支付至合同价格的97%，剩余3%转为质量保证金；承包人提交了等额质量保证担保或质量保证保险的，</w:t>
      </w:r>
      <w:r>
        <w:rPr>
          <w:rFonts w:hint="eastAsia" w:ascii="宋体" w:hAnsi="宋体" w:eastAsia="宋体" w:cs="宋体"/>
          <w:snapToGrid w:val="0"/>
          <w:color w:val="auto"/>
          <w:kern w:val="0"/>
          <w:sz w:val="24"/>
          <w:szCs w:val="20"/>
          <w:highlight w:val="none"/>
          <w:lang w:val="en-US" w:eastAsia="zh-CN"/>
        </w:rPr>
        <w:t>可</w:t>
      </w:r>
      <w:r>
        <w:rPr>
          <w:rFonts w:hint="eastAsia" w:ascii="宋体" w:hAnsi="宋体" w:eastAsia="宋体" w:cs="宋体"/>
          <w:snapToGrid w:val="0"/>
          <w:color w:val="auto"/>
          <w:kern w:val="0"/>
          <w:sz w:val="24"/>
          <w:szCs w:val="20"/>
          <w:highlight w:val="none"/>
          <w:lang w:eastAsia="zh-CN"/>
        </w:rPr>
        <w:t>一次性结清合同价格。</w:t>
      </w:r>
    </w:p>
    <w:p w14:paraId="35128F04">
      <w:pPr>
        <w:widowControl w:val="0"/>
        <w:kinsoku/>
        <w:wordWrap w:val="0"/>
        <w:autoSpaceDE/>
        <w:autoSpaceDN/>
        <w:adjustRightInd w:val="0"/>
        <w:snapToGrid w:val="0"/>
        <w:spacing w:line="440" w:lineRule="exact"/>
        <w:ind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w:t>
      </w:r>
      <w:r>
        <w:rPr>
          <w:rFonts w:hint="eastAsia" w:ascii="宋体" w:hAnsi="宋体" w:eastAsia="宋体" w:cs="宋体"/>
          <w:b/>
          <w:bCs/>
          <w:snapToGrid w:val="0"/>
          <w:color w:val="auto"/>
          <w:kern w:val="0"/>
          <w:sz w:val="24"/>
          <w:szCs w:val="20"/>
          <w:highlight w:val="none"/>
          <w:lang w:val="en-US" w:eastAsia="zh-CN"/>
        </w:rPr>
        <w:t>8</w:t>
      </w:r>
      <w:r>
        <w:rPr>
          <w:rFonts w:hint="eastAsia" w:ascii="宋体" w:hAnsi="宋体" w:eastAsia="宋体" w:cs="宋体"/>
          <w:snapToGrid w:val="0"/>
          <w:color w:val="auto"/>
          <w:kern w:val="0"/>
          <w:sz w:val="24"/>
          <w:szCs w:val="20"/>
          <w:highlight w:val="none"/>
          <w:lang w:eastAsia="zh-CN"/>
        </w:rPr>
        <w:t>本招标项目缺陷责任期为</w:t>
      </w:r>
      <w:r>
        <w:rPr>
          <w:rFonts w:hint="eastAsia" w:ascii="宋体" w:hAnsi="宋体" w:eastAsia="宋体" w:cs="宋体"/>
          <w:snapToGrid w:val="0"/>
          <w:color w:val="auto"/>
          <w:kern w:val="0"/>
          <w:sz w:val="24"/>
          <w:szCs w:val="20"/>
          <w:highlight w:val="none"/>
          <w:u w:val="single"/>
          <w:lang w:val="en-US" w:eastAsia="zh-CN"/>
        </w:rPr>
        <w:t>2</w:t>
      </w:r>
      <w:r>
        <w:rPr>
          <w:rFonts w:hint="eastAsia" w:ascii="宋体" w:hAnsi="宋体" w:eastAsia="宋体" w:cs="宋体"/>
          <w:snapToGrid w:val="0"/>
          <w:color w:val="auto"/>
          <w:kern w:val="0"/>
          <w:sz w:val="24"/>
          <w:szCs w:val="20"/>
          <w:highlight w:val="none"/>
          <w:lang w:eastAsia="zh-CN"/>
        </w:rPr>
        <w:t xml:space="preserve"> 年（自通过竣工验收之日起计）。缺陷责任期到期后，承包人向发包人申请退还质量保证。发包人收到退还申请后，于</w:t>
      </w:r>
      <w:r>
        <w:rPr>
          <w:rFonts w:hint="eastAsia" w:ascii="宋体" w:hAnsi="宋体" w:eastAsia="宋体" w:cs="宋体"/>
          <w:snapToGrid w:val="0"/>
          <w:color w:val="auto"/>
          <w:kern w:val="0"/>
          <w:sz w:val="24"/>
          <w:szCs w:val="20"/>
          <w:highlight w:val="none"/>
          <w:u w:val="single"/>
          <w:lang w:eastAsia="zh-CN"/>
        </w:rPr>
        <w:t>14</w:t>
      </w:r>
      <w:r>
        <w:rPr>
          <w:rFonts w:hint="eastAsia" w:ascii="宋体" w:hAnsi="宋体" w:eastAsia="宋体" w:cs="宋体"/>
          <w:snapToGrid w:val="0"/>
          <w:color w:val="auto"/>
          <w:kern w:val="0"/>
          <w:sz w:val="24"/>
          <w:szCs w:val="20"/>
          <w:highlight w:val="none"/>
          <w:lang w:eastAsia="zh-CN"/>
        </w:rPr>
        <w:t>天内会同承包人进行核实。经双方核实且均无异议后，发包人在核实之日起</w:t>
      </w:r>
      <w:r>
        <w:rPr>
          <w:rFonts w:hint="eastAsia" w:ascii="宋体" w:hAnsi="宋体" w:eastAsia="宋体" w:cs="宋体"/>
          <w:snapToGrid w:val="0"/>
          <w:color w:val="auto"/>
          <w:kern w:val="0"/>
          <w:sz w:val="24"/>
          <w:szCs w:val="20"/>
          <w:highlight w:val="none"/>
          <w:u w:val="single"/>
          <w:lang w:eastAsia="zh-CN"/>
        </w:rPr>
        <w:t xml:space="preserve"> 14 </w:t>
      </w:r>
      <w:r>
        <w:rPr>
          <w:rFonts w:hint="eastAsia" w:ascii="宋体" w:hAnsi="宋体" w:eastAsia="宋体" w:cs="宋体"/>
          <w:snapToGrid w:val="0"/>
          <w:color w:val="auto"/>
          <w:kern w:val="0"/>
          <w:sz w:val="24"/>
          <w:szCs w:val="20"/>
          <w:highlight w:val="none"/>
          <w:lang w:eastAsia="zh-CN"/>
        </w:rPr>
        <w:t>天内将应返保证金（或银行保函）退还承包人。</w:t>
      </w:r>
    </w:p>
    <w:p w14:paraId="7B410B9A">
      <w:pPr>
        <w:widowControl w:val="0"/>
        <w:kinsoku/>
        <w:wordWrap w:val="0"/>
        <w:autoSpaceDE/>
        <w:autoSpaceDN/>
        <w:adjustRightInd w:val="0"/>
        <w:snapToGrid w:val="0"/>
        <w:spacing w:line="440" w:lineRule="exact"/>
        <w:ind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3.9</w:t>
      </w:r>
      <w:r>
        <w:rPr>
          <w:rFonts w:hint="eastAsia" w:ascii="宋体" w:hAnsi="宋体" w:eastAsia="宋体" w:cs="宋体"/>
          <w:snapToGrid w:val="0"/>
          <w:color w:val="auto"/>
          <w:kern w:val="0"/>
          <w:sz w:val="24"/>
          <w:szCs w:val="20"/>
          <w:highlight w:val="none"/>
          <w:lang w:eastAsia="zh-CN"/>
        </w:rPr>
        <w:t xml:space="preserve"> </w:t>
      </w:r>
      <w:r>
        <w:rPr>
          <w:rFonts w:hint="eastAsia" w:ascii="宋体" w:hAnsi="宋体" w:eastAsia="宋体" w:cs="宋体"/>
          <w:b/>
          <w:bCs/>
          <w:snapToGrid w:val="0"/>
          <w:color w:val="auto"/>
          <w:kern w:val="0"/>
          <w:sz w:val="24"/>
          <w:szCs w:val="20"/>
          <w:highlight w:val="none"/>
          <w:lang w:eastAsia="zh-CN"/>
        </w:rPr>
        <w:t>发包人每次支付工程款前，承包人均应提供有效的增值税专用发票。如果承包人无法提供符合要求的发票，由此造成的相应损失由承包人承担。</w:t>
      </w:r>
    </w:p>
    <w:p w14:paraId="79D37AA9">
      <w:pPr>
        <w:widowControl w:val="0"/>
        <w:kinsoku/>
        <w:wordWrap w:val="0"/>
        <w:autoSpaceDE/>
        <w:autoSpaceDN/>
        <w:adjustRightInd w:val="0"/>
        <w:snapToGrid w:val="0"/>
        <w:spacing w:line="440" w:lineRule="exact"/>
        <w:ind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w:t>
      </w:r>
      <w:r>
        <w:rPr>
          <w:rFonts w:hint="eastAsia" w:ascii="宋体" w:hAnsi="宋体" w:eastAsia="宋体" w:cs="宋体"/>
          <w:b/>
          <w:bCs/>
          <w:snapToGrid w:val="0"/>
          <w:color w:val="auto"/>
          <w:kern w:val="0"/>
          <w:sz w:val="24"/>
          <w:szCs w:val="20"/>
          <w:highlight w:val="none"/>
          <w:lang w:val="en-US" w:eastAsia="zh-CN"/>
        </w:rPr>
        <w:t>10</w:t>
      </w:r>
      <w:r>
        <w:rPr>
          <w:rFonts w:hint="eastAsia" w:ascii="宋体" w:hAnsi="宋体" w:eastAsia="宋体" w:cs="宋体"/>
          <w:snapToGrid w:val="0"/>
          <w:color w:val="auto"/>
          <w:kern w:val="0"/>
          <w:sz w:val="24"/>
          <w:szCs w:val="20"/>
          <w:highlight w:val="none"/>
          <w:lang w:eastAsia="zh-CN"/>
        </w:rPr>
        <w:t>暂列金额支付方式：</w:t>
      </w:r>
      <w:r>
        <w:rPr>
          <w:rFonts w:hint="eastAsia" w:ascii="宋体" w:hAnsi="宋体" w:eastAsia="宋体" w:cs="宋体"/>
          <w:snapToGrid w:val="0"/>
          <w:color w:val="auto"/>
          <w:kern w:val="0"/>
          <w:sz w:val="24"/>
          <w:szCs w:val="20"/>
          <w:highlight w:val="none"/>
          <w:u w:val="single"/>
          <w:lang w:val="en-US" w:eastAsia="zh-CN"/>
        </w:rPr>
        <w:t>承包人需根据发包人发布的《工程变更管理办法》和《工程签证管理办法》完善工程变更签证相关程序后，与每个月的工程进度款一并报送；若承包人原因未按上述办法在规定时间内完善工程变更签证相关程序的，当月工程进度款中的变更签证部分暂停拨付。在暂列金额的范围内，最终经发包人委托的全过程造价咨询公司审核、发包人确认后支付至该部分实际完成工程量的80％，其余部分待结算完成审核后支付至97%，剩余3%为工程质量保修金。</w:t>
      </w:r>
    </w:p>
    <w:p w14:paraId="184A088B">
      <w:pPr>
        <w:widowControl w:val="0"/>
        <w:kinsoku/>
        <w:wordWrap w:val="0"/>
        <w:autoSpaceDE/>
        <w:autoSpaceDN/>
        <w:adjustRightInd w:val="0"/>
        <w:snapToGrid w:val="0"/>
        <w:spacing w:line="440" w:lineRule="exact"/>
        <w:ind w:firstLine="482" w:firstLineChars="200"/>
        <w:jc w:val="both"/>
        <w:textAlignment w:val="auto"/>
        <w:rPr>
          <w:rFonts w:hint="eastAsia" w:ascii="宋体" w:hAnsi="宋体" w:eastAsia="宋体" w:cs="宋体"/>
          <w:snapToGrid w:val="0"/>
          <w:color w:val="auto"/>
          <w:kern w:val="0"/>
          <w:sz w:val="24"/>
          <w:szCs w:val="20"/>
          <w:highlight w:val="none"/>
          <w:u w:val="single"/>
          <w:lang w:eastAsia="zh-CN"/>
        </w:rPr>
      </w:pPr>
      <w:r>
        <w:rPr>
          <w:rFonts w:hint="eastAsia" w:ascii="宋体" w:hAnsi="宋体" w:eastAsia="宋体" w:cs="宋体"/>
          <w:b/>
          <w:bCs/>
          <w:snapToGrid w:val="0"/>
          <w:color w:val="auto"/>
          <w:kern w:val="0"/>
          <w:sz w:val="24"/>
          <w:szCs w:val="20"/>
          <w:highlight w:val="none"/>
          <w:lang w:eastAsia="zh-CN"/>
        </w:rPr>
        <w:t>3.11</w:t>
      </w:r>
      <w:r>
        <w:rPr>
          <w:rFonts w:hint="eastAsia" w:ascii="宋体" w:hAnsi="宋体" w:eastAsia="宋体" w:cs="宋体"/>
          <w:snapToGrid w:val="0"/>
          <w:color w:val="auto"/>
          <w:kern w:val="0"/>
          <w:sz w:val="24"/>
          <w:szCs w:val="20"/>
          <w:highlight w:val="none"/>
          <w:lang w:eastAsia="zh-CN"/>
        </w:rPr>
        <w:t xml:space="preserve"> 材料暂估价、专业工程暂估价支付方式：</w:t>
      </w:r>
      <w:r>
        <w:rPr>
          <w:rFonts w:hint="eastAsia" w:ascii="宋体" w:hAnsi="宋体" w:eastAsia="宋体" w:cs="宋体"/>
          <w:snapToGrid w:val="0"/>
          <w:color w:val="auto"/>
          <w:kern w:val="0"/>
          <w:sz w:val="24"/>
          <w:szCs w:val="20"/>
          <w:highlight w:val="none"/>
          <w:u w:val="single"/>
          <w:lang w:eastAsia="zh-CN"/>
        </w:rPr>
        <w:t>材料暂估价、专业工程暂估价与每个月的工程进度款一并报送，但需要列明详细项目内容，该部分材料暂估价、专业工程暂估价按该部分实际完成工程量的50%支付，工程竣工验收合格后支付至8</w:t>
      </w:r>
      <w:r>
        <w:rPr>
          <w:rFonts w:hint="eastAsia" w:ascii="宋体" w:hAnsi="宋体" w:eastAsia="宋体" w:cs="宋体"/>
          <w:snapToGrid w:val="0"/>
          <w:color w:val="auto"/>
          <w:kern w:val="0"/>
          <w:sz w:val="24"/>
          <w:szCs w:val="20"/>
          <w:highlight w:val="none"/>
          <w:u w:val="single"/>
          <w:lang w:val="en-US" w:eastAsia="zh-CN"/>
        </w:rPr>
        <w:t>0</w:t>
      </w:r>
      <w:r>
        <w:rPr>
          <w:rFonts w:hint="eastAsia" w:ascii="宋体" w:hAnsi="宋体" w:eastAsia="宋体" w:cs="宋体"/>
          <w:snapToGrid w:val="0"/>
          <w:color w:val="auto"/>
          <w:kern w:val="0"/>
          <w:sz w:val="24"/>
          <w:szCs w:val="20"/>
          <w:highlight w:val="none"/>
          <w:u w:val="single"/>
          <w:lang w:eastAsia="zh-CN"/>
        </w:rPr>
        <w:t>%，剩余部分结算完成后支付至审定造价的97%，剩余3%为工程质量保修金。</w:t>
      </w:r>
    </w:p>
    <w:p w14:paraId="0DB87552">
      <w:pPr>
        <w:spacing w:before="154" w:line="212" w:lineRule="auto"/>
        <w:ind w:left="486"/>
        <w:outlineLvl w:val="2"/>
        <w:rPr>
          <w:rFonts w:hint="eastAsia" w:ascii="宋体" w:hAnsi="宋体" w:eastAsia="宋体" w:cs="宋体"/>
          <w:b/>
          <w:bCs/>
          <w:color w:val="auto"/>
          <w:spacing w:val="-7"/>
          <w:sz w:val="24"/>
          <w:szCs w:val="24"/>
          <w:highlight w:val="none"/>
        </w:rPr>
      </w:pPr>
      <w:bookmarkStart w:id="179" w:name="_Toc29229"/>
      <w:r>
        <w:rPr>
          <w:rFonts w:hint="eastAsia" w:ascii="宋体" w:hAnsi="宋体" w:eastAsia="宋体" w:cs="宋体"/>
          <w:b/>
          <w:bCs/>
          <w:color w:val="auto"/>
          <w:spacing w:val="-7"/>
          <w:sz w:val="24"/>
          <w:szCs w:val="24"/>
          <w:highlight w:val="none"/>
        </w:rPr>
        <w:t>4</w:t>
      </w:r>
      <w:r>
        <w:rPr>
          <w:rFonts w:hint="eastAsia" w:ascii="宋体" w:hAnsi="宋体" w:eastAsia="宋体" w:cs="宋体"/>
          <w:b/>
          <w:bCs/>
          <w:color w:val="auto"/>
          <w:spacing w:val="-25"/>
          <w:sz w:val="24"/>
          <w:szCs w:val="24"/>
          <w:highlight w:val="none"/>
        </w:rPr>
        <w:t xml:space="preserve"> </w:t>
      </w:r>
      <w:r>
        <w:rPr>
          <w:rFonts w:hint="eastAsia" w:ascii="宋体" w:hAnsi="宋体" w:eastAsia="宋体" w:cs="宋体"/>
          <w:b/>
          <w:bCs/>
          <w:color w:val="auto"/>
          <w:spacing w:val="-7"/>
          <w:sz w:val="24"/>
          <w:szCs w:val="24"/>
          <w:highlight w:val="none"/>
        </w:rPr>
        <w:t>．其他专用合同条款</w:t>
      </w:r>
      <w:bookmarkEnd w:id="179"/>
    </w:p>
    <w:p w14:paraId="01EFC9A1">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 xml:space="preserve">4.1 </w:t>
      </w:r>
      <w:r>
        <w:rPr>
          <w:rFonts w:hint="eastAsia" w:ascii="宋体" w:hAnsi="宋体" w:eastAsia="宋体" w:cs="宋体"/>
          <w:bCs/>
          <w:snapToGrid w:val="0"/>
          <w:color w:val="auto"/>
          <w:kern w:val="0"/>
          <w:sz w:val="24"/>
          <w:szCs w:val="24"/>
          <w:highlight w:val="none"/>
          <w:lang w:val="en-US" w:eastAsia="zh-CN"/>
        </w:rPr>
        <w:t xml:space="preserve">专业工程分包 </w:t>
      </w:r>
    </w:p>
    <w:p w14:paraId="26A1ED5B">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合同范围内的工程未经发包人同意一律不得分包，一经发现，取消承包人的承包资格，由此引起的一切经济损失和法律责任由承包人自行承担。若有专业工程必须分包的，发包人不另行支付总包服务费；其分包合同由总包人与分包人双方签订，发包人不参与总包人与分包人之间的结算，该部分工程的造价仍按总包人与发包人签订的合同的有关条款进行结算。 </w:t>
      </w:r>
    </w:p>
    <w:p w14:paraId="17734C5A">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4.2</w:t>
      </w:r>
      <w:r>
        <w:rPr>
          <w:rFonts w:hint="eastAsia" w:ascii="宋体" w:hAnsi="宋体" w:eastAsia="宋体" w:cs="宋体"/>
          <w:bCs/>
          <w:snapToGrid w:val="0"/>
          <w:color w:val="auto"/>
          <w:kern w:val="0"/>
          <w:sz w:val="24"/>
          <w:szCs w:val="24"/>
          <w:highlight w:val="none"/>
          <w:lang w:val="en-US" w:eastAsia="zh-CN"/>
        </w:rPr>
        <w:t xml:space="preserve"> 工人工资支付专用账户 </w:t>
      </w:r>
    </w:p>
    <w:p w14:paraId="5F615FD8">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4.2.1</w:t>
      </w:r>
      <w:r>
        <w:rPr>
          <w:rFonts w:hint="eastAsia" w:ascii="宋体" w:hAnsi="宋体" w:eastAsia="宋体" w:cs="宋体"/>
          <w:bCs/>
          <w:snapToGrid w:val="0"/>
          <w:color w:val="auto"/>
          <w:kern w:val="0"/>
          <w:sz w:val="24"/>
          <w:szCs w:val="24"/>
          <w:highlight w:val="none"/>
          <w:lang w:val="en-US" w:eastAsia="zh-CN"/>
        </w:rPr>
        <w:t xml:space="preserve"> 发、承包双方订立合同时，应就承包人设立工人工资支付专用账户（以下简称“工资专户”）、工程进度款中工人工资款的比例、工资款拨付的期限等事项作出明确约定。发包人按照合同约定，按月将工程款中的工资款项单独足额拨付到承包人的工资专户，并对承包人工人工资支付情况进行监督，及时协调解决工人工资发放中存在的问题。  </w:t>
      </w:r>
    </w:p>
    <w:p w14:paraId="310B41B4">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4.2.2</w:t>
      </w:r>
      <w:r>
        <w:rPr>
          <w:rFonts w:hint="eastAsia" w:ascii="宋体" w:hAnsi="宋体" w:eastAsia="宋体" w:cs="宋体"/>
          <w:bCs/>
          <w:snapToGrid w:val="0"/>
          <w:color w:val="auto"/>
          <w:kern w:val="0"/>
          <w:sz w:val="24"/>
          <w:szCs w:val="24"/>
          <w:highlight w:val="none"/>
          <w:lang w:val="en-US" w:eastAsia="zh-CN"/>
        </w:rPr>
        <w:t xml:space="preserve"> 依据人力资源社会保障部等十部门印发的《工程建设领域农民工工资专用账户管理暂行办法》（人社部发〔2021〕53 号）文件规定，承包人中标后，须到银行设立工人工资支付专用账户，用于支付工人工资。发包人支付工程款时，将按工程款（不含工人工资）和工人工资两部分分开支付，工人工资支付至专用账户。承包人应建立劳动用工管理台账，并按月将工人工资支付明细表等资料报发包人备案。备案内容包括但不限于以下内容（以相关部门的要求为准）：（1）工资发放表、付款凭证（有总包单位项目负责人签名或盖章确认）；（2）施工许可证（或开工报告）、工程项目总承包、专业分包、劳务分包合同；（3）建设单位支付工程款凭证；（4）花名册及身份证复印件；（5）劳动合同：（6）委托书（写明委托代发工资情况）；（7）缴纳保证金的凭证；（8）总包企业或承包企业设立工资专用账户的凭证；（9）维权信息告示牌情况。 </w:t>
      </w:r>
    </w:p>
    <w:p w14:paraId="4C837173">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按韶关市人力资源和社会保障局、韶关市住房和城乡建设管理局、韶关市交通运输局韶关市水务局、韶关市金融工作局、国家金融监督管理总局韶关监管分局关于印发《韶关市工程建设领域农民工工资保证金管理实施细则》的通知(韶人社规〔2023〕2 号) 及《韶关市工程建设领域农民工工资保证金管理实施细则》（韶法审〔2023〕19 号）规定执行。承包人在签订工程施工承包合同后一个月内必须办妥该事项，并将办妥回执交发包人。 </w:t>
      </w:r>
    </w:p>
    <w:p w14:paraId="20A96B31">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如发生承包人拖欠民工工资并且向政府或发包人索要承包人拖欠工资的，发包人有权使用工人工资保证金或在剩余进度款范围内代承包人向民工支付工资，承包人对发包人垫付工资的人员范围和工资数额均不得提异议。发包人代支的工资除了从当期工程款内直接扣除外,承包人须按照发包人所垫付的民工工资 2 倍向发包人支付违约金。 </w:t>
      </w:r>
    </w:p>
    <w:p w14:paraId="04932DDF">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4.2.3 承包人应在工资专户开立后 2 个工作日内，将开户银行及其账号、开户协议等资料提交给发包人。 </w:t>
      </w:r>
    </w:p>
    <w:p w14:paraId="2EDDE0EC">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（1）用人单位应当在建设项目动工前，在建设项目所在地商业银行设立工人工资支付专用账户。 </w:t>
      </w:r>
    </w:p>
    <w:p w14:paraId="393F8C3B">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（2）用人单位应当在用工之日起 15 日内为每一位工人办理个人银行账户。</w:t>
      </w:r>
    </w:p>
    <w:p w14:paraId="5DB0DF8B">
      <w:pPr>
        <w:adjustRightInd w:val="0"/>
        <w:snapToGrid w:val="0"/>
        <w:spacing w:line="440" w:lineRule="exact"/>
        <w:ind w:firstLine="480"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val="0"/>
          <w:bCs/>
          <w:snapToGrid w:val="0"/>
          <w:color w:val="auto"/>
          <w:kern w:val="0"/>
          <w:sz w:val="24"/>
          <w:szCs w:val="24"/>
          <w:highlight w:val="none"/>
          <w:lang w:val="en-US" w:eastAsia="zh-CN"/>
        </w:rPr>
        <w:t xml:space="preserve">（3）用人单位应当指定专人负责建设项目施工现场台账管理，真实、准确记录工人名册、劳务合同、劳动合同、工程进度、工时台账、劳务承包款和工人工资支付等信息， 并保存两年以上备查。 </w:t>
      </w:r>
    </w:p>
    <w:p w14:paraId="6EBACBFE">
      <w:pPr>
        <w:adjustRightInd w:val="0"/>
        <w:snapToGrid w:val="0"/>
        <w:spacing w:line="440" w:lineRule="exact"/>
        <w:ind w:firstLine="480"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val="0"/>
          <w:bCs/>
          <w:snapToGrid w:val="0"/>
          <w:color w:val="auto"/>
          <w:kern w:val="0"/>
          <w:sz w:val="24"/>
          <w:szCs w:val="24"/>
          <w:highlight w:val="none"/>
          <w:lang w:val="en-US" w:eastAsia="zh-CN"/>
        </w:rPr>
        <w:t>（4）用人单位应当按照“及时支付，按实结算”的原则，在规定日期前通过银行工人 工资支付专用账户将工人工资直接支付到工人的个人银行账户，并按月将工人工资支付 明细表报施工总承包单位和建设单位备案。</w:t>
      </w:r>
    </w:p>
    <w:p w14:paraId="29039645">
      <w:pPr>
        <w:adjustRightInd w:val="0"/>
        <w:snapToGrid w:val="0"/>
        <w:spacing w:line="440" w:lineRule="exact"/>
        <w:ind w:firstLine="480"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val="0"/>
          <w:bCs/>
          <w:snapToGrid w:val="0"/>
          <w:color w:val="auto"/>
          <w:kern w:val="0"/>
          <w:sz w:val="24"/>
          <w:szCs w:val="24"/>
          <w:highlight w:val="none"/>
          <w:lang w:val="en-US" w:eastAsia="zh-CN"/>
        </w:rPr>
        <w:t xml:space="preserve"> 用人单位未建立、保存用工管理台账，或者伪造相关台账的，按照《广东省劳动保障监察条例》第五十条的规定，由人力资源社会保障部门责令改正，并可处以二千元以上二万元以下的人民币罚款。</w:t>
      </w:r>
    </w:p>
    <w:p w14:paraId="7635F553">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4.2.4</w:t>
      </w:r>
      <w:r>
        <w:rPr>
          <w:rFonts w:hint="eastAsia" w:ascii="宋体" w:hAnsi="宋体" w:eastAsia="宋体" w:cs="宋体"/>
          <w:bCs/>
          <w:snapToGrid w:val="0"/>
          <w:color w:val="auto"/>
          <w:kern w:val="0"/>
          <w:sz w:val="24"/>
          <w:szCs w:val="24"/>
          <w:highlight w:val="none"/>
          <w:lang w:val="en-US" w:eastAsia="zh-CN"/>
        </w:rPr>
        <w:t xml:space="preserve"> 施工总承包企业依法将专业工程分包的，应在分包合同中就分包人设立工资专户、工程进度款中工人工资款的比例、工资款拨付的期限等事项作出明确约定。总包人按照分包合同约定，按月将工程款中的工资款项单独足额拨付到分包人的工资专户，并对分包人工人工资支付情况进行监督，及时协调解决工人工资发放中存在的问题。 </w:t>
      </w:r>
    </w:p>
    <w:p w14:paraId="38A9E3ED">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4.3</w:t>
      </w:r>
      <w:r>
        <w:rPr>
          <w:rFonts w:hint="eastAsia" w:ascii="宋体" w:hAnsi="宋体" w:eastAsia="宋体" w:cs="宋体"/>
          <w:bCs/>
          <w:snapToGrid w:val="0"/>
          <w:color w:val="auto"/>
          <w:kern w:val="0"/>
          <w:sz w:val="24"/>
          <w:szCs w:val="24"/>
          <w:highlight w:val="none"/>
          <w:lang w:val="en-US" w:eastAsia="zh-CN"/>
        </w:rPr>
        <w:t xml:space="preserve"> 诚信登记 </w:t>
      </w:r>
    </w:p>
    <w:p w14:paraId="3C7D81E4">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根据资质管理规定，许可机关应当建立、健全建筑业企业信用档案管理制度，包括企业基本信息、资质、业绩、工程质量和安全、合同履约、社会投诉和违法行为等情况。 </w:t>
      </w:r>
    </w:p>
    <w:p w14:paraId="591F44E6">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4.4</w:t>
      </w:r>
      <w:r>
        <w:rPr>
          <w:rFonts w:hint="eastAsia" w:ascii="宋体" w:hAnsi="宋体" w:eastAsia="宋体" w:cs="宋体"/>
          <w:bCs/>
          <w:snapToGrid w:val="0"/>
          <w:color w:val="auto"/>
          <w:kern w:val="0"/>
          <w:sz w:val="24"/>
          <w:szCs w:val="24"/>
          <w:highlight w:val="none"/>
          <w:lang w:val="en-US" w:eastAsia="zh-CN"/>
        </w:rPr>
        <w:t xml:space="preserve"> 工期进度 </w:t>
      </w:r>
    </w:p>
    <w:p w14:paraId="5A7E027A">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4.4.1</w:t>
      </w:r>
      <w:r>
        <w:rPr>
          <w:rFonts w:hint="eastAsia" w:ascii="宋体" w:hAnsi="宋体" w:eastAsia="宋体" w:cs="宋体"/>
          <w:bCs/>
          <w:snapToGrid w:val="0"/>
          <w:color w:val="auto"/>
          <w:kern w:val="0"/>
          <w:sz w:val="24"/>
          <w:szCs w:val="24"/>
          <w:highlight w:val="none"/>
          <w:lang w:val="en-US" w:eastAsia="zh-CN"/>
        </w:rPr>
        <w:t xml:space="preserve"> 本招标项目施工标准工期为</w:t>
      </w:r>
      <w:r>
        <w:rPr>
          <w:rFonts w:hint="eastAsia" w:ascii="宋体" w:hAnsi="宋体" w:eastAsia="宋体" w:cs="宋体"/>
          <w:bCs/>
          <w:snapToGrid w:val="0"/>
          <w:color w:val="auto"/>
          <w:kern w:val="0"/>
          <w:sz w:val="24"/>
          <w:szCs w:val="24"/>
          <w:highlight w:val="none"/>
          <w:u w:val="single"/>
          <w:lang w:val="en-US" w:eastAsia="zh-CN"/>
        </w:rPr>
        <w:t>120</w:t>
      </w:r>
      <w:r>
        <w:rPr>
          <w:rFonts w:hint="eastAsia" w:ascii="宋体" w:hAnsi="宋体" w:eastAsia="宋体" w:cs="宋体"/>
          <w:bCs/>
          <w:snapToGrid w:val="0"/>
          <w:color w:val="auto"/>
          <w:kern w:val="0"/>
          <w:sz w:val="24"/>
          <w:szCs w:val="24"/>
          <w:highlight w:val="none"/>
          <w:lang w:val="en-US" w:eastAsia="zh-CN"/>
        </w:rPr>
        <w:t>个日历天，招标工期为</w:t>
      </w:r>
      <w:r>
        <w:rPr>
          <w:rFonts w:hint="eastAsia" w:ascii="宋体" w:hAnsi="宋体" w:eastAsia="宋体" w:cs="宋体"/>
          <w:bCs/>
          <w:snapToGrid w:val="0"/>
          <w:color w:val="auto"/>
          <w:kern w:val="0"/>
          <w:sz w:val="24"/>
          <w:szCs w:val="24"/>
          <w:highlight w:val="none"/>
          <w:u w:val="single"/>
          <w:lang w:val="en-US" w:eastAsia="zh-CN"/>
        </w:rPr>
        <w:t>120</w:t>
      </w:r>
      <w:r>
        <w:rPr>
          <w:rFonts w:hint="eastAsia" w:ascii="宋体" w:hAnsi="宋体" w:eastAsia="宋体" w:cs="宋体"/>
          <w:bCs/>
          <w:snapToGrid w:val="0"/>
          <w:color w:val="auto"/>
          <w:kern w:val="0"/>
          <w:sz w:val="24"/>
          <w:szCs w:val="24"/>
          <w:highlight w:val="none"/>
          <w:lang w:val="en-US" w:eastAsia="zh-CN"/>
        </w:rPr>
        <w:t xml:space="preserve">个日历天，承包人必须在招标工期内完成招标范围内的全部内容。 </w:t>
      </w:r>
    </w:p>
    <w:p w14:paraId="3AD3FEC8">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4.4.2</w:t>
      </w:r>
      <w:r>
        <w:rPr>
          <w:rFonts w:hint="eastAsia" w:ascii="宋体" w:hAnsi="宋体" w:eastAsia="宋体" w:cs="宋体"/>
          <w:bCs/>
          <w:snapToGrid w:val="0"/>
          <w:color w:val="auto"/>
          <w:kern w:val="0"/>
          <w:sz w:val="24"/>
          <w:szCs w:val="24"/>
          <w:highlight w:val="none"/>
          <w:lang w:val="en-US" w:eastAsia="zh-CN"/>
        </w:rPr>
        <w:t xml:space="preserve"> 施工工期从承包人收到监理单位签发的开工令之日起计，至竣工验收合格之日止。 </w:t>
      </w:r>
    </w:p>
    <w:p w14:paraId="744114AB">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4.4.3</w:t>
      </w:r>
      <w:r>
        <w:rPr>
          <w:rFonts w:hint="eastAsia" w:ascii="宋体" w:hAnsi="宋体" w:eastAsia="宋体" w:cs="宋体"/>
          <w:bCs/>
          <w:snapToGrid w:val="0"/>
          <w:color w:val="auto"/>
          <w:kern w:val="0"/>
          <w:sz w:val="24"/>
          <w:szCs w:val="24"/>
          <w:highlight w:val="none"/>
          <w:lang w:val="en-US" w:eastAsia="zh-CN"/>
        </w:rPr>
        <w:t xml:space="preserve"> 工期奖罚 </w:t>
      </w:r>
    </w:p>
    <w:p w14:paraId="2645B83E">
      <w:pPr>
        <w:adjustRightInd w:val="0"/>
        <w:snapToGrid w:val="0"/>
        <w:spacing w:line="440" w:lineRule="exact"/>
        <w:ind w:firstLine="480" w:firstLineChars="200"/>
        <w:rPr>
          <w:rFonts w:hint="default" w:ascii="宋体" w:hAnsi="宋体" w:eastAsia="宋体" w:cs="宋体"/>
          <w:bCs/>
          <w:snapToGrid w:val="0"/>
          <w:color w:val="auto"/>
          <w:kern w:val="0"/>
          <w:sz w:val="24"/>
          <w:szCs w:val="24"/>
          <w:highlight w:val="none"/>
          <w:u w:val="single"/>
          <w:lang w:val="en-US"/>
        </w:rPr>
      </w:pPr>
      <w:r>
        <w:rPr>
          <w:rFonts w:hint="eastAsia" w:ascii="宋体" w:hAnsi="宋体" w:eastAsia="宋体" w:cs="宋体"/>
          <w:bCs/>
          <w:snapToGrid w:val="0"/>
          <w:color w:val="auto"/>
          <w:kern w:val="0"/>
          <w:sz w:val="24"/>
          <w:szCs w:val="24"/>
          <w:highlight w:val="none"/>
          <w:lang w:val="en-US" w:eastAsia="zh-CN"/>
        </w:rPr>
        <w:t>□竣工验收合格交付使用每提前</w:t>
      </w:r>
      <w:r>
        <w:rPr>
          <w:rFonts w:hint="eastAsia" w:ascii="宋体" w:hAnsi="宋体" w:eastAsia="宋体" w:cs="宋体"/>
          <w:bCs/>
          <w:snapToGrid w:val="0"/>
          <w:color w:val="auto"/>
          <w:kern w:val="0"/>
          <w:sz w:val="24"/>
          <w:szCs w:val="24"/>
          <w:highlight w:val="none"/>
          <w:u w:val="single"/>
          <w:lang w:val="en-US" w:eastAsia="zh-CN"/>
        </w:rPr>
        <w:t>/</w:t>
      </w:r>
      <w:r>
        <w:rPr>
          <w:rFonts w:hint="eastAsia" w:ascii="宋体" w:hAnsi="宋体" w:eastAsia="宋体" w:cs="宋体"/>
          <w:bCs/>
          <w:snapToGrid w:val="0"/>
          <w:color w:val="auto"/>
          <w:kern w:val="0"/>
          <w:sz w:val="24"/>
          <w:szCs w:val="24"/>
          <w:highlight w:val="none"/>
          <w:lang w:val="en-US" w:eastAsia="zh-CN"/>
        </w:rPr>
        <w:t>天竣工；奖</w:t>
      </w:r>
      <w:r>
        <w:rPr>
          <w:rFonts w:hint="eastAsia" w:ascii="宋体" w:hAnsi="宋体" w:eastAsia="宋体" w:cs="宋体"/>
          <w:bCs/>
          <w:snapToGrid w:val="0"/>
          <w:color w:val="auto"/>
          <w:kern w:val="0"/>
          <w:sz w:val="24"/>
          <w:szCs w:val="24"/>
          <w:highlight w:val="none"/>
          <w:u w:val="single"/>
          <w:lang w:val="en-US" w:eastAsia="zh-CN"/>
        </w:rPr>
        <w:t>/</w:t>
      </w:r>
    </w:p>
    <w:p w14:paraId="0536562A">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元，奖励金额不超过合同价款的</w:t>
      </w:r>
      <w:r>
        <w:rPr>
          <w:rFonts w:hint="eastAsia" w:ascii="宋体" w:hAnsi="宋体" w:eastAsia="宋体" w:cs="宋体"/>
          <w:bCs/>
          <w:snapToGrid w:val="0"/>
          <w:color w:val="auto"/>
          <w:kern w:val="0"/>
          <w:sz w:val="24"/>
          <w:szCs w:val="24"/>
          <w:highlight w:val="none"/>
          <w:u w:val="single"/>
          <w:lang w:val="en-US" w:eastAsia="zh-CN"/>
        </w:rPr>
        <w:t>/</w:t>
      </w:r>
      <w:r>
        <w:rPr>
          <w:rFonts w:hint="eastAsia" w:ascii="宋体" w:hAnsi="宋体" w:eastAsia="宋体" w:cs="宋体"/>
          <w:bCs/>
          <w:snapToGrid w:val="0"/>
          <w:color w:val="auto"/>
          <w:kern w:val="0"/>
          <w:sz w:val="24"/>
          <w:szCs w:val="24"/>
          <w:highlight w:val="none"/>
          <w:lang w:val="en-US" w:eastAsia="zh-CN"/>
        </w:rPr>
        <w:t>%（一般为 2%～5%）且不超过</w:t>
      </w:r>
      <w:r>
        <w:rPr>
          <w:rFonts w:hint="eastAsia" w:ascii="宋体" w:hAnsi="宋体" w:eastAsia="宋体" w:cs="宋体"/>
          <w:bCs/>
          <w:snapToGrid w:val="0"/>
          <w:color w:val="auto"/>
          <w:kern w:val="0"/>
          <w:sz w:val="24"/>
          <w:szCs w:val="24"/>
          <w:highlight w:val="none"/>
          <w:u w:val="single"/>
          <w:lang w:val="en-US" w:eastAsia="zh-CN"/>
        </w:rPr>
        <w:t>/</w:t>
      </w:r>
      <w:r>
        <w:rPr>
          <w:rFonts w:hint="eastAsia" w:ascii="宋体" w:hAnsi="宋体" w:eastAsia="宋体" w:cs="宋体"/>
          <w:bCs/>
          <w:snapToGrid w:val="0"/>
          <w:color w:val="auto"/>
          <w:kern w:val="0"/>
          <w:sz w:val="24"/>
          <w:szCs w:val="24"/>
          <w:highlight w:val="none"/>
          <w:lang w:val="en-US" w:eastAsia="zh-CN"/>
        </w:rPr>
        <w:t xml:space="preserve">元。 </w:t>
      </w:r>
    </w:p>
    <w:p w14:paraId="5CDEF152">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□按施工合同期约定,因承包人原因每延误</w:t>
      </w:r>
      <w:r>
        <w:rPr>
          <w:rFonts w:hint="eastAsia" w:ascii="宋体" w:hAnsi="宋体" w:eastAsia="宋体" w:cs="宋体"/>
          <w:bCs/>
          <w:snapToGrid w:val="0"/>
          <w:color w:val="auto"/>
          <w:kern w:val="0"/>
          <w:sz w:val="24"/>
          <w:szCs w:val="24"/>
          <w:highlight w:val="none"/>
          <w:u w:val="single"/>
          <w:lang w:val="en-US" w:eastAsia="zh-CN"/>
        </w:rPr>
        <w:t>/</w:t>
      </w:r>
      <w:r>
        <w:rPr>
          <w:rFonts w:hint="eastAsia" w:ascii="宋体" w:hAnsi="宋体" w:eastAsia="宋体" w:cs="宋体"/>
          <w:bCs/>
          <w:snapToGrid w:val="0"/>
          <w:color w:val="auto"/>
          <w:kern w:val="0"/>
          <w:sz w:val="24"/>
          <w:szCs w:val="24"/>
          <w:highlight w:val="none"/>
          <w:lang w:val="en-US" w:eastAsia="zh-CN"/>
        </w:rPr>
        <w:t>天竣工,罚</w:t>
      </w:r>
      <w:r>
        <w:rPr>
          <w:rFonts w:hint="eastAsia" w:ascii="宋体" w:hAnsi="宋体" w:eastAsia="宋体" w:cs="宋体"/>
          <w:bCs/>
          <w:snapToGrid w:val="0"/>
          <w:color w:val="auto"/>
          <w:kern w:val="0"/>
          <w:sz w:val="24"/>
          <w:szCs w:val="24"/>
          <w:highlight w:val="none"/>
          <w:u w:val="single"/>
          <w:lang w:val="en-US" w:eastAsia="zh-CN"/>
        </w:rPr>
        <w:t>/</w:t>
      </w:r>
      <w:r>
        <w:rPr>
          <w:rFonts w:hint="eastAsia" w:ascii="宋体" w:hAnsi="宋体" w:eastAsia="宋体" w:cs="宋体"/>
          <w:bCs/>
          <w:snapToGrid w:val="0"/>
          <w:color w:val="auto"/>
          <w:kern w:val="0"/>
          <w:sz w:val="24"/>
          <w:szCs w:val="24"/>
          <w:highlight w:val="none"/>
          <w:lang w:val="en-US" w:eastAsia="zh-CN"/>
        </w:rPr>
        <w:t xml:space="preserve">元。 </w:t>
      </w:r>
    </w:p>
    <w:p w14:paraId="29A1CCAF">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□按施工合同期约定,因承包人原因延误工期</w:t>
      </w:r>
      <w:r>
        <w:rPr>
          <w:rFonts w:hint="eastAsia" w:ascii="宋体" w:hAnsi="宋体" w:eastAsia="宋体" w:cs="宋体"/>
          <w:bCs/>
          <w:snapToGrid w:val="0"/>
          <w:color w:val="auto"/>
          <w:kern w:val="0"/>
          <w:sz w:val="24"/>
          <w:szCs w:val="24"/>
          <w:highlight w:val="none"/>
          <w:u w:val="single"/>
          <w:lang w:val="en-US" w:eastAsia="zh-CN"/>
        </w:rPr>
        <w:t>/</w:t>
      </w:r>
      <w:r>
        <w:rPr>
          <w:rFonts w:hint="eastAsia" w:ascii="宋体" w:hAnsi="宋体" w:eastAsia="宋体" w:cs="宋体"/>
          <w:bCs/>
          <w:snapToGrid w:val="0"/>
          <w:color w:val="auto"/>
          <w:kern w:val="0"/>
          <w:sz w:val="24"/>
          <w:szCs w:val="24"/>
          <w:highlight w:val="none"/>
          <w:lang w:val="en-US" w:eastAsia="zh-CN"/>
        </w:rPr>
        <w:t>天内不处罚， 自第壹天起每延误</w:t>
      </w:r>
      <w:r>
        <w:rPr>
          <w:rFonts w:hint="eastAsia" w:ascii="宋体" w:hAnsi="宋体" w:eastAsia="宋体" w:cs="宋体"/>
          <w:bCs/>
          <w:snapToGrid w:val="0"/>
          <w:color w:val="auto"/>
          <w:kern w:val="0"/>
          <w:sz w:val="24"/>
          <w:szCs w:val="24"/>
          <w:highlight w:val="none"/>
          <w:u w:val="single"/>
          <w:lang w:val="en-US" w:eastAsia="zh-CN"/>
        </w:rPr>
        <w:t>/</w:t>
      </w:r>
      <w:r>
        <w:rPr>
          <w:rFonts w:hint="eastAsia" w:ascii="宋体" w:hAnsi="宋体" w:eastAsia="宋体" w:cs="宋体"/>
          <w:bCs/>
          <w:snapToGrid w:val="0"/>
          <w:color w:val="auto"/>
          <w:kern w:val="0"/>
          <w:sz w:val="24"/>
          <w:szCs w:val="24"/>
          <w:highlight w:val="none"/>
          <w:lang w:val="en-US" w:eastAsia="zh-CN"/>
        </w:rPr>
        <w:t>天竣工,罚元。处罚金额不超过合同价款的</w:t>
      </w:r>
      <w:r>
        <w:rPr>
          <w:rFonts w:hint="eastAsia" w:ascii="宋体" w:hAnsi="宋体" w:eastAsia="宋体" w:cs="宋体"/>
          <w:bCs/>
          <w:snapToGrid w:val="0"/>
          <w:color w:val="auto"/>
          <w:kern w:val="0"/>
          <w:sz w:val="24"/>
          <w:szCs w:val="24"/>
          <w:highlight w:val="none"/>
          <w:u w:val="single"/>
          <w:lang w:val="en-US" w:eastAsia="zh-CN"/>
        </w:rPr>
        <w:t>/</w:t>
      </w:r>
      <w:r>
        <w:rPr>
          <w:rFonts w:hint="eastAsia" w:ascii="宋体" w:hAnsi="宋体" w:eastAsia="宋体" w:cs="宋体"/>
          <w:bCs/>
          <w:snapToGrid w:val="0"/>
          <w:color w:val="auto"/>
          <w:kern w:val="0"/>
          <w:sz w:val="24"/>
          <w:szCs w:val="24"/>
          <w:highlight w:val="none"/>
          <w:lang w:val="en-US" w:eastAsia="zh-CN"/>
        </w:rPr>
        <w:t>%（一般为 2%～5%）且不超过万元，累计延误工期达到</w:t>
      </w:r>
      <w:r>
        <w:rPr>
          <w:rFonts w:hint="eastAsia" w:ascii="宋体" w:hAnsi="宋体" w:eastAsia="宋体" w:cs="宋体"/>
          <w:bCs/>
          <w:snapToGrid w:val="0"/>
          <w:color w:val="auto"/>
          <w:kern w:val="0"/>
          <w:sz w:val="24"/>
          <w:szCs w:val="24"/>
          <w:highlight w:val="none"/>
          <w:u w:val="single"/>
          <w:lang w:val="en-US" w:eastAsia="zh-CN"/>
        </w:rPr>
        <w:t>/</w:t>
      </w:r>
      <w:r>
        <w:rPr>
          <w:rFonts w:hint="eastAsia" w:ascii="宋体" w:hAnsi="宋体" w:eastAsia="宋体" w:cs="宋体"/>
          <w:bCs/>
          <w:snapToGrid w:val="0"/>
          <w:color w:val="auto"/>
          <w:kern w:val="0"/>
          <w:sz w:val="24"/>
          <w:szCs w:val="24"/>
          <w:highlight w:val="none"/>
          <w:lang w:val="en-US" w:eastAsia="zh-CN"/>
        </w:rPr>
        <w:t xml:space="preserve">天，报请建设行政主管部门作不良行为记录，非承包方原因或不可抗力造成延误的除外。 </w:t>
      </w:r>
    </w:p>
    <w:p w14:paraId="18751D9C">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☑其它说明：（1）因承包人原因，工程没有按期竣工时，承包人须在逾期第壹天起每天按合同价的 1‰ 向发包人返纳逾期竣工违约金。逾期竣工违约金的最高限额为合同价款的3%。</w:t>
      </w:r>
    </w:p>
    <w:p w14:paraId="07428277">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2）承包人需提供各子项目的年度、季度、月、周施工计划报监理单位及发包人确认，在计划实施过程中，发包人及监理单位对承包人实际工期按周、月、季度进行检查、分析、评价，如与实际施工进度发生偏离的，由监理单位书面提醒承包人采取措施，如提醒后承包人未采取有效措施按施工计划按时完成的，每次按2000元缴纳违约金给发包人，在结算中一并扣除。</w:t>
      </w:r>
    </w:p>
    <w:p w14:paraId="533F00A0">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（3）承包人在进场后7天内提交施工进度计划，并注明主要施工节点时间，送监理单位及发包人审核后，作为工期考核的阶段性指标。</w:t>
      </w:r>
    </w:p>
    <w:p w14:paraId="2CC5BC6E">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4.5</w:t>
      </w:r>
      <w:r>
        <w:rPr>
          <w:rFonts w:hint="eastAsia" w:ascii="宋体" w:hAnsi="宋体" w:eastAsia="宋体" w:cs="宋体"/>
          <w:bCs/>
          <w:snapToGrid w:val="0"/>
          <w:color w:val="auto"/>
          <w:kern w:val="0"/>
          <w:sz w:val="24"/>
          <w:szCs w:val="24"/>
          <w:highlight w:val="none"/>
          <w:lang w:val="en-US" w:eastAsia="zh-CN"/>
        </w:rPr>
        <w:t xml:space="preserve"> 项目管理机构 </w:t>
      </w:r>
    </w:p>
    <w:p w14:paraId="6FD38FDF">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4.5.1</w:t>
      </w:r>
      <w:r>
        <w:rPr>
          <w:rFonts w:hint="eastAsia" w:ascii="宋体" w:hAnsi="宋体" w:eastAsia="宋体" w:cs="宋体"/>
          <w:bCs/>
          <w:snapToGrid w:val="0"/>
          <w:color w:val="auto"/>
          <w:kern w:val="0"/>
          <w:sz w:val="24"/>
          <w:szCs w:val="24"/>
          <w:highlight w:val="none"/>
          <w:lang w:val="en-US" w:eastAsia="zh-CN"/>
        </w:rPr>
        <w:t xml:space="preserve"> 承包人派驻的项目管理班子成员必须为其投标文件确定的人员，否则发包人有权终止合同。 </w:t>
      </w:r>
    </w:p>
    <w:p w14:paraId="1D0EAE88">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4.5.2</w:t>
      </w:r>
      <w:r>
        <w:rPr>
          <w:rFonts w:hint="eastAsia" w:ascii="宋体" w:hAnsi="宋体" w:eastAsia="宋体" w:cs="宋体"/>
          <w:bCs/>
          <w:snapToGrid w:val="0"/>
          <w:color w:val="auto"/>
          <w:kern w:val="0"/>
          <w:sz w:val="24"/>
          <w:szCs w:val="24"/>
          <w:highlight w:val="none"/>
          <w:lang w:val="en-US" w:eastAsia="zh-CN"/>
        </w:rPr>
        <w:t xml:space="preserve"> 项目管理班子成员不得擅自变更。其中，项目经理若有《广东省住房和城乡建设厅关于建设工程项目招标中标后监督检查的办法》（粤建市〔2009〕8 号，以下简称“《办法》”）第九条所述除外情形之一确需变更的，承包人应填写《建设工程项目管理班子变更情况报告表》（《办法》附件 4）并附上相关证明资料，经发包人和建设行政主管部门审核同意方可变更，且更换后的项目经理应与承包人的投标文件所确定的原项目经理的主要条件一致；项目管理班子其他成员若有《办法》第九条所述除外情形之一确需变更的，承包人应填写《建设工程项目管理班子变更情况报告表》并附上相关证明资料，经发包人审核同意方可变更。 </w:t>
      </w:r>
    </w:p>
    <w:p w14:paraId="77D16F4E">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4.6</w:t>
      </w:r>
      <w:r>
        <w:rPr>
          <w:rFonts w:hint="eastAsia" w:ascii="宋体" w:hAnsi="宋体" w:eastAsia="宋体" w:cs="宋体"/>
          <w:bCs/>
          <w:snapToGrid w:val="0"/>
          <w:color w:val="auto"/>
          <w:kern w:val="0"/>
          <w:sz w:val="24"/>
          <w:szCs w:val="24"/>
          <w:highlight w:val="none"/>
          <w:lang w:val="en-US" w:eastAsia="zh-CN"/>
        </w:rPr>
        <w:t xml:space="preserve"> 现场管理 </w:t>
      </w:r>
    </w:p>
    <w:p w14:paraId="1AA74039">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4.6.1</w:t>
      </w:r>
      <w:r>
        <w:rPr>
          <w:rFonts w:hint="eastAsia" w:ascii="宋体" w:hAnsi="宋体" w:eastAsia="宋体" w:cs="宋体"/>
          <w:bCs/>
          <w:snapToGrid w:val="0"/>
          <w:color w:val="auto"/>
          <w:kern w:val="0"/>
          <w:sz w:val="24"/>
          <w:szCs w:val="24"/>
          <w:highlight w:val="none"/>
          <w:lang w:val="en-US" w:eastAsia="zh-CN"/>
        </w:rPr>
        <w:t xml:space="preserve"> 承包人在施工期间应严格遵守国家、广东省、韶关市有关绿色施工、文明施工、噪音扬尘、消防爆破、环境卫生、渣土清运、治安保卫等方面的规定，并建立相应规章制度和保障措施。否则由此造成的经济损失和法律责任，均由承包人承担。 </w:t>
      </w:r>
    </w:p>
    <w:p w14:paraId="329F79DB">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4.6.2</w:t>
      </w:r>
      <w:r>
        <w:rPr>
          <w:rFonts w:hint="eastAsia" w:ascii="宋体" w:hAnsi="宋体" w:eastAsia="宋体" w:cs="宋体"/>
          <w:bCs/>
          <w:snapToGrid w:val="0"/>
          <w:color w:val="auto"/>
          <w:kern w:val="0"/>
          <w:sz w:val="24"/>
          <w:szCs w:val="24"/>
          <w:highlight w:val="none"/>
          <w:lang w:val="en-US" w:eastAsia="zh-CN"/>
        </w:rPr>
        <w:t xml:space="preserve"> 承包人应按安全施工有关规定，采取严格、科学的安全防护措施，确保施工和人员（包括第三者）的安全，承担由于自身安全防护措施不力所造成的安全事故责任和发生的费用。 </w:t>
      </w:r>
    </w:p>
    <w:p w14:paraId="7853C315">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4.6.3</w:t>
      </w:r>
      <w:r>
        <w:rPr>
          <w:rFonts w:hint="eastAsia" w:ascii="宋体" w:hAnsi="宋体" w:eastAsia="宋体" w:cs="宋体"/>
          <w:bCs/>
          <w:snapToGrid w:val="0"/>
          <w:color w:val="auto"/>
          <w:kern w:val="0"/>
          <w:sz w:val="24"/>
          <w:szCs w:val="24"/>
          <w:highlight w:val="none"/>
          <w:lang w:val="en-US" w:eastAsia="zh-CN"/>
        </w:rPr>
        <w:t xml:space="preserve"> 为保证施工现场的环境卫生，承包人在本招标项目施工过程中，所有的车辆必须按发包人规定的行车路线行驶。 </w:t>
      </w:r>
    </w:p>
    <w:p w14:paraId="6C30F2D8">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4.7</w:t>
      </w:r>
      <w:r>
        <w:rPr>
          <w:rFonts w:hint="eastAsia" w:ascii="宋体" w:hAnsi="宋体" w:eastAsia="宋体" w:cs="宋体"/>
          <w:bCs/>
          <w:snapToGrid w:val="0"/>
          <w:color w:val="auto"/>
          <w:kern w:val="0"/>
          <w:sz w:val="24"/>
          <w:szCs w:val="24"/>
          <w:highlight w:val="none"/>
          <w:lang w:val="en-US" w:eastAsia="zh-CN"/>
        </w:rPr>
        <w:t xml:space="preserve"> 监督实施 </w:t>
      </w:r>
    </w:p>
    <w:p w14:paraId="7234F127">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承包人须服从发包人对工程质量、进度、成本的全方位监督，施工中的年度计划、季度计划、月度计划、施工方案等应报送监理单位审批和发包人备案。施工中的质量保措施等资料均应及时报送监理单位和发包人备案。 </w:t>
      </w:r>
    </w:p>
    <w:p w14:paraId="633EA71E">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4.8</w:t>
      </w:r>
      <w:r>
        <w:rPr>
          <w:rFonts w:hint="eastAsia" w:ascii="宋体" w:hAnsi="宋体" w:eastAsia="宋体" w:cs="宋体"/>
          <w:bCs/>
          <w:snapToGrid w:val="0"/>
          <w:color w:val="auto"/>
          <w:kern w:val="0"/>
          <w:sz w:val="24"/>
          <w:szCs w:val="24"/>
          <w:highlight w:val="none"/>
          <w:lang w:val="en-US" w:eastAsia="zh-CN"/>
        </w:rPr>
        <w:t xml:space="preserve"> 主材的采购和使用 </w:t>
      </w:r>
    </w:p>
    <w:p w14:paraId="5DD11F32">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招标人有权拒绝承包人提供的不合格或不符合绿色施工要求的材料，并要求承包人立即进行更换。承包人应按发包人确认后的主要材料的规格、颜色要求采购。如果变更规格或颜色，必须经发包人同意后，报有关审核部门重新核定单价后方可采购，并相应调整合同价款。主要材料必须先提供样板给发包人确定其规格、颜色、等级等，发包人同意后方可使用。 </w:t>
      </w:r>
    </w:p>
    <w:p w14:paraId="18A1E2AD">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 xml:space="preserve">4.9 </w:t>
      </w:r>
      <w:r>
        <w:rPr>
          <w:rFonts w:hint="eastAsia" w:ascii="宋体" w:hAnsi="宋体" w:eastAsia="宋体" w:cs="宋体"/>
          <w:bCs/>
          <w:snapToGrid w:val="0"/>
          <w:color w:val="auto"/>
          <w:kern w:val="0"/>
          <w:sz w:val="24"/>
          <w:szCs w:val="24"/>
          <w:highlight w:val="none"/>
          <w:lang w:val="en-US" w:eastAsia="zh-CN"/>
        </w:rPr>
        <w:t xml:space="preserve">竣工资料移交 </w:t>
      </w:r>
    </w:p>
    <w:p w14:paraId="26BD6431">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项目竣工验收时，承包人应向监理单位和发包人提供符合国家档案部门备案要求的，编制成册的竣工图及有关的技术档案资料（含声像档案）一式份。 </w:t>
      </w:r>
    </w:p>
    <w:p w14:paraId="6CD1FDD0">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4.10</w:t>
      </w:r>
      <w:r>
        <w:rPr>
          <w:rFonts w:hint="eastAsia" w:ascii="宋体" w:hAnsi="宋体" w:eastAsia="宋体" w:cs="宋体"/>
          <w:bCs/>
          <w:snapToGrid w:val="0"/>
          <w:color w:val="auto"/>
          <w:kern w:val="0"/>
          <w:sz w:val="24"/>
          <w:szCs w:val="24"/>
          <w:highlight w:val="none"/>
          <w:lang w:val="en-US" w:eastAsia="zh-CN"/>
        </w:rPr>
        <w:t xml:space="preserve"> 质量保证</w:t>
      </w:r>
    </w:p>
    <w:p w14:paraId="707A6EB6">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4.10.1</w:t>
      </w:r>
      <w:r>
        <w:rPr>
          <w:rFonts w:hint="eastAsia" w:ascii="宋体" w:hAnsi="宋体" w:eastAsia="宋体" w:cs="宋体"/>
          <w:bCs/>
          <w:snapToGrid w:val="0"/>
          <w:color w:val="auto"/>
          <w:kern w:val="0"/>
          <w:sz w:val="24"/>
          <w:szCs w:val="24"/>
          <w:highlight w:val="none"/>
          <w:lang w:val="en-US" w:eastAsia="zh-CN"/>
        </w:rPr>
        <w:t xml:space="preserve"> 本招标项目缺陷责任期为</w:t>
      </w:r>
      <w:r>
        <w:rPr>
          <w:rFonts w:hint="eastAsia" w:ascii="宋体" w:hAnsi="宋体" w:eastAsia="宋体" w:cs="宋体"/>
          <w:bCs/>
          <w:snapToGrid w:val="0"/>
          <w:color w:val="auto"/>
          <w:kern w:val="0"/>
          <w:sz w:val="24"/>
          <w:szCs w:val="24"/>
          <w:highlight w:val="none"/>
          <w:u w:val="single"/>
          <w:lang w:val="en-US" w:eastAsia="zh-CN"/>
        </w:rPr>
        <w:t>2</w:t>
      </w:r>
      <w:r>
        <w:rPr>
          <w:rFonts w:hint="eastAsia" w:ascii="宋体" w:hAnsi="宋体" w:eastAsia="宋体" w:cs="宋体"/>
          <w:bCs/>
          <w:snapToGrid w:val="0"/>
          <w:color w:val="auto"/>
          <w:kern w:val="0"/>
          <w:sz w:val="24"/>
          <w:szCs w:val="24"/>
          <w:highlight w:val="none"/>
          <w:lang w:val="en-US" w:eastAsia="zh-CN"/>
        </w:rPr>
        <w:t>年（自通过竣工验收之日起计），在此期间预留金额为结算价</w:t>
      </w:r>
      <w:r>
        <w:rPr>
          <w:rFonts w:hint="eastAsia" w:ascii="宋体" w:hAnsi="宋体" w:eastAsia="宋体" w:cs="宋体"/>
          <w:bCs/>
          <w:snapToGrid w:val="0"/>
          <w:color w:val="auto"/>
          <w:kern w:val="0"/>
          <w:sz w:val="24"/>
          <w:szCs w:val="24"/>
          <w:highlight w:val="none"/>
          <w:u w:val="single"/>
          <w:lang w:val="en-US" w:eastAsia="zh-CN"/>
        </w:rPr>
        <w:t>3%</w:t>
      </w:r>
      <w:r>
        <w:rPr>
          <w:rFonts w:hint="eastAsia" w:ascii="宋体" w:hAnsi="宋体" w:eastAsia="宋体" w:cs="宋体"/>
          <w:bCs/>
          <w:snapToGrid w:val="0"/>
          <w:color w:val="auto"/>
          <w:kern w:val="0"/>
          <w:sz w:val="24"/>
          <w:szCs w:val="24"/>
          <w:highlight w:val="none"/>
          <w:lang w:val="en-US" w:eastAsia="zh-CN"/>
        </w:rPr>
        <w:t xml:space="preserve">的质量保证。 </w:t>
      </w:r>
    </w:p>
    <w:p w14:paraId="2398B991">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4.10.2</w:t>
      </w:r>
      <w:r>
        <w:rPr>
          <w:rFonts w:hint="eastAsia" w:ascii="宋体" w:hAnsi="宋体" w:eastAsia="宋体" w:cs="宋体"/>
          <w:bCs/>
          <w:snapToGrid w:val="0"/>
          <w:color w:val="auto"/>
          <w:kern w:val="0"/>
          <w:sz w:val="24"/>
          <w:szCs w:val="24"/>
          <w:highlight w:val="none"/>
          <w:lang w:val="en-US" w:eastAsia="zh-CN"/>
        </w:rPr>
        <w:t xml:space="preserve"> 质量保证的形式包括质量保证金、质量保证担保、质量保证保险三种，由承包人自主选择。 </w:t>
      </w:r>
    </w:p>
    <w:p w14:paraId="5B411B16">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（1）采用质量保证金形式的，在结清审定总造价时一次性扣留相应金额作为质量保证金。 </w:t>
      </w:r>
    </w:p>
    <w:p w14:paraId="1181DE18">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2）采用质量保证担保或质量保证保险的，承包人应在竣工验收时向发包人提交有效的商业保函、银行保函或保险合同（或保险单）原件，商业保函、银行保函或保险合同（或保险单）的有效期不得短于缺陷责任期。 </w:t>
      </w:r>
    </w:p>
    <w:p w14:paraId="52ED9B76">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4.10.3</w:t>
      </w:r>
      <w:r>
        <w:rPr>
          <w:rFonts w:hint="eastAsia" w:ascii="宋体" w:hAnsi="宋体" w:eastAsia="宋体" w:cs="宋体"/>
          <w:bCs/>
          <w:snapToGrid w:val="0"/>
          <w:color w:val="auto"/>
          <w:kern w:val="0"/>
          <w:sz w:val="24"/>
          <w:szCs w:val="24"/>
          <w:highlight w:val="none"/>
          <w:lang w:val="en-US" w:eastAsia="zh-CN"/>
        </w:rPr>
        <w:t xml:space="preserve"> 缺陷责任期内，由承包人原因造成的缺陷，承包人应负责维修，并承担鉴定及维修费用。如果承包人不维修也不承担费用，发包人可按合同约定从质量保证中扣除，维修费用超出保证金额的，发包人可按合同约定向承包人进行索赔。承包人维修并承担相应费用后，不免除对工程的损失赔偿责任。 </w:t>
      </w:r>
    </w:p>
    <w:p w14:paraId="67B762C5">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由他人原因造成的缺陷，发包人负责组织维修，承包人不承担费用，且发包人不得从质量保证中扣除费用。 </w:t>
      </w:r>
    </w:p>
    <w:p w14:paraId="0DABCA94">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4.10.4</w:t>
      </w:r>
      <w:r>
        <w:rPr>
          <w:rFonts w:hint="eastAsia" w:ascii="宋体" w:hAnsi="宋体" w:eastAsia="宋体" w:cs="宋体"/>
          <w:bCs/>
          <w:snapToGrid w:val="0"/>
          <w:color w:val="auto"/>
          <w:kern w:val="0"/>
          <w:sz w:val="24"/>
          <w:szCs w:val="24"/>
          <w:highlight w:val="none"/>
          <w:lang w:val="en-US" w:eastAsia="zh-CN"/>
        </w:rPr>
        <w:t xml:space="preserve"> 缺陷责任期内，承包人应认真履行合同约定的责任。缺陷责任期到期后，承包人向发包人申请退还质量保证，发包人应按照《建设工程质量保证金管理办法》有关规定将质量保证退还给承包人。  </w:t>
      </w:r>
    </w:p>
    <w:p w14:paraId="0D018C9D">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4.11</w:t>
      </w:r>
      <w:r>
        <w:rPr>
          <w:rFonts w:hint="eastAsia" w:ascii="宋体" w:hAnsi="宋体" w:eastAsia="宋体" w:cs="宋体"/>
          <w:bCs/>
          <w:snapToGrid w:val="0"/>
          <w:color w:val="auto"/>
          <w:kern w:val="0"/>
          <w:sz w:val="24"/>
          <w:szCs w:val="24"/>
          <w:highlight w:val="none"/>
          <w:lang w:val="en-US" w:eastAsia="zh-CN"/>
        </w:rPr>
        <w:t xml:space="preserve"> 不良行为处理 </w:t>
      </w:r>
    </w:p>
    <w:p w14:paraId="68DC32D9">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承包人及其有关人员有下列行为之一的，发包人应及时向建设行政主管部门报告。除按照有关法律、法规进行处罚外，不良行为将计入企业及有关个人诚信档案，并在韶关市住房和城乡建设管理局网站（http://zgj.sg.gov.cn）公示。 </w:t>
      </w:r>
    </w:p>
    <w:p w14:paraId="33521F9F">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（1）转包、违法分包或违反投标承诺分包工程的； </w:t>
      </w:r>
    </w:p>
    <w:p w14:paraId="495C3345">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（2）非原参加投标中标的项目经理负责组织施工或在实施过程中擅自更换项目经理的、项目的其他主要管理人员与中标文件确定的人员不相符的；</w:t>
      </w:r>
    </w:p>
    <w:p w14:paraId="10849C0B">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（3）投标文件确定的大型机械设备没有进入施工现场的； </w:t>
      </w:r>
    </w:p>
    <w:p w14:paraId="48E4FF31">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（4）与建设单位、监理单位串通，签认虚假工程量或工程造价的； </w:t>
      </w:r>
    </w:p>
    <w:p w14:paraId="3BF9C0FE">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（5）项目经理施工现场管理不到位的； </w:t>
      </w:r>
    </w:p>
    <w:p w14:paraId="2ECD3434">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（6）项目经理在非本人资格证书注册单位从事工程项目施工管理的； </w:t>
      </w:r>
    </w:p>
    <w:p w14:paraId="39ABD251">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（7）项目经理同时承担超过一项工程项目的； </w:t>
      </w:r>
    </w:p>
    <w:p w14:paraId="02E9687E">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（8）违反有关法律、法规、规章规定的其它行为。 </w:t>
      </w:r>
    </w:p>
    <w:p w14:paraId="10E7EB8B">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 xml:space="preserve">4.12 </w:t>
      </w:r>
      <w:r>
        <w:rPr>
          <w:rFonts w:hint="eastAsia" w:ascii="宋体" w:hAnsi="宋体" w:eastAsia="宋体" w:cs="宋体"/>
          <w:bCs/>
          <w:snapToGrid w:val="0"/>
          <w:color w:val="auto"/>
          <w:kern w:val="0"/>
          <w:sz w:val="24"/>
          <w:szCs w:val="24"/>
          <w:highlight w:val="none"/>
          <w:lang w:val="en-US" w:eastAsia="zh-CN"/>
        </w:rPr>
        <w:t xml:space="preserve">信用评价条款内容 </w:t>
      </w:r>
    </w:p>
    <w:p w14:paraId="2337A1FF">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由发包人决定是否对施工单位的履约情况进行信用评价。若进行信用评价，评价条款由发包人自拟，条款内容可参考人员到位情况、服务配合程度、服务成果质量、项目后期服务及信用评价结果的运用等。 </w:t>
      </w:r>
    </w:p>
    <w:p w14:paraId="5C8044C0">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4.13</w:t>
      </w:r>
      <w:r>
        <w:rPr>
          <w:rFonts w:hint="eastAsia" w:ascii="宋体" w:hAnsi="宋体" w:eastAsia="宋体" w:cs="宋体"/>
          <w:bCs/>
          <w:snapToGrid w:val="0"/>
          <w:color w:val="auto"/>
          <w:kern w:val="0"/>
          <w:sz w:val="24"/>
          <w:szCs w:val="24"/>
          <w:highlight w:val="none"/>
          <w:lang w:val="en-US" w:eastAsia="zh-CN"/>
        </w:rPr>
        <w:t xml:space="preserve"> 危险性较大的分部分项工程安全管理约定 。对危险性较大的工程必须按《危险性较大的分部分项工程安全管理规定》（中华人民共和国住房和城乡建设部令第37号）的规定编制专项施工方案。同时，从承包人必须按照《危险性较大的分部分项工程安全管理规定》的规定和经审批的专项施工方案履行安全职责，严格执行国家、地方政府有关施工安全管理方面的法律、法规及规章制度，同时严格执行发包人制订的本项目安全生产管理方面的规章制度、安全检查程序及施工安全管理要求，以及监理人有关安全工作的指令。 </w:t>
      </w:r>
    </w:p>
    <w:p w14:paraId="218A7915">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承包人应根据《危险性较大的分部分项工程安全管理规定》（住房城乡建设部令第 37 号）、《住房城乡建设部办公厅关于实施&lt;危险性较大的分部分项工程安全管理规定&gt;有关问题的通知》（建办质〔2018〕31 号）、《广东省住房和城乡建设厅关于房屋市政工程危险性较大的分部分项工程安全管理的实施细则的通知》(粤建规范〔2019〕2 号) 和《广东省安全生产委员会办公室 广东省住房和城乡建设厅关于&lt;严格落实危险性较大的分部分项工程“六不施工”要求的通知&gt;》（粤安办〔2020〕151 号）等有关危险性较大的分部分项工程的法规规定通知，履行建设工程安全生产管理职责。 </w:t>
      </w:r>
    </w:p>
    <w:p w14:paraId="57F2618D">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4.14</w:t>
      </w:r>
      <w:r>
        <w:rPr>
          <w:rFonts w:hint="eastAsia" w:ascii="宋体" w:hAnsi="宋体" w:eastAsia="宋体" w:cs="宋体"/>
          <w:bCs/>
          <w:snapToGrid w:val="0"/>
          <w:color w:val="auto"/>
          <w:kern w:val="0"/>
          <w:sz w:val="24"/>
          <w:szCs w:val="24"/>
          <w:highlight w:val="none"/>
          <w:lang w:val="en-US" w:eastAsia="zh-CN"/>
        </w:rPr>
        <w:t xml:space="preserve"> 承包人在工程实施过程中，按照国家、省、市的相关规定制定相关的专项安全施工方案（如高支模、基坑支护、沉井等），编制专项施工方案报监理人、发包人审批后方可开展专项工程的施工。 </w:t>
      </w:r>
    </w:p>
    <w:p w14:paraId="451FCAB4">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4.15</w:t>
      </w:r>
      <w:r>
        <w:rPr>
          <w:rFonts w:hint="eastAsia" w:ascii="宋体" w:hAnsi="宋体" w:eastAsia="宋体" w:cs="宋体"/>
          <w:bCs/>
          <w:snapToGrid w:val="0"/>
          <w:color w:val="auto"/>
          <w:kern w:val="0"/>
          <w:sz w:val="24"/>
          <w:szCs w:val="24"/>
          <w:highlight w:val="none"/>
          <w:lang w:val="en-US" w:eastAsia="zh-CN"/>
        </w:rPr>
        <w:t xml:space="preserve"> 承包人须按照《韶关市建筑垃圾管理条例》（2021 年 5 月 1 日起施行），将弃土运至发包人指定的场所，否则发包人有权要求承包人无条件将弃土从违约弃土点运至发包人指定的场所并扣除违约金人民币</w:t>
      </w:r>
      <w:r>
        <w:rPr>
          <w:rFonts w:hint="eastAsia" w:ascii="宋体" w:hAnsi="宋体" w:eastAsia="宋体" w:cs="宋体"/>
          <w:color w:val="auto"/>
          <w:kern w:val="2"/>
          <w:sz w:val="24"/>
          <w:szCs w:val="24"/>
          <w:highlight w:val="none"/>
          <w:u w:val="single"/>
          <w:shd w:val="clear" w:color="auto" w:fill="FFFFFF"/>
          <w:lang w:val="en-US" w:eastAsia="zh-CN" w:bidi="ar-SA"/>
        </w:rPr>
        <w:t xml:space="preserve"> 壹 </w:t>
      </w:r>
      <w:r>
        <w:rPr>
          <w:rFonts w:hint="eastAsia" w:ascii="宋体" w:hAnsi="宋体" w:eastAsia="宋体" w:cs="宋体"/>
          <w:bCs/>
          <w:snapToGrid w:val="0"/>
          <w:color w:val="auto"/>
          <w:kern w:val="0"/>
          <w:sz w:val="24"/>
          <w:szCs w:val="24"/>
          <w:highlight w:val="none"/>
          <w:lang w:val="en-US" w:eastAsia="zh-CN"/>
        </w:rPr>
        <w:t xml:space="preserve">万元/次。承包人对建筑垃圾须按《韶关市建筑垃圾管理条例》（2021 年 5 月 1 日起施行）的相关规定进行排放和运输，投标人在投标报价时综合考虑在报价内。承包人应在施工现场建立洗车槽和临时排水系统等确保外运车辆（土方运输车辆应符合韶关市相关规定）不带泥上路，投标人在投标报价时综合考虑在报价内，发包人不另行支付该部分费用）。建设单位、施工单位应当在施工工地出入口显著位置公示建筑垃圾处理方案主要信息，包括建设工程垃圾种类、产生量、外运处置去向等信息及各相关单位名称、联系人及联系电话等。 </w:t>
      </w:r>
    </w:p>
    <w:p w14:paraId="6BC77ED9">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 xml:space="preserve">4.16 </w:t>
      </w:r>
      <w:r>
        <w:rPr>
          <w:rFonts w:hint="eastAsia" w:ascii="宋体" w:hAnsi="宋体" w:eastAsia="宋体" w:cs="宋体"/>
          <w:bCs/>
          <w:snapToGrid w:val="0"/>
          <w:color w:val="auto"/>
          <w:kern w:val="0"/>
          <w:sz w:val="24"/>
          <w:szCs w:val="24"/>
          <w:highlight w:val="none"/>
          <w:lang w:val="en-US" w:eastAsia="zh-CN"/>
        </w:rPr>
        <w:t xml:space="preserve">工程竣工验收后 15 日内，承包人应按市城建档案馆的要求（质量、数量），将编制成册的施工档案资料（含声像档案和电子档案）提供给发包人、市城建档案馆、市住建管理局、管养单位及监理单位，并承担档案涉及的所有费用（制作标准和相关要求按市城建档案馆的有关规定执行）。承包人提交符合城建档案馆要求的竣工资料经发包人确认签收后，即可办理工程结算手续。 </w:t>
      </w:r>
    </w:p>
    <w:p w14:paraId="2105B66E">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4.17</w:t>
      </w:r>
      <w:r>
        <w:rPr>
          <w:rFonts w:hint="eastAsia" w:ascii="宋体" w:hAnsi="宋体" w:eastAsia="宋体" w:cs="宋体"/>
          <w:bCs/>
          <w:snapToGrid w:val="0"/>
          <w:color w:val="auto"/>
          <w:kern w:val="0"/>
          <w:sz w:val="24"/>
          <w:szCs w:val="24"/>
          <w:highlight w:val="none"/>
          <w:lang w:val="en-US" w:eastAsia="zh-CN"/>
        </w:rPr>
        <w:t xml:space="preserve"> 承包人应做好周边设施（含军用光缆、燃气、供电、供水、排水、排污、人行道、路灯、治安监控、交通电警等）的成品保护并及时与周边设施的权属单位协调解决，如因承包人原因导致上述设施发生损坏，承包人无条件按发包人规定的期限内修复，涉及成品保护费、索赔等一切费用全部由承包人自行解决。</w:t>
      </w:r>
    </w:p>
    <w:p w14:paraId="56FD5FA3">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 xml:space="preserve">4.17.1 </w:t>
      </w:r>
      <w:r>
        <w:rPr>
          <w:rFonts w:hint="eastAsia" w:ascii="宋体" w:hAnsi="宋体" w:eastAsia="宋体" w:cs="宋体"/>
          <w:bCs/>
          <w:snapToGrid w:val="0"/>
          <w:color w:val="auto"/>
          <w:kern w:val="0"/>
          <w:sz w:val="24"/>
          <w:szCs w:val="24"/>
          <w:highlight w:val="none"/>
          <w:lang w:val="en-US" w:eastAsia="zh-CN"/>
        </w:rPr>
        <w:t>承包人在施工阶段应做好水土保持工作，相关费用承包人自行考虑在投标报价中。</w:t>
      </w:r>
    </w:p>
    <w:p w14:paraId="377C83CD">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4.18</w:t>
      </w:r>
      <w:r>
        <w:rPr>
          <w:rFonts w:hint="eastAsia" w:ascii="宋体" w:hAnsi="宋体" w:eastAsia="宋体" w:cs="宋体"/>
          <w:bCs/>
          <w:snapToGrid w:val="0"/>
          <w:color w:val="auto"/>
          <w:kern w:val="0"/>
          <w:sz w:val="24"/>
          <w:szCs w:val="24"/>
          <w:highlight w:val="none"/>
          <w:lang w:val="en-US" w:eastAsia="zh-CN"/>
        </w:rPr>
        <w:t xml:space="preserve"> 承包人中标后必须按规定及时缴交工人工资保证金、环保噪声排污费等。 </w:t>
      </w:r>
    </w:p>
    <w:p w14:paraId="0DCEA183">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4.19</w:t>
      </w:r>
      <w:r>
        <w:rPr>
          <w:rFonts w:hint="eastAsia" w:ascii="宋体" w:hAnsi="宋体" w:eastAsia="宋体" w:cs="宋体"/>
          <w:bCs/>
          <w:snapToGrid w:val="0"/>
          <w:color w:val="auto"/>
          <w:kern w:val="0"/>
          <w:sz w:val="24"/>
          <w:szCs w:val="24"/>
          <w:highlight w:val="none"/>
          <w:lang w:val="en-US" w:eastAsia="zh-CN"/>
        </w:rPr>
        <w:t xml:space="preserve"> 工程质量保修期按《中华人民共和国建筑法》、《建设工程质量管理条例》等相关规定实施。 </w:t>
      </w:r>
    </w:p>
    <w:p w14:paraId="6C12C69B">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4.20</w:t>
      </w:r>
      <w:r>
        <w:rPr>
          <w:rFonts w:hint="eastAsia" w:ascii="宋体" w:hAnsi="宋体" w:eastAsia="宋体" w:cs="宋体"/>
          <w:bCs/>
          <w:snapToGrid w:val="0"/>
          <w:color w:val="auto"/>
          <w:kern w:val="0"/>
          <w:sz w:val="24"/>
          <w:szCs w:val="24"/>
          <w:highlight w:val="none"/>
          <w:lang w:val="en-US" w:eastAsia="zh-CN"/>
        </w:rPr>
        <w:t xml:space="preserve"> 如项目实施过程中发生了工程变更及工程签证，承包人需根据发包人发布的《工程变更管理办法》和《工程签证管理办法》完善工程变更签证相关程序。 </w:t>
      </w:r>
    </w:p>
    <w:p w14:paraId="7C2DFF94">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4.21</w:t>
      </w:r>
      <w:r>
        <w:rPr>
          <w:rFonts w:hint="eastAsia" w:ascii="宋体" w:hAnsi="宋体" w:eastAsia="宋体" w:cs="宋体"/>
          <w:bCs/>
          <w:snapToGrid w:val="0"/>
          <w:color w:val="auto"/>
          <w:kern w:val="0"/>
          <w:sz w:val="24"/>
          <w:szCs w:val="24"/>
          <w:highlight w:val="none"/>
          <w:lang w:val="en-US" w:eastAsia="zh-CN"/>
        </w:rPr>
        <w:t xml:space="preserve"> 承包人需按相关规定要求，设置本工程符合相关要求的永久性标牌及规划公示牌，投标人在投标报价时综合考虑在报价内，发包人不另行支付该部分费用。 </w:t>
      </w:r>
    </w:p>
    <w:p w14:paraId="5D272057">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4.22</w:t>
      </w:r>
      <w:r>
        <w:rPr>
          <w:rFonts w:hint="eastAsia" w:ascii="宋体" w:hAnsi="宋体" w:eastAsia="宋体" w:cs="宋体"/>
          <w:bCs/>
          <w:snapToGrid w:val="0"/>
          <w:color w:val="auto"/>
          <w:kern w:val="0"/>
          <w:sz w:val="24"/>
          <w:szCs w:val="24"/>
          <w:highlight w:val="none"/>
          <w:lang w:val="en-US" w:eastAsia="zh-CN"/>
        </w:rPr>
        <w:t xml:space="preserve"> 承包人应在项目所在地住建管理部门办理诚信登记，发包人将严格按住建管理部门诚信登记管理办法对承包人履约情况进行考核。 </w:t>
      </w:r>
    </w:p>
    <w:p w14:paraId="091BEF84">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4.23</w:t>
      </w:r>
      <w:r>
        <w:rPr>
          <w:rFonts w:hint="eastAsia" w:ascii="宋体" w:hAnsi="宋体" w:eastAsia="宋体" w:cs="宋体"/>
          <w:bCs/>
          <w:snapToGrid w:val="0"/>
          <w:color w:val="auto"/>
          <w:kern w:val="0"/>
          <w:sz w:val="24"/>
          <w:szCs w:val="24"/>
          <w:highlight w:val="none"/>
          <w:lang w:val="en-US" w:eastAsia="zh-CN"/>
        </w:rPr>
        <w:t xml:space="preserve"> 承包人应按韶关市住房和城乡建设管理局、韶关市人力资源和社会保障局等职能部门对用工实名制的相关规定,落实工人及相关软硬件设施要求。</w:t>
      </w:r>
    </w:p>
    <w:p w14:paraId="17EB9410">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4.24</w:t>
      </w:r>
      <w:r>
        <w:rPr>
          <w:rFonts w:hint="eastAsia" w:ascii="宋体" w:hAnsi="宋体" w:eastAsia="宋体" w:cs="宋体"/>
          <w:bCs/>
          <w:snapToGrid w:val="0"/>
          <w:color w:val="auto"/>
          <w:kern w:val="0"/>
          <w:sz w:val="24"/>
          <w:szCs w:val="24"/>
          <w:highlight w:val="none"/>
          <w:lang w:val="en-US" w:eastAsia="zh-CN"/>
        </w:rPr>
        <w:t xml:space="preserve"> 质量违约</w:t>
      </w:r>
    </w:p>
    <w:p w14:paraId="12426880">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4.24.1</w:t>
      </w:r>
      <w:r>
        <w:rPr>
          <w:rFonts w:hint="eastAsia" w:ascii="宋体" w:hAnsi="宋体" w:eastAsia="宋体" w:cs="宋体"/>
          <w:bCs/>
          <w:snapToGrid w:val="0"/>
          <w:color w:val="auto"/>
          <w:kern w:val="0"/>
          <w:sz w:val="24"/>
          <w:szCs w:val="24"/>
          <w:highlight w:val="none"/>
          <w:lang w:val="en-US" w:eastAsia="zh-CN"/>
        </w:rPr>
        <w:t xml:space="preserve">材料违约处理：若发现材料不符合国家标准或发包人在技术规范中规定的标准， </w:t>
      </w:r>
    </w:p>
    <w:p w14:paraId="0ED3797B">
      <w:pPr>
        <w:adjustRightInd w:val="0"/>
        <w:snapToGrid w:val="0"/>
        <w:spacing w:line="440" w:lineRule="exact"/>
        <w:ind w:left="0" w:leftChars="0" w:firstLine="0" w:firstLineChars="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 xml:space="preserve">视为承包人违约，按现行《建设工程质量管理条例》处理。 </w:t>
      </w:r>
    </w:p>
    <w:p w14:paraId="25255EB5">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4.24.1.1</w:t>
      </w:r>
      <w:r>
        <w:rPr>
          <w:rFonts w:hint="eastAsia" w:ascii="宋体" w:hAnsi="宋体" w:eastAsia="宋体" w:cs="宋体"/>
          <w:bCs/>
          <w:snapToGrid w:val="0"/>
          <w:color w:val="auto"/>
          <w:kern w:val="0"/>
          <w:sz w:val="24"/>
          <w:szCs w:val="24"/>
          <w:highlight w:val="none"/>
          <w:lang w:val="en-US" w:eastAsia="zh-CN"/>
        </w:rPr>
        <w:t xml:space="preserve"> 成品采购项目在采购前，承包人必须先行书面征求监理人、发包人的同意并 </w:t>
      </w:r>
    </w:p>
    <w:p w14:paraId="42E52D8F">
      <w:pPr>
        <w:adjustRightInd w:val="0"/>
        <w:snapToGrid w:val="0"/>
        <w:spacing w:line="440" w:lineRule="exact"/>
        <w:ind w:left="0" w:leftChars="0" w:firstLine="0" w:firstLineChars="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 xml:space="preserve">一起看样定版后方能实施。未经监理人、发包人同意擅自先行采购和实施的，否则因不符 </w:t>
      </w:r>
    </w:p>
    <w:p w14:paraId="2F28E572">
      <w:pPr>
        <w:adjustRightInd w:val="0"/>
        <w:snapToGrid w:val="0"/>
        <w:spacing w:line="440" w:lineRule="exact"/>
        <w:ind w:left="0" w:leftChars="0" w:firstLine="0" w:firstLineChars="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合设计要求返工造成的费用由承包人承担。</w:t>
      </w:r>
    </w:p>
    <w:p w14:paraId="63226B74">
      <w:pPr>
        <w:adjustRightInd w:val="0"/>
        <w:snapToGrid w:val="0"/>
        <w:spacing w:line="440" w:lineRule="exact"/>
        <w:ind w:firstLine="482"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4.24.2</w:t>
      </w:r>
      <w:r>
        <w:rPr>
          <w:rFonts w:hint="eastAsia" w:ascii="宋体" w:hAnsi="宋体" w:eastAsia="宋体" w:cs="宋体"/>
          <w:b w:val="0"/>
          <w:bCs/>
          <w:snapToGrid w:val="0"/>
          <w:color w:val="auto"/>
          <w:kern w:val="0"/>
          <w:sz w:val="24"/>
          <w:szCs w:val="24"/>
          <w:highlight w:val="none"/>
          <w:lang w:val="en-US" w:eastAsia="zh-CN"/>
        </w:rPr>
        <w:t xml:space="preserve">工程质量违约： </w:t>
      </w:r>
    </w:p>
    <w:p w14:paraId="66F205BC">
      <w:pPr>
        <w:adjustRightInd w:val="0"/>
        <w:snapToGrid w:val="0"/>
        <w:spacing w:line="440" w:lineRule="exact"/>
        <w:ind w:firstLine="482"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4.24.2.1</w:t>
      </w:r>
      <w:r>
        <w:rPr>
          <w:rFonts w:hint="eastAsia" w:ascii="宋体" w:hAnsi="宋体" w:eastAsia="宋体" w:cs="宋体"/>
          <w:b w:val="0"/>
          <w:bCs/>
          <w:snapToGrid w:val="0"/>
          <w:color w:val="auto"/>
          <w:kern w:val="0"/>
          <w:sz w:val="24"/>
          <w:szCs w:val="24"/>
          <w:highlight w:val="none"/>
          <w:lang w:val="en-US" w:eastAsia="zh-CN"/>
        </w:rPr>
        <w:t xml:space="preserve"> 在施工过程中经监理单位日常巡查或抽检发现未达到合格标准，责令承包人进 </w:t>
      </w:r>
    </w:p>
    <w:p w14:paraId="7E5E1749">
      <w:pPr>
        <w:adjustRightInd w:val="0"/>
        <w:snapToGrid w:val="0"/>
        <w:spacing w:line="440" w:lineRule="exact"/>
        <w:ind w:left="0" w:leftChars="0" w:firstLine="0" w:firstLineChars="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val="0"/>
          <w:bCs/>
          <w:snapToGrid w:val="0"/>
          <w:color w:val="auto"/>
          <w:kern w:val="0"/>
          <w:sz w:val="24"/>
          <w:szCs w:val="24"/>
          <w:highlight w:val="none"/>
          <w:lang w:val="en-US" w:eastAsia="zh-CN"/>
        </w:rPr>
        <w:t xml:space="preserve">行整改，如未按规定时间进行整改或整改不到位的，每次按 5000元缴纳违约金给发包人，在进度款或结算款中一并扣除。 </w:t>
      </w:r>
    </w:p>
    <w:p w14:paraId="14F3C3FF">
      <w:pPr>
        <w:adjustRightInd w:val="0"/>
        <w:snapToGrid w:val="0"/>
        <w:spacing w:line="440" w:lineRule="exact"/>
        <w:ind w:firstLine="482"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4.24.2.2</w:t>
      </w:r>
      <w:r>
        <w:rPr>
          <w:rFonts w:hint="eastAsia" w:ascii="宋体" w:hAnsi="宋体" w:eastAsia="宋体" w:cs="宋体"/>
          <w:b w:val="0"/>
          <w:bCs/>
          <w:snapToGrid w:val="0"/>
          <w:color w:val="auto"/>
          <w:kern w:val="0"/>
          <w:sz w:val="24"/>
          <w:szCs w:val="24"/>
          <w:highlight w:val="none"/>
          <w:lang w:val="en-US" w:eastAsia="zh-CN"/>
        </w:rPr>
        <w:t xml:space="preserve"> 工程质量标准须达到国家验收合格标准。如未达到合格标准，除无偿返工至合 </w:t>
      </w:r>
    </w:p>
    <w:p w14:paraId="69E40686">
      <w:pPr>
        <w:adjustRightInd w:val="0"/>
        <w:snapToGrid w:val="0"/>
        <w:spacing w:line="440" w:lineRule="exact"/>
        <w:ind w:left="0" w:leftChars="0" w:firstLine="0" w:firstLineChars="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val="0"/>
          <w:bCs/>
          <w:snapToGrid w:val="0"/>
          <w:color w:val="auto"/>
          <w:kern w:val="0"/>
          <w:sz w:val="24"/>
          <w:szCs w:val="24"/>
          <w:highlight w:val="none"/>
          <w:lang w:val="en-US" w:eastAsia="zh-CN"/>
        </w:rPr>
        <w:t xml:space="preserve">格外，还要按合同价款的 1%向招标人支付质量违约金，工期不予顺延。 </w:t>
      </w:r>
    </w:p>
    <w:p w14:paraId="4C313533">
      <w:pPr>
        <w:adjustRightInd w:val="0"/>
        <w:snapToGrid w:val="0"/>
        <w:spacing w:line="440" w:lineRule="exact"/>
        <w:ind w:firstLine="482"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4.25</w:t>
      </w:r>
      <w:r>
        <w:rPr>
          <w:rFonts w:hint="eastAsia" w:ascii="宋体" w:hAnsi="宋体" w:eastAsia="宋体" w:cs="宋体"/>
          <w:b w:val="0"/>
          <w:bCs/>
          <w:snapToGrid w:val="0"/>
          <w:color w:val="auto"/>
          <w:kern w:val="0"/>
          <w:sz w:val="24"/>
          <w:szCs w:val="24"/>
          <w:highlight w:val="none"/>
          <w:lang w:val="en-US" w:eastAsia="zh-CN"/>
        </w:rPr>
        <w:t xml:space="preserve"> 重大责任事故违约 </w:t>
      </w:r>
    </w:p>
    <w:p w14:paraId="34BBCA07">
      <w:pPr>
        <w:adjustRightInd w:val="0"/>
        <w:snapToGrid w:val="0"/>
        <w:spacing w:line="440" w:lineRule="exact"/>
        <w:ind w:firstLine="482"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4.25.1</w:t>
      </w:r>
      <w:r>
        <w:rPr>
          <w:rFonts w:hint="eastAsia" w:ascii="宋体" w:hAnsi="宋体" w:eastAsia="宋体" w:cs="宋体"/>
          <w:b w:val="0"/>
          <w:bCs/>
          <w:snapToGrid w:val="0"/>
          <w:color w:val="auto"/>
          <w:kern w:val="0"/>
          <w:sz w:val="24"/>
          <w:szCs w:val="24"/>
          <w:highlight w:val="none"/>
          <w:lang w:val="en-US" w:eastAsia="zh-CN"/>
        </w:rPr>
        <w:t xml:space="preserve"> 承包人因违反国家安全质量法规及合同有关条款约定,出现火灾、坍塌、人员重 </w:t>
      </w:r>
    </w:p>
    <w:p w14:paraId="6CC212DE">
      <w:pPr>
        <w:adjustRightInd w:val="0"/>
        <w:snapToGrid w:val="0"/>
        <w:spacing w:line="440" w:lineRule="exact"/>
        <w:ind w:left="0" w:leftChars="0" w:firstLine="0" w:firstLineChars="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val="0"/>
          <w:bCs/>
          <w:snapToGrid w:val="0"/>
          <w:color w:val="auto"/>
          <w:kern w:val="0"/>
          <w:sz w:val="24"/>
          <w:szCs w:val="24"/>
          <w:highlight w:val="none"/>
          <w:lang w:val="en-US" w:eastAsia="zh-CN"/>
        </w:rPr>
        <w:t xml:space="preserve">伤、死亡等重大责任事故,则承包人应承担全部损失,并按相关法规接受行政处罚；如造成发 </w:t>
      </w:r>
    </w:p>
    <w:p w14:paraId="02D16D14">
      <w:pPr>
        <w:adjustRightInd w:val="0"/>
        <w:snapToGrid w:val="0"/>
        <w:spacing w:line="440" w:lineRule="exact"/>
        <w:ind w:left="0" w:leftChars="0" w:firstLine="0" w:firstLineChars="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val="0"/>
          <w:bCs/>
          <w:snapToGrid w:val="0"/>
          <w:color w:val="auto"/>
          <w:kern w:val="0"/>
          <w:sz w:val="24"/>
          <w:szCs w:val="24"/>
          <w:highlight w:val="none"/>
          <w:lang w:val="en-US" w:eastAsia="zh-CN"/>
        </w:rPr>
        <w:t xml:space="preserve">包人及对第三人利益的损害,该等损害赔偿责任均由承包人承担。 </w:t>
      </w:r>
    </w:p>
    <w:p w14:paraId="1554D55D">
      <w:pPr>
        <w:adjustRightInd w:val="0"/>
        <w:snapToGrid w:val="0"/>
        <w:spacing w:line="440" w:lineRule="exact"/>
        <w:ind w:firstLine="482"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4.26</w:t>
      </w:r>
      <w:r>
        <w:rPr>
          <w:rFonts w:hint="eastAsia" w:ascii="宋体" w:hAnsi="宋体" w:eastAsia="宋体" w:cs="宋体"/>
          <w:b w:val="0"/>
          <w:bCs/>
          <w:snapToGrid w:val="0"/>
          <w:color w:val="auto"/>
          <w:kern w:val="0"/>
          <w:sz w:val="24"/>
          <w:szCs w:val="24"/>
          <w:highlight w:val="none"/>
          <w:lang w:val="en-US" w:eastAsia="zh-CN"/>
        </w:rPr>
        <w:t xml:space="preserve"> 用工违约 </w:t>
      </w:r>
    </w:p>
    <w:p w14:paraId="3FBE233E">
      <w:pPr>
        <w:adjustRightInd w:val="0"/>
        <w:snapToGrid w:val="0"/>
        <w:spacing w:line="440" w:lineRule="exact"/>
        <w:ind w:firstLine="482"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4.26.1</w:t>
      </w:r>
      <w:r>
        <w:rPr>
          <w:rFonts w:hint="eastAsia" w:ascii="宋体" w:hAnsi="宋体" w:eastAsia="宋体" w:cs="宋体"/>
          <w:b w:val="0"/>
          <w:bCs/>
          <w:snapToGrid w:val="0"/>
          <w:color w:val="auto"/>
          <w:kern w:val="0"/>
          <w:sz w:val="24"/>
          <w:szCs w:val="24"/>
          <w:highlight w:val="none"/>
          <w:lang w:val="en-US" w:eastAsia="zh-CN"/>
        </w:rPr>
        <w:t xml:space="preserve"> 在合同履行期间，如经查实承包人拖欠或克扣农民工或劳务工工资，导致劳资纠纷或发生危及公共安全或正常社会秩序的事件的，按承包人违约处理，承包人应按拖欠或克 </w:t>
      </w:r>
    </w:p>
    <w:p w14:paraId="6458EA94">
      <w:pPr>
        <w:adjustRightInd w:val="0"/>
        <w:snapToGrid w:val="0"/>
        <w:spacing w:line="440" w:lineRule="exact"/>
        <w:ind w:left="0" w:leftChars="0" w:firstLine="0" w:firstLineChars="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val="0"/>
          <w:bCs/>
          <w:snapToGrid w:val="0"/>
          <w:color w:val="auto"/>
          <w:kern w:val="0"/>
          <w:sz w:val="24"/>
          <w:szCs w:val="24"/>
          <w:highlight w:val="none"/>
          <w:lang w:val="en-US" w:eastAsia="zh-CN"/>
        </w:rPr>
        <w:t xml:space="preserve">扣农民工工资总金额 2 倍的标准向发包人缴纳惩罚性违约金。 </w:t>
      </w:r>
    </w:p>
    <w:p w14:paraId="17ADCC67">
      <w:pPr>
        <w:adjustRightInd w:val="0"/>
        <w:snapToGrid w:val="0"/>
        <w:spacing w:line="440" w:lineRule="exact"/>
        <w:ind w:firstLine="482"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4.27</w:t>
      </w:r>
      <w:r>
        <w:rPr>
          <w:rFonts w:hint="eastAsia" w:ascii="宋体" w:hAnsi="宋体" w:eastAsia="宋体" w:cs="宋体"/>
          <w:b w:val="0"/>
          <w:bCs/>
          <w:snapToGrid w:val="0"/>
          <w:color w:val="auto"/>
          <w:kern w:val="0"/>
          <w:sz w:val="24"/>
          <w:szCs w:val="24"/>
          <w:highlight w:val="none"/>
          <w:lang w:val="en-US" w:eastAsia="zh-CN"/>
        </w:rPr>
        <w:t xml:space="preserve"> 安全文明施工违约 </w:t>
      </w:r>
    </w:p>
    <w:p w14:paraId="08A3B467">
      <w:pPr>
        <w:adjustRightInd w:val="0"/>
        <w:snapToGrid w:val="0"/>
        <w:spacing w:line="440" w:lineRule="exact"/>
        <w:ind w:firstLine="482"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4.27.1</w:t>
      </w:r>
      <w:r>
        <w:rPr>
          <w:rFonts w:hint="eastAsia" w:ascii="宋体" w:hAnsi="宋体" w:eastAsia="宋体" w:cs="宋体"/>
          <w:b w:val="0"/>
          <w:bCs/>
          <w:snapToGrid w:val="0"/>
          <w:color w:val="auto"/>
          <w:kern w:val="0"/>
          <w:sz w:val="24"/>
          <w:szCs w:val="24"/>
          <w:highlight w:val="none"/>
          <w:lang w:val="en-US" w:eastAsia="zh-CN"/>
        </w:rPr>
        <w:t xml:space="preserve"> 如承包人违反国家、广东省、发包人及合同关于安全文明施工的规定，但尚未造 </w:t>
      </w:r>
    </w:p>
    <w:p w14:paraId="7E77E40D">
      <w:pPr>
        <w:adjustRightInd w:val="0"/>
        <w:snapToGrid w:val="0"/>
        <w:spacing w:line="440" w:lineRule="exact"/>
        <w:ind w:left="0" w:leftChars="0" w:firstLine="0" w:firstLineChars="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val="0"/>
          <w:bCs/>
          <w:snapToGrid w:val="0"/>
          <w:color w:val="auto"/>
          <w:kern w:val="0"/>
          <w:sz w:val="24"/>
          <w:szCs w:val="24"/>
          <w:highlight w:val="none"/>
          <w:lang w:val="en-US" w:eastAsia="zh-CN"/>
        </w:rPr>
        <w:t xml:space="preserve">成安全责任事故，承包人应及时改正行为并赔偿相关方的损失，如未及时整改，针对每一违约 </w:t>
      </w:r>
    </w:p>
    <w:p w14:paraId="3DA27048">
      <w:pPr>
        <w:adjustRightInd w:val="0"/>
        <w:snapToGrid w:val="0"/>
        <w:spacing w:line="440" w:lineRule="exact"/>
        <w:ind w:left="0" w:leftChars="0" w:firstLine="0" w:firstLineChars="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val="0"/>
          <w:bCs/>
          <w:snapToGrid w:val="0"/>
          <w:color w:val="auto"/>
          <w:kern w:val="0"/>
          <w:sz w:val="24"/>
          <w:szCs w:val="24"/>
          <w:highlight w:val="none"/>
          <w:lang w:val="en-US" w:eastAsia="zh-CN"/>
        </w:rPr>
        <w:t>行为每持续一天应缴纳违约金1000元。</w:t>
      </w:r>
    </w:p>
    <w:p w14:paraId="0F875A79">
      <w:pPr>
        <w:adjustRightInd w:val="0"/>
        <w:snapToGrid w:val="0"/>
        <w:spacing w:line="440" w:lineRule="exact"/>
        <w:ind w:firstLine="482" w:firstLineChars="200"/>
        <w:rPr>
          <w:rFonts w:hint="default" w:ascii="宋体" w:hAnsi="宋体" w:eastAsia="宋体" w:cs="宋体"/>
          <w:b w:val="0"/>
          <w:bCs/>
          <w:snapToGrid w:val="0"/>
          <w:color w:val="auto"/>
          <w:kern w:val="0"/>
          <w:sz w:val="24"/>
          <w:szCs w:val="24"/>
          <w:highlight w:val="none"/>
          <w:lang w:val="en-US" w:eastAsia="zh-CN"/>
        </w:rPr>
      </w:pPr>
      <w:r>
        <w:rPr>
          <w:rFonts w:hint="default" w:ascii="宋体" w:hAnsi="宋体" w:eastAsia="宋体" w:cs="宋体"/>
          <w:b/>
          <w:bCs w:val="0"/>
          <w:snapToGrid w:val="0"/>
          <w:color w:val="auto"/>
          <w:kern w:val="0"/>
          <w:sz w:val="24"/>
          <w:szCs w:val="24"/>
          <w:highlight w:val="none"/>
          <w:lang w:val="en-US" w:eastAsia="zh-CN"/>
        </w:rPr>
        <w:t>4.</w:t>
      </w:r>
      <w:r>
        <w:rPr>
          <w:rFonts w:hint="eastAsia" w:ascii="宋体" w:hAnsi="宋体" w:eastAsia="宋体" w:cs="宋体"/>
          <w:b/>
          <w:bCs w:val="0"/>
          <w:snapToGrid w:val="0"/>
          <w:color w:val="auto"/>
          <w:kern w:val="0"/>
          <w:sz w:val="24"/>
          <w:szCs w:val="24"/>
          <w:highlight w:val="none"/>
          <w:lang w:val="en-US" w:eastAsia="zh-CN"/>
        </w:rPr>
        <w:t>27</w:t>
      </w:r>
      <w:r>
        <w:rPr>
          <w:rFonts w:hint="default" w:ascii="宋体" w:hAnsi="宋体" w:eastAsia="宋体" w:cs="宋体"/>
          <w:b/>
          <w:bCs w:val="0"/>
          <w:snapToGrid w:val="0"/>
          <w:color w:val="auto"/>
          <w:kern w:val="0"/>
          <w:sz w:val="24"/>
          <w:szCs w:val="24"/>
          <w:highlight w:val="none"/>
          <w:lang w:val="en-US" w:eastAsia="zh-CN"/>
        </w:rPr>
        <w:t>.2</w:t>
      </w:r>
      <w:r>
        <w:rPr>
          <w:rFonts w:hint="default" w:ascii="宋体" w:hAnsi="宋体" w:eastAsia="宋体" w:cs="宋体"/>
          <w:b w:val="0"/>
          <w:bCs/>
          <w:snapToGrid w:val="0"/>
          <w:color w:val="auto"/>
          <w:kern w:val="0"/>
          <w:sz w:val="24"/>
          <w:szCs w:val="24"/>
          <w:highlight w:val="none"/>
          <w:lang w:val="en-US" w:eastAsia="zh-CN"/>
        </w:rPr>
        <w:t xml:space="preserve"> 承包人必须接受发包人及监理单位组织的安全、文明施工的检查，检查中的不合 </w:t>
      </w:r>
    </w:p>
    <w:p w14:paraId="5D37AD04">
      <w:pPr>
        <w:adjustRightInd w:val="0"/>
        <w:snapToGrid w:val="0"/>
        <w:spacing w:line="440" w:lineRule="exact"/>
        <w:rPr>
          <w:rFonts w:hint="default" w:ascii="宋体" w:hAnsi="宋体" w:eastAsia="宋体" w:cs="宋体"/>
          <w:b w:val="0"/>
          <w:bCs/>
          <w:snapToGrid w:val="0"/>
          <w:color w:val="auto"/>
          <w:kern w:val="0"/>
          <w:sz w:val="24"/>
          <w:szCs w:val="24"/>
          <w:highlight w:val="none"/>
          <w:lang w:val="en-US" w:eastAsia="zh-CN"/>
        </w:rPr>
      </w:pPr>
      <w:r>
        <w:rPr>
          <w:rFonts w:hint="default" w:ascii="宋体" w:hAnsi="宋体" w:eastAsia="宋体" w:cs="宋体"/>
          <w:b w:val="0"/>
          <w:bCs/>
          <w:snapToGrid w:val="0"/>
          <w:color w:val="auto"/>
          <w:kern w:val="0"/>
          <w:sz w:val="24"/>
          <w:szCs w:val="24"/>
          <w:highlight w:val="none"/>
          <w:lang w:val="en-US" w:eastAsia="zh-CN"/>
        </w:rPr>
        <w:t>格项目、安全隐患必须在规定的时间内整改完成，否则每拖延一天处以2000元人民币违约金，直至整改合格。</w:t>
      </w:r>
    </w:p>
    <w:p w14:paraId="4EF3DFAB">
      <w:pPr>
        <w:adjustRightInd w:val="0"/>
        <w:snapToGrid w:val="0"/>
        <w:spacing w:line="440" w:lineRule="exact"/>
        <w:rPr>
          <w:rFonts w:hint="default" w:ascii="宋体" w:hAnsi="宋体" w:eastAsia="宋体" w:cs="宋体"/>
          <w:b w:val="0"/>
          <w:bCs/>
          <w:snapToGrid w:val="0"/>
          <w:color w:val="auto"/>
          <w:kern w:val="0"/>
          <w:sz w:val="24"/>
          <w:szCs w:val="24"/>
          <w:highlight w:val="none"/>
          <w:lang w:val="en-US" w:eastAsia="zh-CN"/>
        </w:rPr>
      </w:pPr>
      <w:r>
        <w:rPr>
          <w:rFonts w:hint="default" w:ascii="宋体" w:hAnsi="宋体" w:eastAsia="宋体" w:cs="宋体"/>
          <w:b w:val="0"/>
          <w:bCs/>
          <w:snapToGrid w:val="0"/>
          <w:color w:val="auto"/>
          <w:kern w:val="0"/>
          <w:sz w:val="24"/>
          <w:szCs w:val="24"/>
          <w:highlight w:val="none"/>
          <w:lang w:val="en-US" w:eastAsia="zh-CN"/>
        </w:rPr>
        <w:t xml:space="preserve"> </w:t>
      </w:r>
      <w:r>
        <w:rPr>
          <w:rFonts w:hint="eastAsia" w:ascii="宋体" w:hAnsi="宋体" w:eastAsia="宋体" w:cs="宋体"/>
          <w:b w:val="0"/>
          <w:bCs/>
          <w:snapToGrid w:val="0"/>
          <w:color w:val="auto"/>
          <w:kern w:val="0"/>
          <w:sz w:val="24"/>
          <w:szCs w:val="24"/>
          <w:highlight w:val="none"/>
          <w:lang w:val="en-US" w:eastAsia="zh-CN"/>
        </w:rPr>
        <w:t xml:space="preserve">   </w:t>
      </w:r>
      <w:r>
        <w:rPr>
          <w:rFonts w:hint="default" w:ascii="宋体" w:hAnsi="宋体" w:eastAsia="宋体" w:cs="宋体"/>
          <w:b/>
          <w:bCs w:val="0"/>
          <w:snapToGrid w:val="0"/>
          <w:color w:val="auto"/>
          <w:kern w:val="0"/>
          <w:sz w:val="24"/>
          <w:szCs w:val="24"/>
          <w:highlight w:val="none"/>
          <w:lang w:val="en-US" w:eastAsia="zh-CN"/>
        </w:rPr>
        <w:t>4.</w:t>
      </w:r>
      <w:r>
        <w:rPr>
          <w:rFonts w:hint="eastAsia" w:ascii="宋体" w:hAnsi="宋体" w:eastAsia="宋体" w:cs="宋体"/>
          <w:b/>
          <w:bCs w:val="0"/>
          <w:snapToGrid w:val="0"/>
          <w:color w:val="auto"/>
          <w:kern w:val="0"/>
          <w:sz w:val="24"/>
          <w:szCs w:val="24"/>
          <w:highlight w:val="none"/>
          <w:lang w:val="en-US" w:eastAsia="zh-CN"/>
        </w:rPr>
        <w:t>27</w:t>
      </w:r>
      <w:r>
        <w:rPr>
          <w:rFonts w:hint="default" w:ascii="宋体" w:hAnsi="宋体" w:eastAsia="宋体" w:cs="宋体"/>
          <w:b/>
          <w:bCs w:val="0"/>
          <w:snapToGrid w:val="0"/>
          <w:color w:val="auto"/>
          <w:kern w:val="0"/>
          <w:sz w:val="24"/>
          <w:szCs w:val="24"/>
          <w:highlight w:val="none"/>
          <w:lang w:val="en-US" w:eastAsia="zh-CN"/>
        </w:rPr>
        <w:t>.</w:t>
      </w:r>
      <w:r>
        <w:rPr>
          <w:rFonts w:hint="eastAsia" w:ascii="宋体" w:hAnsi="宋体" w:eastAsia="宋体" w:cs="宋体"/>
          <w:b/>
          <w:bCs w:val="0"/>
          <w:snapToGrid w:val="0"/>
          <w:color w:val="auto"/>
          <w:kern w:val="0"/>
          <w:sz w:val="24"/>
          <w:szCs w:val="24"/>
          <w:highlight w:val="none"/>
          <w:lang w:val="en-US" w:eastAsia="zh-CN"/>
        </w:rPr>
        <w:t xml:space="preserve">3 </w:t>
      </w:r>
      <w:r>
        <w:rPr>
          <w:rFonts w:hint="eastAsia" w:ascii="宋体" w:hAnsi="宋体" w:eastAsia="宋体" w:cs="宋体"/>
          <w:b w:val="0"/>
          <w:bCs/>
          <w:snapToGrid w:val="0"/>
          <w:color w:val="auto"/>
          <w:kern w:val="0"/>
          <w:sz w:val="24"/>
          <w:szCs w:val="24"/>
          <w:highlight w:val="none"/>
          <w:lang w:val="en-US" w:eastAsia="zh-CN"/>
        </w:rPr>
        <w:t>承包人现场施工人员未按相关规定佩戴安全帽和反光衣进入施工区域的，经现场发包人（监理单位）管理人员确认后，承包人须按100元/人/次缴纳违约金。</w:t>
      </w:r>
    </w:p>
    <w:p w14:paraId="63CD755A">
      <w:pPr>
        <w:adjustRightInd w:val="0"/>
        <w:snapToGrid w:val="0"/>
        <w:spacing w:line="440" w:lineRule="exact"/>
        <w:ind w:firstLine="482" w:firstLineChars="200"/>
        <w:rPr>
          <w:rFonts w:hint="default" w:ascii="宋体" w:hAnsi="宋体" w:eastAsia="宋体" w:cs="宋体"/>
          <w:b w:val="0"/>
          <w:bCs/>
          <w:snapToGrid w:val="0"/>
          <w:color w:val="auto"/>
          <w:kern w:val="0"/>
          <w:sz w:val="24"/>
          <w:szCs w:val="24"/>
          <w:highlight w:val="none"/>
          <w:lang w:val="en-US" w:eastAsia="zh-CN"/>
        </w:rPr>
      </w:pPr>
      <w:r>
        <w:rPr>
          <w:rFonts w:hint="default" w:ascii="宋体" w:hAnsi="宋体" w:eastAsia="宋体" w:cs="宋体"/>
          <w:b/>
          <w:bCs w:val="0"/>
          <w:snapToGrid w:val="0"/>
          <w:color w:val="auto"/>
          <w:kern w:val="0"/>
          <w:sz w:val="24"/>
          <w:szCs w:val="24"/>
          <w:highlight w:val="none"/>
          <w:lang w:val="en-US" w:eastAsia="zh-CN"/>
        </w:rPr>
        <w:t>4.</w:t>
      </w:r>
      <w:r>
        <w:rPr>
          <w:rFonts w:hint="eastAsia" w:ascii="宋体" w:hAnsi="宋体" w:eastAsia="宋体" w:cs="宋体"/>
          <w:b/>
          <w:bCs w:val="0"/>
          <w:snapToGrid w:val="0"/>
          <w:color w:val="auto"/>
          <w:kern w:val="0"/>
          <w:sz w:val="24"/>
          <w:szCs w:val="24"/>
          <w:highlight w:val="none"/>
          <w:lang w:val="en-US" w:eastAsia="zh-CN"/>
        </w:rPr>
        <w:t>28</w:t>
      </w:r>
      <w:r>
        <w:rPr>
          <w:rFonts w:hint="default" w:ascii="宋体" w:hAnsi="宋体" w:eastAsia="宋体" w:cs="宋体"/>
          <w:b w:val="0"/>
          <w:bCs/>
          <w:snapToGrid w:val="0"/>
          <w:color w:val="auto"/>
          <w:kern w:val="0"/>
          <w:sz w:val="24"/>
          <w:szCs w:val="24"/>
          <w:highlight w:val="none"/>
          <w:lang w:val="en-US" w:eastAsia="zh-CN"/>
        </w:rPr>
        <w:t xml:space="preserve"> 其他违约 </w:t>
      </w:r>
    </w:p>
    <w:p w14:paraId="6C6C1A33">
      <w:pPr>
        <w:adjustRightInd w:val="0"/>
        <w:snapToGrid w:val="0"/>
        <w:spacing w:line="440" w:lineRule="exact"/>
        <w:ind w:firstLine="482" w:firstLineChars="200"/>
        <w:rPr>
          <w:rFonts w:hint="default" w:ascii="宋体" w:hAnsi="宋体" w:eastAsia="宋体" w:cs="宋体"/>
          <w:b w:val="0"/>
          <w:bCs/>
          <w:snapToGrid w:val="0"/>
          <w:color w:val="auto"/>
          <w:kern w:val="0"/>
          <w:sz w:val="24"/>
          <w:szCs w:val="24"/>
          <w:highlight w:val="none"/>
          <w:lang w:val="en-US" w:eastAsia="zh-CN"/>
        </w:rPr>
      </w:pPr>
      <w:r>
        <w:rPr>
          <w:rFonts w:hint="default" w:ascii="宋体" w:hAnsi="宋体" w:eastAsia="宋体" w:cs="宋体"/>
          <w:b/>
          <w:bCs w:val="0"/>
          <w:snapToGrid w:val="0"/>
          <w:color w:val="auto"/>
          <w:kern w:val="0"/>
          <w:sz w:val="24"/>
          <w:szCs w:val="24"/>
          <w:highlight w:val="none"/>
          <w:lang w:val="en-US" w:eastAsia="zh-CN"/>
        </w:rPr>
        <w:t>4.</w:t>
      </w:r>
      <w:r>
        <w:rPr>
          <w:rFonts w:hint="eastAsia" w:ascii="宋体" w:hAnsi="宋体" w:eastAsia="宋体" w:cs="宋体"/>
          <w:b/>
          <w:bCs w:val="0"/>
          <w:snapToGrid w:val="0"/>
          <w:color w:val="auto"/>
          <w:kern w:val="0"/>
          <w:sz w:val="24"/>
          <w:szCs w:val="24"/>
          <w:highlight w:val="none"/>
          <w:lang w:val="en-US" w:eastAsia="zh-CN"/>
        </w:rPr>
        <w:t>28</w:t>
      </w:r>
      <w:r>
        <w:rPr>
          <w:rFonts w:hint="default" w:ascii="宋体" w:hAnsi="宋体" w:eastAsia="宋体" w:cs="宋体"/>
          <w:b/>
          <w:bCs w:val="0"/>
          <w:snapToGrid w:val="0"/>
          <w:color w:val="auto"/>
          <w:kern w:val="0"/>
          <w:sz w:val="24"/>
          <w:szCs w:val="24"/>
          <w:highlight w:val="none"/>
          <w:lang w:val="en-US" w:eastAsia="zh-CN"/>
        </w:rPr>
        <w:t>.1</w:t>
      </w:r>
      <w:r>
        <w:rPr>
          <w:rFonts w:hint="default" w:ascii="宋体" w:hAnsi="宋体" w:eastAsia="宋体" w:cs="宋体"/>
          <w:b w:val="0"/>
          <w:bCs/>
          <w:snapToGrid w:val="0"/>
          <w:color w:val="auto"/>
          <w:kern w:val="0"/>
          <w:sz w:val="24"/>
          <w:szCs w:val="24"/>
          <w:highlight w:val="none"/>
          <w:lang w:val="en-US" w:eastAsia="zh-CN"/>
        </w:rPr>
        <w:t xml:space="preserve"> 承包人安排在施工场地的主要管理人员（主要指项目经理、项目技术负责人和专 </w:t>
      </w:r>
    </w:p>
    <w:p w14:paraId="16EE1B0E">
      <w:pPr>
        <w:adjustRightInd w:val="0"/>
        <w:snapToGrid w:val="0"/>
        <w:spacing w:line="440" w:lineRule="exact"/>
        <w:rPr>
          <w:rFonts w:hint="default" w:ascii="宋体" w:hAnsi="宋体" w:eastAsia="宋体" w:cs="宋体"/>
          <w:b w:val="0"/>
          <w:bCs/>
          <w:snapToGrid w:val="0"/>
          <w:color w:val="auto"/>
          <w:kern w:val="0"/>
          <w:sz w:val="24"/>
          <w:szCs w:val="24"/>
          <w:highlight w:val="none"/>
          <w:lang w:val="en-US" w:eastAsia="zh-CN"/>
        </w:rPr>
      </w:pPr>
      <w:r>
        <w:rPr>
          <w:rFonts w:hint="default" w:ascii="宋体" w:hAnsi="宋体" w:eastAsia="宋体" w:cs="宋体"/>
          <w:b w:val="0"/>
          <w:bCs/>
          <w:snapToGrid w:val="0"/>
          <w:color w:val="auto"/>
          <w:kern w:val="0"/>
          <w:sz w:val="24"/>
          <w:szCs w:val="24"/>
          <w:highlight w:val="none"/>
          <w:lang w:val="en-US" w:eastAsia="zh-CN"/>
        </w:rPr>
        <w:t>职安全生产管理人员）应与承包人投标文件承诺的名单一致，并保持相对稳定。未经总监理工程师批准，上述人员不应无故不到位或被替换。若确实无法到位或需替换，需经总监理工程师审核并报发包人批准后，承包人可安排同等资历的人员替换；</w:t>
      </w:r>
      <w:r>
        <w:rPr>
          <w:rFonts w:hint="eastAsia" w:ascii="宋体" w:hAnsi="宋体" w:eastAsia="宋体" w:cs="宋体"/>
          <w:b w:val="0"/>
          <w:bCs/>
          <w:snapToGrid w:val="0"/>
          <w:color w:val="auto"/>
          <w:kern w:val="0"/>
          <w:sz w:val="24"/>
          <w:szCs w:val="24"/>
          <w:highlight w:val="none"/>
          <w:lang w:val="en-US" w:eastAsia="zh-CN"/>
        </w:rPr>
        <w:t>在日常检查及相关会议中主要管理人员不到岗，按 500元/人/次缴纳违约金给发包人。</w:t>
      </w:r>
    </w:p>
    <w:p w14:paraId="2646E737">
      <w:pPr>
        <w:adjustRightInd w:val="0"/>
        <w:snapToGrid w:val="0"/>
        <w:spacing w:line="440" w:lineRule="exact"/>
        <w:ind w:firstLine="482" w:firstLineChars="200"/>
        <w:rPr>
          <w:rFonts w:hint="default" w:ascii="宋体" w:hAnsi="宋体" w:eastAsia="宋体" w:cs="宋体"/>
          <w:b w:val="0"/>
          <w:bCs/>
          <w:snapToGrid w:val="0"/>
          <w:color w:val="auto"/>
          <w:kern w:val="0"/>
          <w:sz w:val="24"/>
          <w:szCs w:val="24"/>
          <w:highlight w:val="none"/>
          <w:lang w:val="en-US" w:eastAsia="zh-CN"/>
        </w:rPr>
      </w:pPr>
      <w:r>
        <w:rPr>
          <w:rFonts w:hint="default" w:ascii="宋体" w:hAnsi="宋体" w:eastAsia="宋体" w:cs="宋体"/>
          <w:b/>
          <w:bCs w:val="0"/>
          <w:snapToGrid w:val="0"/>
          <w:color w:val="auto"/>
          <w:kern w:val="0"/>
          <w:sz w:val="24"/>
          <w:szCs w:val="24"/>
          <w:highlight w:val="none"/>
          <w:lang w:val="en-US" w:eastAsia="zh-CN"/>
        </w:rPr>
        <w:t>4.</w:t>
      </w:r>
      <w:r>
        <w:rPr>
          <w:rFonts w:hint="eastAsia" w:ascii="宋体" w:hAnsi="宋体" w:eastAsia="宋体" w:cs="宋体"/>
          <w:b/>
          <w:bCs w:val="0"/>
          <w:snapToGrid w:val="0"/>
          <w:color w:val="auto"/>
          <w:kern w:val="0"/>
          <w:sz w:val="24"/>
          <w:szCs w:val="24"/>
          <w:highlight w:val="none"/>
          <w:lang w:val="en-US" w:eastAsia="zh-CN"/>
        </w:rPr>
        <w:t>28</w:t>
      </w:r>
      <w:r>
        <w:rPr>
          <w:rFonts w:hint="default" w:ascii="宋体" w:hAnsi="宋体" w:eastAsia="宋体" w:cs="宋体"/>
          <w:b/>
          <w:bCs w:val="0"/>
          <w:snapToGrid w:val="0"/>
          <w:color w:val="auto"/>
          <w:kern w:val="0"/>
          <w:sz w:val="24"/>
          <w:szCs w:val="24"/>
          <w:highlight w:val="none"/>
          <w:lang w:val="en-US" w:eastAsia="zh-CN"/>
        </w:rPr>
        <w:t>.2</w:t>
      </w:r>
      <w:r>
        <w:rPr>
          <w:rFonts w:hint="default" w:ascii="宋体" w:hAnsi="宋体" w:eastAsia="宋体" w:cs="宋体"/>
          <w:b w:val="0"/>
          <w:bCs/>
          <w:snapToGrid w:val="0"/>
          <w:color w:val="auto"/>
          <w:kern w:val="0"/>
          <w:sz w:val="24"/>
          <w:szCs w:val="24"/>
          <w:highlight w:val="none"/>
          <w:lang w:val="en-US" w:eastAsia="zh-CN"/>
        </w:rPr>
        <w:t xml:space="preserve"> 中标人施工资料必须与形象进度同步</w:t>
      </w:r>
      <w:r>
        <w:rPr>
          <w:rFonts w:hint="eastAsia" w:ascii="宋体" w:hAnsi="宋体" w:eastAsia="宋体" w:cs="宋体"/>
          <w:b w:val="0"/>
          <w:bCs/>
          <w:snapToGrid w:val="0"/>
          <w:color w:val="auto"/>
          <w:kern w:val="0"/>
          <w:sz w:val="24"/>
          <w:szCs w:val="24"/>
          <w:highlight w:val="none"/>
          <w:lang w:val="en-US" w:eastAsia="zh-CN"/>
        </w:rPr>
        <w:t>，如发包人在日常检查中发现不同步的现象的，视为违约并扣除违约金2000元/每次</w:t>
      </w:r>
      <w:r>
        <w:rPr>
          <w:rFonts w:hint="default" w:ascii="宋体" w:hAnsi="宋体" w:eastAsia="宋体" w:cs="宋体"/>
          <w:b w:val="0"/>
          <w:bCs/>
          <w:snapToGrid w:val="0"/>
          <w:color w:val="auto"/>
          <w:kern w:val="0"/>
          <w:sz w:val="24"/>
          <w:szCs w:val="24"/>
          <w:highlight w:val="none"/>
          <w:lang w:val="en-US" w:eastAsia="zh-CN"/>
        </w:rPr>
        <w:t xml:space="preserve">。 </w:t>
      </w:r>
    </w:p>
    <w:p w14:paraId="6316E14F">
      <w:pPr>
        <w:adjustRightInd w:val="0"/>
        <w:snapToGrid w:val="0"/>
        <w:spacing w:line="440" w:lineRule="exact"/>
        <w:ind w:firstLine="482" w:firstLineChars="200"/>
        <w:rPr>
          <w:rFonts w:hint="default" w:ascii="宋体" w:hAnsi="宋体" w:eastAsia="宋体" w:cs="宋体"/>
          <w:b w:val="0"/>
          <w:bCs/>
          <w:snapToGrid w:val="0"/>
          <w:color w:val="auto"/>
          <w:kern w:val="0"/>
          <w:sz w:val="24"/>
          <w:szCs w:val="24"/>
          <w:highlight w:val="none"/>
          <w:lang w:val="en-US" w:eastAsia="zh-CN"/>
        </w:rPr>
      </w:pPr>
      <w:r>
        <w:rPr>
          <w:rFonts w:hint="default" w:ascii="宋体" w:hAnsi="宋体" w:eastAsia="宋体" w:cs="宋体"/>
          <w:b/>
          <w:bCs w:val="0"/>
          <w:snapToGrid w:val="0"/>
          <w:color w:val="auto"/>
          <w:kern w:val="0"/>
          <w:sz w:val="24"/>
          <w:szCs w:val="24"/>
          <w:highlight w:val="none"/>
          <w:lang w:val="en-US" w:eastAsia="zh-CN"/>
        </w:rPr>
        <w:t>4.</w:t>
      </w:r>
      <w:r>
        <w:rPr>
          <w:rFonts w:hint="eastAsia" w:ascii="宋体" w:hAnsi="宋体" w:eastAsia="宋体" w:cs="宋体"/>
          <w:b/>
          <w:bCs w:val="0"/>
          <w:snapToGrid w:val="0"/>
          <w:color w:val="auto"/>
          <w:kern w:val="0"/>
          <w:sz w:val="24"/>
          <w:szCs w:val="24"/>
          <w:highlight w:val="none"/>
          <w:lang w:val="en-US" w:eastAsia="zh-CN"/>
        </w:rPr>
        <w:t>28</w:t>
      </w:r>
      <w:r>
        <w:rPr>
          <w:rFonts w:hint="default" w:ascii="宋体" w:hAnsi="宋体" w:eastAsia="宋体" w:cs="宋体"/>
          <w:b/>
          <w:bCs w:val="0"/>
          <w:snapToGrid w:val="0"/>
          <w:color w:val="auto"/>
          <w:kern w:val="0"/>
          <w:sz w:val="24"/>
          <w:szCs w:val="24"/>
          <w:highlight w:val="none"/>
          <w:lang w:val="en-US" w:eastAsia="zh-CN"/>
        </w:rPr>
        <w:t>.3</w:t>
      </w:r>
      <w:r>
        <w:rPr>
          <w:rFonts w:hint="default" w:ascii="宋体" w:hAnsi="宋体" w:eastAsia="宋体" w:cs="宋体"/>
          <w:b w:val="0"/>
          <w:bCs/>
          <w:snapToGrid w:val="0"/>
          <w:color w:val="auto"/>
          <w:kern w:val="0"/>
          <w:sz w:val="24"/>
          <w:szCs w:val="24"/>
          <w:highlight w:val="none"/>
          <w:lang w:val="en-US" w:eastAsia="zh-CN"/>
        </w:rPr>
        <w:t xml:space="preserve"> 承包人没有正当合理的理由中途退场，可扣除承包人已递交的所有履约风险保证 </w:t>
      </w:r>
    </w:p>
    <w:p w14:paraId="3AB81941">
      <w:pPr>
        <w:adjustRightInd w:val="0"/>
        <w:snapToGrid w:val="0"/>
        <w:spacing w:line="440" w:lineRule="exact"/>
        <w:rPr>
          <w:rFonts w:hint="default" w:ascii="宋体" w:hAnsi="宋体" w:eastAsia="宋体" w:cs="宋体"/>
          <w:bCs/>
          <w:snapToGrid w:val="0"/>
          <w:color w:val="auto"/>
          <w:kern w:val="0"/>
          <w:sz w:val="24"/>
          <w:szCs w:val="24"/>
          <w:highlight w:val="none"/>
          <w:lang w:val="en-US" w:eastAsia="zh-CN" w:bidi="ar-SA"/>
        </w:rPr>
      </w:pPr>
      <w:r>
        <w:rPr>
          <w:rFonts w:hint="default" w:ascii="宋体" w:hAnsi="宋体" w:eastAsia="宋体" w:cs="宋体"/>
          <w:b w:val="0"/>
          <w:bCs/>
          <w:snapToGrid w:val="0"/>
          <w:color w:val="auto"/>
          <w:kern w:val="0"/>
          <w:sz w:val="24"/>
          <w:szCs w:val="24"/>
          <w:highlight w:val="none"/>
          <w:lang w:val="en-US" w:eastAsia="zh-CN"/>
        </w:rPr>
        <w:t>金。承包人因上述违约行为而须缴纳的违约金在工程进度款中或结算时一并扣除。</w:t>
      </w:r>
    </w:p>
    <w:p w14:paraId="45319432">
      <w:pPr>
        <w:adjustRightInd w:val="0"/>
        <w:snapToGrid w:val="0"/>
        <w:spacing w:line="440" w:lineRule="exact"/>
        <w:ind w:firstLine="482" w:firstLineChars="200"/>
        <w:rPr>
          <w:rFonts w:hint="eastAsia" w:ascii="宋体" w:hAnsi="宋体" w:eastAsia="宋体" w:cs="宋体"/>
          <w:b/>
          <w:bCs w:val="0"/>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5.其他合同条款由招标人与中标人自行协商约定</w:t>
      </w:r>
    </w:p>
    <w:p w14:paraId="4B17F356">
      <w:pPr>
        <w:pStyle w:val="13"/>
        <w:rPr>
          <w:rFonts w:hint="eastAsia" w:ascii="宋体" w:hAnsi="宋体" w:eastAsia="宋体" w:cs="宋体"/>
          <w:color w:val="auto"/>
          <w:sz w:val="24"/>
          <w:szCs w:val="24"/>
          <w:highlight w:val="none"/>
          <w:lang w:eastAsia="zh-CN"/>
        </w:rPr>
      </w:pPr>
    </w:p>
    <w:p w14:paraId="00E29B87">
      <w:pPr>
        <w:pStyle w:val="13"/>
        <w:rPr>
          <w:rFonts w:hint="eastAsia" w:ascii="宋体" w:hAnsi="宋体" w:eastAsia="宋体" w:cs="宋体"/>
          <w:color w:val="auto"/>
          <w:sz w:val="24"/>
          <w:szCs w:val="24"/>
          <w:highlight w:val="none"/>
          <w:lang w:eastAsia="zh-CN"/>
        </w:rPr>
      </w:pPr>
    </w:p>
    <w:p w14:paraId="6EE2E99C">
      <w:pPr>
        <w:pStyle w:val="13"/>
        <w:rPr>
          <w:rFonts w:hint="eastAsia" w:ascii="宋体" w:hAnsi="宋体" w:eastAsia="宋体" w:cs="宋体"/>
          <w:color w:val="auto"/>
          <w:sz w:val="24"/>
          <w:szCs w:val="24"/>
          <w:highlight w:val="none"/>
          <w:lang w:eastAsia="zh-CN"/>
        </w:rPr>
      </w:pPr>
    </w:p>
    <w:p w14:paraId="4BDA0E56">
      <w:pPr>
        <w:pStyle w:val="13"/>
        <w:rPr>
          <w:rFonts w:hint="eastAsia" w:ascii="宋体" w:hAnsi="宋体" w:eastAsia="宋体" w:cs="宋体"/>
          <w:color w:val="auto"/>
          <w:sz w:val="24"/>
          <w:szCs w:val="24"/>
          <w:highlight w:val="none"/>
          <w:lang w:eastAsia="zh-CN"/>
        </w:rPr>
      </w:pPr>
    </w:p>
    <w:p w14:paraId="673329EB">
      <w:pPr>
        <w:pStyle w:val="13"/>
        <w:rPr>
          <w:rFonts w:hint="eastAsia" w:ascii="宋体" w:hAnsi="宋体" w:eastAsia="宋体" w:cs="宋体"/>
          <w:color w:val="auto"/>
          <w:sz w:val="24"/>
          <w:szCs w:val="24"/>
          <w:highlight w:val="none"/>
          <w:lang w:eastAsia="zh-CN"/>
        </w:rPr>
      </w:pPr>
    </w:p>
    <w:p w14:paraId="1E357784">
      <w:pPr>
        <w:pStyle w:val="13"/>
        <w:rPr>
          <w:rFonts w:hint="eastAsia" w:ascii="宋体" w:hAnsi="宋体" w:eastAsia="宋体" w:cs="宋体"/>
          <w:color w:val="auto"/>
          <w:sz w:val="24"/>
          <w:szCs w:val="24"/>
          <w:highlight w:val="none"/>
          <w:lang w:eastAsia="zh-CN"/>
        </w:rPr>
      </w:pPr>
    </w:p>
    <w:p w14:paraId="6E6F0A85">
      <w:pPr>
        <w:pStyle w:val="13"/>
        <w:rPr>
          <w:rFonts w:hint="eastAsia" w:ascii="宋体" w:hAnsi="宋体" w:eastAsia="宋体" w:cs="宋体"/>
          <w:color w:val="auto"/>
          <w:sz w:val="24"/>
          <w:szCs w:val="24"/>
          <w:highlight w:val="none"/>
          <w:lang w:eastAsia="zh-CN"/>
        </w:rPr>
      </w:pPr>
    </w:p>
    <w:p w14:paraId="0390B878">
      <w:pPr>
        <w:pStyle w:val="13"/>
        <w:rPr>
          <w:rFonts w:hint="eastAsia" w:ascii="宋体" w:hAnsi="宋体" w:eastAsia="宋体" w:cs="宋体"/>
          <w:color w:val="auto"/>
          <w:sz w:val="24"/>
          <w:szCs w:val="24"/>
          <w:highlight w:val="none"/>
          <w:lang w:eastAsia="zh-CN"/>
        </w:rPr>
      </w:pPr>
    </w:p>
    <w:p w14:paraId="34442139">
      <w:pPr>
        <w:pStyle w:val="13"/>
        <w:rPr>
          <w:rFonts w:hint="eastAsia" w:ascii="宋体" w:hAnsi="宋体" w:eastAsia="宋体" w:cs="宋体"/>
          <w:color w:val="auto"/>
          <w:sz w:val="24"/>
          <w:szCs w:val="24"/>
          <w:highlight w:val="none"/>
          <w:lang w:eastAsia="zh-CN"/>
        </w:rPr>
      </w:pPr>
    </w:p>
    <w:p w14:paraId="42CDD58A">
      <w:pPr>
        <w:spacing w:before="78" w:line="219" w:lineRule="auto"/>
        <w:outlineLvl w:val="9"/>
        <w:rPr>
          <w:rFonts w:hint="eastAsia" w:ascii="宋体" w:hAnsi="宋体" w:eastAsia="宋体" w:cs="宋体"/>
          <w:b/>
          <w:bCs/>
          <w:color w:val="auto"/>
          <w:spacing w:val="-3"/>
          <w:sz w:val="24"/>
          <w:szCs w:val="24"/>
          <w:highlight w:val="none"/>
        </w:rPr>
      </w:pPr>
      <w:bookmarkStart w:id="180" w:name="bookmark96"/>
      <w:bookmarkEnd w:id="180"/>
    </w:p>
    <w:p w14:paraId="2BDC7F7A">
      <w:pPr>
        <w:rPr>
          <w:rFonts w:hint="eastAsia" w:ascii="宋体" w:hAnsi="宋体" w:eastAsia="宋体" w:cs="宋体"/>
          <w:b/>
          <w:bCs/>
          <w:color w:val="auto"/>
          <w:spacing w:val="-3"/>
          <w:sz w:val="24"/>
          <w:szCs w:val="24"/>
          <w:highlight w:val="none"/>
        </w:rPr>
      </w:pPr>
      <w:r>
        <w:rPr>
          <w:rFonts w:hint="eastAsia" w:ascii="宋体" w:hAnsi="宋体" w:eastAsia="宋体" w:cs="宋体"/>
          <w:b/>
          <w:bCs/>
          <w:color w:val="auto"/>
          <w:spacing w:val="-3"/>
          <w:sz w:val="24"/>
          <w:szCs w:val="24"/>
          <w:highlight w:val="none"/>
        </w:rPr>
        <w:br w:type="page"/>
      </w:r>
    </w:p>
    <w:p w14:paraId="2B87CA60">
      <w:pPr>
        <w:spacing w:before="78" w:line="219" w:lineRule="auto"/>
        <w:ind w:left="3273"/>
        <w:outlineLvl w:val="0"/>
        <w:rPr>
          <w:rFonts w:hint="eastAsia" w:ascii="宋体" w:hAnsi="宋体" w:eastAsia="宋体" w:cs="宋体"/>
          <w:color w:val="auto"/>
          <w:highlight w:val="none"/>
        </w:rPr>
      </w:pPr>
      <w:bookmarkStart w:id="181" w:name="_Toc30225"/>
      <w:r>
        <w:rPr>
          <w:rFonts w:hint="eastAsia" w:ascii="宋体" w:hAnsi="宋体" w:eastAsia="宋体" w:cs="宋体"/>
          <w:b/>
          <w:bCs/>
          <w:color w:val="auto"/>
          <w:spacing w:val="-3"/>
          <w:sz w:val="24"/>
          <w:szCs w:val="24"/>
          <w:highlight w:val="none"/>
        </w:rPr>
        <w:t>第四章</w:t>
      </w:r>
      <w:r>
        <w:rPr>
          <w:rFonts w:hint="eastAsia" w:ascii="宋体" w:hAnsi="宋体" w:eastAsia="宋体" w:cs="宋体"/>
          <w:color w:val="auto"/>
          <w:spacing w:val="-3"/>
          <w:sz w:val="24"/>
          <w:szCs w:val="24"/>
          <w:highlight w:val="none"/>
        </w:rPr>
        <w:t xml:space="preserve"> </w:t>
      </w:r>
      <w:r>
        <w:rPr>
          <w:rFonts w:hint="eastAsia" w:ascii="宋体" w:hAnsi="宋体" w:eastAsia="宋体" w:cs="宋体"/>
          <w:b/>
          <w:bCs/>
          <w:color w:val="auto"/>
          <w:spacing w:val="-3"/>
          <w:sz w:val="24"/>
          <w:szCs w:val="24"/>
          <w:highlight w:val="none"/>
        </w:rPr>
        <w:t>技术要求</w:t>
      </w:r>
      <w:bookmarkEnd w:id="181"/>
    </w:p>
    <w:p w14:paraId="379571EE">
      <w:pPr>
        <w:pStyle w:val="5"/>
        <w:spacing w:line="257" w:lineRule="auto"/>
        <w:rPr>
          <w:rFonts w:hint="eastAsia" w:ascii="宋体" w:hAnsi="宋体" w:eastAsia="宋体" w:cs="宋体"/>
          <w:color w:val="auto"/>
          <w:highlight w:val="none"/>
        </w:rPr>
      </w:pPr>
    </w:p>
    <w:p w14:paraId="5BE30722">
      <w:pPr>
        <w:spacing w:before="78" w:line="221" w:lineRule="auto"/>
        <w:ind w:left="125"/>
        <w:outlineLvl w:val="2"/>
        <w:rPr>
          <w:rFonts w:hint="eastAsia" w:ascii="宋体" w:hAnsi="宋体" w:eastAsia="宋体" w:cs="宋体"/>
          <w:color w:val="auto"/>
          <w:sz w:val="24"/>
          <w:szCs w:val="24"/>
          <w:highlight w:val="none"/>
        </w:rPr>
      </w:pPr>
      <w:bookmarkStart w:id="182" w:name="_Toc10155"/>
      <w:bookmarkStart w:id="183" w:name="_Toc19340"/>
      <w:r>
        <w:rPr>
          <w:rFonts w:hint="eastAsia" w:ascii="宋体" w:hAnsi="宋体" w:eastAsia="宋体" w:cs="宋体"/>
          <w:b/>
          <w:bCs/>
          <w:color w:val="auto"/>
          <w:spacing w:val="-6"/>
          <w:sz w:val="24"/>
          <w:szCs w:val="24"/>
          <w:highlight w:val="none"/>
        </w:rPr>
        <w:t>1</w:t>
      </w:r>
      <w:r>
        <w:rPr>
          <w:rFonts w:hint="eastAsia" w:ascii="宋体" w:hAnsi="宋体" w:eastAsia="宋体" w:cs="宋体"/>
          <w:b/>
          <w:bCs/>
          <w:color w:val="auto"/>
          <w:spacing w:val="-23"/>
          <w:sz w:val="24"/>
          <w:szCs w:val="24"/>
          <w:highlight w:val="none"/>
        </w:rPr>
        <w:t xml:space="preserve"> </w:t>
      </w:r>
      <w:r>
        <w:rPr>
          <w:rFonts w:hint="eastAsia" w:ascii="宋体" w:hAnsi="宋体" w:eastAsia="宋体" w:cs="宋体"/>
          <w:b/>
          <w:bCs/>
          <w:color w:val="auto"/>
          <w:spacing w:val="-6"/>
          <w:sz w:val="24"/>
          <w:szCs w:val="24"/>
          <w:highlight w:val="none"/>
        </w:rPr>
        <w:t>．</w:t>
      </w:r>
      <w:r>
        <w:rPr>
          <w:rFonts w:hint="eastAsia" w:ascii="宋体" w:hAnsi="宋体" w:eastAsia="宋体" w:cs="宋体"/>
          <w:b/>
          <w:bCs/>
          <w:color w:val="auto"/>
          <w:spacing w:val="-1"/>
          <w:sz w:val="24"/>
          <w:szCs w:val="24"/>
          <w:highlight w:val="none"/>
        </w:rPr>
        <w:t>房屋建筑工程建设项目</w:t>
      </w:r>
      <w:bookmarkEnd w:id="182"/>
      <w:bookmarkEnd w:id="183"/>
    </w:p>
    <w:p w14:paraId="3989A8B1">
      <w:pPr>
        <w:spacing w:before="152" w:line="220" w:lineRule="auto"/>
        <w:ind w:left="12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房屋建筑工程建设项目必须执行的现行技术规范，包括且不限于：</w:t>
      </w:r>
    </w:p>
    <w:p w14:paraId="75FB82B5">
      <w:pPr>
        <w:spacing w:before="155" w:line="220" w:lineRule="auto"/>
        <w:ind w:left="13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（1）《建筑工程施工质量验收统一标准》；</w:t>
      </w:r>
    </w:p>
    <w:p w14:paraId="0F8F10F4">
      <w:pPr>
        <w:spacing w:before="153" w:line="220" w:lineRule="auto"/>
        <w:ind w:left="13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（2）《建筑地基基础工程施工质量验收规范》；</w:t>
      </w:r>
    </w:p>
    <w:p w14:paraId="12F6D15F">
      <w:pPr>
        <w:spacing w:before="153" w:line="220" w:lineRule="auto"/>
        <w:ind w:left="13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（3）《砌体工程施工质量验收规范》；</w:t>
      </w:r>
    </w:p>
    <w:p w14:paraId="6755EFEB">
      <w:pPr>
        <w:spacing w:before="155" w:line="220" w:lineRule="auto"/>
        <w:ind w:left="13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（4）《混凝土结构工程施工质量验收规范》；</w:t>
      </w:r>
    </w:p>
    <w:p w14:paraId="3F9C2AD6">
      <w:pPr>
        <w:spacing w:before="153" w:line="220" w:lineRule="auto"/>
        <w:ind w:left="13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（5）《屋面工程质量验收规范》；</w:t>
      </w:r>
    </w:p>
    <w:p w14:paraId="35E6FD8D">
      <w:pPr>
        <w:spacing w:before="153" w:line="220" w:lineRule="auto"/>
        <w:ind w:left="13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（6）《地下防水工程质量验收规范》；</w:t>
      </w:r>
    </w:p>
    <w:p w14:paraId="152B7914">
      <w:pPr>
        <w:spacing w:before="156" w:line="220" w:lineRule="auto"/>
        <w:ind w:left="13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（7）《建筑地面工程施工质量验收规范》；</w:t>
      </w:r>
    </w:p>
    <w:p w14:paraId="63C9A67F">
      <w:pPr>
        <w:spacing w:before="153" w:line="220" w:lineRule="auto"/>
        <w:ind w:left="13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（8）《建筑装饰装修工程施工质量验收规范》；</w:t>
      </w:r>
    </w:p>
    <w:p w14:paraId="2579DEFA">
      <w:pPr>
        <w:spacing w:before="153" w:line="219" w:lineRule="auto"/>
        <w:ind w:left="13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（9）《建筑给排水及采暖工程施工质量验收规范》；</w:t>
      </w:r>
    </w:p>
    <w:p w14:paraId="76EE1100">
      <w:pPr>
        <w:spacing w:before="153" w:line="219" w:lineRule="auto"/>
        <w:ind w:left="130"/>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（10）《建筑电气工程施工质量验收规范》；</w:t>
      </w:r>
    </w:p>
    <w:p w14:paraId="2680FFFD">
      <w:pPr>
        <w:spacing w:before="153" w:line="219" w:lineRule="auto"/>
        <w:ind w:left="130"/>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（11）《住建部绿色建筑评价标准》；</w:t>
      </w:r>
    </w:p>
    <w:p w14:paraId="6AD1C11B">
      <w:pPr>
        <w:spacing w:before="153" w:line="219" w:lineRule="auto"/>
        <w:ind w:left="130"/>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（12）《建筑节能与可再生能源利用通用规范》（GB55015-2021）；</w:t>
      </w:r>
    </w:p>
    <w:p w14:paraId="439755B9">
      <w:pPr>
        <w:spacing w:before="153" w:line="219" w:lineRule="auto"/>
        <w:ind w:left="130"/>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（13）《建筑环境通用规范》；</w:t>
      </w:r>
    </w:p>
    <w:p w14:paraId="2B333EA3">
      <w:pPr>
        <w:spacing w:before="153" w:line="219" w:lineRule="auto"/>
        <w:ind w:left="130"/>
        <w:rPr>
          <w:rFonts w:hint="eastAsia" w:ascii="宋体" w:hAnsi="宋体" w:eastAsia="宋体" w:cs="宋体"/>
          <w:color w:val="auto"/>
          <w:spacing w:val="-1"/>
          <w:sz w:val="24"/>
          <w:szCs w:val="24"/>
          <w:highlight w:val="none"/>
        </w:rPr>
      </w:pPr>
      <w:bookmarkStart w:id="184" w:name="_Toc12084"/>
      <w:bookmarkStart w:id="185" w:name="_Toc16294"/>
      <w:r>
        <w:rPr>
          <w:rFonts w:hint="eastAsia" w:ascii="宋体" w:hAnsi="宋体" w:eastAsia="宋体" w:cs="宋体"/>
          <w:color w:val="auto"/>
          <w:spacing w:val="-1"/>
          <w:sz w:val="24"/>
          <w:szCs w:val="24"/>
          <w:highlight w:val="none"/>
        </w:rPr>
        <w:t>（14）《建筑与市政工程无障碍通用规范》 GB 55019-2021；</w:t>
      </w:r>
      <w:bookmarkEnd w:id="184"/>
      <w:bookmarkEnd w:id="185"/>
    </w:p>
    <w:p w14:paraId="7B3C5264">
      <w:pPr>
        <w:spacing w:before="153" w:line="219" w:lineRule="auto"/>
        <w:ind w:left="130"/>
        <w:rPr>
          <w:rFonts w:hint="eastAsia" w:ascii="宋体" w:hAnsi="宋体" w:eastAsia="宋体" w:cs="宋体"/>
          <w:color w:val="auto"/>
          <w:spacing w:val="-1"/>
          <w:sz w:val="24"/>
          <w:szCs w:val="24"/>
          <w:highlight w:val="none"/>
        </w:rPr>
      </w:pPr>
      <w:bookmarkStart w:id="186" w:name="_Toc15158"/>
      <w:bookmarkStart w:id="187" w:name="_Toc1177"/>
      <w:r>
        <w:rPr>
          <w:rFonts w:hint="eastAsia" w:ascii="宋体" w:hAnsi="宋体" w:eastAsia="宋体" w:cs="宋体"/>
          <w:color w:val="auto"/>
          <w:spacing w:val="-1"/>
          <w:sz w:val="24"/>
          <w:szCs w:val="24"/>
          <w:highlight w:val="none"/>
        </w:rPr>
        <w:t>（15）《建筑防火通用规范》GB 55037-2022;</w:t>
      </w:r>
      <w:bookmarkEnd w:id="186"/>
      <w:bookmarkEnd w:id="187"/>
    </w:p>
    <w:p w14:paraId="61F141A9">
      <w:pPr>
        <w:spacing w:before="153" w:line="219" w:lineRule="auto"/>
        <w:ind w:left="130"/>
        <w:rPr>
          <w:rFonts w:hint="eastAsia" w:ascii="宋体" w:hAnsi="宋体" w:eastAsia="宋体" w:cs="宋体"/>
          <w:color w:val="auto"/>
          <w:spacing w:val="-1"/>
          <w:sz w:val="24"/>
          <w:szCs w:val="24"/>
          <w:highlight w:val="none"/>
        </w:rPr>
      </w:pPr>
      <w:bookmarkStart w:id="188" w:name="_Toc24233"/>
      <w:bookmarkStart w:id="189" w:name="_Toc2461"/>
      <w:r>
        <w:rPr>
          <w:rFonts w:hint="eastAsia" w:ascii="宋体" w:hAnsi="宋体" w:eastAsia="宋体" w:cs="宋体"/>
          <w:color w:val="auto"/>
          <w:spacing w:val="-1"/>
          <w:sz w:val="24"/>
          <w:szCs w:val="24"/>
          <w:highlight w:val="none"/>
        </w:rPr>
        <w:t>（16）《建筑与市政工程抗震通用规范》GB55002-2001;</w:t>
      </w:r>
      <w:bookmarkEnd w:id="188"/>
      <w:bookmarkEnd w:id="189"/>
    </w:p>
    <w:p w14:paraId="3BC258D5">
      <w:pPr>
        <w:spacing w:before="153" w:line="219" w:lineRule="auto"/>
        <w:ind w:left="130"/>
        <w:rPr>
          <w:rFonts w:hint="eastAsia" w:ascii="宋体" w:hAnsi="宋体" w:eastAsia="宋体" w:cs="宋体"/>
          <w:color w:val="auto"/>
          <w:spacing w:val="-1"/>
          <w:sz w:val="24"/>
          <w:szCs w:val="24"/>
          <w:highlight w:val="none"/>
        </w:rPr>
      </w:pPr>
      <w:bookmarkStart w:id="190" w:name="_Toc5777"/>
      <w:bookmarkStart w:id="191" w:name="_Toc8109"/>
      <w:r>
        <w:rPr>
          <w:rFonts w:hint="eastAsia" w:ascii="宋体" w:hAnsi="宋体" w:eastAsia="宋体" w:cs="宋体"/>
          <w:color w:val="auto"/>
          <w:spacing w:val="-1"/>
          <w:sz w:val="24"/>
          <w:szCs w:val="24"/>
          <w:highlight w:val="none"/>
        </w:rPr>
        <w:t>（17）《建筑与市政地基基础通用规范》GB55003-2001;</w:t>
      </w:r>
      <w:bookmarkEnd w:id="190"/>
      <w:bookmarkEnd w:id="191"/>
    </w:p>
    <w:p w14:paraId="7EABE99D">
      <w:pPr>
        <w:spacing w:before="153" w:line="219" w:lineRule="auto"/>
        <w:ind w:left="130"/>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（18）《广东省住房和城乡建设厅绿色施工导则》；</w:t>
      </w:r>
    </w:p>
    <w:p w14:paraId="22C6EA0E">
      <w:pPr>
        <w:spacing w:before="153" w:line="219" w:lineRule="auto"/>
        <w:ind w:left="130"/>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（19）《广东省建筑工程绿色施工评价标准》；</w:t>
      </w:r>
    </w:p>
    <w:p w14:paraId="2E498EA8">
      <w:pPr>
        <w:spacing w:before="153" w:line="219" w:lineRule="auto"/>
        <w:ind w:left="130"/>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（20）《广东省建筑节能与绿色建筑工程施工质量验收规范》</w:t>
      </w:r>
    </w:p>
    <w:p w14:paraId="08F26131">
      <w:pPr>
        <w:spacing w:before="153" w:line="219" w:lineRule="auto"/>
        <w:ind w:left="13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（21）其他现行国家、广东省关于房建工程的施工及验收规范、定额</w:t>
      </w:r>
      <w:r>
        <w:rPr>
          <w:rFonts w:hint="eastAsia" w:ascii="宋体" w:hAnsi="宋体" w:eastAsia="宋体" w:cs="宋体"/>
          <w:color w:val="auto"/>
          <w:spacing w:val="-6"/>
          <w:sz w:val="24"/>
          <w:szCs w:val="24"/>
          <w:highlight w:val="none"/>
        </w:rPr>
        <w:t>、规程、标准。</w:t>
      </w:r>
    </w:p>
    <w:p w14:paraId="7BB3D7FB">
      <w:pPr>
        <w:pStyle w:val="5"/>
        <w:spacing w:line="257" w:lineRule="auto"/>
        <w:rPr>
          <w:rFonts w:hint="eastAsia" w:ascii="宋体" w:hAnsi="宋体" w:eastAsia="宋体" w:cs="宋体"/>
          <w:color w:val="auto"/>
          <w:highlight w:val="none"/>
        </w:rPr>
      </w:pPr>
    </w:p>
    <w:p w14:paraId="5D97A8A7">
      <w:pPr>
        <w:spacing w:before="78" w:line="220" w:lineRule="auto"/>
        <w:ind w:left="115"/>
        <w:outlineLvl w:val="2"/>
        <w:rPr>
          <w:rFonts w:hint="eastAsia" w:ascii="宋体" w:hAnsi="宋体" w:eastAsia="宋体" w:cs="宋体"/>
          <w:color w:val="auto"/>
          <w:sz w:val="24"/>
          <w:szCs w:val="24"/>
          <w:highlight w:val="none"/>
        </w:rPr>
      </w:pPr>
      <w:bookmarkStart w:id="192" w:name="_Toc15652"/>
      <w:bookmarkStart w:id="193" w:name="_Toc16340"/>
      <w:r>
        <w:rPr>
          <w:rFonts w:hint="eastAsia" w:ascii="宋体" w:hAnsi="宋体" w:eastAsia="宋体" w:cs="宋体"/>
          <w:b/>
          <w:bCs/>
          <w:color w:val="auto"/>
          <w:spacing w:val="-5"/>
          <w:sz w:val="24"/>
          <w:szCs w:val="24"/>
          <w:highlight w:val="none"/>
        </w:rPr>
        <w:t>2</w:t>
      </w:r>
      <w:r>
        <w:rPr>
          <w:rFonts w:hint="eastAsia" w:ascii="宋体" w:hAnsi="宋体" w:eastAsia="宋体" w:cs="宋体"/>
          <w:b/>
          <w:bCs/>
          <w:color w:val="auto"/>
          <w:spacing w:val="-18"/>
          <w:sz w:val="24"/>
          <w:szCs w:val="24"/>
          <w:highlight w:val="none"/>
        </w:rPr>
        <w:t xml:space="preserve"> </w:t>
      </w:r>
      <w:r>
        <w:rPr>
          <w:rFonts w:hint="eastAsia" w:ascii="宋体" w:hAnsi="宋体" w:eastAsia="宋体" w:cs="宋体"/>
          <w:b/>
          <w:bCs/>
          <w:color w:val="auto"/>
          <w:spacing w:val="-5"/>
          <w:sz w:val="24"/>
          <w:szCs w:val="24"/>
          <w:highlight w:val="none"/>
        </w:rPr>
        <w:t>．市政基础设施工程建设项目</w:t>
      </w:r>
      <w:bookmarkEnd w:id="192"/>
      <w:bookmarkEnd w:id="193"/>
    </w:p>
    <w:p w14:paraId="3D883B18">
      <w:pPr>
        <w:spacing w:before="154" w:line="220" w:lineRule="auto"/>
        <w:ind w:left="125"/>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市政基础设施工程建设项目必须执行的现行技术规范，包括且不限于：</w:t>
      </w:r>
    </w:p>
    <w:p w14:paraId="6C693652">
      <w:pPr>
        <w:spacing w:before="155" w:line="220" w:lineRule="auto"/>
        <w:ind w:left="13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（1）《公路路基施工技术规范》；</w:t>
      </w:r>
    </w:p>
    <w:p w14:paraId="6D80DEC4">
      <w:pPr>
        <w:spacing w:before="153" w:line="220" w:lineRule="auto"/>
        <w:ind w:left="13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（2）《市政道路工程质量检验评定标准》；</w:t>
      </w:r>
    </w:p>
    <w:p w14:paraId="0237C6F7">
      <w:pPr>
        <w:spacing w:before="154" w:line="220" w:lineRule="auto"/>
        <w:ind w:left="13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（3）《市政排水管渠工程质量检验评定标准》；</w:t>
      </w:r>
    </w:p>
    <w:p w14:paraId="5A0A8A2B">
      <w:pPr>
        <w:keepNext w:val="0"/>
        <w:keepLines w:val="0"/>
        <w:pageBreakBefore w:val="0"/>
        <w:widowControl w:val="0"/>
        <w:kinsoku w:val="0"/>
        <w:wordWrap/>
        <w:overflowPunct/>
        <w:topLinePunct w:val="0"/>
        <w:autoSpaceDE w:val="0"/>
        <w:autoSpaceDN w:val="0"/>
        <w:bidi w:val="0"/>
        <w:adjustRightInd w:val="0"/>
        <w:snapToGrid w:val="0"/>
        <w:spacing w:before="155" w:line="220" w:lineRule="auto"/>
        <w:ind w:left="130"/>
        <w:textAlignment w:val="baseline"/>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（4）《给水排水管道工程施工及验收规范》；</w:t>
      </w:r>
    </w:p>
    <w:p w14:paraId="3F18BF51">
      <w:pPr>
        <w:keepNext w:val="0"/>
        <w:keepLines w:val="0"/>
        <w:pageBreakBefore w:val="0"/>
        <w:widowControl w:val="0"/>
        <w:kinsoku w:val="0"/>
        <w:wordWrap/>
        <w:overflowPunct/>
        <w:topLinePunct w:val="0"/>
        <w:autoSpaceDE w:val="0"/>
        <w:autoSpaceDN w:val="0"/>
        <w:bidi w:val="0"/>
        <w:adjustRightInd w:val="0"/>
        <w:snapToGrid w:val="0"/>
        <w:spacing w:before="78" w:line="220" w:lineRule="auto"/>
        <w:ind w:left="216" w:leftChars="103" w:firstLine="0" w:firstLineChars="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（5）《城市道路路基工程施工及验收规范》；</w:t>
      </w:r>
    </w:p>
    <w:p w14:paraId="4DD7CD7E">
      <w:pPr>
        <w:keepNext w:val="0"/>
        <w:keepLines w:val="0"/>
        <w:pageBreakBefore w:val="0"/>
        <w:widowControl w:val="0"/>
        <w:kinsoku w:val="0"/>
        <w:wordWrap/>
        <w:overflowPunct/>
        <w:topLinePunct w:val="0"/>
        <w:autoSpaceDE w:val="0"/>
        <w:autoSpaceDN w:val="0"/>
        <w:bidi w:val="0"/>
        <w:adjustRightInd w:val="0"/>
        <w:snapToGrid w:val="0"/>
        <w:spacing w:before="155" w:line="220" w:lineRule="auto"/>
        <w:ind w:left="216" w:leftChars="103" w:firstLine="0" w:firstLineChars="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（6）《水泥砼路面施工及验收规范》；</w:t>
      </w:r>
    </w:p>
    <w:p w14:paraId="2A6E8F89">
      <w:pPr>
        <w:keepNext w:val="0"/>
        <w:keepLines w:val="0"/>
        <w:pageBreakBefore w:val="0"/>
        <w:widowControl w:val="0"/>
        <w:kinsoku w:val="0"/>
        <w:wordWrap/>
        <w:overflowPunct/>
        <w:topLinePunct w:val="0"/>
        <w:autoSpaceDE w:val="0"/>
        <w:autoSpaceDN w:val="0"/>
        <w:bidi w:val="0"/>
        <w:adjustRightInd w:val="0"/>
        <w:snapToGrid w:val="0"/>
        <w:spacing w:before="153" w:line="220" w:lineRule="auto"/>
        <w:ind w:left="216" w:leftChars="103" w:firstLine="0" w:firstLineChars="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（7）《公路水泥砼路面施工技术规范》；</w:t>
      </w:r>
    </w:p>
    <w:p w14:paraId="71A4541D">
      <w:pPr>
        <w:keepNext w:val="0"/>
        <w:keepLines w:val="0"/>
        <w:pageBreakBefore w:val="0"/>
        <w:widowControl w:val="0"/>
        <w:kinsoku w:val="0"/>
        <w:wordWrap/>
        <w:overflowPunct/>
        <w:topLinePunct w:val="0"/>
        <w:autoSpaceDE w:val="0"/>
        <w:autoSpaceDN w:val="0"/>
        <w:bidi w:val="0"/>
        <w:adjustRightInd w:val="0"/>
        <w:snapToGrid w:val="0"/>
        <w:spacing w:before="153" w:line="220" w:lineRule="auto"/>
        <w:ind w:left="216" w:leftChars="103" w:firstLine="0" w:firstLineChars="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（8）《埋地硬聚氯乙烯排水管道工程技术规程》；</w:t>
      </w:r>
    </w:p>
    <w:p w14:paraId="11417329">
      <w:pPr>
        <w:keepNext w:val="0"/>
        <w:keepLines w:val="0"/>
        <w:pageBreakBefore w:val="0"/>
        <w:widowControl w:val="0"/>
        <w:kinsoku w:val="0"/>
        <w:wordWrap/>
        <w:overflowPunct/>
        <w:topLinePunct w:val="0"/>
        <w:autoSpaceDE w:val="0"/>
        <w:autoSpaceDN w:val="0"/>
        <w:bidi w:val="0"/>
        <w:adjustRightInd w:val="0"/>
        <w:snapToGrid w:val="0"/>
        <w:spacing w:before="122" w:line="219" w:lineRule="auto"/>
        <w:ind w:left="216" w:leftChars="103" w:firstLine="0" w:firstLineChars="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（9）《沥青路面施工及验收规范》；</w:t>
      </w:r>
    </w:p>
    <w:p w14:paraId="4D5A8059">
      <w:pPr>
        <w:keepNext w:val="0"/>
        <w:keepLines w:val="0"/>
        <w:pageBreakBefore w:val="0"/>
        <w:widowControl w:val="0"/>
        <w:kinsoku w:val="0"/>
        <w:wordWrap/>
        <w:overflowPunct/>
        <w:topLinePunct w:val="0"/>
        <w:autoSpaceDE w:val="0"/>
        <w:autoSpaceDN w:val="0"/>
        <w:bidi w:val="0"/>
        <w:adjustRightInd w:val="0"/>
        <w:snapToGrid w:val="0"/>
        <w:spacing w:before="153" w:line="220" w:lineRule="auto"/>
        <w:ind w:left="216" w:leftChars="103" w:firstLine="0" w:firstLineChars="0"/>
        <w:textAlignment w:val="baseline"/>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（10）《广东省市政工程施工质量技术资料统一用表》。</w:t>
      </w:r>
    </w:p>
    <w:p w14:paraId="387D73AC">
      <w:pPr>
        <w:keepNext w:val="0"/>
        <w:keepLines w:val="0"/>
        <w:pageBreakBefore w:val="0"/>
        <w:widowControl w:val="0"/>
        <w:kinsoku w:val="0"/>
        <w:wordWrap/>
        <w:overflowPunct/>
        <w:topLinePunct w:val="0"/>
        <w:autoSpaceDE w:val="0"/>
        <w:autoSpaceDN w:val="0"/>
        <w:bidi w:val="0"/>
        <w:adjustRightInd w:val="0"/>
        <w:snapToGrid w:val="0"/>
        <w:spacing w:before="153" w:line="220" w:lineRule="auto"/>
        <w:ind w:left="216" w:leftChars="103" w:firstLine="0" w:firstLineChars="0"/>
        <w:textAlignment w:val="baseline"/>
        <w:rPr>
          <w:rFonts w:hint="eastAsia" w:ascii="宋体" w:hAnsi="宋体" w:eastAsia="宋体" w:cs="宋体"/>
          <w:color w:val="auto"/>
          <w:spacing w:val="-2"/>
          <w:sz w:val="24"/>
          <w:szCs w:val="24"/>
          <w:highlight w:val="none"/>
        </w:rPr>
      </w:pPr>
      <w:bookmarkStart w:id="194" w:name="_Toc8494"/>
      <w:bookmarkStart w:id="195" w:name="_Toc30781"/>
      <w:r>
        <w:rPr>
          <w:rFonts w:hint="eastAsia" w:ascii="宋体" w:hAnsi="宋体" w:eastAsia="宋体" w:cs="宋体"/>
          <w:color w:val="auto"/>
          <w:spacing w:val="-2"/>
          <w:sz w:val="24"/>
          <w:szCs w:val="24"/>
          <w:highlight w:val="none"/>
        </w:rPr>
        <w:t>（11）《建筑与市政工程无障碍通用规范》 GB 55019-2021；</w:t>
      </w:r>
      <w:bookmarkEnd w:id="194"/>
      <w:bookmarkEnd w:id="195"/>
    </w:p>
    <w:p w14:paraId="0DCC9771">
      <w:pPr>
        <w:keepNext w:val="0"/>
        <w:keepLines w:val="0"/>
        <w:pageBreakBefore w:val="0"/>
        <w:widowControl w:val="0"/>
        <w:kinsoku w:val="0"/>
        <w:wordWrap/>
        <w:overflowPunct/>
        <w:topLinePunct w:val="0"/>
        <w:autoSpaceDE w:val="0"/>
        <w:autoSpaceDN w:val="0"/>
        <w:bidi w:val="0"/>
        <w:adjustRightInd w:val="0"/>
        <w:snapToGrid w:val="0"/>
        <w:spacing w:before="153" w:line="220" w:lineRule="auto"/>
        <w:ind w:left="216" w:leftChars="103" w:firstLine="0" w:firstLineChars="0"/>
        <w:textAlignment w:val="baseline"/>
        <w:rPr>
          <w:rFonts w:hint="eastAsia" w:ascii="宋体" w:hAnsi="宋体" w:eastAsia="宋体" w:cs="宋体"/>
          <w:color w:val="auto"/>
          <w:spacing w:val="-2"/>
          <w:sz w:val="24"/>
          <w:szCs w:val="24"/>
          <w:highlight w:val="none"/>
        </w:rPr>
      </w:pPr>
      <w:bookmarkStart w:id="196" w:name="_Toc31143"/>
      <w:bookmarkStart w:id="197" w:name="_Toc17383"/>
      <w:r>
        <w:rPr>
          <w:rFonts w:hint="eastAsia" w:ascii="宋体" w:hAnsi="宋体" w:eastAsia="宋体" w:cs="宋体"/>
          <w:color w:val="auto"/>
          <w:spacing w:val="-2"/>
          <w:sz w:val="24"/>
          <w:szCs w:val="24"/>
          <w:highlight w:val="none"/>
        </w:rPr>
        <w:t>（12）《建筑防火通用规范》GB 55037-2022;</w:t>
      </w:r>
      <w:bookmarkEnd w:id="196"/>
      <w:bookmarkEnd w:id="197"/>
    </w:p>
    <w:p w14:paraId="1007A637">
      <w:pPr>
        <w:keepNext w:val="0"/>
        <w:keepLines w:val="0"/>
        <w:pageBreakBefore w:val="0"/>
        <w:widowControl w:val="0"/>
        <w:kinsoku w:val="0"/>
        <w:wordWrap/>
        <w:overflowPunct/>
        <w:topLinePunct w:val="0"/>
        <w:autoSpaceDE w:val="0"/>
        <w:autoSpaceDN w:val="0"/>
        <w:bidi w:val="0"/>
        <w:adjustRightInd w:val="0"/>
        <w:snapToGrid w:val="0"/>
        <w:spacing w:before="153" w:line="220" w:lineRule="auto"/>
        <w:ind w:left="216" w:leftChars="103" w:firstLine="0" w:firstLineChars="0"/>
        <w:textAlignment w:val="baseline"/>
        <w:rPr>
          <w:rFonts w:hint="eastAsia" w:ascii="宋体" w:hAnsi="宋体" w:eastAsia="宋体" w:cs="宋体"/>
          <w:color w:val="auto"/>
          <w:spacing w:val="-2"/>
          <w:sz w:val="24"/>
          <w:szCs w:val="24"/>
          <w:highlight w:val="none"/>
        </w:rPr>
      </w:pPr>
      <w:bookmarkStart w:id="198" w:name="_Toc954"/>
      <w:bookmarkStart w:id="199" w:name="_Toc32476"/>
      <w:r>
        <w:rPr>
          <w:rFonts w:hint="eastAsia" w:ascii="宋体" w:hAnsi="宋体" w:eastAsia="宋体" w:cs="宋体"/>
          <w:color w:val="auto"/>
          <w:spacing w:val="-2"/>
          <w:sz w:val="24"/>
          <w:szCs w:val="24"/>
          <w:highlight w:val="none"/>
        </w:rPr>
        <w:t>（13）《建筑与市政工程抗震通用规范》GB55002-2001;</w:t>
      </w:r>
      <w:bookmarkEnd w:id="198"/>
      <w:bookmarkEnd w:id="199"/>
    </w:p>
    <w:p w14:paraId="605E1A85">
      <w:pPr>
        <w:keepNext w:val="0"/>
        <w:keepLines w:val="0"/>
        <w:pageBreakBefore w:val="0"/>
        <w:widowControl w:val="0"/>
        <w:kinsoku w:val="0"/>
        <w:wordWrap/>
        <w:overflowPunct/>
        <w:topLinePunct w:val="0"/>
        <w:autoSpaceDE w:val="0"/>
        <w:autoSpaceDN w:val="0"/>
        <w:bidi w:val="0"/>
        <w:adjustRightInd w:val="0"/>
        <w:snapToGrid w:val="0"/>
        <w:spacing w:before="153" w:line="220" w:lineRule="auto"/>
        <w:ind w:left="216" w:leftChars="103" w:firstLine="0" w:firstLineChars="0"/>
        <w:textAlignment w:val="baseline"/>
        <w:rPr>
          <w:rFonts w:hint="eastAsia" w:ascii="宋体" w:hAnsi="宋体" w:eastAsia="宋体" w:cs="宋体"/>
          <w:color w:val="auto"/>
          <w:spacing w:val="-2"/>
          <w:sz w:val="24"/>
          <w:szCs w:val="24"/>
          <w:highlight w:val="none"/>
        </w:rPr>
      </w:pPr>
      <w:bookmarkStart w:id="200" w:name="_Toc27898"/>
      <w:bookmarkStart w:id="201" w:name="_Toc7185"/>
      <w:r>
        <w:rPr>
          <w:rFonts w:hint="eastAsia" w:ascii="宋体" w:hAnsi="宋体" w:eastAsia="宋体" w:cs="宋体"/>
          <w:color w:val="auto"/>
          <w:spacing w:val="-2"/>
          <w:sz w:val="24"/>
          <w:szCs w:val="24"/>
          <w:highlight w:val="none"/>
        </w:rPr>
        <w:t>（14）《建筑与市政地基基础通用规范》GB55003-2001;</w:t>
      </w:r>
      <w:bookmarkEnd w:id="200"/>
      <w:bookmarkEnd w:id="201"/>
    </w:p>
    <w:p w14:paraId="6DD04A48">
      <w:pPr>
        <w:keepNext w:val="0"/>
        <w:keepLines w:val="0"/>
        <w:pageBreakBefore w:val="0"/>
        <w:widowControl w:val="0"/>
        <w:kinsoku w:val="0"/>
        <w:wordWrap/>
        <w:overflowPunct/>
        <w:topLinePunct w:val="0"/>
        <w:autoSpaceDE w:val="0"/>
        <w:autoSpaceDN w:val="0"/>
        <w:bidi w:val="0"/>
        <w:adjustRightInd w:val="0"/>
        <w:snapToGrid w:val="0"/>
        <w:spacing w:before="153" w:line="220" w:lineRule="auto"/>
        <w:ind w:left="216" w:leftChars="103" w:firstLine="0" w:firstLineChars="0"/>
        <w:textAlignment w:val="baseline"/>
        <w:rPr>
          <w:rFonts w:hint="eastAsia" w:ascii="宋体" w:hAnsi="宋体" w:eastAsia="宋体" w:cs="宋体"/>
          <w:color w:val="auto"/>
          <w:spacing w:val="-2"/>
          <w:sz w:val="24"/>
          <w:szCs w:val="24"/>
          <w:highlight w:val="none"/>
        </w:rPr>
      </w:pPr>
      <w:bookmarkStart w:id="202" w:name="_Toc17281"/>
      <w:bookmarkStart w:id="203" w:name="_Toc29669"/>
      <w:r>
        <w:rPr>
          <w:rFonts w:hint="eastAsia" w:ascii="宋体" w:hAnsi="宋体" w:eastAsia="宋体" w:cs="宋体"/>
          <w:color w:val="auto"/>
          <w:spacing w:val="-2"/>
          <w:sz w:val="24"/>
          <w:szCs w:val="24"/>
          <w:highlight w:val="none"/>
        </w:rPr>
        <w:t>（15）《城市道路照明设计标准》（CJJ45-2015）；</w:t>
      </w:r>
      <w:bookmarkEnd w:id="202"/>
      <w:bookmarkEnd w:id="203"/>
    </w:p>
    <w:p w14:paraId="6E232C70">
      <w:pPr>
        <w:keepNext w:val="0"/>
        <w:keepLines w:val="0"/>
        <w:pageBreakBefore w:val="0"/>
        <w:widowControl w:val="0"/>
        <w:kinsoku w:val="0"/>
        <w:wordWrap/>
        <w:overflowPunct/>
        <w:topLinePunct w:val="0"/>
        <w:autoSpaceDE w:val="0"/>
        <w:autoSpaceDN w:val="0"/>
        <w:bidi w:val="0"/>
        <w:adjustRightInd w:val="0"/>
        <w:snapToGrid w:val="0"/>
        <w:spacing w:before="153" w:line="220" w:lineRule="auto"/>
        <w:ind w:left="216" w:leftChars="103" w:firstLine="0" w:firstLineChars="0"/>
        <w:textAlignment w:val="baseline"/>
        <w:rPr>
          <w:rFonts w:hint="eastAsia" w:ascii="宋体" w:hAnsi="宋体" w:eastAsia="宋体" w:cs="宋体"/>
          <w:color w:val="auto"/>
          <w:spacing w:val="-2"/>
          <w:sz w:val="24"/>
          <w:szCs w:val="24"/>
          <w:highlight w:val="none"/>
        </w:rPr>
      </w:pPr>
      <w:bookmarkStart w:id="204" w:name="_Toc31812"/>
      <w:bookmarkStart w:id="205" w:name="_Toc9161"/>
      <w:r>
        <w:rPr>
          <w:rFonts w:hint="eastAsia" w:ascii="宋体" w:hAnsi="宋体" w:eastAsia="宋体" w:cs="宋体"/>
          <w:color w:val="auto"/>
          <w:spacing w:val="-2"/>
          <w:sz w:val="24"/>
          <w:szCs w:val="24"/>
          <w:highlight w:val="none"/>
        </w:rPr>
        <w:t>（16）《低压配电设计规范》（GB50054-2011）；</w:t>
      </w:r>
      <w:bookmarkEnd w:id="204"/>
      <w:bookmarkEnd w:id="205"/>
    </w:p>
    <w:p w14:paraId="4BA22D25">
      <w:pPr>
        <w:keepNext w:val="0"/>
        <w:keepLines w:val="0"/>
        <w:pageBreakBefore w:val="0"/>
        <w:widowControl w:val="0"/>
        <w:kinsoku w:val="0"/>
        <w:wordWrap/>
        <w:overflowPunct/>
        <w:topLinePunct w:val="0"/>
        <w:autoSpaceDE w:val="0"/>
        <w:autoSpaceDN w:val="0"/>
        <w:bidi w:val="0"/>
        <w:adjustRightInd w:val="0"/>
        <w:snapToGrid w:val="0"/>
        <w:spacing w:before="153" w:line="220" w:lineRule="auto"/>
        <w:ind w:left="216" w:leftChars="103" w:firstLine="0" w:firstLineChars="0"/>
        <w:textAlignment w:val="baseline"/>
        <w:rPr>
          <w:rFonts w:hint="eastAsia" w:ascii="宋体" w:hAnsi="宋体" w:eastAsia="宋体" w:cs="宋体"/>
          <w:color w:val="auto"/>
          <w:spacing w:val="-2"/>
          <w:sz w:val="24"/>
          <w:szCs w:val="24"/>
          <w:highlight w:val="none"/>
        </w:rPr>
      </w:pPr>
      <w:bookmarkStart w:id="206" w:name="_Toc6405"/>
      <w:bookmarkStart w:id="207" w:name="_Toc18255"/>
      <w:r>
        <w:rPr>
          <w:rFonts w:hint="eastAsia" w:ascii="宋体" w:hAnsi="宋体" w:eastAsia="宋体" w:cs="宋体"/>
          <w:color w:val="auto"/>
          <w:spacing w:val="-2"/>
          <w:sz w:val="24"/>
          <w:szCs w:val="24"/>
          <w:highlight w:val="none"/>
        </w:rPr>
        <w:t>（17）《城市道路照明工程施工及验收规程》（CJJ89-2012）；</w:t>
      </w:r>
      <w:bookmarkEnd w:id="206"/>
      <w:bookmarkEnd w:id="207"/>
    </w:p>
    <w:p w14:paraId="2778203A">
      <w:pPr>
        <w:keepNext w:val="0"/>
        <w:keepLines w:val="0"/>
        <w:pageBreakBefore w:val="0"/>
        <w:widowControl w:val="0"/>
        <w:kinsoku w:val="0"/>
        <w:wordWrap/>
        <w:overflowPunct/>
        <w:topLinePunct w:val="0"/>
        <w:autoSpaceDE w:val="0"/>
        <w:autoSpaceDN w:val="0"/>
        <w:bidi w:val="0"/>
        <w:adjustRightInd w:val="0"/>
        <w:snapToGrid w:val="0"/>
        <w:spacing w:before="153" w:line="220" w:lineRule="auto"/>
        <w:ind w:left="216" w:leftChars="103" w:firstLine="0" w:firstLineChars="0"/>
        <w:textAlignment w:val="baseline"/>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（18）《LED 道路照明工程技术规范》（DB44/T 1898-2016）；</w:t>
      </w:r>
    </w:p>
    <w:p w14:paraId="05CEC0C5">
      <w:pPr>
        <w:keepNext w:val="0"/>
        <w:keepLines w:val="0"/>
        <w:pageBreakBefore w:val="0"/>
        <w:widowControl w:val="0"/>
        <w:kinsoku w:val="0"/>
        <w:wordWrap/>
        <w:overflowPunct/>
        <w:topLinePunct w:val="0"/>
        <w:autoSpaceDE w:val="0"/>
        <w:autoSpaceDN w:val="0"/>
        <w:bidi w:val="0"/>
        <w:adjustRightInd w:val="0"/>
        <w:snapToGrid w:val="0"/>
        <w:spacing w:before="153" w:line="220" w:lineRule="auto"/>
        <w:ind w:left="216" w:leftChars="103" w:firstLine="0" w:firstLineChars="0"/>
        <w:textAlignment w:val="baseline"/>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（19）《灯具第 1 部分：一般要求与试验》（GB7000.1-2015）；</w:t>
      </w:r>
    </w:p>
    <w:p w14:paraId="020E2463">
      <w:pPr>
        <w:keepNext w:val="0"/>
        <w:keepLines w:val="0"/>
        <w:pageBreakBefore w:val="0"/>
        <w:widowControl w:val="0"/>
        <w:kinsoku w:val="0"/>
        <w:wordWrap/>
        <w:overflowPunct/>
        <w:topLinePunct w:val="0"/>
        <w:autoSpaceDE w:val="0"/>
        <w:autoSpaceDN w:val="0"/>
        <w:bidi w:val="0"/>
        <w:adjustRightInd w:val="0"/>
        <w:snapToGrid w:val="0"/>
        <w:spacing w:before="153" w:line="220" w:lineRule="auto"/>
        <w:ind w:left="216" w:leftChars="103" w:firstLine="0" w:firstLineChars="0"/>
        <w:textAlignment w:val="baseline"/>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（20）《电缆工程电缆设计标准》（GB50217-2018）；</w:t>
      </w:r>
    </w:p>
    <w:p w14:paraId="5EA03498">
      <w:pPr>
        <w:keepNext w:val="0"/>
        <w:keepLines w:val="0"/>
        <w:pageBreakBefore w:val="0"/>
        <w:widowControl w:val="0"/>
        <w:kinsoku w:val="0"/>
        <w:wordWrap/>
        <w:overflowPunct/>
        <w:topLinePunct w:val="0"/>
        <w:autoSpaceDE w:val="0"/>
        <w:autoSpaceDN w:val="0"/>
        <w:bidi w:val="0"/>
        <w:adjustRightInd w:val="0"/>
        <w:snapToGrid w:val="0"/>
        <w:spacing w:before="146" w:line="220" w:lineRule="auto"/>
        <w:ind w:left="216" w:leftChars="103" w:firstLine="0" w:firstLineChars="0"/>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（21）其他现行国家、广东省关于市政工程的技术及验收规范、定额、规程、标准。</w:t>
      </w:r>
    </w:p>
    <w:p w14:paraId="4FB1DDF1">
      <w:pPr>
        <w:pStyle w:val="5"/>
        <w:keepNext w:val="0"/>
        <w:keepLines w:val="0"/>
        <w:pageBreakBefore w:val="0"/>
        <w:widowControl w:val="0"/>
        <w:kinsoku w:val="0"/>
        <w:wordWrap/>
        <w:overflowPunct/>
        <w:topLinePunct w:val="0"/>
        <w:autoSpaceDE w:val="0"/>
        <w:autoSpaceDN w:val="0"/>
        <w:bidi w:val="0"/>
        <w:adjustRightInd w:val="0"/>
        <w:snapToGrid w:val="0"/>
        <w:spacing w:line="255" w:lineRule="auto"/>
        <w:textAlignment w:val="baseline"/>
        <w:rPr>
          <w:rFonts w:hint="eastAsia" w:ascii="宋体" w:hAnsi="宋体" w:eastAsia="宋体" w:cs="宋体"/>
          <w:color w:val="auto"/>
          <w:highlight w:val="none"/>
        </w:rPr>
      </w:pPr>
    </w:p>
    <w:p w14:paraId="4A164D7E">
      <w:pPr>
        <w:pStyle w:val="5"/>
        <w:keepNext w:val="0"/>
        <w:keepLines w:val="0"/>
        <w:pageBreakBefore w:val="0"/>
        <w:widowControl w:val="0"/>
        <w:kinsoku w:val="0"/>
        <w:wordWrap/>
        <w:overflowPunct/>
        <w:topLinePunct w:val="0"/>
        <w:autoSpaceDE w:val="0"/>
        <w:autoSpaceDN w:val="0"/>
        <w:bidi w:val="0"/>
        <w:adjustRightInd w:val="0"/>
        <w:snapToGrid w:val="0"/>
        <w:spacing w:line="255" w:lineRule="auto"/>
        <w:textAlignment w:val="baseline"/>
        <w:rPr>
          <w:rFonts w:hint="eastAsia" w:ascii="宋体" w:hAnsi="宋体" w:eastAsia="宋体" w:cs="宋体"/>
          <w:color w:val="auto"/>
          <w:highlight w:val="none"/>
        </w:rPr>
      </w:pPr>
    </w:p>
    <w:p w14:paraId="4AD096E9">
      <w:pPr>
        <w:keepNext w:val="0"/>
        <w:keepLines w:val="0"/>
        <w:pageBreakBefore w:val="0"/>
        <w:widowControl w:val="0"/>
        <w:kinsoku w:val="0"/>
        <w:wordWrap/>
        <w:overflowPunct/>
        <w:topLinePunct w:val="0"/>
        <w:autoSpaceDE w:val="0"/>
        <w:autoSpaceDN w:val="0"/>
        <w:bidi w:val="0"/>
        <w:adjustRightInd w:val="0"/>
        <w:snapToGrid w:val="0"/>
        <w:spacing w:before="78" w:line="222" w:lineRule="auto"/>
        <w:ind w:left="556"/>
        <w:textAlignment w:val="baseline"/>
        <w:outlineLvl w:val="2"/>
        <w:rPr>
          <w:rFonts w:hint="eastAsia" w:ascii="宋体" w:hAnsi="宋体" w:eastAsia="宋体" w:cs="宋体"/>
          <w:color w:val="auto"/>
          <w:sz w:val="24"/>
          <w:szCs w:val="24"/>
          <w:highlight w:val="none"/>
        </w:rPr>
      </w:pPr>
      <w:bookmarkStart w:id="208" w:name="_Toc31813"/>
      <w:bookmarkStart w:id="209" w:name="_Toc9200"/>
      <w:r>
        <w:rPr>
          <w:rFonts w:hint="eastAsia" w:ascii="宋体" w:hAnsi="宋体" w:eastAsia="宋体" w:cs="宋体"/>
          <w:b/>
          <w:bCs/>
          <w:color w:val="auto"/>
          <w:spacing w:val="-8"/>
          <w:sz w:val="24"/>
          <w:szCs w:val="24"/>
          <w:highlight w:val="none"/>
        </w:rPr>
        <w:t>3</w:t>
      </w:r>
      <w:r>
        <w:rPr>
          <w:rFonts w:hint="eastAsia" w:ascii="宋体" w:hAnsi="宋体" w:eastAsia="宋体" w:cs="宋体"/>
          <w:b/>
          <w:bCs/>
          <w:color w:val="auto"/>
          <w:spacing w:val="-25"/>
          <w:sz w:val="24"/>
          <w:szCs w:val="24"/>
          <w:highlight w:val="none"/>
        </w:rPr>
        <w:t xml:space="preserve"> </w:t>
      </w:r>
      <w:r>
        <w:rPr>
          <w:rFonts w:hint="eastAsia" w:ascii="宋体" w:hAnsi="宋体" w:eastAsia="宋体" w:cs="宋体"/>
          <w:b/>
          <w:bCs/>
          <w:color w:val="auto"/>
          <w:spacing w:val="-8"/>
          <w:sz w:val="24"/>
          <w:szCs w:val="24"/>
          <w:highlight w:val="none"/>
        </w:rPr>
        <w:t>．备查要求</w:t>
      </w:r>
      <w:bookmarkEnd w:id="208"/>
      <w:bookmarkEnd w:id="209"/>
    </w:p>
    <w:p w14:paraId="54FC245A">
      <w:pPr>
        <w:keepNext w:val="0"/>
        <w:keepLines w:val="0"/>
        <w:pageBreakBefore w:val="0"/>
        <w:widowControl w:val="0"/>
        <w:kinsoku w:val="0"/>
        <w:wordWrap/>
        <w:overflowPunct/>
        <w:topLinePunct w:val="0"/>
        <w:autoSpaceDE w:val="0"/>
        <w:autoSpaceDN w:val="0"/>
        <w:bidi w:val="0"/>
        <w:adjustRightInd w:val="0"/>
        <w:snapToGrid w:val="0"/>
        <w:spacing w:before="155" w:line="324" w:lineRule="auto"/>
        <w:ind w:right="81" w:firstLine="561"/>
        <w:jc w:val="both"/>
        <w:textAlignment w:val="baseline"/>
        <w:rPr>
          <w:rFonts w:hint="eastAsia"/>
          <w:color w:val="auto"/>
          <w:highlight w:val="none"/>
        </w:rPr>
        <w:sectPr>
          <w:footerReference r:id="rId11"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r>
        <w:rPr>
          <w:rFonts w:hint="eastAsia" w:ascii="宋体" w:hAnsi="宋体" w:eastAsia="宋体" w:cs="宋体"/>
          <w:color w:val="auto"/>
          <w:spacing w:val="3"/>
          <w:sz w:val="24"/>
          <w:szCs w:val="24"/>
          <w:highlight w:val="none"/>
        </w:rPr>
        <w:t>承包人必须在施工现场准备至少一套上述规范，发包人和监理单位可</w:t>
      </w:r>
      <w:r>
        <w:rPr>
          <w:rFonts w:hint="eastAsia" w:ascii="宋体" w:hAnsi="宋体" w:eastAsia="宋体" w:cs="宋体"/>
          <w:color w:val="auto"/>
          <w:spacing w:val="2"/>
          <w:sz w:val="24"/>
          <w:szCs w:val="24"/>
          <w:highlight w:val="none"/>
        </w:rPr>
        <w:t>随时检查承</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包人的上述规范，并监督承包人按规范要求执行。</w:t>
      </w:r>
    </w:p>
    <w:p w14:paraId="41B0234B">
      <w:pPr>
        <w:spacing w:before="78" w:line="219" w:lineRule="auto"/>
        <w:jc w:val="center"/>
        <w:outlineLvl w:val="0"/>
        <w:rPr>
          <w:rFonts w:hint="eastAsia" w:ascii="宋体" w:hAnsi="宋体" w:eastAsia="宋体" w:cs="宋体"/>
          <w:color w:val="auto"/>
          <w:sz w:val="24"/>
          <w:szCs w:val="24"/>
          <w:highlight w:val="none"/>
        </w:rPr>
      </w:pPr>
      <w:bookmarkStart w:id="210" w:name="bookmark146"/>
      <w:bookmarkEnd w:id="210"/>
      <w:bookmarkStart w:id="211" w:name="bookmark100"/>
      <w:bookmarkEnd w:id="211"/>
      <w:bookmarkStart w:id="212" w:name="_Toc21699"/>
      <w:r>
        <w:rPr>
          <w:rFonts w:hint="eastAsia" w:ascii="宋体" w:hAnsi="宋体" w:eastAsia="宋体" w:cs="宋体"/>
          <w:b/>
          <w:bCs/>
          <w:color w:val="auto"/>
          <w:spacing w:val="-5"/>
          <w:sz w:val="24"/>
          <w:szCs w:val="24"/>
          <w:highlight w:val="none"/>
        </w:rPr>
        <w:t>第五章</w:t>
      </w:r>
      <w:r>
        <w:rPr>
          <w:rFonts w:hint="eastAsia" w:ascii="宋体" w:hAnsi="宋体" w:eastAsia="宋体" w:cs="宋体"/>
          <w:color w:val="auto"/>
          <w:spacing w:val="33"/>
          <w:sz w:val="24"/>
          <w:szCs w:val="24"/>
          <w:highlight w:val="none"/>
        </w:rPr>
        <w:t xml:space="preserve"> </w:t>
      </w:r>
      <w:r>
        <w:rPr>
          <w:rFonts w:hint="eastAsia" w:ascii="宋体" w:hAnsi="宋体" w:eastAsia="宋体" w:cs="宋体"/>
          <w:b/>
          <w:bCs/>
          <w:color w:val="auto"/>
          <w:spacing w:val="-5"/>
          <w:sz w:val="24"/>
          <w:szCs w:val="24"/>
          <w:highlight w:val="none"/>
        </w:rPr>
        <w:t>图纸和招标工程量清单</w:t>
      </w:r>
      <w:bookmarkEnd w:id="212"/>
    </w:p>
    <w:p w14:paraId="7C6C80E2">
      <w:pPr>
        <w:pStyle w:val="5"/>
        <w:spacing w:line="283" w:lineRule="auto"/>
        <w:rPr>
          <w:rFonts w:hint="eastAsia" w:ascii="宋体" w:hAnsi="宋体" w:eastAsia="宋体" w:cs="宋体"/>
          <w:color w:val="auto"/>
          <w:highlight w:val="none"/>
        </w:rPr>
      </w:pPr>
    </w:p>
    <w:p w14:paraId="58148A80">
      <w:pPr>
        <w:pStyle w:val="5"/>
        <w:spacing w:line="284" w:lineRule="auto"/>
        <w:rPr>
          <w:rFonts w:hint="eastAsia" w:ascii="宋体" w:hAnsi="宋体" w:eastAsia="宋体" w:cs="宋体"/>
          <w:color w:val="auto"/>
          <w:highlight w:val="none"/>
        </w:rPr>
      </w:pPr>
    </w:p>
    <w:p w14:paraId="116B6A3B">
      <w:pPr>
        <w:spacing w:before="78" w:line="219" w:lineRule="auto"/>
        <w:ind w:left="1064"/>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 xml:space="preserve">□有，另附复印件         </w:t>
      </w:r>
      <w:r>
        <w:rPr>
          <w:rFonts w:hint="eastAsia" w:ascii="宋体" w:hAnsi="宋体" w:eastAsia="宋体" w:cs="宋体"/>
          <w:color w:val="auto"/>
          <w:spacing w:val="-6"/>
          <w:sz w:val="24"/>
          <w:szCs w:val="24"/>
          <w:highlight w:val="none"/>
          <w:lang w:eastAsia="zh-CN"/>
        </w:rPr>
        <w:t>☑</w:t>
      </w:r>
      <w:r>
        <w:rPr>
          <w:rFonts w:hint="eastAsia" w:ascii="宋体" w:hAnsi="宋体" w:eastAsia="宋体" w:cs="宋体"/>
          <w:color w:val="auto"/>
          <w:spacing w:val="-6"/>
          <w:sz w:val="24"/>
          <w:szCs w:val="24"/>
          <w:highlight w:val="none"/>
        </w:rPr>
        <w:t>有，自行网上下载(浏览)           □无</w:t>
      </w:r>
    </w:p>
    <w:p w14:paraId="48F75832">
      <w:pPr>
        <w:pStyle w:val="5"/>
        <w:spacing w:line="265" w:lineRule="auto"/>
        <w:rPr>
          <w:rFonts w:hint="eastAsia" w:ascii="宋体" w:hAnsi="宋体" w:eastAsia="宋体" w:cs="宋体"/>
          <w:color w:val="auto"/>
          <w:highlight w:val="none"/>
        </w:rPr>
      </w:pPr>
    </w:p>
    <w:p w14:paraId="45CC48D5">
      <w:pPr>
        <w:spacing w:before="151" w:line="222" w:lineRule="auto"/>
        <w:ind w:left="715"/>
        <w:outlineLvl w:val="2"/>
        <w:rPr>
          <w:rFonts w:hint="eastAsia" w:ascii="宋体" w:hAnsi="宋体" w:eastAsia="宋体" w:cs="宋体"/>
          <w:color w:val="auto"/>
          <w:sz w:val="24"/>
          <w:szCs w:val="24"/>
          <w:highlight w:val="none"/>
        </w:rPr>
      </w:pPr>
      <w:bookmarkStart w:id="213" w:name="_Toc24446"/>
      <w:bookmarkStart w:id="214" w:name="_Toc21706"/>
      <w:r>
        <w:rPr>
          <w:rFonts w:hint="eastAsia" w:ascii="宋体" w:hAnsi="宋体" w:eastAsia="宋体" w:cs="宋体"/>
          <w:b/>
          <w:bCs/>
          <w:color w:val="auto"/>
          <w:spacing w:val="-14"/>
          <w:sz w:val="24"/>
          <w:szCs w:val="24"/>
          <w:highlight w:val="none"/>
        </w:rPr>
        <w:t>1</w:t>
      </w:r>
      <w:r>
        <w:rPr>
          <w:rFonts w:hint="eastAsia" w:ascii="宋体" w:hAnsi="宋体" w:eastAsia="宋体" w:cs="宋体"/>
          <w:b/>
          <w:bCs/>
          <w:color w:val="auto"/>
          <w:spacing w:val="-27"/>
          <w:sz w:val="24"/>
          <w:szCs w:val="24"/>
          <w:highlight w:val="none"/>
        </w:rPr>
        <w:t xml:space="preserve"> </w:t>
      </w:r>
      <w:r>
        <w:rPr>
          <w:rFonts w:hint="eastAsia" w:ascii="宋体" w:hAnsi="宋体" w:eastAsia="宋体" w:cs="宋体"/>
          <w:b/>
          <w:bCs/>
          <w:color w:val="auto"/>
          <w:spacing w:val="-14"/>
          <w:sz w:val="24"/>
          <w:szCs w:val="24"/>
          <w:highlight w:val="none"/>
        </w:rPr>
        <w:t>．图纸</w:t>
      </w:r>
      <w:bookmarkEnd w:id="213"/>
      <w:bookmarkEnd w:id="214"/>
    </w:p>
    <w:p w14:paraId="022ED3AB">
      <w:pPr>
        <w:spacing w:before="150" w:line="330" w:lineRule="auto"/>
        <w:ind w:left="230" w:firstLine="480"/>
        <w:jc w:val="both"/>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本项目</w:t>
      </w:r>
      <w:r>
        <w:rPr>
          <w:rFonts w:hint="eastAsia" w:ascii="宋体" w:hAnsi="宋体" w:eastAsia="宋体" w:cs="宋体"/>
          <w:color w:val="auto"/>
          <w:spacing w:val="1"/>
          <w:sz w:val="24"/>
          <w:szCs w:val="24"/>
          <w:highlight w:val="none"/>
          <w:lang w:val="en-US" w:eastAsia="zh-CN"/>
        </w:rPr>
        <w:t>施工图纸</w:t>
      </w:r>
      <w:r>
        <w:rPr>
          <w:rFonts w:hint="eastAsia" w:ascii="宋体" w:hAnsi="宋体" w:eastAsia="宋体" w:cs="宋体"/>
          <w:color w:val="auto"/>
          <w:spacing w:val="1"/>
          <w:sz w:val="24"/>
          <w:szCs w:val="24"/>
          <w:highlight w:val="none"/>
        </w:rPr>
        <w:t>以补充公告形式在开标前15天另行发布于相关网站，各投标人可在全国公共资源交易平台（广东省·韶关市）（https://ygp.gdzwfw.gov.cn/ggzy-portal/#/440200/index）自行下载。</w:t>
      </w:r>
    </w:p>
    <w:p w14:paraId="19E440D0">
      <w:pPr>
        <w:pStyle w:val="5"/>
        <w:spacing w:line="253" w:lineRule="auto"/>
        <w:rPr>
          <w:rFonts w:hint="eastAsia" w:ascii="宋体" w:hAnsi="宋体" w:eastAsia="宋体" w:cs="宋体"/>
          <w:color w:val="auto"/>
          <w:highlight w:val="none"/>
        </w:rPr>
      </w:pPr>
    </w:p>
    <w:p w14:paraId="05E465DE">
      <w:pPr>
        <w:spacing w:before="79" w:line="221" w:lineRule="auto"/>
        <w:ind w:left="705"/>
        <w:outlineLvl w:val="2"/>
        <w:rPr>
          <w:rFonts w:hint="eastAsia" w:ascii="宋体" w:hAnsi="宋体" w:eastAsia="宋体" w:cs="宋体"/>
          <w:color w:val="auto"/>
          <w:sz w:val="24"/>
          <w:szCs w:val="24"/>
          <w:highlight w:val="none"/>
        </w:rPr>
      </w:pPr>
      <w:bookmarkStart w:id="215" w:name="_Toc24419"/>
      <w:bookmarkStart w:id="216" w:name="_Toc9064"/>
      <w:r>
        <w:rPr>
          <w:rFonts w:hint="eastAsia" w:ascii="宋体" w:hAnsi="宋体" w:eastAsia="宋体" w:cs="宋体"/>
          <w:b/>
          <w:bCs/>
          <w:color w:val="auto"/>
          <w:spacing w:val="-6"/>
          <w:sz w:val="24"/>
          <w:szCs w:val="24"/>
          <w:highlight w:val="none"/>
        </w:rPr>
        <w:t>2</w:t>
      </w:r>
      <w:r>
        <w:rPr>
          <w:rFonts w:hint="eastAsia" w:ascii="宋体" w:hAnsi="宋体" w:eastAsia="宋体" w:cs="宋体"/>
          <w:b/>
          <w:bCs/>
          <w:color w:val="auto"/>
          <w:spacing w:val="-26"/>
          <w:sz w:val="24"/>
          <w:szCs w:val="24"/>
          <w:highlight w:val="none"/>
        </w:rPr>
        <w:t xml:space="preserve"> </w:t>
      </w:r>
      <w:r>
        <w:rPr>
          <w:rFonts w:hint="eastAsia" w:ascii="宋体" w:hAnsi="宋体" w:eastAsia="宋体" w:cs="宋体"/>
          <w:b/>
          <w:bCs/>
          <w:color w:val="auto"/>
          <w:spacing w:val="-6"/>
          <w:sz w:val="24"/>
          <w:szCs w:val="24"/>
          <w:highlight w:val="none"/>
        </w:rPr>
        <w:t>．招标工程量清单</w:t>
      </w:r>
      <w:bookmarkEnd w:id="215"/>
      <w:bookmarkEnd w:id="216"/>
    </w:p>
    <w:p w14:paraId="3D4BF4B7">
      <w:pPr>
        <w:spacing w:before="117" w:line="312" w:lineRule="auto"/>
        <w:ind w:left="231" w:firstLine="474"/>
        <w:rPr>
          <w:rFonts w:hint="eastAsia" w:ascii="宋体" w:hAnsi="宋体" w:eastAsia="宋体" w:cs="宋体"/>
          <w:color w:val="auto"/>
          <w:spacing w:val="-3"/>
          <w:sz w:val="24"/>
          <w:szCs w:val="24"/>
          <w:highlight w:val="none"/>
        </w:rPr>
      </w:pPr>
      <w:r>
        <w:rPr>
          <w:rFonts w:hint="eastAsia" w:ascii="宋体" w:hAnsi="宋体" w:eastAsia="宋体" w:cs="宋体"/>
          <w:b/>
          <w:bCs/>
          <w:color w:val="auto"/>
          <w:spacing w:val="-3"/>
          <w:sz w:val="24"/>
          <w:szCs w:val="24"/>
          <w:highlight w:val="none"/>
        </w:rPr>
        <w:t xml:space="preserve">2.1  </w:t>
      </w:r>
      <w:r>
        <w:rPr>
          <w:rFonts w:hint="eastAsia" w:ascii="宋体" w:hAnsi="宋体" w:eastAsia="宋体" w:cs="宋体"/>
          <w:color w:val="auto"/>
          <w:spacing w:val="-3"/>
          <w:sz w:val="24"/>
          <w:szCs w:val="24"/>
          <w:highlight w:val="none"/>
        </w:rPr>
        <w:t>本项目最高投标限价</w:t>
      </w:r>
      <w:r>
        <w:rPr>
          <w:rFonts w:hint="eastAsia" w:ascii="宋体" w:hAnsi="宋体" w:eastAsia="宋体" w:cs="宋体"/>
          <w:color w:val="auto"/>
          <w:spacing w:val="-3"/>
          <w:sz w:val="24"/>
          <w:szCs w:val="24"/>
          <w:highlight w:val="none"/>
          <w:lang w:val="en-US" w:eastAsia="zh-CN"/>
        </w:rPr>
        <w:t>及</w:t>
      </w:r>
      <w:r>
        <w:rPr>
          <w:rFonts w:hint="eastAsia" w:ascii="宋体" w:hAnsi="宋体" w:eastAsia="宋体" w:cs="宋体"/>
          <w:color w:val="auto"/>
          <w:spacing w:val="-3"/>
          <w:sz w:val="24"/>
          <w:szCs w:val="24"/>
          <w:highlight w:val="none"/>
        </w:rPr>
        <w:t>工程量清单以补充公告形式在开标前15天另行发布于相关网站，各投标人可在全国公共资源交易平台（广东省·韶关市）（https://ygp.gdzwfw.gov.cn/ggzy-portal/#/440200/index）自行下载。</w:t>
      </w:r>
    </w:p>
    <w:p w14:paraId="7B802B52">
      <w:pPr>
        <w:spacing w:before="78" w:line="219" w:lineRule="auto"/>
        <w:ind w:left="478" w:firstLine="239" w:firstLineChars="100"/>
        <w:rPr>
          <w:rFonts w:hint="eastAsia" w:ascii="宋体" w:hAnsi="宋体" w:eastAsia="宋体" w:cs="宋体"/>
          <w:color w:val="auto"/>
          <w:sz w:val="24"/>
          <w:szCs w:val="24"/>
          <w:highlight w:val="none"/>
        </w:rPr>
      </w:pPr>
      <w:bookmarkStart w:id="217" w:name="bookmark147"/>
      <w:bookmarkEnd w:id="217"/>
      <w:r>
        <w:rPr>
          <w:rFonts w:hint="eastAsia" w:ascii="宋体" w:hAnsi="宋体" w:eastAsia="宋体" w:cs="宋体"/>
          <w:b/>
          <w:bCs/>
          <w:color w:val="auto"/>
          <w:spacing w:val="-1"/>
          <w:sz w:val="24"/>
          <w:szCs w:val="24"/>
          <w:highlight w:val="none"/>
        </w:rPr>
        <w:t xml:space="preserve">2.2  </w:t>
      </w:r>
      <w:r>
        <w:rPr>
          <w:rFonts w:hint="eastAsia" w:ascii="宋体" w:hAnsi="宋体" w:eastAsia="宋体" w:cs="宋体"/>
          <w:color w:val="auto"/>
          <w:spacing w:val="-1"/>
          <w:sz w:val="24"/>
          <w:szCs w:val="24"/>
          <w:highlight w:val="none"/>
        </w:rPr>
        <w:t>本工程按照以下依据编制</w:t>
      </w:r>
      <w:r>
        <w:rPr>
          <w:rFonts w:hint="eastAsia" w:ascii="宋体" w:hAnsi="宋体" w:eastAsia="宋体" w:cs="宋体"/>
          <w:color w:val="auto"/>
          <w:spacing w:val="-1"/>
          <w:sz w:val="24"/>
          <w:szCs w:val="24"/>
          <w:highlight w:val="none"/>
          <w:u w:val="single"/>
        </w:rPr>
        <w:t>招标工程量清单</w:t>
      </w:r>
      <w:r>
        <w:rPr>
          <w:rFonts w:hint="eastAsia" w:ascii="宋体" w:hAnsi="宋体" w:eastAsia="宋体" w:cs="宋体"/>
          <w:color w:val="auto"/>
          <w:spacing w:val="-1"/>
          <w:sz w:val="24"/>
          <w:szCs w:val="24"/>
          <w:highlight w:val="none"/>
        </w:rPr>
        <w:t>：</w:t>
      </w:r>
    </w:p>
    <w:p w14:paraId="02362135">
      <w:pPr>
        <w:spacing w:before="123" w:line="219" w:lineRule="auto"/>
        <w:ind w:left="493"/>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（1）《建设工程工程量清单计价</w:t>
      </w:r>
      <w:r>
        <w:rPr>
          <w:rFonts w:hint="eastAsia" w:ascii="宋体" w:hAnsi="宋体" w:eastAsia="宋体" w:cs="宋体"/>
          <w:color w:val="auto"/>
          <w:spacing w:val="-1"/>
          <w:sz w:val="24"/>
          <w:szCs w:val="24"/>
          <w:highlight w:val="none"/>
          <w:lang w:val="en-US" w:eastAsia="zh-CN"/>
        </w:rPr>
        <w:t>标准</w:t>
      </w:r>
      <w:r>
        <w:rPr>
          <w:rFonts w:hint="eastAsia" w:ascii="宋体" w:hAnsi="宋体" w:eastAsia="宋体" w:cs="宋体"/>
          <w:color w:val="auto"/>
          <w:spacing w:val="-1"/>
          <w:sz w:val="24"/>
          <w:szCs w:val="24"/>
          <w:highlight w:val="none"/>
        </w:rPr>
        <w:t>》（GB50500—20</w:t>
      </w:r>
      <w:r>
        <w:rPr>
          <w:rFonts w:hint="eastAsia" w:ascii="宋体" w:hAnsi="宋体" w:eastAsia="宋体" w:cs="宋体"/>
          <w:color w:val="auto"/>
          <w:spacing w:val="-1"/>
          <w:sz w:val="24"/>
          <w:szCs w:val="24"/>
          <w:highlight w:val="none"/>
          <w:lang w:val="en-US" w:eastAsia="zh-CN"/>
        </w:rPr>
        <w:t>24</w:t>
      </w:r>
      <w:r>
        <w:rPr>
          <w:rFonts w:hint="eastAsia" w:ascii="宋体" w:hAnsi="宋体" w:eastAsia="宋体" w:cs="宋体"/>
          <w:color w:val="auto"/>
          <w:spacing w:val="4"/>
          <w:sz w:val="24"/>
          <w:szCs w:val="24"/>
          <w:highlight w:val="none"/>
        </w:rPr>
        <w:t>）；</w:t>
      </w:r>
    </w:p>
    <w:p w14:paraId="61B98E77">
      <w:pPr>
        <w:spacing w:before="115" w:line="299" w:lineRule="auto"/>
        <w:ind w:firstLine="493"/>
        <w:jc w:val="both"/>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（2）投标人应对招标人提供的工程量清单进行认真细致的复核。这种复核包括对</w:t>
      </w:r>
      <w:r>
        <w:rPr>
          <w:rFonts w:hint="eastAsia" w:ascii="宋体" w:hAnsi="宋体" w:eastAsia="宋体" w:cs="宋体"/>
          <w:color w:val="auto"/>
          <w:spacing w:val="-1"/>
          <w:sz w:val="24"/>
          <w:szCs w:val="24"/>
          <w:highlight w:val="none"/>
        </w:rPr>
        <w:t>招标人提供的工程量清单中的子目编码、子目名称、子</w:t>
      </w:r>
      <w:r>
        <w:rPr>
          <w:rFonts w:hint="eastAsia" w:ascii="宋体" w:hAnsi="宋体" w:eastAsia="宋体" w:cs="宋体"/>
          <w:color w:val="auto"/>
          <w:spacing w:val="-2"/>
          <w:sz w:val="24"/>
          <w:szCs w:val="24"/>
          <w:highlight w:val="none"/>
        </w:rPr>
        <w:t>目特征描述、计量单位、工程量</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的准确性以及可能存在的任何书写、打印错误进行检查</w:t>
      </w:r>
      <w:r>
        <w:rPr>
          <w:rFonts w:hint="eastAsia" w:ascii="宋体" w:hAnsi="宋体" w:eastAsia="宋体" w:cs="宋体"/>
          <w:color w:val="auto"/>
          <w:spacing w:val="-2"/>
          <w:sz w:val="24"/>
          <w:szCs w:val="24"/>
          <w:highlight w:val="none"/>
        </w:rPr>
        <w:t>和复核，特别是对“分部分项工</w:t>
      </w:r>
      <w:r>
        <w:rPr>
          <w:rFonts w:hint="eastAsia" w:ascii="宋体" w:hAnsi="宋体" w:eastAsia="宋体" w:cs="宋体"/>
          <w:color w:val="auto"/>
          <w:spacing w:val="-1"/>
          <w:sz w:val="24"/>
          <w:szCs w:val="24"/>
          <w:highlight w:val="none"/>
        </w:rPr>
        <w:t>程量清单与计价表”中每个工作子目的工程量进</w:t>
      </w:r>
      <w:r>
        <w:rPr>
          <w:rFonts w:hint="eastAsia" w:ascii="宋体" w:hAnsi="宋体" w:eastAsia="宋体" w:cs="宋体"/>
          <w:color w:val="auto"/>
          <w:spacing w:val="-2"/>
          <w:sz w:val="24"/>
          <w:szCs w:val="24"/>
          <w:highlight w:val="none"/>
        </w:rPr>
        <w:t>行重新计算和校核。如果投标人经过检</w:t>
      </w:r>
      <w:r>
        <w:rPr>
          <w:rFonts w:hint="eastAsia" w:ascii="宋体" w:hAnsi="宋体" w:eastAsia="宋体" w:cs="宋体"/>
          <w:color w:val="auto"/>
          <w:spacing w:val="-1"/>
          <w:sz w:val="24"/>
          <w:szCs w:val="24"/>
          <w:highlight w:val="none"/>
        </w:rPr>
        <w:t>查和复核以后认为招标人提供的工程量清单存在</w:t>
      </w:r>
      <w:r>
        <w:rPr>
          <w:rFonts w:hint="eastAsia" w:ascii="宋体" w:hAnsi="宋体" w:eastAsia="宋体" w:cs="宋体"/>
          <w:color w:val="auto"/>
          <w:spacing w:val="-2"/>
          <w:sz w:val="24"/>
          <w:szCs w:val="24"/>
          <w:highlight w:val="none"/>
        </w:rPr>
        <w:t>差异，则投标人应将此类差异的详细情</w:t>
      </w:r>
      <w:r>
        <w:rPr>
          <w:rFonts w:hint="eastAsia" w:ascii="宋体" w:hAnsi="宋体" w:eastAsia="宋体" w:cs="宋体"/>
          <w:color w:val="auto"/>
          <w:spacing w:val="-8"/>
          <w:sz w:val="24"/>
          <w:szCs w:val="24"/>
          <w:highlight w:val="none"/>
        </w:rPr>
        <w:t>况连同按“投标须知</w:t>
      </w:r>
      <w:r>
        <w:rPr>
          <w:rFonts w:hint="eastAsia" w:ascii="宋体" w:hAnsi="宋体" w:eastAsia="宋体" w:cs="宋体"/>
          <w:color w:val="auto"/>
          <w:spacing w:val="-89"/>
          <w:sz w:val="24"/>
          <w:szCs w:val="24"/>
          <w:highlight w:val="none"/>
        </w:rPr>
        <w:t xml:space="preserve"> </w:t>
      </w:r>
      <w:r>
        <w:rPr>
          <w:rFonts w:hint="eastAsia" w:ascii="宋体" w:hAnsi="宋体" w:eastAsia="宋体" w:cs="宋体"/>
          <w:color w:val="auto"/>
          <w:spacing w:val="-8"/>
          <w:sz w:val="24"/>
          <w:szCs w:val="24"/>
          <w:highlight w:val="none"/>
        </w:rPr>
        <w:t>”规定提交的要求招标人澄清的其他</w:t>
      </w:r>
      <w:r>
        <w:rPr>
          <w:rFonts w:hint="eastAsia" w:ascii="宋体" w:hAnsi="宋体" w:eastAsia="宋体" w:cs="宋体"/>
          <w:color w:val="auto"/>
          <w:spacing w:val="-9"/>
          <w:sz w:val="24"/>
          <w:szCs w:val="24"/>
          <w:highlight w:val="none"/>
        </w:rPr>
        <w:t>问题一起提交给招标人，招标人</w:t>
      </w:r>
      <w:r>
        <w:rPr>
          <w:rFonts w:hint="eastAsia" w:ascii="宋体" w:hAnsi="宋体" w:eastAsia="宋体" w:cs="宋体"/>
          <w:color w:val="auto"/>
          <w:spacing w:val="-2"/>
          <w:sz w:val="24"/>
          <w:szCs w:val="24"/>
          <w:highlight w:val="none"/>
        </w:rPr>
        <w:t>将根据实际情况决定是否颁发</w:t>
      </w:r>
      <w:r>
        <w:rPr>
          <w:rFonts w:hint="eastAsia" w:ascii="宋体" w:hAnsi="宋体" w:eastAsia="宋体" w:cs="宋体"/>
          <w:color w:val="auto"/>
          <w:spacing w:val="-2"/>
          <w:sz w:val="24"/>
          <w:szCs w:val="24"/>
          <w:highlight w:val="none"/>
          <w:u w:val="single"/>
        </w:rPr>
        <w:t>工程量清单</w:t>
      </w:r>
      <w:r>
        <w:rPr>
          <w:rFonts w:hint="eastAsia" w:ascii="宋体" w:hAnsi="宋体" w:eastAsia="宋体" w:cs="宋体"/>
          <w:color w:val="auto"/>
          <w:spacing w:val="-2"/>
          <w:sz w:val="24"/>
          <w:szCs w:val="24"/>
          <w:highlight w:val="none"/>
        </w:rPr>
        <w:t>、</w:t>
      </w:r>
      <w:r>
        <w:rPr>
          <w:rFonts w:hint="eastAsia" w:ascii="宋体" w:hAnsi="宋体" w:eastAsia="宋体" w:cs="宋体"/>
          <w:color w:val="auto"/>
          <w:spacing w:val="-8"/>
          <w:sz w:val="24"/>
          <w:szCs w:val="24"/>
          <w:highlight w:val="none"/>
          <w:lang w:eastAsia="zh-CN"/>
        </w:rPr>
        <w:t>最高投标限价</w:t>
      </w:r>
      <w:r>
        <w:rPr>
          <w:rFonts w:hint="eastAsia" w:ascii="宋体" w:hAnsi="宋体" w:eastAsia="宋体" w:cs="宋体"/>
          <w:color w:val="auto"/>
          <w:spacing w:val="-8"/>
          <w:sz w:val="24"/>
          <w:szCs w:val="24"/>
          <w:highlight w:val="none"/>
        </w:rPr>
        <w:t>的</w:t>
      </w:r>
      <w:r>
        <w:rPr>
          <w:rFonts w:hint="eastAsia" w:ascii="宋体" w:hAnsi="宋体" w:eastAsia="宋体" w:cs="宋体"/>
          <w:color w:val="auto"/>
          <w:spacing w:val="-2"/>
          <w:sz w:val="24"/>
          <w:szCs w:val="24"/>
          <w:highlight w:val="none"/>
        </w:rPr>
        <w:t>补充和(或)修改文件。</w:t>
      </w:r>
    </w:p>
    <w:p w14:paraId="3FCA4C7D">
      <w:pPr>
        <w:spacing w:before="79" w:line="263" w:lineRule="auto"/>
        <w:ind w:left="2" w:right="2" w:firstLine="488"/>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（3）本招标工程量清单措施项目中的</w:t>
      </w:r>
      <w:r>
        <w:rPr>
          <w:rFonts w:hint="eastAsia" w:ascii="宋体" w:hAnsi="宋体" w:eastAsia="宋体" w:cs="宋体"/>
          <w:b/>
          <w:bCs/>
          <w:color w:val="auto"/>
          <w:spacing w:val="-6"/>
          <w:sz w:val="24"/>
          <w:szCs w:val="24"/>
          <w:highlight w:val="none"/>
          <w:u w:val="single"/>
        </w:rPr>
        <w:t>暂列金额、暂估价</w:t>
      </w:r>
      <w:r>
        <w:rPr>
          <w:rFonts w:hint="eastAsia" w:ascii="宋体" w:hAnsi="宋体" w:eastAsia="宋体" w:cs="宋体"/>
          <w:color w:val="auto"/>
          <w:spacing w:val="-2"/>
          <w:sz w:val="24"/>
          <w:szCs w:val="24"/>
          <w:highlight w:val="none"/>
        </w:rPr>
        <w:t>不得作为竞争性费用，投标报价必须按本招标工程量清</w:t>
      </w:r>
      <w:r>
        <w:rPr>
          <w:rFonts w:hint="eastAsia" w:ascii="宋体" w:hAnsi="宋体" w:eastAsia="宋体" w:cs="宋体"/>
          <w:color w:val="auto"/>
          <w:spacing w:val="-3"/>
          <w:sz w:val="24"/>
          <w:szCs w:val="24"/>
          <w:highlight w:val="none"/>
        </w:rPr>
        <w:t>单规定</w:t>
      </w:r>
      <w:r>
        <w:rPr>
          <w:rFonts w:hint="eastAsia" w:ascii="宋体" w:hAnsi="宋体" w:eastAsia="宋体" w:cs="宋体"/>
          <w:color w:val="auto"/>
          <w:spacing w:val="-2"/>
          <w:sz w:val="24"/>
          <w:szCs w:val="24"/>
          <w:highlight w:val="none"/>
        </w:rPr>
        <w:t>的金额填</w:t>
      </w:r>
      <w:r>
        <w:rPr>
          <w:rFonts w:hint="eastAsia" w:ascii="宋体" w:hAnsi="宋体" w:eastAsia="宋体" w:cs="宋体"/>
          <w:color w:val="auto"/>
          <w:spacing w:val="-3"/>
          <w:sz w:val="24"/>
          <w:szCs w:val="24"/>
          <w:highlight w:val="none"/>
        </w:rPr>
        <w:t>报。</w:t>
      </w:r>
    </w:p>
    <w:p w14:paraId="771762E6">
      <w:pPr>
        <w:spacing w:before="118" w:line="265" w:lineRule="auto"/>
        <w:ind w:left="7" w:right="4" w:firstLine="483"/>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（4）投标报价使用的表格格式须按照 GB50500-20</w:t>
      </w:r>
      <w:r>
        <w:rPr>
          <w:rFonts w:hint="eastAsia" w:ascii="宋体" w:hAnsi="宋体" w:eastAsia="宋体" w:cs="宋体"/>
          <w:color w:val="auto"/>
          <w:spacing w:val="-2"/>
          <w:sz w:val="24"/>
          <w:szCs w:val="24"/>
          <w:highlight w:val="none"/>
          <w:lang w:val="en-US" w:eastAsia="zh-CN"/>
        </w:rPr>
        <w:t>24</w:t>
      </w:r>
      <w:r>
        <w:rPr>
          <w:rFonts w:hint="eastAsia" w:ascii="宋体" w:hAnsi="宋体" w:eastAsia="宋体" w:cs="宋体"/>
          <w:color w:val="auto"/>
          <w:spacing w:val="-2"/>
          <w:sz w:val="24"/>
          <w:szCs w:val="24"/>
          <w:highlight w:val="none"/>
        </w:rPr>
        <w:t>《建设工程工程量清单计价</w:t>
      </w:r>
      <w:r>
        <w:rPr>
          <w:rFonts w:hint="eastAsia" w:ascii="宋体" w:hAnsi="宋体" w:eastAsia="宋体" w:cs="宋体"/>
          <w:color w:val="auto"/>
          <w:spacing w:val="-2"/>
          <w:sz w:val="24"/>
          <w:szCs w:val="24"/>
          <w:highlight w:val="none"/>
          <w:lang w:val="en-US" w:eastAsia="zh-CN"/>
        </w:rPr>
        <w:t>标准</w:t>
      </w:r>
      <w:r>
        <w:rPr>
          <w:rFonts w:hint="eastAsia" w:ascii="宋体" w:hAnsi="宋体" w:eastAsia="宋体" w:cs="宋体"/>
          <w:color w:val="auto"/>
          <w:spacing w:val="-6"/>
          <w:sz w:val="24"/>
          <w:szCs w:val="24"/>
          <w:highlight w:val="none"/>
        </w:rPr>
        <w:t>》。</w:t>
      </w:r>
    </w:p>
    <w:p w14:paraId="12F193A0">
      <w:pPr>
        <w:spacing w:before="107" w:line="286" w:lineRule="auto"/>
        <w:ind w:right="4" w:firstLine="492"/>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5）2018年《广东省房屋建筑与装饰工程综合定额》、2018年《广东省市政工程综合定额》、2018年《广东省通用安装工程综合定额》、2018年《广东省园林绿化工程综合定额》及现行的建筑施工规范和省市有关文件、规定为编制依据进行编制；</w:t>
      </w:r>
    </w:p>
    <w:p w14:paraId="18E085EB">
      <w:pPr>
        <w:spacing w:before="146" w:line="221" w:lineRule="auto"/>
        <w:ind w:left="493"/>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（6）施工图及相关资料；</w:t>
      </w:r>
    </w:p>
    <w:p w14:paraId="75A26699">
      <w:pPr>
        <w:spacing w:before="153" w:line="220" w:lineRule="auto"/>
        <w:ind w:left="493"/>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（7）招标文件；</w:t>
      </w:r>
    </w:p>
    <w:p w14:paraId="37B4AFD5">
      <w:pPr>
        <w:spacing w:before="155" w:line="220" w:lineRule="auto"/>
        <w:ind w:left="493"/>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（8）施工现场情况、地勘水文资料、工程特点及常规施工方案；</w:t>
      </w:r>
    </w:p>
    <w:p w14:paraId="106392C6">
      <w:pPr>
        <w:spacing w:before="153" w:line="219" w:lineRule="auto"/>
        <w:ind w:left="493"/>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（9）与建设工程有关的标准、规范、技术资料、材料设备信息价或市场价格等</w:t>
      </w:r>
      <w:r>
        <w:rPr>
          <w:rFonts w:hint="eastAsia" w:ascii="宋体" w:hAnsi="宋体" w:eastAsia="宋体" w:cs="宋体"/>
          <w:color w:val="auto"/>
          <w:spacing w:val="-2"/>
          <w:sz w:val="24"/>
          <w:szCs w:val="24"/>
          <w:highlight w:val="none"/>
        </w:rPr>
        <w:t>。</w:t>
      </w:r>
    </w:p>
    <w:p w14:paraId="429B0728">
      <w:pPr>
        <w:spacing w:line="219" w:lineRule="auto"/>
        <w:rPr>
          <w:rFonts w:hint="eastAsia" w:ascii="宋体" w:hAnsi="宋体" w:eastAsia="宋体" w:cs="宋体"/>
          <w:color w:val="auto"/>
          <w:sz w:val="24"/>
          <w:szCs w:val="24"/>
          <w:highlight w:val="none"/>
        </w:rPr>
        <w:sectPr>
          <w:footerReference r:id="rId12"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0104BD93">
      <w:pPr>
        <w:pStyle w:val="5"/>
        <w:spacing w:line="304" w:lineRule="auto"/>
        <w:rPr>
          <w:rFonts w:hint="eastAsia" w:ascii="宋体" w:hAnsi="宋体" w:eastAsia="宋体" w:cs="宋体"/>
          <w:color w:val="auto"/>
          <w:highlight w:val="none"/>
        </w:rPr>
      </w:pPr>
    </w:p>
    <w:p w14:paraId="36743CF6">
      <w:pPr>
        <w:spacing w:before="78" w:line="219" w:lineRule="auto"/>
        <w:ind w:left="3357"/>
        <w:outlineLvl w:val="0"/>
        <w:rPr>
          <w:rFonts w:hint="eastAsia" w:ascii="宋体" w:hAnsi="宋体" w:eastAsia="宋体" w:cs="宋体"/>
          <w:color w:val="auto"/>
          <w:sz w:val="24"/>
          <w:szCs w:val="24"/>
          <w:highlight w:val="none"/>
        </w:rPr>
      </w:pPr>
      <w:bookmarkStart w:id="218" w:name="_Toc27130"/>
      <w:r>
        <w:rPr>
          <w:rFonts w:hint="eastAsia" w:ascii="宋体" w:hAnsi="宋体" w:eastAsia="宋体" w:cs="宋体"/>
          <w:b/>
          <w:bCs/>
          <w:color w:val="auto"/>
          <w:spacing w:val="-3"/>
          <w:sz w:val="24"/>
          <w:szCs w:val="24"/>
          <w:highlight w:val="none"/>
        </w:rPr>
        <w:t>第六章</w:t>
      </w:r>
      <w:r>
        <w:rPr>
          <w:rFonts w:hint="eastAsia" w:ascii="宋体" w:hAnsi="宋体" w:eastAsia="宋体" w:cs="宋体"/>
          <w:color w:val="auto"/>
          <w:spacing w:val="-3"/>
          <w:sz w:val="24"/>
          <w:szCs w:val="24"/>
          <w:highlight w:val="none"/>
        </w:rPr>
        <w:t xml:space="preserve"> </w:t>
      </w:r>
      <w:r>
        <w:rPr>
          <w:rFonts w:hint="eastAsia" w:ascii="宋体" w:hAnsi="宋体" w:eastAsia="宋体" w:cs="宋体"/>
          <w:b/>
          <w:bCs/>
          <w:color w:val="auto"/>
          <w:spacing w:val="-3"/>
          <w:sz w:val="24"/>
          <w:szCs w:val="24"/>
          <w:highlight w:val="none"/>
        </w:rPr>
        <w:t>投标文件格式</w:t>
      </w:r>
      <w:bookmarkEnd w:id="218"/>
    </w:p>
    <w:p w14:paraId="0D0857B6">
      <w:pPr>
        <w:pStyle w:val="5"/>
        <w:spacing w:line="302" w:lineRule="auto"/>
        <w:jc w:val="right"/>
        <w:rPr>
          <w:rFonts w:hint="eastAsia" w:ascii="宋体" w:hAnsi="宋体" w:eastAsia="宋体" w:cs="宋体"/>
          <w:color w:val="auto"/>
          <w:highlight w:val="none"/>
        </w:rPr>
      </w:pPr>
    </w:p>
    <w:p w14:paraId="401E31D5">
      <w:pPr>
        <w:spacing w:before="78" w:line="220" w:lineRule="auto"/>
        <w:outlineLvl w:val="2"/>
        <w:rPr>
          <w:rFonts w:hint="eastAsia" w:ascii="宋体" w:hAnsi="宋体" w:eastAsia="宋体" w:cs="宋体"/>
          <w:color w:val="auto"/>
          <w:sz w:val="24"/>
          <w:szCs w:val="24"/>
          <w:highlight w:val="none"/>
        </w:rPr>
      </w:pPr>
      <w:bookmarkStart w:id="219" w:name="_Toc11203"/>
      <w:r>
        <w:rPr>
          <w:rFonts w:hint="eastAsia" w:ascii="宋体" w:hAnsi="宋体" w:eastAsia="宋体" w:cs="宋体"/>
          <w:b/>
          <w:bCs/>
          <w:color w:val="auto"/>
          <w:spacing w:val="-4"/>
          <w:sz w:val="24"/>
          <w:szCs w:val="24"/>
          <w:highlight w:val="none"/>
        </w:rPr>
        <w:t>格式一</w:t>
      </w:r>
      <w:r>
        <w:rPr>
          <w:rFonts w:hint="eastAsia" w:ascii="宋体" w:hAnsi="宋体" w:eastAsia="宋体" w:cs="宋体"/>
          <w:color w:val="auto"/>
          <w:spacing w:val="-4"/>
          <w:sz w:val="24"/>
          <w:szCs w:val="24"/>
          <w:highlight w:val="none"/>
        </w:rPr>
        <w:t xml:space="preserve"> </w:t>
      </w:r>
      <w:r>
        <w:rPr>
          <w:rFonts w:hint="eastAsia" w:ascii="宋体" w:hAnsi="宋体" w:eastAsia="宋体" w:cs="宋体"/>
          <w:b/>
          <w:bCs/>
          <w:color w:val="auto"/>
          <w:spacing w:val="-4"/>
          <w:sz w:val="24"/>
          <w:szCs w:val="24"/>
          <w:highlight w:val="none"/>
        </w:rPr>
        <w:t>封面</w:t>
      </w:r>
      <w:bookmarkEnd w:id="219"/>
    </w:p>
    <w:p w14:paraId="7F1D5484">
      <w:pPr>
        <w:pStyle w:val="5"/>
        <w:spacing w:line="258" w:lineRule="auto"/>
        <w:rPr>
          <w:rFonts w:hint="eastAsia" w:ascii="宋体" w:hAnsi="宋体" w:eastAsia="宋体" w:cs="宋体"/>
          <w:color w:val="auto"/>
          <w:highlight w:val="none"/>
        </w:rPr>
      </w:pPr>
    </w:p>
    <w:p w14:paraId="2CD8482C">
      <w:pPr>
        <w:pStyle w:val="5"/>
        <w:spacing w:line="259" w:lineRule="auto"/>
        <w:rPr>
          <w:rFonts w:hint="eastAsia" w:ascii="宋体" w:hAnsi="宋体" w:eastAsia="宋体" w:cs="宋体"/>
          <w:color w:val="auto"/>
          <w:highlight w:val="none"/>
        </w:rPr>
      </w:pPr>
    </w:p>
    <w:p w14:paraId="102EDF3E">
      <w:pPr>
        <w:pStyle w:val="5"/>
        <w:spacing w:line="259" w:lineRule="auto"/>
        <w:rPr>
          <w:rFonts w:hint="eastAsia" w:ascii="宋体" w:hAnsi="宋体" w:eastAsia="宋体" w:cs="宋体"/>
          <w:color w:val="auto"/>
          <w:highlight w:val="none"/>
        </w:rPr>
      </w:pPr>
    </w:p>
    <w:p w14:paraId="2A72B20C">
      <w:pPr>
        <w:spacing w:before="153" w:line="225" w:lineRule="auto"/>
        <w:ind w:left="-1" w:leftChars="0" w:firstLine="0" w:firstLineChars="0"/>
        <w:jc w:val="center"/>
        <w:rPr>
          <w:rFonts w:hint="eastAsia" w:ascii="宋体" w:hAnsi="宋体" w:eastAsia="宋体" w:cs="宋体"/>
          <w:color w:val="auto"/>
          <w:sz w:val="47"/>
          <w:szCs w:val="47"/>
          <w:highlight w:val="none"/>
        </w:rPr>
      </w:pPr>
      <w:r>
        <w:rPr>
          <w:rFonts w:hint="eastAsia" w:ascii="宋体" w:hAnsi="宋体" w:eastAsia="宋体" w:cs="宋体"/>
          <w:b/>
          <w:bCs/>
          <w:color w:val="auto"/>
          <w:spacing w:val="8"/>
          <w:sz w:val="47"/>
          <w:szCs w:val="47"/>
          <w:highlight w:val="none"/>
          <w:u w:val="single"/>
          <w:lang w:val="en-US" w:eastAsia="zh-CN"/>
        </w:rPr>
        <w:t xml:space="preserve">       </w:t>
      </w:r>
      <w:r>
        <w:rPr>
          <w:rFonts w:hint="eastAsia" w:ascii="宋体" w:hAnsi="宋体" w:eastAsia="宋体" w:cs="宋体"/>
          <w:b/>
          <w:bCs/>
          <w:color w:val="auto"/>
          <w:spacing w:val="8"/>
          <w:sz w:val="47"/>
          <w:szCs w:val="47"/>
          <w:highlight w:val="none"/>
          <w:u w:val="single"/>
        </w:rPr>
        <w:t>（项目名称</w:t>
      </w:r>
      <w:r>
        <w:rPr>
          <w:rFonts w:hint="eastAsia" w:ascii="宋体" w:hAnsi="宋体" w:eastAsia="宋体" w:cs="宋体"/>
          <w:b/>
          <w:bCs/>
          <w:color w:val="auto"/>
          <w:spacing w:val="-32"/>
          <w:sz w:val="47"/>
          <w:szCs w:val="47"/>
          <w:highlight w:val="none"/>
          <w:u w:val="single"/>
        </w:rPr>
        <w:t>）</w:t>
      </w:r>
      <w:r>
        <w:rPr>
          <w:rFonts w:hint="eastAsia" w:ascii="宋体" w:hAnsi="宋体" w:eastAsia="宋体" w:cs="宋体"/>
          <w:b/>
          <w:bCs/>
          <w:color w:val="auto"/>
          <w:spacing w:val="8"/>
          <w:sz w:val="47"/>
          <w:szCs w:val="47"/>
          <w:highlight w:val="none"/>
        </w:rPr>
        <w:t>招标</w:t>
      </w:r>
    </w:p>
    <w:p w14:paraId="5ECD6A12">
      <w:pPr>
        <w:pStyle w:val="5"/>
        <w:spacing w:line="247" w:lineRule="auto"/>
        <w:rPr>
          <w:rFonts w:hint="eastAsia" w:ascii="宋体" w:hAnsi="宋体" w:eastAsia="宋体" w:cs="宋体"/>
          <w:color w:val="auto"/>
          <w:highlight w:val="none"/>
        </w:rPr>
      </w:pPr>
    </w:p>
    <w:p w14:paraId="54606FEC">
      <w:pPr>
        <w:pStyle w:val="5"/>
        <w:spacing w:line="247" w:lineRule="auto"/>
        <w:rPr>
          <w:rFonts w:hint="eastAsia" w:ascii="宋体" w:hAnsi="宋体" w:eastAsia="宋体" w:cs="宋体"/>
          <w:color w:val="auto"/>
          <w:highlight w:val="none"/>
        </w:rPr>
      </w:pPr>
    </w:p>
    <w:p w14:paraId="5399F95B">
      <w:pPr>
        <w:pStyle w:val="5"/>
        <w:spacing w:line="247" w:lineRule="auto"/>
        <w:rPr>
          <w:rFonts w:hint="eastAsia" w:ascii="宋体" w:hAnsi="宋体" w:eastAsia="宋体" w:cs="宋体"/>
          <w:color w:val="auto"/>
          <w:highlight w:val="none"/>
        </w:rPr>
      </w:pPr>
    </w:p>
    <w:p w14:paraId="290C2C2C">
      <w:pPr>
        <w:pStyle w:val="5"/>
        <w:spacing w:line="247" w:lineRule="auto"/>
        <w:rPr>
          <w:rFonts w:hint="eastAsia" w:ascii="宋体" w:hAnsi="宋体" w:eastAsia="宋体" w:cs="宋体"/>
          <w:color w:val="auto"/>
          <w:highlight w:val="none"/>
        </w:rPr>
      </w:pPr>
    </w:p>
    <w:p w14:paraId="59ACBFD9">
      <w:pPr>
        <w:pStyle w:val="5"/>
        <w:spacing w:line="248" w:lineRule="auto"/>
        <w:rPr>
          <w:rFonts w:hint="eastAsia" w:ascii="宋体" w:hAnsi="宋体" w:eastAsia="宋体" w:cs="宋体"/>
          <w:color w:val="auto"/>
          <w:highlight w:val="none"/>
        </w:rPr>
      </w:pPr>
    </w:p>
    <w:p w14:paraId="659F2C43">
      <w:pPr>
        <w:spacing w:before="231" w:line="223" w:lineRule="auto"/>
        <w:jc w:val="center"/>
        <w:rPr>
          <w:rFonts w:hint="eastAsia" w:ascii="宋体" w:hAnsi="宋体" w:eastAsia="宋体" w:cs="宋体"/>
          <w:color w:val="auto"/>
          <w:sz w:val="71"/>
          <w:szCs w:val="71"/>
          <w:highlight w:val="none"/>
        </w:rPr>
      </w:pPr>
      <w:r>
        <w:rPr>
          <w:rFonts w:hint="eastAsia" w:ascii="宋体" w:hAnsi="宋体" w:eastAsia="宋体" w:cs="宋体"/>
          <w:b/>
          <w:bCs/>
          <w:color w:val="auto"/>
          <w:spacing w:val="-26"/>
          <w:sz w:val="71"/>
          <w:szCs w:val="71"/>
          <w:highlight w:val="none"/>
        </w:rPr>
        <w:t>投</w:t>
      </w:r>
      <w:r>
        <w:rPr>
          <w:rFonts w:hint="eastAsia" w:ascii="宋体" w:hAnsi="宋体" w:eastAsia="宋体" w:cs="宋体"/>
          <w:color w:val="auto"/>
          <w:spacing w:val="22"/>
          <w:sz w:val="71"/>
          <w:szCs w:val="71"/>
          <w:highlight w:val="none"/>
        </w:rPr>
        <w:t xml:space="preserve">  </w:t>
      </w:r>
      <w:r>
        <w:rPr>
          <w:rFonts w:hint="eastAsia" w:ascii="宋体" w:hAnsi="宋体" w:eastAsia="宋体" w:cs="宋体"/>
          <w:b/>
          <w:bCs/>
          <w:color w:val="auto"/>
          <w:spacing w:val="-26"/>
          <w:sz w:val="71"/>
          <w:szCs w:val="71"/>
          <w:highlight w:val="none"/>
        </w:rPr>
        <w:t>标</w:t>
      </w:r>
      <w:r>
        <w:rPr>
          <w:rFonts w:hint="eastAsia" w:ascii="宋体" w:hAnsi="宋体" w:eastAsia="宋体" w:cs="宋体"/>
          <w:color w:val="auto"/>
          <w:spacing w:val="23"/>
          <w:sz w:val="71"/>
          <w:szCs w:val="71"/>
          <w:highlight w:val="none"/>
        </w:rPr>
        <w:t xml:space="preserve">  </w:t>
      </w:r>
      <w:r>
        <w:rPr>
          <w:rFonts w:hint="eastAsia" w:ascii="宋体" w:hAnsi="宋体" w:eastAsia="宋体" w:cs="宋体"/>
          <w:b/>
          <w:bCs/>
          <w:color w:val="auto"/>
          <w:spacing w:val="-26"/>
          <w:sz w:val="71"/>
          <w:szCs w:val="71"/>
          <w:highlight w:val="none"/>
        </w:rPr>
        <w:t>文</w:t>
      </w:r>
      <w:r>
        <w:rPr>
          <w:rFonts w:hint="eastAsia" w:ascii="宋体" w:hAnsi="宋体" w:eastAsia="宋体" w:cs="宋体"/>
          <w:color w:val="auto"/>
          <w:spacing w:val="19"/>
          <w:sz w:val="71"/>
          <w:szCs w:val="71"/>
          <w:highlight w:val="none"/>
        </w:rPr>
        <w:t xml:space="preserve">  </w:t>
      </w:r>
      <w:r>
        <w:rPr>
          <w:rFonts w:hint="eastAsia" w:ascii="宋体" w:hAnsi="宋体" w:eastAsia="宋体" w:cs="宋体"/>
          <w:b/>
          <w:bCs/>
          <w:color w:val="auto"/>
          <w:spacing w:val="-26"/>
          <w:sz w:val="71"/>
          <w:szCs w:val="71"/>
          <w:highlight w:val="none"/>
        </w:rPr>
        <w:t>件</w:t>
      </w:r>
    </w:p>
    <w:p w14:paraId="0B131F8C">
      <w:pPr>
        <w:pStyle w:val="5"/>
        <w:spacing w:line="293" w:lineRule="auto"/>
        <w:rPr>
          <w:rFonts w:hint="eastAsia" w:ascii="宋体" w:hAnsi="宋体" w:eastAsia="宋体" w:cs="宋体"/>
          <w:color w:val="auto"/>
          <w:highlight w:val="none"/>
        </w:rPr>
      </w:pPr>
    </w:p>
    <w:p w14:paraId="324C9182">
      <w:pPr>
        <w:pStyle w:val="5"/>
        <w:spacing w:line="293" w:lineRule="auto"/>
        <w:rPr>
          <w:rFonts w:hint="eastAsia" w:ascii="宋体" w:hAnsi="宋体" w:eastAsia="宋体" w:cs="宋体"/>
          <w:color w:val="auto"/>
          <w:highlight w:val="none"/>
        </w:rPr>
      </w:pPr>
    </w:p>
    <w:p w14:paraId="7C0F118B">
      <w:pPr>
        <w:spacing w:before="152" w:line="223" w:lineRule="auto"/>
        <w:jc w:val="center"/>
        <w:rPr>
          <w:rFonts w:hint="eastAsia" w:ascii="宋体" w:hAnsi="宋体" w:eastAsia="宋体" w:cs="宋体"/>
          <w:b/>
          <w:bCs/>
          <w:color w:val="auto"/>
          <w:spacing w:val="2"/>
          <w:sz w:val="40"/>
          <w:szCs w:val="40"/>
          <w:highlight w:val="none"/>
        </w:rPr>
      </w:pPr>
      <w:bookmarkStart w:id="220" w:name="bookmark105"/>
      <w:bookmarkEnd w:id="220"/>
      <w:r>
        <w:rPr>
          <w:rFonts w:hint="eastAsia" w:ascii="宋体" w:hAnsi="宋体" w:eastAsia="宋体" w:cs="宋体"/>
          <w:b/>
          <w:bCs/>
          <w:color w:val="auto"/>
          <w:spacing w:val="2"/>
          <w:sz w:val="40"/>
          <w:szCs w:val="40"/>
          <w:highlight w:val="none"/>
        </w:rPr>
        <w:t>（商务标书／经济标书／施工组织设计</w:t>
      </w:r>
      <w:r>
        <w:rPr>
          <w:rFonts w:hint="eastAsia" w:ascii="宋体" w:hAnsi="宋体" w:eastAsia="宋体" w:cs="宋体"/>
          <w:b/>
          <w:bCs/>
          <w:color w:val="auto"/>
          <w:spacing w:val="2"/>
          <w:sz w:val="40"/>
          <w:szCs w:val="40"/>
          <w:highlight w:val="none"/>
          <w:lang w:val="en-US" w:eastAsia="zh-CN"/>
        </w:rPr>
        <w:t>/定标文件</w:t>
      </w:r>
      <w:r>
        <w:rPr>
          <w:rFonts w:hint="eastAsia" w:ascii="宋体" w:hAnsi="宋体" w:eastAsia="宋体" w:cs="宋体"/>
          <w:b/>
          <w:bCs/>
          <w:color w:val="auto"/>
          <w:spacing w:val="2"/>
          <w:sz w:val="40"/>
          <w:szCs w:val="40"/>
          <w:highlight w:val="none"/>
        </w:rPr>
        <w:t>）</w:t>
      </w:r>
    </w:p>
    <w:p w14:paraId="507FE0F9">
      <w:pPr>
        <w:bidi w:val="0"/>
        <w:rPr>
          <w:rFonts w:hint="eastAsia"/>
          <w:color w:val="auto"/>
          <w:highlight w:val="none"/>
        </w:rPr>
      </w:pPr>
    </w:p>
    <w:p w14:paraId="1258CA34">
      <w:pPr>
        <w:bidi w:val="0"/>
        <w:rPr>
          <w:rFonts w:hint="eastAsia"/>
          <w:color w:val="auto"/>
          <w:highlight w:val="none"/>
        </w:rPr>
      </w:pPr>
    </w:p>
    <w:p w14:paraId="6011C3D8">
      <w:pPr>
        <w:bidi w:val="0"/>
        <w:rPr>
          <w:rFonts w:hint="eastAsia"/>
          <w:color w:val="auto"/>
          <w:highlight w:val="none"/>
        </w:rPr>
      </w:pPr>
    </w:p>
    <w:p w14:paraId="37F301A3">
      <w:pPr>
        <w:bidi w:val="0"/>
        <w:rPr>
          <w:rFonts w:hint="eastAsia"/>
          <w:color w:val="auto"/>
          <w:highlight w:val="none"/>
        </w:rPr>
      </w:pPr>
    </w:p>
    <w:p w14:paraId="176B82A5">
      <w:pPr>
        <w:bidi w:val="0"/>
        <w:rPr>
          <w:rFonts w:hint="eastAsia"/>
          <w:color w:val="auto"/>
          <w:highlight w:val="none"/>
        </w:rPr>
      </w:pPr>
    </w:p>
    <w:p w14:paraId="082387D7">
      <w:pPr>
        <w:bidi w:val="0"/>
        <w:rPr>
          <w:rFonts w:hint="eastAsia"/>
          <w:color w:val="auto"/>
          <w:highlight w:val="none"/>
        </w:rPr>
      </w:pPr>
    </w:p>
    <w:p w14:paraId="4555BC89">
      <w:pPr>
        <w:bidi w:val="0"/>
        <w:rPr>
          <w:rFonts w:hint="eastAsia"/>
          <w:color w:val="auto"/>
          <w:highlight w:val="none"/>
        </w:rPr>
      </w:pPr>
    </w:p>
    <w:p w14:paraId="5C158398">
      <w:pPr>
        <w:bidi w:val="0"/>
        <w:rPr>
          <w:rFonts w:hint="eastAsia"/>
          <w:color w:val="auto"/>
          <w:highlight w:val="none"/>
        </w:rPr>
      </w:pPr>
    </w:p>
    <w:p w14:paraId="7B5A9BA0">
      <w:pPr>
        <w:pStyle w:val="39"/>
        <w:widowControl w:val="0"/>
        <w:wordWrap w:val="0"/>
        <w:adjustRightInd w:val="0"/>
        <w:snapToGrid w:val="0"/>
        <w:spacing w:line="360" w:lineRule="auto"/>
        <w:ind w:firstLine="0"/>
        <w:jc w:val="center"/>
        <w:rPr>
          <w:rFonts w:hint="eastAsia" w:ascii="宋体" w:hAnsi="宋体" w:eastAsia="宋体" w:cs="宋体"/>
          <w:bCs/>
          <w:snapToGrid w:val="0"/>
          <w:color w:val="auto"/>
          <w:sz w:val="32"/>
          <w:highlight w:val="none"/>
        </w:rPr>
      </w:pPr>
      <w:r>
        <w:rPr>
          <w:rFonts w:hint="eastAsia" w:ascii="宋体" w:hAnsi="宋体" w:eastAsia="宋体" w:cs="宋体"/>
          <w:bCs/>
          <w:snapToGrid w:val="0"/>
          <w:color w:val="auto"/>
          <w:sz w:val="32"/>
          <w:highlight w:val="none"/>
        </w:rPr>
        <w:t>投标人：</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（盖单位章）</w:t>
      </w:r>
    </w:p>
    <w:p w14:paraId="215929E0">
      <w:pPr>
        <w:pStyle w:val="39"/>
        <w:widowControl w:val="0"/>
        <w:wordWrap w:val="0"/>
        <w:adjustRightInd w:val="0"/>
        <w:snapToGrid w:val="0"/>
        <w:spacing w:line="360" w:lineRule="auto"/>
        <w:ind w:firstLine="0"/>
        <w:jc w:val="center"/>
        <w:rPr>
          <w:rFonts w:hint="eastAsia" w:ascii="宋体" w:hAnsi="宋体" w:eastAsia="宋体" w:cs="宋体"/>
          <w:bCs/>
          <w:snapToGrid w:val="0"/>
          <w:color w:val="auto"/>
          <w:sz w:val="32"/>
          <w:highlight w:val="none"/>
        </w:rPr>
      </w:pPr>
    </w:p>
    <w:p w14:paraId="233B75EF">
      <w:pPr>
        <w:pStyle w:val="39"/>
        <w:widowControl w:val="0"/>
        <w:wordWrap w:val="0"/>
        <w:adjustRightInd w:val="0"/>
        <w:snapToGrid w:val="0"/>
        <w:spacing w:line="360" w:lineRule="auto"/>
        <w:ind w:firstLine="0"/>
        <w:jc w:val="center"/>
        <w:rPr>
          <w:rFonts w:hint="eastAsia" w:ascii="宋体" w:hAnsi="宋体" w:eastAsia="宋体" w:cs="宋体"/>
          <w:bCs/>
          <w:snapToGrid w:val="0"/>
          <w:color w:val="auto"/>
          <w:sz w:val="32"/>
          <w:highlight w:val="none"/>
        </w:rPr>
      </w:pPr>
    </w:p>
    <w:p w14:paraId="33AB8C63">
      <w:pPr>
        <w:pStyle w:val="39"/>
        <w:widowControl w:val="0"/>
        <w:wordWrap w:val="0"/>
        <w:adjustRightInd w:val="0"/>
        <w:snapToGrid w:val="0"/>
        <w:spacing w:line="360" w:lineRule="auto"/>
        <w:ind w:firstLine="0"/>
        <w:jc w:val="center"/>
        <w:rPr>
          <w:rFonts w:hint="eastAsia" w:ascii="宋体" w:hAnsi="宋体" w:eastAsia="宋体" w:cs="宋体"/>
          <w:bCs/>
          <w:snapToGrid w:val="0"/>
          <w:color w:val="auto"/>
          <w:sz w:val="32"/>
          <w:highlight w:val="none"/>
        </w:rPr>
      </w:pPr>
      <w:r>
        <w:rPr>
          <w:rFonts w:hint="eastAsia" w:ascii="宋体" w:hAnsi="宋体" w:eastAsia="宋体" w:cs="宋体"/>
          <w:bCs/>
          <w:snapToGrid w:val="0"/>
          <w:color w:val="auto"/>
          <w:sz w:val="32"/>
          <w:highlight w:val="none"/>
        </w:rPr>
        <w:t>法定代表人或其委托代理人：</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（签字或盖章）</w:t>
      </w:r>
    </w:p>
    <w:p w14:paraId="0E4534D8">
      <w:pPr>
        <w:pStyle w:val="39"/>
        <w:widowControl w:val="0"/>
        <w:wordWrap w:val="0"/>
        <w:adjustRightInd w:val="0"/>
        <w:snapToGrid w:val="0"/>
        <w:spacing w:line="360" w:lineRule="auto"/>
        <w:ind w:firstLine="0"/>
        <w:jc w:val="center"/>
        <w:rPr>
          <w:rFonts w:hint="eastAsia" w:ascii="宋体" w:hAnsi="宋体" w:eastAsia="宋体" w:cs="宋体"/>
          <w:bCs/>
          <w:snapToGrid w:val="0"/>
          <w:color w:val="auto"/>
          <w:sz w:val="32"/>
          <w:highlight w:val="none"/>
        </w:rPr>
      </w:pPr>
    </w:p>
    <w:p w14:paraId="37293E27">
      <w:pPr>
        <w:pStyle w:val="39"/>
        <w:widowControl w:val="0"/>
        <w:wordWrap w:val="0"/>
        <w:adjustRightInd w:val="0"/>
        <w:snapToGrid w:val="0"/>
        <w:spacing w:line="360" w:lineRule="auto"/>
        <w:ind w:firstLine="0"/>
        <w:jc w:val="center"/>
        <w:rPr>
          <w:rFonts w:hint="eastAsia" w:ascii="宋体" w:hAnsi="宋体" w:eastAsia="宋体" w:cs="宋体"/>
          <w:bCs/>
          <w:snapToGrid w:val="0"/>
          <w:color w:val="auto"/>
          <w:sz w:val="32"/>
          <w:highlight w:val="none"/>
          <w:u w:val="single"/>
        </w:rPr>
      </w:pPr>
    </w:p>
    <w:p w14:paraId="2496E2BB">
      <w:pPr>
        <w:pStyle w:val="39"/>
        <w:widowControl w:val="0"/>
        <w:wordWrap w:val="0"/>
        <w:adjustRightInd w:val="0"/>
        <w:snapToGrid w:val="0"/>
        <w:spacing w:line="360" w:lineRule="auto"/>
        <w:ind w:firstLine="0"/>
        <w:jc w:val="center"/>
        <w:rPr>
          <w:rFonts w:hint="eastAsia" w:ascii="宋体" w:hAnsi="宋体" w:eastAsia="宋体" w:cs="宋体"/>
          <w:b/>
          <w:snapToGrid w:val="0"/>
          <w:color w:val="auto"/>
          <w:highlight w:val="none"/>
        </w:rPr>
      </w:pP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年</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月</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日</w:t>
      </w:r>
    </w:p>
    <w:p w14:paraId="5A1606D9">
      <w:pPr>
        <w:bidi w:val="0"/>
        <w:rPr>
          <w:rFonts w:hint="eastAsia"/>
          <w:color w:val="auto"/>
          <w:highlight w:val="none"/>
        </w:rPr>
      </w:pPr>
    </w:p>
    <w:p w14:paraId="23E6A84C">
      <w:pPr>
        <w:outlineLvl w:val="9"/>
        <w:rPr>
          <w:rFonts w:hint="eastAsia"/>
          <w:color w:val="auto"/>
          <w:highlight w:val="none"/>
        </w:rPr>
      </w:pPr>
    </w:p>
    <w:p w14:paraId="5B28AB72">
      <w:pPr>
        <w:spacing w:line="223" w:lineRule="auto"/>
        <w:rPr>
          <w:rFonts w:hint="eastAsia" w:ascii="宋体" w:hAnsi="宋体" w:eastAsia="宋体" w:cs="宋体"/>
          <w:color w:val="auto"/>
          <w:sz w:val="47"/>
          <w:szCs w:val="47"/>
          <w:highlight w:val="none"/>
        </w:rPr>
        <w:sectPr>
          <w:footerReference r:id="rId13"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74A3B6A7">
      <w:pPr>
        <w:spacing w:before="78" w:line="220" w:lineRule="auto"/>
        <w:outlineLvl w:val="2"/>
        <w:rPr>
          <w:rFonts w:hint="eastAsia" w:ascii="宋体" w:hAnsi="宋体" w:eastAsia="宋体" w:cs="宋体"/>
          <w:b/>
          <w:bCs/>
          <w:color w:val="auto"/>
          <w:spacing w:val="-4"/>
          <w:sz w:val="24"/>
          <w:szCs w:val="24"/>
          <w:highlight w:val="none"/>
        </w:rPr>
      </w:pPr>
      <w:bookmarkStart w:id="221" w:name="_Toc24492"/>
      <w:r>
        <w:rPr>
          <w:rFonts w:hint="eastAsia" w:ascii="宋体" w:hAnsi="宋体" w:eastAsia="宋体" w:cs="宋体"/>
          <w:b/>
          <w:bCs/>
          <w:color w:val="auto"/>
          <w:spacing w:val="-4"/>
          <w:sz w:val="24"/>
          <w:szCs w:val="24"/>
          <w:highlight w:val="none"/>
        </w:rPr>
        <w:t>格式二 投标函</w:t>
      </w:r>
      <w:bookmarkEnd w:id="221"/>
    </w:p>
    <w:p w14:paraId="3A37F6C7">
      <w:pPr>
        <w:pStyle w:val="5"/>
        <w:spacing w:line="261" w:lineRule="auto"/>
        <w:rPr>
          <w:rFonts w:hint="eastAsia" w:ascii="宋体" w:hAnsi="宋体" w:eastAsia="宋体" w:cs="宋体"/>
          <w:color w:val="auto"/>
          <w:highlight w:val="none"/>
        </w:rPr>
      </w:pPr>
    </w:p>
    <w:p w14:paraId="45A81B1F">
      <w:pPr>
        <w:spacing w:before="97" w:line="221" w:lineRule="auto"/>
        <w:ind w:left="3799"/>
        <w:outlineLvl w:val="9"/>
        <w:rPr>
          <w:rFonts w:hint="eastAsia" w:ascii="宋体" w:hAnsi="宋体" w:eastAsia="宋体" w:cs="宋体"/>
          <w:color w:val="auto"/>
          <w:sz w:val="30"/>
          <w:szCs w:val="30"/>
          <w:highlight w:val="none"/>
        </w:rPr>
      </w:pPr>
      <w:bookmarkStart w:id="222" w:name="bookmark148"/>
      <w:bookmarkEnd w:id="222"/>
      <w:bookmarkStart w:id="223" w:name="_Toc27397"/>
      <w:bookmarkStart w:id="224" w:name="_Toc297"/>
      <w:bookmarkStart w:id="225" w:name="_Toc317"/>
      <w:r>
        <w:rPr>
          <w:rFonts w:hint="eastAsia" w:ascii="宋体" w:hAnsi="宋体" w:eastAsia="宋体" w:cs="宋体"/>
          <w:b/>
          <w:bCs/>
          <w:color w:val="auto"/>
          <w:spacing w:val="-13"/>
          <w:sz w:val="30"/>
          <w:szCs w:val="30"/>
          <w:highlight w:val="none"/>
        </w:rPr>
        <w:t>投</w:t>
      </w:r>
      <w:r>
        <w:rPr>
          <w:rFonts w:hint="eastAsia" w:ascii="宋体" w:hAnsi="宋体" w:eastAsia="宋体" w:cs="宋体"/>
          <w:color w:val="auto"/>
          <w:spacing w:val="6"/>
          <w:sz w:val="30"/>
          <w:szCs w:val="30"/>
          <w:highlight w:val="none"/>
        </w:rPr>
        <w:t xml:space="preserve">  </w:t>
      </w:r>
      <w:r>
        <w:rPr>
          <w:rFonts w:hint="eastAsia" w:ascii="宋体" w:hAnsi="宋体" w:eastAsia="宋体" w:cs="宋体"/>
          <w:b/>
          <w:bCs/>
          <w:color w:val="auto"/>
          <w:spacing w:val="-13"/>
          <w:sz w:val="30"/>
          <w:szCs w:val="30"/>
          <w:highlight w:val="none"/>
        </w:rPr>
        <w:t>标</w:t>
      </w:r>
      <w:r>
        <w:rPr>
          <w:rFonts w:hint="eastAsia" w:ascii="宋体" w:hAnsi="宋体" w:eastAsia="宋体" w:cs="宋体"/>
          <w:color w:val="auto"/>
          <w:spacing w:val="17"/>
          <w:sz w:val="30"/>
          <w:szCs w:val="30"/>
          <w:highlight w:val="none"/>
        </w:rPr>
        <w:t xml:space="preserve">  </w:t>
      </w:r>
      <w:r>
        <w:rPr>
          <w:rFonts w:hint="eastAsia" w:ascii="宋体" w:hAnsi="宋体" w:eastAsia="宋体" w:cs="宋体"/>
          <w:b/>
          <w:bCs/>
          <w:color w:val="auto"/>
          <w:spacing w:val="-13"/>
          <w:sz w:val="30"/>
          <w:szCs w:val="30"/>
          <w:highlight w:val="none"/>
        </w:rPr>
        <w:t>函</w:t>
      </w:r>
      <w:bookmarkEnd w:id="223"/>
      <w:bookmarkEnd w:id="224"/>
      <w:bookmarkEnd w:id="225"/>
    </w:p>
    <w:p w14:paraId="7874E16E">
      <w:pPr>
        <w:pStyle w:val="5"/>
        <w:spacing w:line="249" w:lineRule="auto"/>
        <w:rPr>
          <w:rFonts w:hint="eastAsia" w:ascii="宋体" w:hAnsi="宋体" w:eastAsia="宋体" w:cs="宋体"/>
          <w:color w:val="auto"/>
          <w:highlight w:val="none"/>
        </w:rPr>
      </w:pPr>
    </w:p>
    <w:p w14:paraId="75D83E64">
      <w:pPr>
        <w:pStyle w:val="5"/>
        <w:spacing w:line="250" w:lineRule="auto"/>
        <w:rPr>
          <w:rFonts w:hint="eastAsia" w:ascii="宋体" w:hAnsi="宋体" w:eastAsia="宋体" w:cs="宋体"/>
          <w:color w:val="auto"/>
          <w:highlight w:val="none"/>
        </w:rPr>
      </w:pPr>
    </w:p>
    <w:p w14:paraId="5FC5B2DC">
      <w:pPr>
        <w:pStyle w:val="5"/>
        <w:spacing w:line="250" w:lineRule="auto"/>
        <w:rPr>
          <w:rFonts w:hint="eastAsia" w:ascii="宋体" w:hAnsi="宋体" w:eastAsia="宋体" w:cs="宋体"/>
          <w:color w:val="auto"/>
          <w:highlight w:val="none"/>
        </w:rPr>
      </w:pPr>
    </w:p>
    <w:p w14:paraId="64EA3138">
      <w:pPr>
        <w:spacing w:before="78" w:line="221" w:lineRule="auto"/>
        <w:ind w:left="9"/>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致</w:t>
      </w:r>
      <w:r>
        <w:rPr>
          <w:rFonts w:hint="eastAsia" w:ascii="宋体" w:hAnsi="宋体" w:eastAsia="宋体" w:cs="宋体"/>
          <w:color w:val="auto"/>
          <w:spacing w:val="-30"/>
          <w:sz w:val="24"/>
          <w:szCs w:val="24"/>
          <w:highlight w:val="none"/>
        </w:rPr>
        <w:t>：</w:t>
      </w:r>
      <w:r>
        <w:rPr>
          <w:rFonts w:hint="eastAsia" w:ascii="宋体" w:hAnsi="宋体" w:eastAsia="宋体" w:cs="宋体"/>
          <w:color w:val="auto"/>
          <w:spacing w:val="-30"/>
          <w:sz w:val="24"/>
          <w:szCs w:val="24"/>
          <w:highlight w:val="none"/>
          <w:u w:val="single"/>
          <w:lang w:val="en-US" w:eastAsia="zh-CN"/>
        </w:rPr>
        <w:t xml:space="preserve">                    </w:t>
      </w:r>
      <w:r>
        <w:rPr>
          <w:rFonts w:hint="eastAsia" w:ascii="宋体" w:hAnsi="宋体" w:eastAsia="宋体" w:cs="宋体"/>
          <w:color w:val="auto"/>
          <w:spacing w:val="-30"/>
          <w:sz w:val="24"/>
          <w:szCs w:val="24"/>
          <w:highlight w:val="none"/>
        </w:rPr>
        <w:t>（</w:t>
      </w:r>
      <w:r>
        <w:rPr>
          <w:rFonts w:hint="eastAsia" w:ascii="宋体" w:hAnsi="宋体" w:eastAsia="宋体" w:cs="宋体"/>
          <w:color w:val="auto"/>
          <w:spacing w:val="7"/>
          <w:sz w:val="24"/>
          <w:szCs w:val="24"/>
          <w:highlight w:val="none"/>
        </w:rPr>
        <w:t>招标人名称）</w:t>
      </w:r>
    </w:p>
    <w:p w14:paraId="0506ED9A">
      <w:pPr>
        <w:pStyle w:val="5"/>
        <w:spacing w:before="156" w:line="328" w:lineRule="auto"/>
        <w:ind w:left="9" w:right="142" w:firstLine="589"/>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  我方考察现场并充分研究</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（项目名称</w:t>
      </w:r>
      <w:r>
        <w:rPr>
          <w:rFonts w:hint="eastAsia" w:ascii="宋体" w:hAnsi="宋体" w:eastAsia="宋体" w:cs="宋体"/>
          <w:color w:val="auto"/>
          <w:spacing w:val="-12"/>
          <w:sz w:val="24"/>
          <w:szCs w:val="24"/>
          <w:highlight w:val="none"/>
        </w:rPr>
        <w:t>）（</w:t>
      </w:r>
      <w:r>
        <w:rPr>
          <w:rFonts w:hint="eastAsia" w:ascii="宋体" w:hAnsi="宋体" w:eastAsia="宋体" w:cs="宋体"/>
          <w:color w:val="auto"/>
          <w:sz w:val="24"/>
          <w:szCs w:val="24"/>
          <w:highlight w:val="none"/>
        </w:rPr>
        <w:t>以下简称“本项目</w:t>
      </w:r>
      <w:r>
        <w:rPr>
          <w:rFonts w:hint="eastAsia" w:ascii="宋体" w:hAnsi="宋体" w:eastAsia="宋体" w:cs="宋体"/>
          <w:color w:val="auto"/>
          <w:spacing w:val="-85"/>
          <w:sz w:val="24"/>
          <w:szCs w:val="24"/>
          <w:highlight w:val="none"/>
        </w:rPr>
        <w:t xml:space="preserve"> </w:t>
      </w:r>
      <w:r>
        <w:rPr>
          <w:rFonts w:hint="eastAsia" w:ascii="宋体" w:hAnsi="宋体" w:eastAsia="宋体" w:cs="宋体"/>
          <w:color w:val="auto"/>
          <w:sz w:val="24"/>
          <w:szCs w:val="24"/>
          <w:highlight w:val="none"/>
        </w:rPr>
        <w:t>”）招标文件</w:t>
      </w:r>
      <w:r>
        <w:rPr>
          <w:rFonts w:hint="eastAsia" w:ascii="宋体" w:hAnsi="宋体" w:eastAsia="宋体" w:cs="宋体"/>
          <w:color w:val="auto"/>
          <w:spacing w:val="-2"/>
          <w:sz w:val="24"/>
          <w:szCs w:val="24"/>
          <w:highlight w:val="none"/>
        </w:rPr>
        <w:t>所有内容后，结合自身资质、能力和特点，愿意接受招标文件的全部内容和条件，兹以</w:t>
      </w:r>
      <w:r>
        <w:rPr>
          <w:rFonts w:hint="eastAsia" w:ascii="宋体" w:hAnsi="宋体" w:eastAsia="宋体" w:cs="宋体"/>
          <w:color w:val="auto"/>
          <w:spacing w:val="-5"/>
          <w:sz w:val="24"/>
          <w:szCs w:val="24"/>
          <w:highlight w:val="none"/>
        </w:rPr>
        <w:t>人民币（大写</w:t>
      </w:r>
      <w:r>
        <w:rPr>
          <w:rFonts w:hint="eastAsia" w:ascii="宋体" w:hAnsi="宋体" w:eastAsia="宋体" w:cs="宋体"/>
          <w:color w:val="auto"/>
          <w:spacing w:val="2"/>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pacing w:val="15"/>
          <w:sz w:val="24"/>
          <w:szCs w:val="24"/>
          <w:highlight w:val="none"/>
        </w:rPr>
        <w:t xml:space="preserve"> </w:t>
      </w:r>
      <w:r>
        <w:rPr>
          <w:rFonts w:hint="eastAsia" w:ascii="宋体" w:hAnsi="宋体" w:eastAsia="宋体" w:cs="宋体"/>
          <w:color w:val="auto"/>
          <w:spacing w:val="-5"/>
          <w:sz w:val="24"/>
          <w:szCs w:val="24"/>
          <w:highlight w:val="none"/>
        </w:rPr>
        <w:t>(¥</w:t>
      </w:r>
      <w:r>
        <w:rPr>
          <w:rFonts w:hint="eastAsia" w:ascii="宋体" w:hAnsi="宋体" w:eastAsia="宋体" w:cs="宋体"/>
          <w:color w:val="auto"/>
          <w:spacing w:val="-66"/>
          <w:sz w:val="24"/>
          <w:szCs w:val="24"/>
          <w:highlight w:val="none"/>
        </w:rPr>
        <w:t xml:space="preserve"> </w:t>
      </w:r>
      <w:r>
        <w:rPr>
          <w:rFonts w:hint="eastAsia" w:ascii="宋体" w:hAnsi="宋体" w:eastAsia="宋体" w:cs="宋体"/>
          <w:color w:val="auto"/>
          <w:spacing w:val="2"/>
          <w:sz w:val="24"/>
          <w:szCs w:val="24"/>
          <w:highlight w:val="none"/>
          <w:u w:val="single"/>
        </w:rPr>
        <w:t xml:space="preserve">       </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pacing w:val="-5"/>
          <w:sz w:val="24"/>
          <w:szCs w:val="24"/>
          <w:highlight w:val="none"/>
        </w:rPr>
        <w:t>)</w:t>
      </w:r>
      <w:r>
        <w:rPr>
          <w:rFonts w:hint="eastAsia" w:ascii="宋体" w:hAnsi="宋体" w:eastAsia="宋体" w:cs="宋体"/>
          <w:color w:val="auto"/>
          <w:spacing w:val="45"/>
          <w:sz w:val="24"/>
          <w:szCs w:val="24"/>
          <w:highlight w:val="none"/>
        </w:rPr>
        <w:t xml:space="preserve"> </w:t>
      </w:r>
      <w:r>
        <w:rPr>
          <w:rFonts w:hint="eastAsia" w:ascii="宋体" w:hAnsi="宋体" w:eastAsia="宋体" w:cs="宋体"/>
          <w:color w:val="auto"/>
          <w:spacing w:val="-5"/>
          <w:sz w:val="24"/>
          <w:szCs w:val="24"/>
          <w:highlight w:val="none"/>
        </w:rPr>
        <w:t>的投标总价竞投本项目施工。</w:t>
      </w:r>
    </w:p>
    <w:p w14:paraId="42232FD7">
      <w:pPr>
        <w:spacing w:before="39" w:line="323" w:lineRule="auto"/>
        <w:ind w:right="142" w:firstLine="579"/>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在我方的上述投标总价中，包括：</w:t>
      </w:r>
      <w:r>
        <w:rPr>
          <w:rFonts w:hint="eastAsia" w:ascii="宋体" w:hAnsi="宋体" w:eastAsia="宋体" w:cs="宋体"/>
          <w:color w:val="auto"/>
          <w:spacing w:val="-2"/>
          <w:sz w:val="24"/>
          <w:szCs w:val="24"/>
          <w:highlight w:val="none"/>
          <w:lang w:val="en-US" w:eastAsia="zh-CN"/>
        </w:rPr>
        <w:t>安全生产措施费</w:t>
      </w:r>
      <w:r>
        <w:rPr>
          <w:rFonts w:hint="eastAsia" w:ascii="宋体" w:hAnsi="宋体" w:eastAsia="宋体" w:cs="宋体"/>
          <w:color w:val="auto"/>
          <w:spacing w:val="-2"/>
          <w:sz w:val="24"/>
          <w:szCs w:val="24"/>
          <w:highlight w:val="none"/>
        </w:rPr>
        <w:t>¥</w:t>
      </w:r>
      <w:r>
        <w:rPr>
          <w:rFonts w:hint="eastAsia" w:ascii="宋体" w:hAnsi="宋体" w:eastAsia="宋体" w:cs="宋体"/>
          <w:color w:val="auto"/>
          <w:spacing w:val="-3"/>
          <w:sz w:val="24"/>
          <w:szCs w:val="24"/>
          <w:highlight w:val="none"/>
          <w:u w:val="single"/>
        </w:rPr>
        <w:t xml:space="preserve">                </w:t>
      </w:r>
      <w:r>
        <w:rPr>
          <w:rFonts w:hint="eastAsia" w:ascii="宋体" w:hAnsi="宋体" w:eastAsia="宋体" w:cs="宋体"/>
          <w:color w:val="auto"/>
          <w:spacing w:val="-3"/>
          <w:sz w:val="24"/>
          <w:szCs w:val="24"/>
          <w:highlight w:val="none"/>
          <w:u w:val="none"/>
          <w:lang w:eastAsia="zh-CN"/>
        </w:rPr>
        <w:t>；暂列金额</w:t>
      </w:r>
      <w:r>
        <w:rPr>
          <w:rFonts w:hint="eastAsia" w:ascii="宋体" w:hAnsi="宋体" w:eastAsia="宋体" w:cs="宋体"/>
          <w:color w:val="auto"/>
          <w:spacing w:val="-2"/>
          <w:sz w:val="24"/>
          <w:szCs w:val="24"/>
          <w:highlight w:val="none"/>
          <w:u w:val="none"/>
        </w:rPr>
        <w:t>¥</w:t>
      </w:r>
      <w:r>
        <w:rPr>
          <w:rFonts w:hint="eastAsia" w:ascii="宋体" w:hAnsi="宋体" w:eastAsia="宋体" w:cs="宋体"/>
          <w:color w:val="auto"/>
          <w:spacing w:val="-3"/>
          <w:sz w:val="24"/>
          <w:szCs w:val="24"/>
          <w:highlight w:val="none"/>
          <w:u w:val="single"/>
        </w:rPr>
        <w:t xml:space="preserve">                </w:t>
      </w:r>
      <w:r>
        <w:rPr>
          <w:rFonts w:hint="eastAsia" w:ascii="宋体" w:hAnsi="宋体" w:eastAsia="宋体" w:cs="宋体"/>
          <w:color w:val="auto"/>
          <w:spacing w:val="-3"/>
          <w:sz w:val="24"/>
          <w:szCs w:val="24"/>
          <w:highlight w:val="none"/>
          <w:u w:val="none"/>
          <w:lang w:eastAsia="zh-CN"/>
        </w:rPr>
        <w:t>；暂估价</w:t>
      </w:r>
      <w:r>
        <w:rPr>
          <w:rFonts w:hint="eastAsia" w:ascii="宋体" w:hAnsi="宋体" w:eastAsia="宋体" w:cs="宋体"/>
          <w:color w:val="auto"/>
          <w:spacing w:val="-2"/>
          <w:sz w:val="24"/>
          <w:szCs w:val="24"/>
          <w:highlight w:val="none"/>
        </w:rPr>
        <w:t>¥</w:t>
      </w:r>
      <w:r>
        <w:rPr>
          <w:rFonts w:hint="eastAsia" w:ascii="宋体" w:hAnsi="宋体" w:eastAsia="宋体" w:cs="宋体"/>
          <w:color w:val="auto"/>
          <w:spacing w:val="-3"/>
          <w:sz w:val="24"/>
          <w:szCs w:val="24"/>
          <w:highlight w:val="none"/>
          <w:u w:val="single"/>
        </w:rPr>
        <w:t xml:space="preserve">                </w:t>
      </w:r>
      <w:r>
        <w:rPr>
          <w:rFonts w:hint="eastAsia" w:ascii="宋体" w:hAnsi="宋体" w:eastAsia="宋体" w:cs="宋体"/>
          <w:color w:val="auto"/>
          <w:spacing w:val="-8"/>
          <w:sz w:val="24"/>
          <w:szCs w:val="24"/>
          <w:highlight w:val="none"/>
        </w:rPr>
        <w:t>。</w:t>
      </w:r>
    </w:p>
    <w:p w14:paraId="50640A5A">
      <w:pPr>
        <w:spacing w:before="38" w:line="280" w:lineRule="auto"/>
        <w:ind w:left="13" w:right="142" w:firstLine="562"/>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  如果我方中标，我方保证按照合同约定的开工日期开始本项目的施工</w:t>
      </w:r>
      <w:r>
        <w:rPr>
          <w:rFonts w:hint="eastAsia" w:ascii="宋体" w:hAnsi="宋体" w:eastAsia="宋体" w:cs="宋体"/>
          <w:color w:val="auto"/>
          <w:sz w:val="24"/>
          <w:szCs w:val="24"/>
          <w:highlight w:val="none"/>
        </w:rPr>
        <w:t>，</w:t>
      </w:r>
      <w:bookmarkStart w:id="226" w:name="OLE_LINK34"/>
      <w:r>
        <w:rPr>
          <w:rFonts w:hint="eastAsia" w:ascii="宋体" w:hAnsi="宋体" w:eastAsia="宋体" w:cs="宋体"/>
          <w:color w:val="auto"/>
          <w:sz w:val="24"/>
          <w:szCs w:val="24"/>
          <w:highlight w:val="none"/>
          <w:u w:val="single"/>
          <w:lang w:val="en-US" w:eastAsia="zh-CN"/>
        </w:rPr>
        <w:t xml:space="preserve">     </w:t>
      </w:r>
      <w:bookmarkEnd w:id="226"/>
      <w:r>
        <w:rPr>
          <w:rFonts w:hint="eastAsia" w:ascii="宋体" w:hAnsi="宋体" w:eastAsia="宋体" w:cs="宋体"/>
          <w:color w:val="auto"/>
          <w:sz w:val="24"/>
          <w:szCs w:val="24"/>
          <w:highlight w:val="none"/>
        </w:rPr>
        <w:t>个日历</w:t>
      </w:r>
      <w:r>
        <w:rPr>
          <w:rFonts w:hint="eastAsia" w:ascii="宋体" w:hAnsi="宋体" w:eastAsia="宋体" w:cs="宋体"/>
          <w:color w:val="auto"/>
          <w:spacing w:val="-1"/>
          <w:sz w:val="24"/>
          <w:szCs w:val="24"/>
          <w:highlight w:val="none"/>
        </w:rPr>
        <w:t>天内竣工，并确保工程质量达到</w:t>
      </w:r>
      <w:r>
        <w:rPr>
          <w:rFonts w:hint="eastAsia" w:ascii="宋体" w:hAnsi="宋体" w:eastAsia="宋体" w:cs="宋体"/>
          <w:color w:val="auto"/>
          <w:spacing w:val="-1"/>
          <w:sz w:val="24"/>
          <w:szCs w:val="24"/>
          <w:highlight w:val="none"/>
          <w:u w:val="single"/>
          <w:lang w:val="en-US" w:eastAsia="zh-CN"/>
        </w:rPr>
        <w:t xml:space="preserve">     </w:t>
      </w:r>
      <w:r>
        <w:rPr>
          <w:rFonts w:hint="eastAsia" w:ascii="宋体" w:hAnsi="宋体" w:eastAsia="宋体" w:cs="宋体"/>
          <w:color w:val="auto"/>
          <w:spacing w:val="-1"/>
          <w:sz w:val="24"/>
          <w:szCs w:val="24"/>
          <w:highlight w:val="none"/>
        </w:rPr>
        <w:t>标准和维修其中的任何缺陷。</w:t>
      </w:r>
    </w:p>
    <w:p w14:paraId="63DC731F">
      <w:pPr>
        <w:spacing w:before="152" w:line="279" w:lineRule="auto"/>
        <w:ind w:left="11" w:right="142" w:firstLine="568"/>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  本投标函在你方接收我方递交的投标文件之日起、到招标</w:t>
      </w:r>
      <w:r>
        <w:rPr>
          <w:rFonts w:hint="eastAsia" w:ascii="宋体" w:hAnsi="宋体" w:eastAsia="宋体" w:cs="宋体"/>
          <w:color w:val="auto"/>
          <w:sz w:val="24"/>
          <w:szCs w:val="24"/>
          <w:highlight w:val="none"/>
        </w:rPr>
        <w:t>文件规定的投标有效</w:t>
      </w:r>
      <w:r>
        <w:rPr>
          <w:rFonts w:hint="eastAsia" w:ascii="宋体" w:hAnsi="宋体" w:eastAsia="宋体" w:cs="宋体"/>
          <w:color w:val="auto"/>
          <w:spacing w:val="-1"/>
          <w:sz w:val="24"/>
          <w:szCs w:val="24"/>
          <w:highlight w:val="none"/>
        </w:rPr>
        <w:t>期期满前对我方具有约束力。我方随时准备接受你方发出的中标通知书。</w:t>
      </w:r>
    </w:p>
    <w:p w14:paraId="12CDD9D6">
      <w:pPr>
        <w:spacing w:before="156" w:line="279" w:lineRule="auto"/>
        <w:ind w:left="11" w:right="61" w:firstLine="56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z w:val="24"/>
          <w:szCs w:val="24"/>
          <w:highlight w:val="none"/>
        </w:rPr>
        <w:t>．我方在此声明，我方不存在本项目招标</w:t>
      </w:r>
      <w:r>
        <w:rPr>
          <w:rFonts w:hint="eastAsia" w:ascii="宋体" w:hAnsi="宋体" w:eastAsia="宋体" w:cs="宋体"/>
          <w:color w:val="auto"/>
          <w:spacing w:val="-1"/>
          <w:sz w:val="24"/>
          <w:szCs w:val="24"/>
          <w:highlight w:val="none"/>
        </w:rPr>
        <w:t>文件第一章第三节第</w:t>
      </w:r>
      <w:r>
        <w:rPr>
          <w:rFonts w:hint="eastAsia" w:ascii="宋体" w:hAnsi="宋体" w:eastAsia="宋体" w:cs="宋体"/>
          <w:color w:val="auto"/>
          <w:spacing w:val="-55"/>
          <w:sz w:val="24"/>
          <w:szCs w:val="24"/>
          <w:highlight w:val="none"/>
        </w:rPr>
        <w:t xml:space="preserve"> </w:t>
      </w:r>
      <w:r>
        <w:rPr>
          <w:rFonts w:hint="eastAsia" w:ascii="宋体" w:hAnsi="宋体" w:eastAsia="宋体" w:cs="宋体"/>
          <w:b/>
          <w:bCs/>
          <w:color w:val="auto"/>
          <w:spacing w:val="-1"/>
          <w:sz w:val="24"/>
          <w:szCs w:val="24"/>
          <w:highlight w:val="none"/>
        </w:rPr>
        <w:t>2.4</w:t>
      </w:r>
      <w:r>
        <w:rPr>
          <w:rFonts w:hint="eastAsia" w:ascii="宋体" w:hAnsi="宋体" w:eastAsia="宋体" w:cs="宋体"/>
          <w:b/>
          <w:bCs/>
          <w:color w:val="auto"/>
          <w:spacing w:val="16"/>
          <w:w w:val="101"/>
          <w:sz w:val="24"/>
          <w:szCs w:val="24"/>
          <w:highlight w:val="none"/>
        </w:rPr>
        <w:t xml:space="preserve"> </w:t>
      </w:r>
      <w:r>
        <w:rPr>
          <w:rFonts w:hint="eastAsia" w:ascii="宋体" w:hAnsi="宋体" w:eastAsia="宋体" w:cs="宋体"/>
          <w:color w:val="auto"/>
          <w:spacing w:val="-1"/>
          <w:sz w:val="24"/>
          <w:szCs w:val="24"/>
          <w:highlight w:val="none"/>
        </w:rPr>
        <w:t>条“禁止投标</w:t>
      </w:r>
      <w:r>
        <w:rPr>
          <w:rFonts w:hint="eastAsia" w:ascii="宋体" w:hAnsi="宋体" w:eastAsia="宋体" w:cs="宋体"/>
          <w:color w:val="auto"/>
          <w:spacing w:val="-6"/>
          <w:sz w:val="24"/>
          <w:szCs w:val="24"/>
          <w:highlight w:val="none"/>
        </w:rPr>
        <w:t>条款</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6"/>
          <w:sz w:val="24"/>
          <w:szCs w:val="24"/>
          <w:highlight w:val="none"/>
        </w:rPr>
        <w:t>”所列出的任何一种情形，并愿意承担因我</w:t>
      </w:r>
      <w:r>
        <w:rPr>
          <w:rFonts w:hint="eastAsia" w:ascii="宋体" w:hAnsi="宋体" w:eastAsia="宋体" w:cs="宋体"/>
          <w:color w:val="auto"/>
          <w:spacing w:val="-7"/>
          <w:sz w:val="24"/>
          <w:szCs w:val="24"/>
          <w:highlight w:val="none"/>
        </w:rPr>
        <w:t>方就此弄虚作假所引起的一切法律后果。</w:t>
      </w:r>
    </w:p>
    <w:p w14:paraId="69028085">
      <w:pPr>
        <w:spacing w:before="153" w:line="280" w:lineRule="auto"/>
        <w:ind w:left="9" w:right="142" w:firstLine="573"/>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5</w:t>
      </w:r>
      <w:r>
        <w:rPr>
          <w:rFonts w:hint="eastAsia" w:ascii="宋体" w:hAnsi="宋体" w:eastAsia="宋体" w:cs="宋体"/>
          <w:color w:val="auto"/>
          <w:spacing w:val="-20"/>
          <w:sz w:val="24"/>
          <w:szCs w:val="24"/>
          <w:highlight w:val="none"/>
        </w:rPr>
        <w:t xml:space="preserve"> </w:t>
      </w:r>
      <w:r>
        <w:rPr>
          <w:rFonts w:hint="eastAsia" w:ascii="宋体" w:hAnsi="宋体" w:eastAsia="宋体" w:cs="宋体"/>
          <w:color w:val="auto"/>
          <w:spacing w:val="-2"/>
          <w:sz w:val="24"/>
          <w:szCs w:val="24"/>
          <w:highlight w:val="none"/>
        </w:rPr>
        <w:t>．我方在此承诺，所递交投标文件的全部内容均为真实、有效、准确的，并愿意承担因我方就此弄虚作假所引起的一切法律后果，同时理解和同意有可能被要求提供更</w:t>
      </w:r>
    </w:p>
    <w:p w14:paraId="4D86EAF2">
      <w:pPr>
        <w:spacing w:before="153" w:line="221" w:lineRule="auto"/>
        <w:ind w:left="20"/>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多的资料。</w:t>
      </w:r>
    </w:p>
    <w:p w14:paraId="47668C44">
      <w:pPr>
        <w:spacing w:before="153" w:line="326" w:lineRule="auto"/>
        <w:ind w:left="13" w:firstLine="56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6.  我方理解你方不一定要接纳收到的最低投标总价或任何投标总价的投标人中标，</w:t>
      </w:r>
      <w:r>
        <w:rPr>
          <w:rFonts w:hint="eastAsia" w:ascii="宋体" w:hAnsi="宋体" w:eastAsia="宋体" w:cs="宋体"/>
          <w:color w:val="auto"/>
          <w:spacing w:val="-1"/>
          <w:sz w:val="24"/>
          <w:szCs w:val="24"/>
          <w:highlight w:val="none"/>
        </w:rPr>
        <w:t>也不要求你方解释我方是否中标的原因。</w:t>
      </w:r>
    </w:p>
    <w:p w14:paraId="13B4F1F2">
      <w:pPr>
        <w:pStyle w:val="5"/>
        <w:spacing w:line="276" w:lineRule="auto"/>
        <w:rPr>
          <w:rFonts w:hint="eastAsia" w:ascii="宋体" w:hAnsi="宋体" w:eastAsia="宋体" w:cs="宋体"/>
          <w:color w:val="auto"/>
          <w:highlight w:val="none"/>
        </w:rPr>
      </w:pPr>
    </w:p>
    <w:p w14:paraId="1831F436">
      <w:pPr>
        <w:pStyle w:val="5"/>
        <w:spacing w:line="277" w:lineRule="auto"/>
        <w:rPr>
          <w:rFonts w:hint="eastAsia" w:ascii="宋体" w:hAnsi="宋体" w:eastAsia="宋体" w:cs="宋体"/>
          <w:color w:val="auto"/>
          <w:highlight w:val="none"/>
        </w:rPr>
      </w:pPr>
    </w:p>
    <w:p w14:paraId="3AC7C5A8">
      <w:pPr>
        <w:pStyle w:val="5"/>
        <w:spacing w:line="277" w:lineRule="auto"/>
        <w:rPr>
          <w:rFonts w:hint="eastAsia" w:ascii="宋体" w:hAnsi="宋体" w:eastAsia="宋体" w:cs="宋体"/>
          <w:color w:val="auto"/>
          <w:highlight w:val="none"/>
        </w:rPr>
      </w:pPr>
    </w:p>
    <w:p w14:paraId="21D36DDF">
      <w:pPr>
        <w:spacing w:before="79" w:line="219" w:lineRule="auto"/>
        <w:ind w:firstLine="5856" w:firstLineChars="2400"/>
        <w:jc w:val="both"/>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投标人</w:t>
      </w:r>
      <w:r>
        <w:rPr>
          <w:rFonts w:hint="eastAsia" w:ascii="宋体" w:hAnsi="宋体" w:eastAsia="宋体" w:cs="宋体"/>
          <w:color w:val="auto"/>
          <w:spacing w:val="-15"/>
          <w:sz w:val="24"/>
          <w:szCs w:val="24"/>
          <w:highlight w:val="none"/>
        </w:rPr>
        <w:t>：</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u w:val="single"/>
          <w:lang w:val="en-US" w:eastAsia="zh-CN"/>
        </w:rPr>
        <w:t xml:space="preserve">       </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color w:val="auto"/>
          <w:spacing w:val="-15"/>
          <w:sz w:val="24"/>
          <w:szCs w:val="24"/>
          <w:highlight w:val="none"/>
        </w:rPr>
        <w:t>（（</w:t>
      </w:r>
      <w:r>
        <w:rPr>
          <w:rFonts w:hint="eastAsia" w:ascii="宋体" w:hAnsi="宋体" w:eastAsia="宋体" w:cs="宋体"/>
          <w:color w:val="auto"/>
          <w:spacing w:val="2"/>
          <w:sz w:val="24"/>
          <w:szCs w:val="24"/>
          <w:highlight w:val="none"/>
        </w:rPr>
        <w:t>盖单位章）</w:t>
      </w:r>
    </w:p>
    <w:p w14:paraId="78B3688F">
      <w:pPr>
        <w:pStyle w:val="5"/>
        <w:spacing w:line="256" w:lineRule="auto"/>
        <w:jc w:val="right"/>
        <w:rPr>
          <w:rFonts w:hint="eastAsia" w:ascii="宋体" w:hAnsi="宋体" w:eastAsia="宋体" w:cs="宋体"/>
          <w:color w:val="auto"/>
          <w:highlight w:val="none"/>
        </w:rPr>
      </w:pPr>
    </w:p>
    <w:p w14:paraId="357977FD">
      <w:pPr>
        <w:pStyle w:val="5"/>
        <w:spacing w:line="256" w:lineRule="auto"/>
        <w:jc w:val="right"/>
        <w:rPr>
          <w:rFonts w:hint="eastAsia" w:ascii="宋体" w:hAnsi="宋体" w:eastAsia="宋体" w:cs="宋体"/>
          <w:color w:val="auto"/>
          <w:highlight w:val="none"/>
        </w:rPr>
      </w:pPr>
    </w:p>
    <w:p w14:paraId="053292DD">
      <w:pPr>
        <w:spacing w:before="78" w:line="219" w:lineRule="auto"/>
        <w:ind w:left="3922"/>
        <w:jc w:val="right"/>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法定代表人或其委托代理人</w:t>
      </w:r>
      <w:r>
        <w:rPr>
          <w:rFonts w:hint="eastAsia" w:ascii="宋体" w:hAnsi="宋体" w:eastAsia="宋体" w:cs="宋体"/>
          <w:color w:val="auto"/>
          <w:spacing w:val="-15"/>
          <w:sz w:val="24"/>
          <w:szCs w:val="24"/>
          <w:highlight w:val="none"/>
        </w:rPr>
        <w:t>：</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color w:val="auto"/>
          <w:spacing w:val="-15"/>
          <w:sz w:val="24"/>
          <w:szCs w:val="24"/>
          <w:highlight w:val="none"/>
        </w:rPr>
        <w:t>（（</w:t>
      </w:r>
      <w:r>
        <w:rPr>
          <w:rFonts w:hint="eastAsia" w:ascii="宋体" w:hAnsi="宋体" w:eastAsia="宋体" w:cs="宋体"/>
          <w:color w:val="auto"/>
          <w:spacing w:val="1"/>
          <w:sz w:val="24"/>
          <w:szCs w:val="24"/>
          <w:highlight w:val="none"/>
        </w:rPr>
        <w:t>签字或盖章）</w:t>
      </w:r>
    </w:p>
    <w:p w14:paraId="6662D32F">
      <w:pPr>
        <w:pStyle w:val="5"/>
        <w:spacing w:line="257" w:lineRule="auto"/>
        <w:rPr>
          <w:rFonts w:hint="eastAsia" w:ascii="宋体" w:hAnsi="宋体" w:eastAsia="宋体" w:cs="宋体"/>
          <w:color w:val="auto"/>
          <w:highlight w:val="none"/>
        </w:rPr>
      </w:pPr>
    </w:p>
    <w:p w14:paraId="070C60B1">
      <w:pPr>
        <w:pStyle w:val="5"/>
        <w:spacing w:line="257" w:lineRule="auto"/>
        <w:rPr>
          <w:rFonts w:hint="eastAsia" w:ascii="宋体" w:hAnsi="宋体" w:eastAsia="宋体" w:cs="宋体"/>
          <w:color w:val="auto"/>
          <w:highlight w:val="none"/>
        </w:rPr>
      </w:pPr>
    </w:p>
    <w:p w14:paraId="34941473">
      <w:pPr>
        <w:spacing w:before="79" w:line="220" w:lineRule="auto"/>
        <w:ind w:left="6970"/>
        <w:jc w:val="right"/>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color w:val="auto"/>
          <w:spacing w:val="-9"/>
          <w:sz w:val="24"/>
          <w:szCs w:val="24"/>
          <w:highlight w:val="none"/>
        </w:rPr>
        <w:t>年</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color w:val="auto"/>
          <w:spacing w:val="-9"/>
          <w:sz w:val="24"/>
          <w:szCs w:val="24"/>
          <w:highlight w:val="none"/>
        </w:rPr>
        <w:t>月</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color w:val="auto"/>
          <w:spacing w:val="-9"/>
          <w:sz w:val="24"/>
          <w:szCs w:val="24"/>
          <w:highlight w:val="none"/>
        </w:rPr>
        <w:t>日</w:t>
      </w:r>
    </w:p>
    <w:p w14:paraId="533951B9">
      <w:pPr>
        <w:spacing w:line="220" w:lineRule="auto"/>
        <w:rPr>
          <w:rFonts w:hint="eastAsia" w:ascii="宋体" w:hAnsi="宋体" w:eastAsia="宋体" w:cs="宋体"/>
          <w:color w:val="auto"/>
          <w:sz w:val="24"/>
          <w:szCs w:val="24"/>
          <w:highlight w:val="none"/>
        </w:rPr>
        <w:sectPr>
          <w:footerReference r:id="rId14"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445A9343">
      <w:pPr>
        <w:spacing w:before="78" w:line="220" w:lineRule="auto"/>
        <w:outlineLvl w:val="2"/>
        <w:rPr>
          <w:rFonts w:hint="eastAsia" w:ascii="宋体" w:hAnsi="宋体" w:eastAsia="宋体" w:cs="宋体"/>
          <w:b/>
          <w:bCs/>
          <w:color w:val="auto"/>
          <w:spacing w:val="-4"/>
          <w:sz w:val="24"/>
          <w:szCs w:val="24"/>
          <w:highlight w:val="none"/>
        </w:rPr>
      </w:pPr>
      <w:bookmarkStart w:id="227" w:name="_Toc15958"/>
      <w:r>
        <w:rPr>
          <w:rFonts w:hint="eastAsia" w:ascii="宋体" w:hAnsi="宋体" w:eastAsia="宋体" w:cs="宋体"/>
          <w:b/>
          <w:bCs/>
          <w:color w:val="auto"/>
          <w:spacing w:val="-4"/>
          <w:sz w:val="24"/>
          <w:szCs w:val="24"/>
          <w:highlight w:val="none"/>
        </w:rPr>
        <w:t>格式三 各项承诺一览表</w:t>
      </w:r>
      <w:bookmarkEnd w:id="227"/>
    </w:p>
    <w:p w14:paraId="0D7CCACD">
      <w:pPr>
        <w:pStyle w:val="5"/>
        <w:spacing w:line="254" w:lineRule="auto"/>
        <w:rPr>
          <w:rFonts w:hint="eastAsia" w:ascii="宋体" w:hAnsi="宋体" w:eastAsia="宋体" w:cs="宋体"/>
          <w:color w:val="auto"/>
          <w:highlight w:val="none"/>
        </w:rPr>
      </w:pPr>
    </w:p>
    <w:p w14:paraId="4A57AF5C">
      <w:pPr>
        <w:spacing w:before="98" w:line="220" w:lineRule="auto"/>
        <w:ind w:left="3581"/>
        <w:outlineLvl w:val="9"/>
        <w:rPr>
          <w:rFonts w:hint="eastAsia" w:ascii="宋体" w:hAnsi="宋体" w:eastAsia="宋体" w:cs="宋体"/>
          <w:color w:val="auto"/>
          <w:sz w:val="30"/>
          <w:szCs w:val="30"/>
          <w:highlight w:val="none"/>
        </w:rPr>
      </w:pPr>
      <w:bookmarkStart w:id="228" w:name="bookmark149"/>
      <w:bookmarkEnd w:id="228"/>
      <w:bookmarkStart w:id="229" w:name="_Toc2936"/>
      <w:bookmarkStart w:id="230" w:name="_Toc4767"/>
      <w:bookmarkStart w:id="231" w:name="_Toc10326"/>
      <w:r>
        <w:rPr>
          <w:rFonts w:hint="eastAsia" w:ascii="宋体" w:hAnsi="宋体" w:eastAsia="宋体" w:cs="宋体"/>
          <w:b/>
          <w:bCs/>
          <w:color w:val="auto"/>
          <w:spacing w:val="-5"/>
          <w:sz w:val="30"/>
          <w:szCs w:val="30"/>
          <w:highlight w:val="none"/>
        </w:rPr>
        <w:t>各项承诺一览表</w:t>
      </w:r>
      <w:bookmarkEnd w:id="229"/>
      <w:bookmarkEnd w:id="230"/>
      <w:bookmarkEnd w:id="231"/>
    </w:p>
    <w:p w14:paraId="1040ACDB">
      <w:pPr>
        <w:spacing w:before="6"/>
        <w:rPr>
          <w:rFonts w:hint="eastAsia" w:ascii="宋体" w:hAnsi="宋体" w:eastAsia="宋体" w:cs="宋体"/>
          <w:color w:val="auto"/>
          <w:highlight w:val="none"/>
        </w:rPr>
      </w:pPr>
    </w:p>
    <w:tbl>
      <w:tblPr>
        <w:tblStyle w:val="14"/>
        <w:tblW w:w="981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4"/>
        <w:gridCol w:w="1675"/>
        <w:gridCol w:w="3107"/>
        <w:gridCol w:w="4272"/>
      </w:tblGrid>
      <w:tr w14:paraId="284FBB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64" w:type="dxa"/>
            <w:vAlign w:val="top"/>
          </w:tcPr>
          <w:p w14:paraId="43AFBAA6">
            <w:pPr>
              <w:keepNext w:val="0"/>
              <w:keepLines w:val="0"/>
              <w:pageBreakBefore w:val="0"/>
              <w:widowControl/>
              <w:kinsoku w:val="0"/>
              <w:wordWrap/>
              <w:overflowPunct/>
              <w:topLinePunct w:val="0"/>
              <w:autoSpaceDE w:val="0"/>
              <w:autoSpaceDN w:val="0"/>
              <w:bidi w:val="0"/>
              <w:adjustRightInd w:val="0"/>
              <w:snapToGrid w:val="0"/>
              <w:spacing w:before="209" w:line="288" w:lineRule="auto"/>
              <w:ind w:left="126"/>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序号</w:t>
            </w:r>
          </w:p>
        </w:tc>
        <w:tc>
          <w:tcPr>
            <w:tcW w:w="1675" w:type="dxa"/>
            <w:vAlign w:val="top"/>
          </w:tcPr>
          <w:p w14:paraId="3932ED98">
            <w:pPr>
              <w:keepNext w:val="0"/>
              <w:keepLines w:val="0"/>
              <w:pageBreakBefore w:val="0"/>
              <w:widowControl/>
              <w:kinsoku w:val="0"/>
              <w:wordWrap/>
              <w:overflowPunct/>
              <w:topLinePunct w:val="0"/>
              <w:autoSpaceDE w:val="0"/>
              <w:autoSpaceDN w:val="0"/>
              <w:bidi w:val="0"/>
              <w:adjustRightInd w:val="0"/>
              <w:snapToGrid w:val="0"/>
              <w:spacing w:before="208" w:line="288" w:lineRule="auto"/>
              <w:ind w:left="31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承诺事项</w:t>
            </w:r>
          </w:p>
        </w:tc>
        <w:tc>
          <w:tcPr>
            <w:tcW w:w="3107" w:type="dxa"/>
            <w:vAlign w:val="top"/>
          </w:tcPr>
          <w:p w14:paraId="6926247B">
            <w:pPr>
              <w:keepNext w:val="0"/>
              <w:keepLines w:val="0"/>
              <w:pageBreakBefore w:val="0"/>
              <w:widowControl/>
              <w:kinsoku w:val="0"/>
              <w:wordWrap/>
              <w:overflowPunct/>
              <w:topLinePunct w:val="0"/>
              <w:autoSpaceDE w:val="0"/>
              <w:autoSpaceDN w:val="0"/>
              <w:bidi w:val="0"/>
              <w:adjustRightInd w:val="0"/>
              <w:snapToGrid w:val="0"/>
              <w:spacing w:before="209" w:line="288" w:lineRule="auto"/>
              <w:ind w:left="987"/>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承诺内容</w:t>
            </w:r>
          </w:p>
        </w:tc>
        <w:tc>
          <w:tcPr>
            <w:tcW w:w="4272" w:type="dxa"/>
            <w:vAlign w:val="top"/>
          </w:tcPr>
          <w:p w14:paraId="19484B26">
            <w:pPr>
              <w:keepNext w:val="0"/>
              <w:keepLines w:val="0"/>
              <w:pageBreakBefore w:val="0"/>
              <w:widowControl/>
              <w:kinsoku w:val="0"/>
              <w:wordWrap/>
              <w:overflowPunct/>
              <w:topLinePunct w:val="0"/>
              <w:autoSpaceDE w:val="0"/>
              <w:autoSpaceDN w:val="0"/>
              <w:bidi w:val="0"/>
              <w:adjustRightInd w:val="0"/>
              <w:snapToGrid w:val="0"/>
              <w:spacing w:before="209" w:line="288" w:lineRule="auto"/>
              <w:ind w:left="1537"/>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违约承诺</w:t>
            </w:r>
          </w:p>
        </w:tc>
      </w:tr>
      <w:tr w14:paraId="56FAD1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64" w:type="dxa"/>
            <w:vAlign w:val="top"/>
          </w:tcPr>
          <w:p w14:paraId="0E6E63E4">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5968E03B">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0F6DB51F">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00368CE1">
            <w:pPr>
              <w:keepNext w:val="0"/>
              <w:keepLines w:val="0"/>
              <w:pageBreakBefore w:val="0"/>
              <w:widowControl/>
              <w:kinsoku w:val="0"/>
              <w:wordWrap/>
              <w:overflowPunct/>
              <w:topLinePunct w:val="0"/>
              <w:autoSpaceDE w:val="0"/>
              <w:autoSpaceDN w:val="0"/>
              <w:bidi w:val="0"/>
              <w:adjustRightInd w:val="0"/>
              <w:snapToGrid w:val="0"/>
              <w:spacing w:before="58" w:line="288" w:lineRule="auto"/>
              <w:ind w:left="328"/>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675" w:type="dxa"/>
            <w:vAlign w:val="top"/>
          </w:tcPr>
          <w:p w14:paraId="1A6424C5">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09254A2E">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693C2F8C">
            <w:pPr>
              <w:keepNext w:val="0"/>
              <w:keepLines w:val="0"/>
              <w:pageBreakBefore w:val="0"/>
              <w:widowControl/>
              <w:kinsoku w:val="0"/>
              <w:wordWrap/>
              <w:overflowPunct/>
              <w:topLinePunct w:val="0"/>
              <w:autoSpaceDE w:val="0"/>
              <w:autoSpaceDN w:val="0"/>
              <w:bidi w:val="0"/>
              <w:adjustRightInd w:val="0"/>
              <w:snapToGrid w:val="0"/>
              <w:spacing w:before="65" w:line="288" w:lineRule="auto"/>
              <w:ind w:left="57" w:right="50" w:firstLine="135"/>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自愿接受招标</w:t>
            </w:r>
            <w:r>
              <w:rPr>
                <w:rFonts w:hint="eastAsia" w:ascii="宋体" w:hAnsi="宋体" w:eastAsia="宋体" w:cs="宋体"/>
                <w:color w:val="auto"/>
                <w:spacing w:val="8"/>
                <w:sz w:val="24"/>
                <w:szCs w:val="24"/>
                <w:highlight w:val="none"/>
              </w:rPr>
              <w:t>文件条款的承诺</w:t>
            </w:r>
          </w:p>
        </w:tc>
        <w:tc>
          <w:tcPr>
            <w:tcW w:w="3107" w:type="dxa"/>
            <w:vAlign w:val="top"/>
          </w:tcPr>
          <w:p w14:paraId="17F8556B">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508CCBC6">
            <w:pPr>
              <w:keepNext w:val="0"/>
              <w:keepLines w:val="0"/>
              <w:pageBreakBefore w:val="0"/>
              <w:widowControl/>
              <w:kinsoku w:val="0"/>
              <w:wordWrap/>
              <w:overflowPunct/>
              <w:topLinePunct w:val="0"/>
              <w:autoSpaceDE w:val="0"/>
              <w:autoSpaceDN w:val="0"/>
              <w:bidi w:val="0"/>
              <w:adjustRightInd w:val="0"/>
              <w:snapToGrid w:val="0"/>
              <w:spacing w:before="65" w:line="288" w:lineRule="auto"/>
              <w:ind w:left="10" w:right="2" w:firstLine="421"/>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5"/>
                <w:sz w:val="24"/>
                <w:szCs w:val="24"/>
                <w:highlight w:val="none"/>
              </w:rPr>
              <w:t>我方自愿接受招标文件的</w:t>
            </w:r>
            <w:r>
              <w:rPr>
                <w:rFonts w:hint="eastAsia" w:ascii="宋体" w:hAnsi="宋体" w:eastAsia="宋体" w:cs="宋体"/>
                <w:color w:val="auto"/>
                <w:spacing w:val="7"/>
                <w:sz w:val="24"/>
                <w:szCs w:val="24"/>
                <w:highlight w:val="none"/>
              </w:rPr>
              <w:t>所有条款，所递交的投标文件已</w:t>
            </w:r>
            <w:r>
              <w:rPr>
                <w:rFonts w:hint="eastAsia" w:ascii="宋体" w:hAnsi="宋体" w:eastAsia="宋体" w:cs="宋体"/>
                <w:color w:val="auto"/>
                <w:spacing w:val="4"/>
                <w:sz w:val="24"/>
                <w:szCs w:val="24"/>
                <w:highlight w:val="none"/>
              </w:rPr>
              <w:t xml:space="preserve"> </w:t>
            </w:r>
            <w:r>
              <w:rPr>
                <w:rFonts w:hint="eastAsia" w:ascii="宋体" w:hAnsi="宋体" w:eastAsia="宋体" w:cs="宋体"/>
                <w:color w:val="auto"/>
                <w:spacing w:val="23"/>
                <w:sz w:val="24"/>
                <w:szCs w:val="24"/>
                <w:highlight w:val="none"/>
              </w:rPr>
              <w:t>经充分响应招标文件的实质性</w:t>
            </w:r>
            <w:r>
              <w:rPr>
                <w:rFonts w:hint="eastAsia" w:ascii="宋体" w:hAnsi="宋体" w:eastAsia="宋体" w:cs="宋体"/>
                <w:color w:val="auto"/>
                <w:spacing w:val="3"/>
                <w:sz w:val="24"/>
                <w:szCs w:val="24"/>
                <w:highlight w:val="none"/>
              </w:rPr>
              <w:t>要求。</w:t>
            </w:r>
          </w:p>
        </w:tc>
        <w:tc>
          <w:tcPr>
            <w:tcW w:w="4272" w:type="dxa"/>
            <w:vAlign w:val="top"/>
          </w:tcPr>
          <w:p w14:paraId="3F01A048">
            <w:pPr>
              <w:keepNext w:val="0"/>
              <w:keepLines w:val="0"/>
              <w:pageBreakBefore w:val="0"/>
              <w:widowControl/>
              <w:kinsoku w:val="0"/>
              <w:wordWrap/>
              <w:overflowPunct/>
              <w:topLinePunct w:val="0"/>
              <w:autoSpaceDE w:val="0"/>
              <w:autoSpaceDN w:val="0"/>
              <w:bidi w:val="0"/>
              <w:adjustRightInd w:val="0"/>
              <w:snapToGrid w:val="0"/>
              <w:spacing w:before="122" w:line="288" w:lineRule="auto"/>
              <w:ind w:left="14" w:right="4" w:firstLine="420"/>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0"/>
                <w:sz w:val="24"/>
                <w:szCs w:val="24"/>
                <w:highlight w:val="none"/>
              </w:rPr>
              <w:t>如果我方的投标文件未响应、违反、偏离招标文件的实质性要求，我方接受招标人或其授权的招标代理机构或其组建的评标委员会依据招标文件作出的相应处理，包括否</w:t>
            </w:r>
            <w:r>
              <w:rPr>
                <w:rFonts w:hint="eastAsia" w:ascii="宋体" w:hAnsi="宋体" w:eastAsia="宋体" w:cs="宋体"/>
                <w:color w:val="auto"/>
                <w:spacing w:val="4"/>
                <w:sz w:val="24"/>
                <w:szCs w:val="24"/>
                <w:highlight w:val="none"/>
              </w:rPr>
              <w:t>决投标。</w:t>
            </w:r>
          </w:p>
        </w:tc>
      </w:tr>
      <w:tr w14:paraId="5B2BBB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64" w:type="dxa"/>
            <w:vAlign w:val="top"/>
          </w:tcPr>
          <w:p w14:paraId="59167F8E">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6B11ADA9">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746CB1AB">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7D78AF5B">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105C670F">
            <w:pPr>
              <w:keepNext w:val="0"/>
              <w:keepLines w:val="0"/>
              <w:pageBreakBefore w:val="0"/>
              <w:widowControl/>
              <w:kinsoku w:val="0"/>
              <w:wordWrap/>
              <w:overflowPunct/>
              <w:topLinePunct w:val="0"/>
              <w:autoSpaceDE w:val="0"/>
              <w:autoSpaceDN w:val="0"/>
              <w:bidi w:val="0"/>
              <w:adjustRightInd w:val="0"/>
              <w:snapToGrid w:val="0"/>
              <w:spacing w:before="58" w:line="288" w:lineRule="auto"/>
              <w:ind w:left="308"/>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675" w:type="dxa"/>
            <w:vAlign w:val="top"/>
          </w:tcPr>
          <w:p w14:paraId="05B3009D">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4BE0188E">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465F625A">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1DAEEEEA">
            <w:pPr>
              <w:keepNext w:val="0"/>
              <w:keepLines w:val="0"/>
              <w:pageBreakBefore w:val="0"/>
              <w:widowControl/>
              <w:kinsoku w:val="0"/>
              <w:wordWrap/>
              <w:overflowPunct/>
              <w:topLinePunct w:val="0"/>
              <w:autoSpaceDE w:val="0"/>
              <w:autoSpaceDN w:val="0"/>
              <w:bidi w:val="0"/>
              <w:adjustRightInd w:val="0"/>
              <w:snapToGrid w:val="0"/>
              <w:spacing w:before="65" w:line="288" w:lineRule="auto"/>
              <w:ind w:left="262" w:right="261" w:firstLine="3"/>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无禁止投标</w:t>
            </w:r>
            <w:r>
              <w:rPr>
                <w:rFonts w:hint="eastAsia" w:ascii="宋体" w:hAnsi="宋体" w:eastAsia="宋体" w:cs="宋体"/>
                <w:color w:val="auto"/>
                <w:spacing w:val="8"/>
                <w:sz w:val="24"/>
                <w:szCs w:val="24"/>
                <w:highlight w:val="none"/>
              </w:rPr>
              <w:t>情形的承诺</w:t>
            </w:r>
          </w:p>
        </w:tc>
        <w:tc>
          <w:tcPr>
            <w:tcW w:w="3107" w:type="dxa"/>
            <w:vAlign w:val="top"/>
          </w:tcPr>
          <w:p w14:paraId="43B9FDAD">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51E22312">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2368A58B">
            <w:pPr>
              <w:keepNext w:val="0"/>
              <w:keepLines w:val="0"/>
              <w:pageBreakBefore w:val="0"/>
              <w:widowControl/>
              <w:kinsoku w:val="0"/>
              <w:wordWrap/>
              <w:overflowPunct/>
              <w:topLinePunct w:val="0"/>
              <w:autoSpaceDE w:val="0"/>
              <w:autoSpaceDN w:val="0"/>
              <w:bidi w:val="0"/>
              <w:adjustRightInd w:val="0"/>
              <w:snapToGrid w:val="0"/>
              <w:spacing w:before="65" w:line="288" w:lineRule="auto"/>
              <w:ind w:left="10" w:right="2" w:firstLine="420"/>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5"/>
                <w:sz w:val="24"/>
                <w:szCs w:val="24"/>
                <w:highlight w:val="none"/>
              </w:rPr>
              <w:t>我方不存在招标文件第一</w:t>
            </w:r>
            <w:r>
              <w:rPr>
                <w:rFonts w:hint="eastAsia" w:ascii="宋体" w:hAnsi="宋体" w:eastAsia="宋体" w:cs="宋体"/>
                <w:color w:val="auto"/>
                <w:spacing w:val="8"/>
                <w:sz w:val="24"/>
                <w:szCs w:val="24"/>
                <w:highlight w:val="none"/>
              </w:rPr>
              <w:t>章第三节第</w:t>
            </w:r>
            <w:r>
              <w:rPr>
                <w:rFonts w:hint="eastAsia" w:ascii="宋体" w:hAnsi="宋体" w:eastAsia="宋体" w:cs="宋体"/>
                <w:color w:val="auto"/>
                <w:spacing w:val="-35"/>
                <w:sz w:val="24"/>
                <w:szCs w:val="24"/>
                <w:highlight w:val="none"/>
              </w:rPr>
              <w:t xml:space="preserve"> </w:t>
            </w:r>
            <w:r>
              <w:rPr>
                <w:rFonts w:hint="eastAsia" w:ascii="宋体" w:hAnsi="宋体" w:eastAsia="宋体" w:cs="宋体"/>
                <w:b/>
                <w:bCs/>
                <w:color w:val="auto"/>
                <w:spacing w:val="8"/>
                <w:sz w:val="24"/>
                <w:szCs w:val="24"/>
                <w:highlight w:val="none"/>
              </w:rPr>
              <w:t>2.4</w:t>
            </w:r>
            <w:r>
              <w:rPr>
                <w:rFonts w:hint="eastAsia" w:ascii="宋体" w:hAnsi="宋体" w:eastAsia="宋体" w:cs="宋体"/>
                <w:b/>
                <w:bCs/>
                <w:color w:val="auto"/>
                <w:spacing w:val="16"/>
                <w:sz w:val="24"/>
                <w:szCs w:val="24"/>
                <w:highlight w:val="none"/>
              </w:rPr>
              <w:t xml:space="preserve"> </w:t>
            </w:r>
            <w:r>
              <w:rPr>
                <w:rFonts w:hint="eastAsia" w:ascii="宋体" w:hAnsi="宋体" w:eastAsia="宋体" w:cs="宋体"/>
                <w:color w:val="auto"/>
                <w:spacing w:val="8"/>
                <w:sz w:val="24"/>
                <w:szCs w:val="24"/>
                <w:highlight w:val="none"/>
              </w:rPr>
              <w:t>条“禁止投标条</w:t>
            </w:r>
            <w:r>
              <w:rPr>
                <w:rFonts w:hint="eastAsia" w:ascii="宋体" w:hAnsi="宋体" w:eastAsia="宋体" w:cs="宋体"/>
                <w:color w:val="auto"/>
                <w:spacing w:val="6"/>
                <w:sz w:val="24"/>
                <w:szCs w:val="24"/>
                <w:highlight w:val="none"/>
              </w:rPr>
              <w:t>款</w:t>
            </w:r>
            <w:r>
              <w:rPr>
                <w:rFonts w:hint="eastAsia" w:ascii="宋体" w:hAnsi="宋体" w:eastAsia="宋体" w:cs="宋体"/>
                <w:color w:val="auto"/>
                <w:spacing w:val="-73"/>
                <w:sz w:val="24"/>
                <w:szCs w:val="24"/>
                <w:highlight w:val="none"/>
              </w:rPr>
              <w:t xml:space="preserve"> </w:t>
            </w:r>
            <w:r>
              <w:rPr>
                <w:rFonts w:hint="eastAsia" w:ascii="宋体" w:hAnsi="宋体" w:eastAsia="宋体" w:cs="宋体"/>
                <w:color w:val="auto"/>
                <w:spacing w:val="6"/>
                <w:sz w:val="24"/>
                <w:szCs w:val="24"/>
                <w:highlight w:val="none"/>
              </w:rPr>
              <w:t>”规定的任何一种情形。</w:t>
            </w:r>
          </w:p>
        </w:tc>
        <w:tc>
          <w:tcPr>
            <w:tcW w:w="4272" w:type="dxa"/>
            <w:vAlign w:val="top"/>
          </w:tcPr>
          <w:p w14:paraId="367FAD05">
            <w:pPr>
              <w:keepNext w:val="0"/>
              <w:keepLines w:val="0"/>
              <w:pageBreakBefore w:val="0"/>
              <w:widowControl/>
              <w:kinsoku w:val="0"/>
              <w:wordWrap/>
              <w:overflowPunct/>
              <w:topLinePunct w:val="0"/>
              <w:autoSpaceDE w:val="0"/>
              <w:autoSpaceDN w:val="0"/>
              <w:bidi w:val="0"/>
              <w:adjustRightInd w:val="0"/>
              <w:snapToGrid w:val="0"/>
              <w:spacing w:before="122" w:line="288" w:lineRule="auto"/>
              <w:ind w:left="9" w:firstLine="421"/>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如果我方有招标文件第一章第三节第</w:t>
            </w:r>
            <w:r>
              <w:rPr>
                <w:rFonts w:hint="eastAsia" w:ascii="宋体" w:hAnsi="宋体" w:eastAsia="宋体" w:cs="宋体"/>
                <w:color w:val="auto"/>
                <w:spacing w:val="-27"/>
                <w:sz w:val="24"/>
                <w:szCs w:val="24"/>
                <w:highlight w:val="none"/>
              </w:rPr>
              <w:t xml:space="preserve"> </w:t>
            </w:r>
            <w:r>
              <w:rPr>
                <w:rFonts w:hint="eastAsia" w:ascii="宋体" w:hAnsi="宋体" w:eastAsia="宋体" w:cs="宋体"/>
                <w:b/>
                <w:bCs/>
                <w:color w:val="auto"/>
                <w:spacing w:val="6"/>
                <w:sz w:val="24"/>
                <w:szCs w:val="24"/>
                <w:highlight w:val="none"/>
              </w:rPr>
              <w:t>2.</w:t>
            </w:r>
            <w:r>
              <w:rPr>
                <w:rFonts w:hint="eastAsia" w:ascii="宋体" w:hAnsi="宋体" w:eastAsia="宋体" w:cs="宋体"/>
                <w:b/>
                <w:bCs/>
                <w:color w:val="auto"/>
                <w:spacing w:val="1"/>
                <w:sz w:val="24"/>
                <w:szCs w:val="24"/>
                <w:highlight w:val="none"/>
              </w:rPr>
              <w:t xml:space="preserve">4 </w:t>
            </w:r>
            <w:r>
              <w:rPr>
                <w:rFonts w:hint="eastAsia" w:ascii="宋体" w:hAnsi="宋体" w:eastAsia="宋体" w:cs="宋体"/>
                <w:color w:val="auto"/>
                <w:spacing w:val="1"/>
                <w:sz w:val="24"/>
                <w:szCs w:val="24"/>
                <w:highlight w:val="none"/>
              </w:rPr>
              <w:t>条“禁止投标条款</w:t>
            </w:r>
            <w:r>
              <w:rPr>
                <w:rFonts w:hint="eastAsia" w:ascii="宋体" w:hAnsi="宋体" w:eastAsia="宋体" w:cs="宋体"/>
                <w:color w:val="auto"/>
                <w:spacing w:val="-65"/>
                <w:sz w:val="24"/>
                <w:szCs w:val="24"/>
                <w:highlight w:val="none"/>
              </w:rPr>
              <w:t xml:space="preserve"> </w:t>
            </w:r>
            <w:r>
              <w:rPr>
                <w:rFonts w:hint="eastAsia" w:ascii="宋体" w:hAnsi="宋体" w:eastAsia="宋体" w:cs="宋体"/>
                <w:color w:val="auto"/>
                <w:spacing w:val="1"/>
                <w:sz w:val="24"/>
                <w:szCs w:val="24"/>
                <w:highlight w:val="none"/>
              </w:rPr>
              <w:t>”规定的任何一种情形，</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8"/>
                <w:sz w:val="24"/>
                <w:szCs w:val="24"/>
                <w:highlight w:val="none"/>
              </w:rPr>
              <w:t>我方接受招标人或其授权的招标代理机构或</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8"/>
                <w:sz w:val="24"/>
                <w:szCs w:val="24"/>
                <w:highlight w:val="none"/>
              </w:rPr>
              <w:t>其组建的评标委员会依据招标文件作出的相</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8"/>
                <w:sz w:val="24"/>
                <w:szCs w:val="24"/>
                <w:highlight w:val="none"/>
              </w:rPr>
              <w:t>应处理以及有关监督部门作出的行政处罚，</w:t>
            </w:r>
            <w:r>
              <w:rPr>
                <w:rFonts w:hint="eastAsia" w:ascii="宋体" w:hAnsi="宋体" w:eastAsia="宋体" w:cs="宋体"/>
                <w:color w:val="auto"/>
                <w:spacing w:val="6"/>
                <w:sz w:val="24"/>
                <w:szCs w:val="24"/>
                <w:highlight w:val="none"/>
              </w:rPr>
              <w:t>并承担由此引起的一切法律后果。</w:t>
            </w:r>
          </w:p>
        </w:tc>
      </w:tr>
      <w:tr w14:paraId="18C1C7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64" w:type="dxa"/>
            <w:vAlign w:val="top"/>
          </w:tcPr>
          <w:p w14:paraId="7AAD0204">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3BFA5DE0">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060ED34B">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1EF741A1">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19E73C69">
            <w:pPr>
              <w:keepNext w:val="0"/>
              <w:keepLines w:val="0"/>
              <w:pageBreakBefore w:val="0"/>
              <w:widowControl/>
              <w:kinsoku w:val="0"/>
              <w:wordWrap/>
              <w:overflowPunct/>
              <w:topLinePunct w:val="0"/>
              <w:autoSpaceDE w:val="0"/>
              <w:autoSpaceDN w:val="0"/>
              <w:bidi w:val="0"/>
              <w:adjustRightInd w:val="0"/>
              <w:snapToGrid w:val="0"/>
              <w:spacing w:before="57" w:line="288" w:lineRule="auto"/>
              <w:ind w:left="312"/>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1675" w:type="dxa"/>
            <w:vAlign w:val="top"/>
          </w:tcPr>
          <w:p w14:paraId="438AD487">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192BBB59">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62454EE3">
            <w:pPr>
              <w:keepNext w:val="0"/>
              <w:keepLines w:val="0"/>
              <w:pageBreakBefore w:val="0"/>
              <w:widowControl/>
              <w:kinsoku w:val="0"/>
              <w:wordWrap/>
              <w:overflowPunct/>
              <w:topLinePunct w:val="0"/>
              <w:autoSpaceDE w:val="0"/>
              <w:autoSpaceDN w:val="0"/>
              <w:bidi w:val="0"/>
              <w:adjustRightInd w:val="0"/>
              <w:snapToGrid w:val="0"/>
              <w:spacing w:before="65" w:line="288" w:lineRule="auto"/>
              <w:ind w:left="193"/>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自觉抵制围标</w:t>
            </w:r>
          </w:p>
          <w:p w14:paraId="07205FD8">
            <w:pPr>
              <w:keepNext w:val="0"/>
              <w:keepLines w:val="0"/>
              <w:pageBreakBefore w:val="0"/>
              <w:widowControl/>
              <w:kinsoku w:val="0"/>
              <w:wordWrap/>
              <w:overflowPunct/>
              <w:topLinePunct w:val="0"/>
              <w:autoSpaceDE w:val="0"/>
              <w:autoSpaceDN w:val="0"/>
              <w:bidi w:val="0"/>
              <w:adjustRightInd w:val="0"/>
              <w:snapToGrid w:val="0"/>
              <w:spacing w:before="131" w:line="288" w:lineRule="auto"/>
              <w:ind w:left="283"/>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串标和弄虚</w:t>
            </w:r>
          </w:p>
          <w:p w14:paraId="7DFCC592">
            <w:pPr>
              <w:keepNext w:val="0"/>
              <w:keepLines w:val="0"/>
              <w:pageBreakBefore w:val="0"/>
              <w:widowControl/>
              <w:kinsoku w:val="0"/>
              <w:wordWrap/>
              <w:overflowPunct/>
              <w:topLinePunct w:val="0"/>
              <w:autoSpaceDE w:val="0"/>
              <w:autoSpaceDN w:val="0"/>
              <w:bidi w:val="0"/>
              <w:adjustRightInd w:val="0"/>
              <w:snapToGrid w:val="0"/>
              <w:spacing w:before="133" w:line="288" w:lineRule="auto"/>
              <w:ind w:left="56"/>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作假行为的承诺</w:t>
            </w:r>
          </w:p>
        </w:tc>
        <w:tc>
          <w:tcPr>
            <w:tcW w:w="3107" w:type="dxa"/>
            <w:vAlign w:val="top"/>
          </w:tcPr>
          <w:p w14:paraId="0DE69FDB">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6D8D72D4">
            <w:pPr>
              <w:keepNext w:val="0"/>
              <w:keepLines w:val="0"/>
              <w:pageBreakBefore w:val="0"/>
              <w:widowControl/>
              <w:kinsoku w:val="0"/>
              <w:wordWrap/>
              <w:overflowPunct/>
              <w:topLinePunct w:val="0"/>
              <w:autoSpaceDE w:val="0"/>
              <w:autoSpaceDN w:val="0"/>
              <w:bidi w:val="0"/>
              <w:adjustRightInd w:val="0"/>
              <w:snapToGrid w:val="0"/>
              <w:spacing w:before="65" w:line="288" w:lineRule="auto"/>
              <w:ind w:left="11" w:right="2" w:firstLine="420"/>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我方合法正当、诚实守信地</w:t>
            </w:r>
            <w:r>
              <w:rPr>
                <w:rFonts w:hint="eastAsia" w:ascii="宋体" w:hAnsi="宋体" w:eastAsia="宋体" w:cs="宋体"/>
                <w:color w:val="auto"/>
                <w:spacing w:val="7"/>
                <w:sz w:val="24"/>
                <w:szCs w:val="24"/>
                <w:highlight w:val="none"/>
              </w:rPr>
              <w:t>参与投标，不组织、不参加围标串标违法行为，不通过弄虚作假</w:t>
            </w:r>
            <w:r>
              <w:rPr>
                <w:rFonts w:hint="eastAsia" w:ascii="宋体" w:hAnsi="宋体" w:eastAsia="宋体" w:cs="宋体"/>
                <w:color w:val="auto"/>
                <w:spacing w:val="6"/>
                <w:sz w:val="24"/>
                <w:szCs w:val="24"/>
                <w:highlight w:val="none"/>
              </w:rPr>
              <w:t>行为骗取中标。</w:t>
            </w:r>
          </w:p>
        </w:tc>
        <w:tc>
          <w:tcPr>
            <w:tcW w:w="4272" w:type="dxa"/>
            <w:vAlign w:val="top"/>
          </w:tcPr>
          <w:p w14:paraId="4589066B">
            <w:pPr>
              <w:keepNext w:val="0"/>
              <w:keepLines w:val="0"/>
              <w:pageBreakBefore w:val="0"/>
              <w:widowControl/>
              <w:kinsoku w:val="0"/>
              <w:wordWrap/>
              <w:overflowPunct/>
              <w:topLinePunct w:val="0"/>
              <w:autoSpaceDE w:val="0"/>
              <w:autoSpaceDN w:val="0"/>
              <w:bidi w:val="0"/>
              <w:adjustRightInd w:val="0"/>
              <w:snapToGrid w:val="0"/>
              <w:spacing w:before="129" w:line="288" w:lineRule="auto"/>
              <w:ind w:left="13" w:right="4" w:firstLine="422"/>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0"/>
                <w:sz w:val="24"/>
                <w:szCs w:val="24"/>
                <w:highlight w:val="none"/>
              </w:rPr>
              <w:t>如果我方组织或参加围标串标违法行为或通过弄虚作假行为骗取中标，我方接受招标人或其授权的招标代理机构或其组建的评标委员会依据招标文件作出的相应处理以及有关监督部门作出的行政处罚，并承担由此</w:t>
            </w:r>
            <w:r>
              <w:rPr>
                <w:rFonts w:hint="eastAsia" w:ascii="宋体" w:hAnsi="宋体" w:eastAsia="宋体" w:cs="宋体"/>
                <w:color w:val="auto"/>
                <w:spacing w:val="7"/>
                <w:sz w:val="24"/>
                <w:szCs w:val="24"/>
                <w:highlight w:val="none"/>
              </w:rPr>
              <w:t>引起的一切法律后果。</w:t>
            </w:r>
          </w:p>
        </w:tc>
      </w:tr>
      <w:tr w14:paraId="312D6B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64" w:type="dxa"/>
            <w:vAlign w:val="top"/>
          </w:tcPr>
          <w:p w14:paraId="38715187">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27D55ACF">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66165398">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1F45AC13">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3089FA48">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1C43D837">
            <w:pPr>
              <w:keepNext w:val="0"/>
              <w:keepLines w:val="0"/>
              <w:pageBreakBefore w:val="0"/>
              <w:widowControl/>
              <w:kinsoku w:val="0"/>
              <w:wordWrap/>
              <w:overflowPunct/>
              <w:topLinePunct w:val="0"/>
              <w:autoSpaceDE w:val="0"/>
              <w:autoSpaceDN w:val="0"/>
              <w:bidi w:val="0"/>
              <w:adjustRightInd w:val="0"/>
              <w:snapToGrid w:val="0"/>
              <w:spacing w:before="58" w:line="288" w:lineRule="auto"/>
              <w:ind w:left="307"/>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4</w:t>
            </w:r>
          </w:p>
        </w:tc>
        <w:tc>
          <w:tcPr>
            <w:tcW w:w="1675" w:type="dxa"/>
            <w:vAlign w:val="top"/>
          </w:tcPr>
          <w:p w14:paraId="6278EE0E">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26255881">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09D7BD82">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61D658BD">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5C7A4BF8">
            <w:pPr>
              <w:keepNext w:val="0"/>
              <w:keepLines w:val="0"/>
              <w:pageBreakBefore w:val="0"/>
              <w:widowControl/>
              <w:kinsoku w:val="0"/>
              <w:wordWrap/>
              <w:overflowPunct/>
              <w:topLinePunct w:val="0"/>
              <w:autoSpaceDE w:val="0"/>
              <w:autoSpaceDN w:val="0"/>
              <w:bidi w:val="0"/>
              <w:adjustRightInd w:val="0"/>
              <w:snapToGrid w:val="0"/>
              <w:spacing w:before="65" w:line="288" w:lineRule="auto"/>
              <w:ind w:left="369" w:right="367" w:firstLine="4"/>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项目经理</w:t>
            </w:r>
            <w:r>
              <w:rPr>
                <w:rFonts w:hint="eastAsia" w:ascii="宋体" w:hAnsi="宋体" w:eastAsia="宋体" w:cs="宋体"/>
                <w:color w:val="auto"/>
                <w:spacing w:val="7"/>
                <w:sz w:val="24"/>
                <w:szCs w:val="24"/>
                <w:highlight w:val="none"/>
              </w:rPr>
              <w:t>任职承诺</w:t>
            </w:r>
          </w:p>
        </w:tc>
        <w:tc>
          <w:tcPr>
            <w:tcW w:w="3107" w:type="dxa"/>
            <w:vAlign w:val="top"/>
          </w:tcPr>
          <w:p w14:paraId="012273A7">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70115F3C">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25A6B417">
            <w:pPr>
              <w:keepNext w:val="0"/>
              <w:keepLines w:val="0"/>
              <w:pageBreakBefore w:val="0"/>
              <w:widowControl/>
              <w:kinsoku w:val="0"/>
              <w:wordWrap/>
              <w:overflowPunct/>
              <w:topLinePunct w:val="0"/>
              <w:autoSpaceDE w:val="0"/>
              <w:autoSpaceDN w:val="0"/>
              <w:bidi w:val="0"/>
              <w:adjustRightInd w:val="0"/>
              <w:snapToGrid w:val="0"/>
              <w:spacing w:before="65" w:line="288" w:lineRule="auto"/>
              <w:ind w:left="9" w:right="2" w:firstLine="422"/>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9"/>
                <w:sz w:val="24"/>
                <w:szCs w:val="24"/>
                <w:highlight w:val="none"/>
              </w:rPr>
              <w:t>我方拟派项目经理现阶段</w:t>
            </w:r>
            <w:r>
              <w:rPr>
                <w:rFonts w:hint="eastAsia" w:ascii="宋体" w:hAnsi="宋体" w:eastAsia="宋体" w:cs="宋体"/>
                <w:color w:val="auto"/>
                <w:spacing w:val="7"/>
                <w:sz w:val="24"/>
                <w:szCs w:val="24"/>
                <w:highlight w:val="none"/>
              </w:rPr>
              <w:t>没有担任任何在施（包括已中标</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7"/>
                <w:sz w:val="24"/>
                <w:szCs w:val="24"/>
                <w:highlight w:val="none"/>
              </w:rPr>
              <w:t>未开工、已开工未竣工）建设工</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7"/>
                <w:sz w:val="24"/>
                <w:szCs w:val="24"/>
                <w:highlight w:val="none"/>
              </w:rPr>
              <w:t>程项目的项目经理。</w:t>
            </w:r>
          </w:p>
        </w:tc>
        <w:tc>
          <w:tcPr>
            <w:tcW w:w="4272" w:type="dxa"/>
            <w:vAlign w:val="top"/>
          </w:tcPr>
          <w:p w14:paraId="39F4F1E7">
            <w:pPr>
              <w:keepNext w:val="0"/>
              <w:keepLines w:val="0"/>
              <w:pageBreakBefore w:val="0"/>
              <w:widowControl/>
              <w:kinsoku w:val="0"/>
              <w:wordWrap/>
              <w:overflowPunct/>
              <w:topLinePunct w:val="0"/>
              <w:autoSpaceDE w:val="0"/>
              <w:autoSpaceDN w:val="0"/>
              <w:bidi w:val="0"/>
              <w:adjustRightInd w:val="0"/>
              <w:snapToGrid w:val="0"/>
              <w:spacing w:before="128" w:line="288" w:lineRule="auto"/>
              <w:ind w:left="11" w:firstLine="417"/>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如果我方拟派项目经理在本项目招标投</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7"/>
                <w:sz w:val="24"/>
                <w:szCs w:val="24"/>
                <w:highlight w:val="none"/>
              </w:rPr>
              <w:t>标活动期间有担任其他任何在施（包括已中标未开工、已开工未竣工）建设工程项目的</w:t>
            </w:r>
            <w:r>
              <w:rPr>
                <w:rFonts w:hint="eastAsia" w:ascii="宋体" w:hAnsi="宋体" w:eastAsia="宋体" w:cs="宋体"/>
                <w:color w:val="auto"/>
                <w:spacing w:val="3"/>
                <w:sz w:val="24"/>
                <w:szCs w:val="24"/>
                <w:highlight w:val="none"/>
              </w:rPr>
              <w:t xml:space="preserve"> </w:t>
            </w:r>
            <w:r>
              <w:rPr>
                <w:rFonts w:hint="eastAsia" w:ascii="宋体" w:hAnsi="宋体" w:eastAsia="宋体" w:cs="宋体"/>
                <w:color w:val="auto"/>
                <w:spacing w:val="7"/>
                <w:sz w:val="24"/>
                <w:szCs w:val="24"/>
                <w:highlight w:val="none"/>
              </w:rPr>
              <w:t>项目经理，我方接受招标人或其授权的招标</w:t>
            </w:r>
            <w:r>
              <w:rPr>
                <w:rFonts w:hint="eastAsia" w:ascii="宋体" w:hAnsi="宋体" w:eastAsia="宋体" w:cs="宋体"/>
                <w:color w:val="auto"/>
                <w:spacing w:val="3"/>
                <w:sz w:val="24"/>
                <w:szCs w:val="24"/>
                <w:highlight w:val="none"/>
              </w:rPr>
              <w:t xml:space="preserve"> </w:t>
            </w:r>
            <w:r>
              <w:rPr>
                <w:rFonts w:hint="eastAsia" w:ascii="宋体" w:hAnsi="宋体" w:eastAsia="宋体" w:cs="宋体"/>
                <w:color w:val="auto"/>
                <w:spacing w:val="7"/>
                <w:sz w:val="24"/>
                <w:szCs w:val="24"/>
                <w:highlight w:val="none"/>
              </w:rPr>
              <w:t>代理机构或其组建的评标委员会依据招标文件作出的相应处理以及有关监督部门作出的</w:t>
            </w:r>
            <w:r>
              <w:rPr>
                <w:rFonts w:hint="eastAsia" w:ascii="宋体" w:hAnsi="宋体" w:eastAsia="宋体" w:cs="宋体"/>
                <w:color w:val="auto"/>
                <w:spacing w:val="3"/>
                <w:sz w:val="24"/>
                <w:szCs w:val="24"/>
                <w:highlight w:val="none"/>
              </w:rPr>
              <w:t xml:space="preserve"> </w:t>
            </w:r>
            <w:r>
              <w:rPr>
                <w:rFonts w:hint="eastAsia" w:ascii="宋体" w:hAnsi="宋体" w:eastAsia="宋体" w:cs="宋体"/>
                <w:color w:val="auto"/>
                <w:sz w:val="24"/>
                <w:szCs w:val="24"/>
                <w:highlight w:val="none"/>
              </w:rPr>
              <w:t>行政处罚，并承担由此引起的一切法律后果。</w:t>
            </w:r>
          </w:p>
        </w:tc>
      </w:tr>
      <w:tr w14:paraId="6CEEE5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64" w:type="dxa"/>
            <w:vAlign w:val="top"/>
          </w:tcPr>
          <w:p w14:paraId="7A0D4B7A">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1C74BABD">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52E61580">
            <w:pPr>
              <w:keepNext w:val="0"/>
              <w:keepLines w:val="0"/>
              <w:pageBreakBefore w:val="0"/>
              <w:widowControl/>
              <w:kinsoku w:val="0"/>
              <w:wordWrap/>
              <w:overflowPunct/>
              <w:topLinePunct w:val="0"/>
              <w:autoSpaceDE w:val="0"/>
              <w:autoSpaceDN w:val="0"/>
              <w:bidi w:val="0"/>
              <w:adjustRightInd w:val="0"/>
              <w:snapToGrid w:val="0"/>
              <w:spacing w:before="58" w:line="288" w:lineRule="auto"/>
              <w:ind w:left="314"/>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p>
        </w:tc>
        <w:tc>
          <w:tcPr>
            <w:tcW w:w="1675" w:type="dxa"/>
            <w:vAlign w:val="top"/>
          </w:tcPr>
          <w:p w14:paraId="349DADD9">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10BB8079">
            <w:pPr>
              <w:keepNext w:val="0"/>
              <w:keepLines w:val="0"/>
              <w:pageBreakBefore w:val="0"/>
              <w:widowControl/>
              <w:kinsoku w:val="0"/>
              <w:wordWrap/>
              <w:overflowPunct/>
              <w:topLinePunct w:val="0"/>
              <w:autoSpaceDE w:val="0"/>
              <w:autoSpaceDN w:val="0"/>
              <w:bidi w:val="0"/>
              <w:adjustRightInd w:val="0"/>
              <w:snapToGrid w:val="0"/>
              <w:spacing w:before="65" w:line="288" w:lineRule="auto"/>
              <w:ind w:left="267" w:right="261" w:firstLine="105"/>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投标文件</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7"/>
                <w:sz w:val="24"/>
                <w:szCs w:val="24"/>
                <w:highlight w:val="none"/>
              </w:rPr>
              <w:t>真实性承诺</w:t>
            </w:r>
          </w:p>
        </w:tc>
        <w:tc>
          <w:tcPr>
            <w:tcW w:w="3107" w:type="dxa"/>
            <w:vAlign w:val="top"/>
          </w:tcPr>
          <w:p w14:paraId="48826E6A">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50163C62">
            <w:pPr>
              <w:keepNext w:val="0"/>
              <w:keepLines w:val="0"/>
              <w:pageBreakBefore w:val="0"/>
              <w:widowControl/>
              <w:kinsoku w:val="0"/>
              <w:wordWrap/>
              <w:overflowPunct/>
              <w:topLinePunct w:val="0"/>
              <w:autoSpaceDE w:val="0"/>
              <w:autoSpaceDN w:val="0"/>
              <w:bidi w:val="0"/>
              <w:adjustRightInd w:val="0"/>
              <w:snapToGrid w:val="0"/>
              <w:spacing w:before="65" w:line="288" w:lineRule="auto"/>
              <w:ind w:left="12" w:firstLine="409"/>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0"/>
                <w:sz w:val="24"/>
                <w:szCs w:val="24"/>
                <w:highlight w:val="none"/>
              </w:rPr>
              <w:t>我方所递交投标文件的全</w:t>
            </w:r>
            <w:r>
              <w:rPr>
                <w:rFonts w:hint="eastAsia" w:ascii="宋体" w:hAnsi="宋体" w:eastAsia="宋体" w:cs="宋体"/>
                <w:color w:val="auto"/>
                <w:spacing w:val="-7"/>
                <w:sz w:val="24"/>
                <w:szCs w:val="24"/>
                <w:highlight w:val="none"/>
              </w:rPr>
              <w:t>部内容均为真实、有效、准确的。</w:t>
            </w:r>
          </w:p>
        </w:tc>
        <w:tc>
          <w:tcPr>
            <w:tcW w:w="4272" w:type="dxa"/>
            <w:vAlign w:val="top"/>
          </w:tcPr>
          <w:p w14:paraId="1583D5E0">
            <w:pPr>
              <w:keepNext w:val="0"/>
              <w:keepLines w:val="0"/>
              <w:pageBreakBefore w:val="0"/>
              <w:widowControl/>
              <w:kinsoku w:val="0"/>
              <w:wordWrap/>
              <w:overflowPunct/>
              <w:topLinePunct w:val="0"/>
              <w:autoSpaceDE w:val="0"/>
              <w:autoSpaceDN w:val="0"/>
              <w:bidi w:val="0"/>
              <w:adjustRightInd w:val="0"/>
              <w:snapToGrid w:val="0"/>
              <w:spacing w:before="127" w:line="288" w:lineRule="auto"/>
              <w:ind w:left="11" w:firstLine="417"/>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如果我方递交的投标文件任何内容不真实或无效或不准确，我方接受招标人或其授权的招标代理机构或其组建的评标委员会依</w:t>
            </w:r>
            <w:r>
              <w:rPr>
                <w:rFonts w:hint="eastAsia" w:ascii="宋体" w:hAnsi="宋体" w:eastAsia="宋体" w:cs="宋体"/>
                <w:color w:val="auto"/>
                <w:sz w:val="24"/>
                <w:szCs w:val="24"/>
                <w:highlight w:val="none"/>
              </w:rPr>
              <w:t>据招标文件作出的相应处理，包括否决投标。</w:t>
            </w:r>
          </w:p>
        </w:tc>
      </w:tr>
      <w:tr w14:paraId="5859D4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84" w:hRule="atLeast"/>
        </w:trPr>
        <w:tc>
          <w:tcPr>
            <w:tcW w:w="764" w:type="dxa"/>
            <w:vAlign w:val="top"/>
          </w:tcPr>
          <w:p w14:paraId="2E9A7FD4">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019FAAF4">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3E319FF4">
            <w:pPr>
              <w:keepNext w:val="0"/>
              <w:keepLines w:val="0"/>
              <w:pageBreakBefore w:val="0"/>
              <w:widowControl/>
              <w:kinsoku w:val="0"/>
              <w:wordWrap/>
              <w:overflowPunct/>
              <w:topLinePunct w:val="0"/>
              <w:autoSpaceDE w:val="0"/>
              <w:autoSpaceDN w:val="0"/>
              <w:bidi w:val="0"/>
              <w:adjustRightInd w:val="0"/>
              <w:snapToGrid w:val="0"/>
              <w:spacing w:before="58" w:line="288" w:lineRule="auto"/>
              <w:ind w:left="313"/>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p>
          <w:p w14:paraId="6D236227">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drawing>
                <wp:anchor distT="0" distB="0" distL="114300" distR="114300" simplePos="0" relativeHeight="251662336" behindDoc="1" locked="0" layoutInCell="0" allowOverlap="1">
                  <wp:simplePos x="0" y="0"/>
                  <wp:positionH relativeFrom="page">
                    <wp:posOffset>3902075</wp:posOffset>
                  </wp:positionH>
                  <wp:positionV relativeFrom="page">
                    <wp:posOffset>2252345</wp:posOffset>
                  </wp:positionV>
                  <wp:extent cx="6350" cy="241300"/>
                  <wp:effectExtent l="0" t="0" r="0" b="0"/>
                  <wp:wrapNone/>
                  <wp:docPr id="16" name="IM 120"/>
                  <wp:cNvGraphicFramePr/>
                  <a:graphic xmlns:a="http://schemas.openxmlformats.org/drawingml/2006/main">
                    <a:graphicData uri="http://schemas.openxmlformats.org/drawingml/2006/picture">
                      <pic:pic xmlns:pic="http://schemas.openxmlformats.org/drawingml/2006/picture">
                        <pic:nvPicPr>
                          <pic:cNvPr id="16" name="IM 120"/>
                          <pic:cNvPicPr/>
                        </pic:nvPicPr>
                        <pic:blipFill>
                          <a:blip r:embed="rId53"/>
                          <a:stretch>
                            <a:fillRect/>
                          </a:stretch>
                        </pic:blipFill>
                        <pic:spPr>
                          <a:xfrm>
                            <a:off x="0" y="0"/>
                            <a:ext cx="6350" cy="241300"/>
                          </a:xfrm>
                          <a:prstGeom prst="rect">
                            <a:avLst/>
                          </a:prstGeom>
                          <a:noFill/>
                          <a:ln>
                            <a:noFill/>
                          </a:ln>
                        </pic:spPr>
                      </pic:pic>
                    </a:graphicData>
                  </a:graphic>
                </wp:anchor>
              </w:drawing>
            </w:r>
          </w:p>
        </w:tc>
        <w:tc>
          <w:tcPr>
            <w:tcW w:w="1675" w:type="dxa"/>
            <w:vAlign w:val="top"/>
          </w:tcPr>
          <w:p w14:paraId="29EF0155">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67937757">
            <w:pPr>
              <w:keepNext w:val="0"/>
              <w:keepLines w:val="0"/>
              <w:pageBreakBefore w:val="0"/>
              <w:widowControl/>
              <w:kinsoku w:val="0"/>
              <w:wordWrap/>
              <w:overflowPunct/>
              <w:topLinePunct w:val="0"/>
              <w:autoSpaceDE w:val="0"/>
              <w:autoSpaceDN w:val="0"/>
              <w:bidi w:val="0"/>
              <w:adjustRightInd w:val="0"/>
              <w:snapToGrid w:val="0"/>
              <w:spacing w:line="288" w:lineRule="auto"/>
              <w:ind w:left="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投标文件</w:t>
            </w:r>
          </w:p>
          <w:p w14:paraId="20B01D17">
            <w:pPr>
              <w:keepNext w:val="0"/>
              <w:keepLines w:val="0"/>
              <w:pageBreakBefore w:val="0"/>
              <w:widowControl/>
              <w:kinsoku w:val="0"/>
              <w:wordWrap/>
              <w:overflowPunct/>
              <w:topLinePunct w:val="0"/>
              <w:autoSpaceDE w:val="0"/>
              <w:autoSpaceDN w:val="0"/>
              <w:bidi w:val="0"/>
              <w:adjustRightInd w:val="0"/>
              <w:snapToGrid w:val="0"/>
              <w:spacing w:line="288" w:lineRule="auto"/>
              <w:ind w:left="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信息公开承诺</w:t>
            </w:r>
          </w:p>
        </w:tc>
        <w:tc>
          <w:tcPr>
            <w:tcW w:w="3107" w:type="dxa"/>
            <w:vAlign w:val="top"/>
          </w:tcPr>
          <w:p w14:paraId="6794C05C">
            <w:pPr>
              <w:keepNext w:val="0"/>
              <w:keepLines w:val="0"/>
              <w:pageBreakBefore w:val="0"/>
              <w:widowControl/>
              <w:kinsoku w:val="0"/>
              <w:wordWrap/>
              <w:overflowPunct/>
              <w:topLinePunct w:val="0"/>
              <w:autoSpaceDE w:val="0"/>
              <w:autoSpaceDN w:val="0"/>
              <w:bidi w:val="0"/>
              <w:adjustRightInd w:val="0"/>
              <w:snapToGrid w:val="0"/>
              <w:spacing w:before="130" w:line="288" w:lineRule="auto"/>
              <w:ind w:left="10" w:right="2" w:firstLine="420"/>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我方提供完整的文件。如果</w:t>
            </w:r>
            <w:r>
              <w:rPr>
                <w:rFonts w:hint="eastAsia" w:ascii="宋体" w:hAnsi="宋体" w:eastAsia="宋体" w:cs="宋体"/>
                <w:color w:val="auto"/>
                <w:spacing w:val="7"/>
                <w:sz w:val="24"/>
                <w:szCs w:val="24"/>
                <w:highlight w:val="none"/>
              </w:rPr>
              <w:t>我方成为本项目中标候选人，我</w:t>
            </w:r>
            <w:r>
              <w:rPr>
                <w:rFonts w:hint="eastAsia" w:ascii="宋体" w:hAnsi="宋体" w:eastAsia="宋体" w:cs="宋体"/>
                <w:color w:val="auto"/>
                <w:spacing w:val="23"/>
                <w:sz w:val="24"/>
                <w:szCs w:val="24"/>
                <w:highlight w:val="none"/>
              </w:rPr>
              <w:t>方同意并授权招标人在评标结果公示期内公开我方商务标书</w:t>
            </w:r>
            <w:r>
              <w:rPr>
                <w:rFonts w:hint="eastAsia" w:ascii="宋体" w:hAnsi="宋体" w:eastAsia="宋体" w:cs="宋体"/>
                <w:color w:val="auto"/>
                <w:spacing w:val="3"/>
                <w:sz w:val="24"/>
                <w:szCs w:val="24"/>
                <w:highlight w:val="none"/>
              </w:rPr>
              <w:t>的全部内容。</w:t>
            </w:r>
          </w:p>
        </w:tc>
        <w:tc>
          <w:tcPr>
            <w:tcW w:w="4272" w:type="dxa"/>
            <w:vAlign w:val="top"/>
          </w:tcPr>
          <w:p w14:paraId="2FBE142D">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r>
              <w:rPr>
                <w:color w:val="auto"/>
                <w:sz w:val="24"/>
                <w:highlight w:val="none"/>
              </w:rPr>
              <mc:AlternateContent>
                <mc:Choice Requires="wps">
                  <w:drawing>
                    <wp:anchor distT="0" distB="0" distL="114300" distR="114300" simplePos="0" relativeHeight="251660288" behindDoc="0" locked="0" layoutInCell="1" allowOverlap="1">
                      <wp:simplePos x="0" y="0"/>
                      <wp:positionH relativeFrom="column">
                        <wp:posOffset>-635</wp:posOffset>
                      </wp:positionH>
                      <wp:positionV relativeFrom="paragraph">
                        <wp:posOffset>19050</wp:posOffset>
                      </wp:positionV>
                      <wp:extent cx="2698750" cy="1539875"/>
                      <wp:effectExtent l="3175" t="5715" r="3175" b="16510"/>
                      <wp:wrapNone/>
                      <wp:docPr id="23" name="直接连接符 23"/>
                      <wp:cNvGraphicFramePr/>
                      <a:graphic xmlns:a="http://schemas.openxmlformats.org/drawingml/2006/main">
                        <a:graphicData uri="http://schemas.microsoft.com/office/word/2010/wordprocessingShape">
                          <wps:wsp>
                            <wps:cNvCnPr/>
                            <wps:spPr>
                              <a:xfrm flipV="1">
                                <a:off x="4209415" y="1651000"/>
                                <a:ext cx="2698750" cy="153987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0.05pt;margin-top:1.5pt;height:121.25pt;width:212.5pt;z-index:251660288;mso-width-relative:page;mso-height-relative:page;" filled="f" stroked="t" coordsize="21600,21600" o:gfxdata="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lqIdPdQAAAAHAQAADwAAAAAAAAABACAAAAAiAAAAZHJzL2Rvd25y&#10;ZXYueG1sUEsBAhQAFAAAAAgAh07iQNS38qICAgAA0AMAAA4AAAAAAAAAAQAgAAAAIwEAAGRycy9l&#10;Mm9Eb2MueG1sUEsFBgAAAAAGAAYAWQEAAJcFAAAAAA==&#10;">
                      <v:fill on="f" focussize="0,0"/>
                      <v:stroke weight="1pt" color="#4874CB [3204]" miterlimit="8" joinstyle="miter"/>
                      <v:imagedata o:title=""/>
                      <o:lock v:ext="edit" aspectratio="f"/>
                    </v:line>
                  </w:pict>
                </mc:Fallback>
              </mc:AlternateContent>
            </w:r>
          </w:p>
          <w:p w14:paraId="73473CF0">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42D77463">
            <w:pPr>
              <w:keepNext w:val="0"/>
              <w:keepLines w:val="0"/>
              <w:pageBreakBefore w:val="0"/>
              <w:widowControl/>
              <w:kinsoku w:val="0"/>
              <w:wordWrap/>
              <w:overflowPunct/>
              <w:topLinePunct w:val="0"/>
              <w:autoSpaceDE w:val="0"/>
              <w:autoSpaceDN w:val="0"/>
              <w:bidi w:val="0"/>
              <w:adjustRightInd w:val="0"/>
              <w:snapToGrid w:val="0"/>
              <w:spacing w:before="58" w:line="288" w:lineRule="auto"/>
              <w:ind w:left="1979"/>
              <w:textAlignment w:val="baseline"/>
              <w:rPr>
                <w:rFonts w:hint="eastAsia" w:ascii="宋体" w:hAnsi="宋体" w:eastAsia="宋体" w:cs="宋体"/>
                <w:color w:val="auto"/>
                <w:sz w:val="24"/>
                <w:szCs w:val="24"/>
                <w:highlight w:val="none"/>
              </w:rPr>
            </w:pPr>
          </w:p>
        </w:tc>
      </w:tr>
      <w:tr w14:paraId="7EA8D9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66" w:hRule="atLeast"/>
        </w:trPr>
        <w:tc>
          <w:tcPr>
            <w:tcW w:w="764" w:type="dxa"/>
            <w:vAlign w:val="top"/>
          </w:tcPr>
          <w:p w14:paraId="443BB7FA">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1F58368B">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2890160C">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0EC89A79">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5F010AA9">
            <w:pPr>
              <w:keepNext w:val="0"/>
              <w:keepLines w:val="0"/>
              <w:pageBreakBefore w:val="0"/>
              <w:widowControl/>
              <w:kinsoku w:val="0"/>
              <w:wordWrap/>
              <w:overflowPunct/>
              <w:topLinePunct w:val="0"/>
              <w:autoSpaceDE w:val="0"/>
              <w:autoSpaceDN w:val="0"/>
              <w:bidi w:val="0"/>
              <w:adjustRightInd w:val="0"/>
              <w:snapToGrid w:val="0"/>
              <w:spacing w:before="57" w:line="288" w:lineRule="auto"/>
              <w:ind w:left="312"/>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w:t>
            </w:r>
          </w:p>
        </w:tc>
        <w:tc>
          <w:tcPr>
            <w:tcW w:w="1675" w:type="dxa"/>
            <w:vAlign w:val="top"/>
          </w:tcPr>
          <w:p w14:paraId="10987C8F">
            <w:pPr>
              <w:pStyle w:val="21"/>
              <w:keepNext w:val="0"/>
              <w:keepLines w:val="0"/>
              <w:pageBreakBefore w:val="0"/>
              <w:widowControl/>
              <w:kinsoku w:val="0"/>
              <w:wordWrap/>
              <w:overflowPunct/>
              <w:topLinePunct w:val="0"/>
              <w:autoSpaceDE w:val="0"/>
              <w:autoSpaceDN w:val="0"/>
              <w:bidi w:val="0"/>
              <w:adjustRightInd w:val="0"/>
              <w:snapToGrid w:val="0"/>
              <w:spacing w:line="288" w:lineRule="auto"/>
              <w:ind w:left="0" w:right="0" w:firstLine="0"/>
              <w:textAlignment w:val="baseline"/>
              <w:rPr>
                <w:rFonts w:hint="eastAsia" w:ascii="宋体" w:hAnsi="宋体" w:eastAsia="宋体" w:cs="宋体"/>
                <w:color w:val="auto"/>
                <w:sz w:val="24"/>
                <w:szCs w:val="24"/>
                <w:highlight w:val="none"/>
              </w:rPr>
            </w:pPr>
          </w:p>
          <w:p w14:paraId="49332366">
            <w:pPr>
              <w:pStyle w:val="21"/>
              <w:keepNext w:val="0"/>
              <w:keepLines w:val="0"/>
              <w:pageBreakBefore w:val="0"/>
              <w:widowControl/>
              <w:kinsoku w:val="0"/>
              <w:wordWrap/>
              <w:overflowPunct/>
              <w:topLinePunct w:val="0"/>
              <w:autoSpaceDE w:val="0"/>
              <w:autoSpaceDN w:val="0"/>
              <w:bidi w:val="0"/>
              <w:adjustRightInd w:val="0"/>
              <w:snapToGrid w:val="0"/>
              <w:spacing w:line="288" w:lineRule="auto"/>
              <w:ind w:left="0" w:right="0" w:firstLine="0"/>
              <w:textAlignment w:val="baseline"/>
              <w:rPr>
                <w:rFonts w:hint="eastAsia" w:ascii="宋体" w:hAnsi="宋体" w:eastAsia="宋体" w:cs="宋体"/>
                <w:color w:val="auto"/>
                <w:sz w:val="24"/>
                <w:szCs w:val="24"/>
                <w:highlight w:val="none"/>
              </w:rPr>
            </w:pPr>
          </w:p>
          <w:p w14:paraId="32B67BD4">
            <w:pPr>
              <w:pStyle w:val="21"/>
              <w:keepNext w:val="0"/>
              <w:keepLines w:val="0"/>
              <w:pageBreakBefore w:val="0"/>
              <w:widowControl/>
              <w:kinsoku w:val="0"/>
              <w:wordWrap/>
              <w:overflowPunct/>
              <w:topLinePunct w:val="0"/>
              <w:autoSpaceDE w:val="0"/>
              <w:autoSpaceDN w:val="0"/>
              <w:bidi w:val="0"/>
              <w:adjustRightInd w:val="0"/>
              <w:snapToGrid w:val="0"/>
              <w:spacing w:line="288" w:lineRule="auto"/>
              <w:ind w:left="0" w:right="0" w:firstLine="0"/>
              <w:textAlignment w:val="baseline"/>
              <w:rPr>
                <w:rFonts w:hint="eastAsia" w:ascii="宋体" w:hAnsi="宋体" w:eastAsia="宋体" w:cs="宋体"/>
                <w:color w:val="auto"/>
                <w:sz w:val="24"/>
                <w:szCs w:val="24"/>
                <w:highlight w:val="none"/>
              </w:rPr>
            </w:pPr>
          </w:p>
          <w:p w14:paraId="06743F6A">
            <w:pPr>
              <w:keepNext w:val="0"/>
              <w:keepLines w:val="0"/>
              <w:pageBreakBefore w:val="0"/>
              <w:widowControl/>
              <w:kinsoku w:val="0"/>
              <w:wordWrap/>
              <w:overflowPunct/>
              <w:topLinePunct w:val="0"/>
              <w:autoSpaceDE w:val="0"/>
              <w:autoSpaceDN w:val="0"/>
              <w:bidi w:val="0"/>
              <w:adjustRightInd w:val="0"/>
              <w:snapToGrid w:val="0"/>
              <w:spacing w:line="288" w:lineRule="auto"/>
              <w:ind w:left="0" w:right="0" w:firstLine="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对不正常报价</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4"/>
                <w:sz w:val="24"/>
                <w:szCs w:val="24"/>
                <w:highlight w:val="none"/>
              </w:rPr>
              <w:t>的确认承诺</w:t>
            </w:r>
          </w:p>
        </w:tc>
        <w:tc>
          <w:tcPr>
            <w:tcW w:w="3107" w:type="dxa"/>
            <w:vAlign w:val="top"/>
          </w:tcPr>
          <w:p w14:paraId="6339079D">
            <w:pPr>
              <w:keepNext w:val="0"/>
              <w:keepLines w:val="0"/>
              <w:pageBreakBefore w:val="0"/>
              <w:widowControl/>
              <w:kinsoku w:val="0"/>
              <w:wordWrap/>
              <w:overflowPunct/>
              <w:topLinePunct w:val="0"/>
              <w:autoSpaceDE w:val="0"/>
              <w:autoSpaceDN w:val="0"/>
              <w:bidi w:val="0"/>
              <w:adjustRightInd w:val="0"/>
              <w:snapToGrid w:val="0"/>
              <w:spacing w:before="121" w:line="288" w:lineRule="auto"/>
              <w:ind w:left="10" w:right="2" w:firstLine="423"/>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如果我方中标，我方接受招</w:t>
            </w:r>
            <w:r>
              <w:rPr>
                <w:rFonts w:hint="eastAsia" w:ascii="宋体" w:hAnsi="宋体" w:eastAsia="宋体" w:cs="宋体"/>
                <w:color w:val="auto"/>
                <w:spacing w:val="23"/>
                <w:sz w:val="24"/>
                <w:szCs w:val="24"/>
                <w:highlight w:val="none"/>
              </w:rPr>
              <w:t>标人在合同订立期间依据招标文件有关条款约定对我方已标价工程量清单中不正常报价的</w:t>
            </w:r>
            <w:r>
              <w:rPr>
                <w:rFonts w:hint="eastAsia" w:ascii="宋体" w:hAnsi="宋体" w:eastAsia="宋体" w:cs="宋体"/>
                <w:color w:val="auto"/>
                <w:spacing w:val="7"/>
                <w:sz w:val="24"/>
                <w:szCs w:val="24"/>
                <w:highlight w:val="none"/>
              </w:rPr>
              <w:t>修正或认定，并按要求签署《不</w:t>
            </w:r>
            <w:r>
              <w:rPr>
                <w:rFonts w:hint="eastAsia" w:ascii="宋体" w:hAnsi="宋体" w:eastAsia="宋体" w:cs="宋体"/>
                <w:color w:val="auto"/>
                <w:spacing w:val="8"/>
                <w:sz w:val="24"/>
                <w:szCs w:val="24"/>
                <w:highlight w:val="none"/>
              </w:rPr>
              <w:t>正常报价清单》加以确认。</w:t>
            </w:r>
          </w:p>
        </w:tc>
        <w:tc>
          <w:tcPr>
            <w:tcW w:w="4272" w:type="dxa"/>
            <w:vAlign w:val="top"/>
          </w:tcPr>
          <w:p w14:paraId="2AC2D7AD">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r>
              <w:rPr>
                <w:color w:val="auto"/>
                <w:sz w:val="24"/>
                <w:highlight w:val="none"/>
              </w:rPr>
              <mc:AlternateContent>
                <mc:Choice Requires="wps">
                  <w:drawing>
                    <wp:anchor distT="0" distB="0" distL="114300" distR="114300" simplePos="0" relativeHeight="251661312" behindDoc="0" locked="0" layoutInCell="1" allowOverlap="1">
                      <wp:simplePos x="0" y="0"/>
                      <wp:positionH relativeFrom="column">
                        <wp:posOffset>7620</wp:posOffset>
                      </wp:positionH>
                      <wp:positionV relativeFrom="paragraph">
                        <wp:posOffset>26035</wp:posOffset>
                      </wp:positionV>
                      <wp:extent cx="2706370" cy="1920875"/>
                      <wp:effectExtent l="3810" t="5080" r="13970" b="17145"/>
                      <wp:wrapNone/>
                      <wp:docPr id="24" name="直接连接符 24"/>
                      <wp:cNvGraphicFramePr/>
                      <a:graphic xmlns:a="http://schemas.openxmlformats.org/drawingml/2006/main">
                        <a:graphicData uri="http://schemas.microsoft.com/office/word/2010/wordprocessingShape">
                          <wps:wsp>
                            <wps:cNvCnPr/>
                            <wps:spPr>
                              <a:xfrm flipV="1">
                                <a:off x="4217670" y="3238500"/>
                                <a:ext cx="2706370" cy="192087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0.6pt;margin-top:2.05pt;height:151.25pt;width:213.1pt;z-index:251661312;mso-width-relative:page;mso-height-relative:page;" filled="f" stroked="t" coordsize="21600,21600" o:gfxdata="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7HjHtdIAAAAHAQAADwAAAAAAAAABACAAAAAiAAAAZHJzL2Rvd25y&#10;ZXYueG1sUEsBAhQAFAAAAAgAh07iQBDx3nQEAgAA0AMAAA4AAAAAAAAAAQAgAAAAIQEAAGRycy9l&#10;Mm9Eb2MueG1sUEsFBgAAAAAGAAYAWQEAAJcFAAAAAA==&#10;">
                      <v:fill on="f" focussize="0,0"/>
                      <v:stroke weight="1pt" color="#4874CB [3204]" miterlimit="8" joinstyle="miter"/>
                      <v:imagedata o:title=""/>
                      <o:lock v:ext="edit" aspectratio="f"/>
                    </v:line>
                  </w:pict>
                </mc:Fallback>
              </mc:AlternateContent>
            </w:r>
          </w:p>
          <w:p w14:paraId="7C9BB7EC">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51A5536F">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2E45103F">
            <w:pPr>
              <w:keepNext w:val="0"/>
              <w:keepLines w:val="0"/>
              <w:pageBreakBefore w:val="0"/>
              <w:widowControl/>
              <w:kinsoku w:val="0"/>
              <w:wordWrap/>
              <w:overflowPunct/>
              <w:topLinePunct w:val="0"/>
              <w:autoSpaceDE w:val="0"/>
              <w:autoSpaceDN w:val="0"/>
              <w:bidi w:val="0"/>
              <w:adjustRightInd w:val="0"/>
              <w:snapToGrid w:val="0"/>
              <w:spacing w:before="57" w:line="288" w:lineRule="auto"/>
              <w:ind w:left="1979"/>
              <w:textAlignment w:val="baseline"/>
              <w:rPr>
                <w:rFonts w:hint="eastAsia" w:ascii="宋体" w:hAnsi="宋体" w:eastAsia="宋体" w:cs="宋体"/>
                <w:color w:val="auto"/>
                <w:sz w:val="24"/>
                <w:szCs w:val="24"/>
                <w:highlight w:val="none"/>
              </w:rPr>
            </w:pPr>
          </w:p>
        </w:tc>
      </w:tr>
      <w:tr w14:paraId="181CB0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64" w:type="dxa"/>
            <w:vAlign w:val="top"/>
          </w:tcPr>
          <w:p w14:paraId="2565A70D">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0474C16A">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3705BF3F">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2D5C170A">
            <w:pPr>
              <w:keepNext w:val="0"/>
              <w:keepLines w:val="0"/>
              <w:pageBreakBefore w:val="0"/>
              <w:widowControl/>
              <w:kinsoku w:val="0"/>
              <w:wordWrap/>
              <w:overflowPunct/>
              <w:topLinePunct w:val="0"/>
              <w:autoSpaceDE w:val="0"/>
              <w:autoSpaceDN w:val="0"/>
              <w:bidi w:val="0"/>
              <w:adjustRightInd w:val="0"/>
              <w:snapToGrid w:val="0"/>
              <w:spacing w:before="58" w:line="288" w:lineRule="auto"/>
              <w:ind w:left="317"/>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w:t>
            </w:r>
          </w:p>
        </w:tc>
        <w:tc>
          <w:tcPr>
            <w:tcW w:w="1675" w:type="dxa"/>
            <w:vAlign w:val="top"/>
          </w:tcPr>
          <w:p w14:paraId="4EE17AC8">
            <w:pPr>
              <w:pStyle w:val="21"/>
              <w:keepNext w:val="0"/>
              <w:keepLines w:val="0"/>
              <w:pageBreakBefore w:val="0"/>
              <w:widowControl/>
              <w:kinsoku w:val="0"/>
              <w:wordWrap/>
              <w:overflowPunct/>
              <w:topLinePunct w:val="0"/>
              <w:autoSpaceDE w:val="0"/>
              <w:autoSpaceDN w:val="0"/>
              <w:bidi w:val="0"/>
              <w:adjustRightInd w:val="0"/>
              <w:snapToGrid w:val="0"/>
              <w:spacing w:line="288" w:lineRule="auto"/>
              <w:ind w:left="0" w:right="0" w:firstLine="0"/>
              <w:textAlignment w:val="baseline"/>
              <w:rPr>
                <w:rFonts w:hint="eastAsia" w:ascii="宋体" w:hAnsi="宋体" w:eastAsia="宋体" w:cs="宋体"/>
                <w:color w:val="auto"/>
                <w:sz w:val="24"/>
                <w:szCs w:val="24"/>
                <w:highlight w:val="none"/>
              </w:rPr>
            </w:pPr>
          </w:p>
          <w:p w14:paraId="3BB363F9">
            <w:pPr>
              <w:pStyle w:val="21"/>
              <w:keepNext w:val="0"/>
              <w:keepLines w:val="0"/>
              <w:pageBreakBefore w:val="0"/>
              <w:widowControl/>
              <w:kinsoku w:val="0"/>
              <w:wordWrap/>
              <w:overflowPunct/>
              <w:topLinePunct w:val="0"/>
              <w:autoSpaceDE w:val="0"/>
              <w:autoSpaceDN w:val="0"/>
              <w:bidi w:val="0"/>
              <w:adjustRightInd w:val="0"/>
              <w:snapToGrid w:val="0"/>
              <w:spacing w:line="288" w:lineRule="auto"/>
              <w:ind w:left="0" w:right="0" w:firstLine="0"/>
              <w:textAlignment w:val="baseline"/>
              <w:rPr>
                <w:rFonts w:hint="eastAsia" w:ascii="宋体" w:hAnsi="宋体" w:eastAsia="宋体" w:cs="宋体"/>
                <w:color w:val="auto"/>
                <w:sz w:val="24"/>
                <w:szCs w:val="24"/>
                <w:highlight w:val="none"/>
              </w:rPr>
            </w:pPr>
          </w:p>
          <w:p w14:paraId="4D741FFC">
            <w:pPr>
              <w:keepNext w:val="0"/>
              <w:keepLines w:val="0"/>
              <w:pageBreakBefore w:val="0"/>
              <w:widowControl/>
              <w:kinsoku w:val="0"/>
              <w:wordWrap/>
              <w:overflowPunct/>
              <w:topLinePunct w:val="0"/>
              <w:autoSpaceDE w:val="0"/>
              <w:autoSpaceDN w:val="0"/>
              <w:bidi w:val="0"/>
              <w:adjustRightInd w:val="0"/>
              <w:snapToGrid w:val="0"/>
              <w:spacing w:line="288" w:lineRule="auto"/>
              <w:ind w:left="0" w:right="0" w:firstLine="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按时提交履约</w:t>
            </w:r>
            <w:r>
              <w:rPr>
                <w:rFonts w:hint="eastAsia" w:ascii="宋体" w:hAnsi="宋体" w:eastAsia="宋体" w:cs="宋体"/>
                <w:color w:val="auto"/>
                <w:spacing w:val="4"/>
                <w:sz w:val="24"/>
                <w:szCs w:val="24"/>
                <w:highlight w:val="none"/>
              </w:rPr>
              <w:t xml:space="preserve"> </w:t>
            </w:r>
            <w:r>
              <w:rPr>
                <w:rFonts w:hint="eastAsia" w:ascii="宋体" w:hAnsi="宋体" w:eastAsia="宋体" w:cs="宋体"/>
                <w:color w:val="auto"/>
                <w:spacing w:val="7"/>
                <w:sz w:val="24"/>
                <w:szCs w:val="24"/>
                <w:highlight w:val="none"/>
              </w:rPr>
              <w:t>保证的承诺</w:t>
            </w:r>
          </w:p>
        </w:tc>
        <w:tc>
          <w:tcPr>
            <w:tcW w:w="3107" w:type="dxa"/>
            <w:vAlign w:val="top"/>
          </w:tcPr>
          <w:p w14:paraId="2F2EF5F6">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1DF103BD">
            <w:pPr>
              <w:keepNext w:val="0"/>
              <w:keepLines w:val="0"/>
              <w:pageBreakBefore w:val="0"/>
              <w:widowControl/>
              <w:kinsoku w:val="0"/>
              <w:wordWrap/>
              <w:overflowPunct/>
              <w:topLinePunct w:val="0"/>
              <w:autoSpaceDE w:val="0"/>
              <w:autoSpaceDN w:val="0"/>
              <w:bidi w:val="0"/>
              <w:adjustRightInd w:val="0"/>
              <w:snapToGrid w:val="0"/>
              <w:spacing w:line="288" w:lineRule="auto"/>
              <w:ind w:left="11" w:right="0" w:firstLine="0"/>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如果我方中标，我方保证在</w:t>
            </w:r>
            <w:r>
              <w:rPr>
                <w:rFonts w:hint="eastAsia" w:ascii="宋体" w:hAnsi="宋体" w:eastAsia="宋体" w:cs="宋体"/>
                <w:color w:val="auto"/>
                <w:spacing w:val="23"/>
                <w:sz w:val="24"/>
                <w:szCs w:val="24"/>
                <w:highlight w:val="none"/>
              </w:rPr>
              <w:t>招标文件规定的时限内全额提</w:t>
            </w:r>
            <w:r>
              <w:rPr>
                <w:rFonts w:hint="eastAsia" w:ascii="宋体" w:hAnsi="宋体" w:eastAsia="宋体" w:cs="宋体"/>
                <w:color w:val="auto"/>
                <w:spacing w:val="6"/>
                <w:sz w:val="24"/>
                <w:szCs w:val="24"/>
                <w:highlight w:val="none"/>
              </w:rPr>
              <w:t>交履约保证。</w:t>
            </w:r>
          </w:p>
        </w:tc>
        <w:tc>
          <w:tcPr>
            <w:tcW w:w="4272" w:type="dxa"/>
            <w:vAlign w:val="top"/>
          </w:tcPr>
          <w:p w14:paraId="20F3BAEB">
            <w:pPr>
              <w:keepNext w:val="0"/>
              <w:keepLines w:val="0"/>
              <w:pageBreakBefore w:val="0"/>
              <w:widowControl/>
              <w:kinsoku w:val="0"/>
              <w:wordWrap/>
              <w:overflowPunct/>
              <w:topLinePunct w:val="0"/>
              <w:autoSpaceDE w:val="0"/>
              <w:autoSpaceDN w:val="0"/>
              <w:bidi w:val="0"/>
              <w:adjustRightInd w:val="0"/>
              <w:snapToGrid w:val="0"/>
              <w:spacing w:before="128" w:line="288" w:lineRule="auto"/>
              <w:ind w:left="12" w:right="23" w:firstLine="423"/>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如果我方未在招标文件规定的时限内全</w:t>
            </w:r>
            <w:r>
              <w:rPr>
                <w:rFonts w:hint="eastAsia" w:ascii="宋体" w:hAnsi="宋体" w:eastAsia="宋体" w:cs="宋体"/>
                <w:color w:val="auto"/>
                <w:spacing w:val="3"/>
                <w:sz w:val="24"/>
                <w:szCs w:val="24"/>
                <w:highlight w:val="none"/>
              </w:rPr>
              <w:t xml:space="preserve"> </w:t>
            </w:r>
            <w:r>
              <w:rPr>
                <w:rFonts w:hint="eastAsia" w:ascii="宋体" w:hAnsi="宋体" w:eastAsia="宋体" w:cs="宋体"/>
                <w:color w:val="auto"/>
                <w:spacing w:val="9"/>
                <w:sz w:val="24"/>
                <w:szCs w:val="24"/>
                <w:highlight w:val="none"/>
              </w:rPr>
              <w:t>额提交履约保证，我方接受招标人依据招标文件作出的相应处理以及有关监督部门作出的行政处罚，并承担由此引起的一切法律后</w:t>
            </w:r>
            <w:r>
              <w:rPr>
                <w:rFonts w:hint="eastAsia" w:ascii="宋体" w:hAnsi="宋体" w:eastAsia="宋体" w:cs="宋体"/>
                <w:color w:val="auto"/>
                <w:spacing w:val="8"/>
                <w:sz w:val="24"/>
                <w:szCs w:val="24"/>
                <w:highlight w:val="none"/>
              </w:rPr>
              <w:t xml:space="preserve"> </w:t>
            </w:r>
            <w:r>
              <w:rPr>
                <w:rFonts w:hint="eastAsia" w:ascii="宋体" w:hAnsi="宋体" w:eastAsia="宋体" w:cs="宋体"/>
                <w:color w:val="auto"/>
                <w:sz w:val="24"/>
                <w:szCs w:val="24"/>
                <w:highlight w:val="none"/>
              </w:rPr>
              <w:t>果。</w:t>
            </w:r>
          </w:p>
        </w:tc>
      </w:tr>
      <w:tr w14:paraId="6E5D5A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64" w:type="dxa"/>
            <w:vAlign w:val="top"/>
          </w:tcPr>
          <w:p w14:paraId="104B7305">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0C02A7C0">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7B620D0E">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44F4C3A4">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1E8D2FFB">
            <w:pPr>
              <w:keepNext w:val="0"/>
              <w:keepLines w:val="0"/>
              <w:pageBreakBefore w:val="0"/>
              <w:widowControl/>
              <w:kinsoku w:val="0"/>
              <w:wordWrap/>
              <w:overflowPunct/>
              <w:topLinePunct w:val="0"/>
              <w:autoSpaceDE w:val="0"/>
              <w:autoSpaceDN w:val="0"/>
              <w:bidi w:val="0"/>
              <w:adjustRightInd w:val="0"/>
              <w:snapToGrid w:val="0"/>
              <w:spacing w:before="58" w:line="288" w:lineRule="auto"/>
              <w:ind w:left="312"/>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w:t>
            </w:r>
          </w:p>
        </w:tc>
        <w:tc>
          <w:tcPr>
            <w:tcW w:w="1675" w:type="dxa"/>
            <w:vAlign w:val="top"/>
          </w:tcPr>
          <w:p w14:paraId="3984E433">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7D7846EB">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700D32F0">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59127F03">
            <w:pPr>
              <w:keepNext w:val="0"/>
              <w:keepLines w:val="0"/>
              <w:pageBreakBefore w:val="0"/>
              <w:widowControl/>
              <w:kinsoku w:val="0"/>
              <w:wordWrap/>
              <w:overflowPunct/>
              <w:topLinePunct w:val="0"/>
              <w:autoSpaceDE w:val="0"/>
              <w:autoSpaceDN w:val="0"/>
              <w:bidi w:val="0"/>
              <w:adjustRightInd w:val="0"/>
              <w:snapToGrid w:val="0"/>
              <w:spacing w:line="288" w:lineRule="auto"/>
              <w:ind w:left="0" w:right="0" w:firstLine="0"/>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按时签订合同</w:t>
            </w:r>
            <w:r>
              <w:rPr>
                <w:rFonts w:hint="eastAsia" w:ascii="宋体" w:hAnsi="宋体" w:eastAsia="宋体" w:cs="宋体"/>
                <w:color w:val="auto"/>
                <w:spacing w:val="1"/>
                <w:sz w:val="24"/>
                <w:szCs w:val="24"/>
                <w:highlight w:val="none"/>
              </w:rPr>
              <w:t>的承诺</w:t>
            </w:r>
          </w:p>
        </w:tc>
        <w:tc>
          <w:tcPr>
            <w:tcW w:w="3107" w:type="dxa"/>
            <w:vAlign w:val="top"/>
          </w:tcPr>
          <w:p w14:paraId="45DF0271">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60E5BA5A">
            <w:pPr>
              <w:keepNext w:val="0"/>
              <w:keepLines w:val="0"/>
              <w:pageBreakBefore w:val="0"/>
              <w:widowControl/>
              <w:kinsoku w:val="0"/>
              <w:wordWrap/>
              <w:overflowPunct/>
              <w:topLinePunct w:val="0"/>
              <w:autoSpaceDE w:val="0"/>
              <w:autoSpaceDN w:val="0"/>
              <w:bidi w:val="0"/>
              <w:adjustRightInd w:val="0"/>
              <w:snapToGrid w:val="0"/>
              <w:spacing w:before="65" w:line="288" w:lineRule="auto"/>
              <w:ind w:left="10" w:right="2" w:firstLine="422"/>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如果我方中标，我方保证在</w:t>
            </w:r>
            <w:r>
              <w:rPr>
                <w:rFonts w:hint="eastAsia" w:ascii="宋体" w:hAnsi="宋体" w:eastAsia="宋体" w:cs="宋体"/>
                <w:color w:val="auto"/>
                <w:spacing w:val="23"/>
                <w:sz w:val="24"/>
                <w:szCs w:val="24"/>
                <w:highlight w:val="none"/>
              </w:rPr>
              <w:t>招标文件规定的时限内与招标</w:t>
            </w:r>
            <w:r>
              <w:rPr>
                <w:rFonts w:hint="eastAsia" w:ascii="宋体" w:hAnsi="宋体" w:eastAsia="宋体" w:cs="宋体"/>
                <w:color w:val="auto"/>
                <w:spacing w:val="7"/>
                <w:sz w:val="24"/>
                <w:szCs w:val="24"/>
                <w:highlight w:val="none"/>
              </w:rPr>
              <w:t>人签订合同，不提出违背或超出</w:t>
            </w:r>
            <w:r>
              <w:rPr>
                <w:rFonts w:hint="eastAsia" w:ascii="宋体" w:hAnsi="宋体" w:eastAsia="宋体" w:cs="宋体"/>
                <w:color w:val="auto"/>
                <w:spacing w:val="8"/>
                <w:sz w:val="24"/>
                <w:szCs w:val="24"/>
                <w:highlight w:val="none"/>
              </w:rPr>
              <w:t>招标文件、中标文件的要求。</w:t>
            </w:r>
          </w:p>
        </w:tc>
        <w:tc>
          <w:tcPr>
            <w:tcW w:w="4272" w:type="dxa"/>
            <w:vAlign w:val="top"/>
          </w:tcPr>
          <w:p w14:paraId="193F81D5">
            <w:pPr>
              <w:keepNext w:val="0"/>
              <w:keepLines w:val="0"/>
              <w:pageBreakBefore w:val="0"/>
              <w:widowControl/>
              <w:kinsoku w:val="0"/>
              <w:wordWrap/>
              <w:overflowPunct/>
              <w:topLinePunct w:val="0"/>
              <w:autoSpaceDE w:val="0"/>
              <w:autoSpaceDN w:val="0"/>
              <w:bidi w:val="0"/>
              <w:adjustRightInd w:val="0"/>
              <w:snapToGrid w:val="0"/>
              <w:spacing w:before="126" w:line="288" w:lineRule="auto"/>
              <w:ind w:left="13" w:firstLine="415"/>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如果我方未在招标文件规定的时限内与招标人签订合同，或我方在签订合同过程中</w:t>
            </w:r>
            <w:r>
              <w:rPr>
                <w:rFonts w:hint="eastAsia" w:ascii="宋体" w:hAnsi="宋体" w:eastAsia="宋体" w:cs="宋体"/>
                <w:color w:val="auto"/>
                <w:sz w:val="24"/>
                <w:szCs w:val="24"/>
                <w:highlight w:val="none"/>
              </w:rPr>
              <w:t>提出违背或超出招标文件、中标文件的要求。</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7"/>
                <w:sz w:val="24"/>
                <w:szCs w:val="24"/>
                <w:highlight w:val="none"/>
              </w:rPr>
              <w:t>我方接受招标人依据招标文件作出的相应处</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7"/>
                <w:sz w:val="24"/>
                <w:szCs w:val="24"/>
                <w:highlight w:val="none"/>
              </w:rPr>
              <w:t>理以及有关监督部门作出的行政处罚，并承</w:t>
            </w:r>
            <w:r>
              <w:rPr>
                <w:rFonts w:hint="eastAsia" w:ascii="宋体" w:hAnsi="宋体" w:eastAsia="宋体" w:cs="宋体"/>
                <w:color w:val="auto"/>
                <w:spacing w:val="5"/>
                <w:sz w:val="24"/>
                <w:szCs w:val="24"/>
                <w:highlight w:val="none"/>
              </w:rPr>
              <w:t>担由此引起的一切法律后果。</w:t>
            </w:r>
          </w:p>
        </w:tc>
      </w:tr>
    </w:tbl>
    <w:p w14:paraId="74877834">
      <w:pPr>
        <w:spacing w:before="78" w:line="219" w:lineRule="auto"/>
        <w:ind w:firstLine="6832" w:firstLineChars="2800"/>
        <w:jc w:val="both"/>
        <w:rPr>
          <w:rFonts w:hint="eastAsia" w:ascii="宋体" w:hAnsi="宋体" w:eastAsia="宋体" w:cs="宋体"/>
          <w:color w:val="auto"/>
          <w:spacing w:val="2"/>
          <w:sz w:val="24"/>
          <w:szCs w:val="24"/>
          <w:highlight w:val="none"/>
        </w:rPr>
      </w:pPr>
    </w:p>
    <w:p w14:paraId="749799CD">
      <w:pPr>
        <w:spacing w:before="78" w:line="219" w:lineRule="auto"/>
        <w:ind w:firstLine="6832" w:firstLineChars="2800"/>
        <w:jc w:val="right"/>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投标人</w:t>
      </w:r>
      <w:r>
        <w:rPr>
          <w:rFonts w:hint="eastAsia" w:ascii="宋体" w:hAnsi="宋体" w:eastAsia="宋体" w:cs="宋体"/>
          <w:color w:val="auto"/>
          <w:spacing w:val="-15"/>
          <w:sz w:val="24"/>
          <w:szCs w:val="24"/>
          <w:highlight w:val="none"/>
        </w:rPr>
        <w:t>：</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color w:val="auto"/>
          <w:spacing w:val="-15"/>
          <w:sz w:val="24"/>
          <w:szCs w:val="24"/>
          <w:highlight w:val="none"/>
        </w:rPr>
        <w:t>（</w:t>
      </w:r>
      <w:r>
        <w:rPr>
          <w:rFonts w:hint="eastAsia" w:ascii="宋体" w:hAnsi="宋体" w:eastAsia="宋体" w:cs="宋体"/>
          <w:color w:val="auto"/>
          <w:spacing w:val="2"/>
          <w:sz w:val="24"/>
          <w:szCs w:val="24"/>
          <w:highlight w:val="none"/>
        </w:rPr>
        <w:t>盖单位章）</w:t>
      </w:r>
    </w:p>
    <w:p w14:paraId="689D990C">
      <w:pPr>
        <w:pStyle w:val="5"/>
        <w:spacing w:line="297" w:lineRule="auto"/>
        <w:jc w:val="right"/>
        <w:rPr>
          <w:rFonts w:hint="eastAsia" w:ascii="宋体" w:hAnsi="宋体" w:eastAsia="宋体" w:cs="宋体"/>
          <w:color w:val="auto"/>
          <w:highlight w:val="none"/>
        </w:rPr>
      </w:pPr>
    </w:p>
    <w:p w14:paraId="17340BD8">
      <w:pPr>
        <w:spacing w:before="78" w:line="219" w:lineRule="auto"/>
        <w:ind w:left="4366"/>
        <w:jc w:val="right"/>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法定代表人或其委托代理人</w:t>
      </w:r>
      <w:r>
        <w:rPr>
          <w:rFonts w:hint="eastAsia" w:ascii="宋体" w:hAnsi="宋体" w:eastAsia="宋体" w:cs="宋体"/>
          <w:color w:val="auto"/>
          <w:spacing w:val="-15"/>
          <w:sz w:val="24"/>
          <w:szCs w:val="24"/>
          <w:highlight w:val="none"/>
        </w:rPr>
        <w:t>：</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color w:val="auto"/>
          <w:spacing w:val="-15"/>
          <w:sz w:val="24"/>
          <w:szCs w:val="24"/>
          <w:highlight w:val="none"/>
        </w:rPr>
        <w:t>（</w:t>
      </w:r>
      <w:r>
        <w:rPr>
          <w:rFonts w:hint="eastAsia" w:ascii="宋体" w:hAnsi="宋体" w:eastAsia="宋体" w:cs="宋体"/>
          <w:color w:val="auto"/>
          <w:spacing w:val="1"/>
          <w:sz w:val="24"/>
          <w:szCs w:val="24"/>
          <w:highlight w:val="none"/>
        </w:rPr>
        <w:t>签字或盖章）</w:t>
      </w:r>
    </w:p>
    <w:p w14:paraId="59B90550">
      <w:pPr>
        <w:outlineLvl w:val="9"/>
        <w:rPr>
          <w:rFonts w:hint="eastAsia"/>
          <w:color w:val="auto"/>
          <w:highlight w:val="none"/>
        </w:rPr>
      </w:pPr>
    </w:p>
    <w:p w14:paraId="07DB3461">
      <w:pPr>
        <w:spacing w:before="78" w:line="220" w:lineRule="auto"/>
        <w:ind w:left="6730"/>
        <w:jc w:val="right"/>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月</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日</w:t>
      </w:r>
    </w:p>
    <w:p w14:paraId="1A1F64DF">
      <w:pPr>
        <w:spacing w:line="220" w:lineRule="auto"/>
        <w:jc w:val="right"/>
        <w:rPr>
          <w:rFonts w:hint="eastAsia" w:ascii="宋体" w:hAnsi="宋体" w:eastAsia="宋体" w:cs="宋体"/>
          <w:color w:val="auto"/>
          <w:sz w:val="24"/>
          <w:szCs w:val="24"/>
          <w:highlight w:val="none"/>
        </w:rPr>
        <w:sectPr>
          <w:footerReference r:id="rId15"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4BDCB018">
      <w:pPr>
        <w:spacing w:before="78" w:line="220" w:lineRule="auto"/>
        <w:outlineLvl w:val="2"/>
        <w:rPr>
          <w:rFonts w:hint="eastAsia" w:ascii="宋体" w:hAnsi="宋体" w:eastAsia="宋体" w:cs="宋体"/>
          <w:b/>
          <w:bCs/>
          <w:color w:val="auto"/>
          <w:spacing w:val="-4"/>
          <w:sz w:val="24"/>
          <w:szCs w:val="24"/>
          <w:highlight w:val="none"/>
        </w:rPr>
      </w:pPr>
      <w:bookmarkStart w:id="232" w:name="_Toc16537"/>
      <w:r>
        <w:rPr>
          <w:rFonts w:hint="eastAsia" w:ascii="宋体" w:hAnsi="宋体" w:eastAsia="宋体" w:cs="宋体"/>
          <w:b/>
          <w:bCs/>
          <w:color w:val="auto"/>
          <w:spacing w:val="-4"/>
          <w:sz w:val="24"/>
          <w:szCs w:val="24"/>
          <w:highlight w:val="none"/>
        </w:rPr>
        <w:t>格式四 授权委托书</w:t>
      </w:r>
      <w:bookmarkEnd w:id="232"/>
    </w:p>
    <w:p w14:paraId="6CD0F9BB">
      <w:pPr>
        <w:pStyle w:val="5"/>
        <w:spacing w:line="351" w:lineRule="auto"/>
        <w:rPr>
          <w:rFonts w:hint="eastAsia" w:ascii="宋体" w:hAnsi="宋体" w:eastAsia="宋体" w:cs="宋体"/>
          <w:color w:val="auto"/>
          <w:highlight w:val="none"/>
        </w:rPr>
      </w:pPr>
    </w:p>
    <w:p w14:paraId="18A875F0">
      <w:pPr>
        <w:pStyle w:val="5"/>
        <w:spacing w:line="351" w:lineRule="auto"/>
        <w:rPr>
          <w:rFonts w:hint="eastAsia" w:ascii="宋体" w:hAnsi="宋体" w:eastAsia="宋体" w:cs="宋体"/>
          <w:color w:val="auto"/>
          <w:highlight w:val="none"/>
        </w:rPr>
      </w:pPr>
    </w:p>
    <w:p w14:paraId="7EF079A3">
      <w:pPr>
        <w:spacing w:before="97" w:line="219" w:lineRule="auto"/>
        <w:ind w:left="3786"/>
        <w:rPr>
          <w:rFonts w:hint="eastAsia" w:ascii="宋体" w:hAnsi="宋体" w:eastAsia="宋体" w:cs="宋体"/>
          <w:color w:val="auto"/>
          <w:sz w:val="30"/>
          <w:szCs w:val="30"/>
          <w:highlight w:val="none"/>
        </w:rPr>
      </w:pPr>
      <w:bookmarkStart w:id="233" w:name="bookmark151"/>
      <w:bookmarkEnd w:id="233"/>
      <w:r>
        <w:rPr>
          <w:rFonts w:hint="eastAsia" w:ascii="宋体" w:hAnsi="宋体" w:eastAsia="宋体" w:cs="宋体"/>
          <w:b/>
          <w:bCs/>
          <w:color w:val="auto"/>
          <w:spacing w:val="-5"/>
          <w:sz w:val="30"/>
          <w:szCs w:val="30"/>
          <w:highlight w:val="none"/>
        </w:rPr>
        <w:t>授权委托书</w:t>
      </w:r>
    </w:p>
    <w:p w14:paraId="473B7E5C">
      <w:pPr>
        <w:pStyle w:val="5"/>
        <w:spacing w:line="250" w:lineRule="auto"/>
        <w:rPr>
          <w:rFonts w:hint="eastAsia" w:ascii="宋体" w:hAnsi="宋体" w:eastAsia="宋体" w:cs="宋体"/>
          <w:color w:val="auto"/>
          <w:highlight w:val="none"/>
        </w:rPr>
      </w:pPr>
    </w:p>
    <w:p w14:paraId="72DA4D73">
      <w:pPr>
        <w:pStyle w:val="5"/>
        <w:spacing w:line="250" w:lineRule="auto"/>
        <w:rPr>
          <w:rFonts w:hint="eastAsia" w:ascii="宋体" w:hAnsi="宋体" w:eastAsia="宋体" w:cs="宋体"/>
          <w:color w:val="auto"/>
          <w:highlight w:val="none"/>
        </w:rPr>
      </w:pPr>
    </w:p>
    <w:p w14:paraId="18BC7C34">
      <w:pPr>
        <w:pStyle w:val="5"/>
        <w:spacing w:line="251" w:lineRule="auto"/>
        <w:rPr>
          <w:rFonts w:hint="eastAsia" w:ascii="宋体" w:hAnsi="宋体" w:eastAsia="宋体" w:cs="宋体"/>
          <w:color w:val="auto"/>
          <w:highlight w:val="none"/>
        </w:rPr>
      </w:pPr>
    </w:p>
    <w:p w14:paraId="09C2E563">
      <w:pPr>
        <w:spacing w:before="78" w:line="330" w:lineRule="auto"/>
        <w:ind w:firstLine="481"/>
        <w:jc w:val="both"/>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8"/>
          <w:highlight w:val="none"/>
          <w:lang w:eastAsia="zh-CN"/>
        </w:rPr>
        <w:t>本人</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 w:val="24"/>
          <w:szCs w:val="28"/>
          <w:highlight w:val="none"/>
          <w:lang w:eastAsia="zh-CN"/>
        </w:rPr>
        <w:t>（姓名）系</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 w:val="24"/>
          <w:szCs w:val="28"/>
          <w:highlight w:val="none"/>
          <w:lang w:eastAsia="zh-CN"/>
        </w:rPr>
        <w:t>（投标人名称）的法定代表人，现委托</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 w:val="24"/>
          <w:szCs w:val="28"/>
          <w:highlight w:val="none"/>
          <w:lang w:eastAsia="zh-CN"/>
        </w:rPr>
        <w:t>（姓名）为我方代理人。代理人根据授权，以我方名义签署、澄清、说明、补正、递交、撤回、修改</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u w:val="single"/>
          <w:lang w:val="en-US" w:eastAsia="zh-CN"/>
        </w:rPr>
        <w:t xml:space="preserve">   </w:t>
      </w:r>
      <w:r>
        <w:rPr>
          <w:rFonts w:hint="eastAsia" w:ascii="宋体" w:hAnsi="宋体" w:eastAsia="宋体" w:cs="宋体"/>
          <w:snapToGrid w:val="0"/>
          <w:color w:val="auto"/>
          <w:kern w:val="0"/>
          <w:sz w:val="24"/>
          <w:szCs w:val="28"/>
          <w:highlight w:val="none"/>
          <w:u w:val="single"/>
          <w:lang w:eastAsia="zh-CN"/>
        </w:rPr>
        <w:t>（项目名称）</w:t>
      </w:r>
      <w:r>
        <w:rPr>
          <w:rFonts w:hint="eastAsia" w:ascii="宋体" w:hAnsi="宋体" w:eastAsia="宋体" w:cs="宋体"/>
          <w:snapToGrid w:val="0"/>
          <w:color w:val="auto"/>
          <w:kern w:val="0"/>
          <w:sz w:val="24"/>
          <w:szCs w:val="28"/>
          <w:highlight w:val="none"/>
          <w:lang w:eastAsia="zh-CN"/>
        </w:rPr>
        <w:t xml:space="preserve"> 投标文件、签订合同和处理有关事宜，其法律后果由我方承担。</w:t>
      </w:r>
    </w:p>
    <w:p w14:paraId="2CE40362">
      <w:pPr>
        <w:spacing w:before="32" w:line="320" w:lineRule="auto"/>
        <w:ind w:left="480" w:right="497"/>
        <w:rPr>
          <w:rFonts w:hint="eastAsia" w:ascii="宋体" w:hAnsi="宋体" w:eastAsia="宋体" w:cs="宋体"/>
          <w:color w:val="auto"/>
          <w:spacing w:val="15"/>
          <w:sz w:val="24"/>
          <w:szCs w:val="24"/>
          <w:highlight w:val="none"/>
        </w:rPr>
      </w:pPr>
      <w:r>
        <w:rPr>
          <w:rFonts w:hint="eastAsia" w:ascii="宋体" w:hAnsi="宋体" w:eastAsia="宋体" w:cs="宋体"/>
          <w:color w:val="auto"/>
          <w:spacing w:val="-9"/>
          <w:sz w:val="24"/>
          <w:szCs w:val="24"/>
          <w:highlight w:val="none"/>
        </w:rPr>
        <w:t>委托期限：至</w:t>
      </w:r>
      <w:r>
        <w:rPr>
          <w:rFonts w:hint="eastAsia" w:ascii="宋体" w:hAnsi="宋体" w:eastAsia="宋体" w:cs="宋体"/>
          <w:color w:val="auto"/>
          <w:spacing w:val="-9"/>
          <w:sz w:val="24"/>
          <w:szCs w:val="24"/>
          <w:highlight w:val="none"/>
          <w:u w:val="single"/>
        </w:rPr>
        <w:t xml:space="preserve">     年   月    日</w:t>
      </w:r>
      <w:r>
        <w:rPr>
          <w:rFonts w:hint="eastAsia" w:ascii="宋体" w:hAnsi="宋体" w:eastAsia="宋体" w:cs="宋体"/>
          <w:i/>
          <w:iCs/>
          <w:color w:val="auto"/>
          <w:spacing w:val="-9"/>
          <w:sz w:val="25"/>
          <w:szCs w:val="25"/>
          <w:highlight w:val="none"/>
          <w:u w:val="single"/>
        </w:rPr>
        <w:t>（不得短于招标文件规定的投标有效期）</w:t>
      </w:r>
      <w:r>
        <w:rPr>
          <w:rFonts w:hint="eastAsia" w:ascii="宋体" w:hAnsi="宋体" w:eastAsia="宋体" w:cs="宋体"/>
          <w:color w:val="auto"/>
          <w:spacing w:val="-9"/>
          <w:sz w:val="25"/>
          <w:szCs w:val="25"/>
          <w:highlight w:val="none"/>
        </w:rPr>
        <w:t xml:space="preserve"> </w:t>
      </w:r>
      <w:r>
        <w:rPr>
          <w:rFonts w:hint="eastAsia" w:ascii="宋体" w:hAnsi="宋体" w:eastAsia="宋体" w:cs="宋体"/>
          <w:color w:val="auto"/>
          <w:spacing w:val="-9"/>
          <w:sz w:val="24"/>
          <w:szCs w:val="24"/>
          <w:highlight w:val="none"/>
        </w:rPr>
        <w:t>。</w:t>
      </w:r>
      <w:r>
        <w:rPr>
          <w:rFonts w:hint="eastAsia" w:ascii="宋体" w:hAnsi="宋体" w:eastAsia="宋体" w:cs="宋体"/>
          <w:color w:val="auto"/>
          <w:spacing w:val="15"/>
          <w:sz w:val="24"/>
          <w:szCs w:val="24"/>
          <w:highlight w:val="none"/>
        </w:rPr>
        <w:t xml:space="preserve"> </w:t>
      </w:r>
    </w:p>
    <w:p w14:paraId="2D61A797">
      <w:pPr>
        <w:spacing w:before="32" w:line="320" w:lineRule="auto"/>
        <w:ind w:left="480" w:right="497"/>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代理人无转委托权。</w:t>
      </w:r>
    </w:p>
    <w:p w14:paraId="1E74F1A2">
      <w:pPr>
        <w:pStyle w:val="5"/>
        <w:spacing w:line="276" w:lineRule="auto"/>
        <w:rPr>
          <w:rFonts w:hint="eastAsia" w:ascii="宋体" w:hAnsi="宋体" w:eastAsia="宋体" w:cs="宋体"/>
          <w:color w:val="auto"/>
          <w:highlight w:val="none"/>
        </w:rPr>
      </w:pPr>
    </w:p>
    <w:p w14:paraId="2A536516">
      <w:pPr>
        <w:pStyle w:val="5"/>
        <w:spacing w:line="277" w:lineRule="auto"/>
        <w:rPr>
          <w:rFonts w:hint="eastAsia" w:ascii="宋体" w:hAnsi="宋体" w:eastAsia="宋体" w:cs="宋体"/>
          <w:color w:val="auto"/>
          <w:highlight w:val="none"/>
        </w:rPr>
      </w:pPr>
    </w:p>
    <w:p w14:paraId="1CDFB82E">
      <w:pPr>
        <w:pStyle w:val="5"/>
        <w:spacing w:line="277" w:lineRule="auto"/>
        <w:rPr>
          <w:rFonts w:hint="eastAsia" w:ascii="宋体" w:hAnsi="宋体" w:eastAsia="宋体" w:cs="宋体"/>
          <w:color w:val="auto"/>
          <w:highlight w:val="none"/>
        </w:rPr>
      </w:pPr>
    </w:p>
    <w:p w14:paraId="6D45D633">
      <w:pPr>
        <w:spacing w:before="78" w:line="219" w:lineRule="auto"/>
        <w:ind w:left="3123"/>
        <w:jc w:val="right"/>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投  标  人</w:t>
      </w:r>
      <w:r>
        <w:rPr>
          <w:rFonts w:hint="eastAsia" w:ascii="宋体" w:hAnsi="宋体" w:eastAsia="宋体" w:cs="宋体"/>
          <w:color w:val="auto"/>
          <w:spacing w:val="-31"/>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pacing w:val="-31"/>
          <w:sz w:val="24"/>
          <w:szCs w:val="24"/>
          <w:highlight w:val="none"/>
        </w:rPr>
        <w:t>（</w:t>
      </w:r>
      <w:r>
        <w:rPr>
          <w:rFonts w:hint="eastAsia" w:ascii="宋体" w:hAnsi="宋体" w:eastAsia="宋体" w:cs="宋体"/>
          <w:color w:val="auto"/>
          <w:spacing w:val="4"/>
          <w:sz w:val="24"/>
          <w:szCs w:val="24"/>
          <w:highlight w:val="none"/>
        </w:rPr>
        <w:t>盖单位章）</w:t>
      </w:r>
    </w:p>
    <w:p w14:paraId="63BD962A">
      <w:pPr>
        <w:pStyle w:val="5"/>
        <w:spacing w:line="317" w:lineRule="auto"/>
        <w:jc w:val="right"/>
        <w:rPr>
          <w:rFonts w:hint="eastAsia" w:ascii="宋体" w:hAnsi="宋体" w:eastAsia="宋体" w:cs="宋体"/>
          <w:color w:val="auto"/>
          <w:highlight w:val="none"/>
        </w:rPr>
      </w:pPr>
    </w:p>
    <w:p w14:paraId="57132AE9">
      <w:pPr>
        <w:pStyle w:val="5"/>
        <w:spacing w:line="317" w:lineRule="auto"/>
        <w:jc w:val="right"/>
        <w:rPr>
          <w:rFonts w:hint="eastAsia" w:ascii="宋体" w:hAnsi="宋体" w:eastAsia="宋体" w:cs="宋体"/>
          <w:color w:val="auto"/>
          <w:highlight w:val="none"/>
        </w:rPr>
      </w:pPr>
    </w:p>
    <w:p w14:paraId="32FCF699">
      <w:pPr>
        <w:pStyle w:val="5"/>
        <w:spacing w:line="317" w:lineRule="auto"/>
        <w:jc w:val="right"/>
        <w:rPr>
          <w:rFonts w:hint="eastAsia" w:ascii="宋体" w:hAnsi="宋体" w:eastAsia="宋体" w:cs="宋体"/>
          <w:color w:val="auto"/>
          <w:highlight w:val="none"/>
        </w:rPr>
      </w:pPr>
    </w:p>
    <w:p w14:paraId="0C20E36F">
      <w:pPr>
        <w:spacing w:before="79" w:line="219" w:lineRule="auto"/>
        <w:ind w:left="3121"/>
        <w:jc w:val="right"/>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法定代表人</w:t>
      </w:r>
      <w:r>
        <w:rPr>
          <w:rFonts w:hint="eastAsia" w:ascii="宋体" w:hAnsi="宋体" w:eastAsia="宋体" w:cs="宋体"/>
          <w:color w:val="auto"/>
          <w:spacing w:val="-17"/>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pacing w:val="-17"/>
          <w:sz w:val="24"/>
          <w:szCs w:val="24"/>
          <w:highlight w:val="none"/>
        </w:rPr>
        <w:t>（</w:t>
      </w:r>
      <w:r>
        <w:rPr>
          <w:rFonts w:hint="eastAsia" w:ascii="宋体" w:hAnsi="宋体" w:eastAsia="宋体" w:cs="宋体"/>
          <w:color w:val="auto"/>
          <w:spacing w:val="2"/>
          <w:sz w:val="24"/>
          <w:szCs w:val="24"/>
          <w:highlight w:val="none"/>
        </w:rPr>
        <w:t>签字或盖章）</w:t>
      </w:r>
    </w:p>
    <w:p w14:paraId="2807F6C8">
      <w:pPr>
        <w:pStyle w:val="5"/>
        <w:spacing w:line="317" w:lineRule="auto"/>
        <w:jc w:val="right"/>
        <w:rPr>
          <w:rFonts w:hint="eastAsia" w:ascii="宋体" w:hAnsi="宋体" w:eastAsia="宋体" w:cs="宋体"/>
          <w:color w:val="auto"/>
          <w:highlight w:val="none"/>
        </w:rPr>
      </w:pPr>
    </w:p>
    <w:p w14:paraId="6B89A96E">
      <w:pPr>
        <w:pStyle w:val="5"/>
        <w:spacing w:line="317" w:lineRule="auto"/>
        <w:jc w:val="right"/>
        <w:rPr>
          <w:rFonts w:hint="eastAsia" w:ascii="宋体" w:hAnsi="宋体" w:eastAsia="宋体" w:cs="宋体"/>
          <w:color w:val="auto"/>
          <w:highlight w:val="none"/>
        </w:rPr>
      </w:pPr>
    </w:p>
    <w:p w14:paraId="52524FDC">
      <w:pPr>
        <w:pStyle w:val="5"/>
        <w:spacing w:line="317" w:lineRule="auto"/>
        <w:jc w:val="right"/>
        <w:rPr>
          <w:rFonts w:hint="eastAsia" w:ascii="宋体" w:hAnsi="宋体" w:eastAsia="宋体" w:cs="宋体"/>
          <w:color w:val="auto"/>
          <w:highlight w:val="none"/>
        </w:rPr>
      </w:pPr>
    </w:p>
    <w:p w14:paraId="414B89CB">
      <w:pPr>
        <w:spacing w:before="78" w:line="219" w:lineRule="auto"/>
        <w:ind w:left="2880"/>
        <w:jc w:val="right"/>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委托代理人</w:t>
      </w:r>
      <w:r>
        <w:rPr>
          <w:rFonts w:hint="eastAsia" w:ascii="宋体" w:hAnsi="宋体" w:eastAsia="宋体" w:cs="宋体"/>
          <w:color w:val="auto"/>
          <w:spacing w:val="-16"/>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pacing w:val="-16"/>
          <w:sz w:val="24"/>
          <w:szCs w:val="24"/>
          <w:highlight w:val="none"/>
        </w:rPr>
        <w:t>（</w:t>
      </w:r>
      <w:r>
        <w:rPr>
          <w:rFonts w:hint="eastAsia" w:ascii="宋体" w:hAnsi="宋体" w:eastAsia="宋体" w:cs="宋体"/>
          <w:color w:val="auto"/>
          <w:spacing w:val="2"/>
          <w:sz w:val="24"/>
          <w:szCs w:val="24"/>
          <w:highlight w:val="none"/>
        </w:rPr>
        <w:t>签字或盖章）</w:t>
      </w:r>
    </w:p>
    <w:p w14:paraId="085218DE">
      <w:pPr>
        <w:pStyle w:val="5"/>
        <w:spacing w:line="256" w:lineRule="auto"/>
        <w:jc w:val="right"/>
        <w:rPr>
          <w:rFonts w:hint="eastAsia" w:ascii="宋体" w:hAnsi="宋体" w:eastAsia="宋体" w:cs="宋体"/>
          <w:color w:val="auto"/>
          <w:highlight w:val="none"/>
        </w:rPr>
      </w:pPr>
    </w:p>
    <w:p w14:paraId="635562C0">
      <w:pPr>
        <w:pStyle w:val="5"/>
        <w:spacing w:line="256" w:lineRule="auto"/>
        <w:jc w:val="right"/>
        <w:rPr>
          <w:rFonts w:hint="eastAsia" w:ascii="宋体" w:hAnsi="宋体" w:eastAsia="宋体" w:cs="宋体"/>
          <w:color w:val="auto"/>
          <w:highlight w:val="none"/>
        </w:rPr>
      </w:pPr>
    </w:p>
    <w:p w14:paraId="27218817">
      <w:pPr>
        <w:spacing w:before="78" w:line="220" w:lineRule="auto"/>
        <w:ind w:left="6730"/>
        <w:jc w:val="right"/>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月</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日</w:t>
      </w:r>
    </w:p>
    <w:p w14:paraId="1F294533">
      <w:pPr>
        <w:spacing w:before="78" w:line="220" w:lineRule="auto"/>
        <w:ind w:left="4201"/>
        <w:jc w:val="right"/>
        <w:rPr>
          <w:rFonts w:hint="eastAsia" w:ascii="宋体" w:hAnsi="宋体" w:eastAsia="宋体" w:cs="宋体"/>
          <w:color w:val="auto"/>
          <w:sz w:val="24"/>
          <w:szCs w:val="24"/>
          <w:highlight w:val="none"/>
        </w:rPr>
      </w:pPr>
    </w:p>
    <w:p w14:paraId="3A4AD89C">
      <w:pPr>
        <w:spacing w:before="69"/>
        <w:rPr>
          <w:rFonts w:hint="eastAsia" w:ascii="宋体" w:hAnsi="宋体" w:eastAsia="宋体" w:cs="宋体"/>
          <w:color w:val="auto"/>
          <w:highlight w:val="none"/>
        </w:rPr>
      </w:pPr>
    </w:p>
    <w:p w14:paraId="363508E1">
      <w:pPr>
        <w:spacing w:before="69"/>
        <w:rPr>
          <w:rFonts w:hint="eastAsia" w:ascii="宋体" w:hAnsi="宋体" w:eastAsia="宋体" w:cs="宋体"/>
          <w:color w:val="auto"/>
          <w:highlight w:val="none"/>
        </w:rPr>
      </w:pPr>
    </w:p>
    <w:tbl>
      <w:tblPr>
        <w:tblStyle w:val="14"/>
        <w:tblW w:w="5600" w:type="dxa"/>
        <w:tblInd w:w="2300"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5600"/>
      </w:tblGrid>
      <w:tr w14:paraId="727B0D3A">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2570" w:hRule="atLeast"/>
        </w:trPr>
        <w:tc>
          <w:tcPr>
            <w:tcW w:w="5600" w:type="dxa"/>
            <w:vAlign w:val="top"/>
          </w:tcPr>
          <w:p w14:paraId="49F11E44">
            <w:pPr>
              <w:pStyle w:val="21"/>
              <w:spacing w:line="245" w:lineRule="auto"/>
              <w:rPr>
                <w:rFonts w:hint="eastAsia" w:ascii="宋体" w:hAnsi="宋体" w:eastAsia="宋体" w:cs="宋体"/>
                <w:color w:val="auto"/>
                <w:highlight w:val="none"/>
              </w:rPr>
            </w:pPr>
          </w:p>
          <w:p w14:paraId="3EAC8CC5">
            <w:pPr>
              <w:pStyle w:val="21"/>
              <w:spacing w:line="245" w:lineRule="auto"/>
              <w:rPr>
                <w:rFonts w:hint="eastAsia" w:ascii="宋体" w:hAnsi="宋体" w:eastAsia="宋体" w:cs="宋体"/>
                <w:color w:val="auto"/>
                <w:highlight w:val="none"/>
              </w:rPr>
            </w:pPr>
          </w:p>
          <w:p w14:paraId="19684FD2">
            <w:pPr>
              <w:pStyle w:val="21"/>
              <w:spacing w:line="245" w:lineRule="auto"/>
              <w:rPr>
                <w:rFonts w:hint="eastAsia" w:ascii="宋体" w:hAnsi="宋体" w:eastAsia="宋体" w:cs="宋体"/>
                <w:color w:val="auto"/>
                <w:highlight w:val="none"/>
              </w:rPr>
            </w:pPr>
          </w:p>
          <w:p w14:paraId="7DA52306">
            <w:pPr>
              <w:pStyle w:val="21"/>
              <w:spacing w:line="245" w:lineRule="auto"/>
              <w:rPr>
                <w:rFonts w:hint="eastAsia" w:ascii="宋体" w:hAnsi="宋体" w:eastAsia="宋体" w:cs="宋体"/>
                <w:color w:val="auto"/>
                <w:highlight w:val="none"/>
              </w:rPr>
            </w:pPr>
          </w:p>
          <w:p w14:paraId="2B4D522A">
            <w:pPr>
              <w:pStyle w:val="21"/>
              <w:spacing w:line="245" w:lineRule="auto"/>
              <w:rPr>
                <w:rFonts w:hint="eastAsia" w:ascii="宋体" w:hAnsi="宋体" w:eastAsia="宋体" w:cs="宋体"/>
                <w:color w:val="auto"/>
                <w:highlight w:val="none"/>
              </w:rPr>
            </w:pPr>
          </w:p>
          <w:p w14:paraId="6375CF52">
            <w:pPr>
              <w:pStyle w:val="21"/>
              <w:spacing w:line="245" w:lineRule="auto"/>
              <w:rPr>
                <w:rFonts w:hint="eastAsia" w:ascii="宋体" w:hAnsi="宋体" w:eastAsia="宋体" w:cs="宋体"/>
                <w:color w:val="auto"/>
                <w:highlight w:val="none"/>
              </w:rPr>
            </w:pPr>
          </w:p>
          <w:p w14:paraId="761F0736">
            <w:pPr>
              <w:pStyle w:val="21"/>
              <w:spacing w:line="246" w:lineRule="auto"/>
              <w:rPr>
                <w:rFonts w:hint="eastAsia" w:ascii="宋体" w:hAnsi="宋体" w:eastAsia="宋体" w:cs="宋体"/>
                <w:color w:val="auto"/>
                <w:highlight w:val="none"/>
              </w:rPr>
            </w:pPr>
          </w:p>
          <w:p w14:paraId="14498540">
            <w:pPr>
              <w:spacing w:before="78" w:line="220" w:lineRule="auto"/>
              <w:ind w:left="718"/>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委托代理人身份证</w:t>
            </w:r>
            <w:r>
              <w:rPr>
                <w:rFonts w:hint="eastAsia" w:ascii="宋体" w:hAnsi="宋体" w:eastAsia="宋体" w:cs="宋体"/>
                <w:color w:val="auto"/>
                <w:spacing w:val="-1"/>
                <w:sz w:val="24"/>
                <w:szCs w:val="24"/>
                <w:highlight w:val="none"/>
                <w:lang w:val="en-US" w:eastAsia="zh-CN"/>
              </w:rPr>
              <w:t>彩色扫描件</w:t>
            </w:r>
            <w:r>
              <w:rPr>
                <w:rFonts w:hint="eastAsia" w:ascii="宋体" w:hAnsi="宋体" w:eastAsia="宋体" w:cs="宋体"/>
                <w:color w:val="auto"/>
                <w:spacing w:val="-1"/>
                <w:sz w:val="24"/>
                <w:szCs w:val="24"/>
                <w:highlight w:val="none"/>
              </w:rPr>
              <w:t>正、反面</w:t>
            </w:r>
          </w:p>
        </w:tc>
      </w:tr>
    </w:tbl>
    <w:p w14:paraId="382D26B2">
      <w:pPr>
        <w:pStyle w:val="5"/>
        <w:rPr>
          <w:rFonts w:hint="eastAsia" w:ascii="宋体" w:hAnsi="宋体" w:eastAsia="宋体" w:cs="宋体"/>
          <w:color w:val="auto"/>
          <w:highlight w:val="none"/>
        </w:rPr>
      </w:pPr>
    </w:p>
    <w:p w14:paraId="2F0066E9">
      <w:pPr>
        <w:rPr>
          <w:rFonts w:hint="eastAsia" w:ascii="宋体" w:hAnsi="宋体" w:eastAsia="宋体" w:cs="宋体"/>
          <w:color w:val="auto"/>
          <w:highlight w:val="none"/>
        </w:rPr>
        <w:sectPr>
          <w:footerReference r:id="rId16"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2DAC3638">
      <w:pPr>
        <w:spacing w:before="78" w:line="220" w:lineRule="auto"/>
        <w:outlineLvl w:val="2"/>
        <w:rPr>
          <w:rFonts w:hint="eastAsia" w:ascii="宋体" w:hAnsi="宋体" w:eastAsia="宋体" w:cs="宋体"/>
          <w:b/>
          <w:bCs/>
          <w:color w:val="auto"/>
          <w:spacing w:val="-4"/>
          <w:sz w:val="24"/>
          <w:szCs w:val="24"/>
          <w:highlight w:val="none"/>
        </w:rPr>
      </w:pPr>
      <w:bookmarkStart w:id="234" w:name="_Toc30394"/>
      <w:r>
        <w:rPr>
          <w:rFonts w:hint="eastAsia" w:ascii="宋体" w:hAnsi="宋体" w:eastAsia="宋体" w:cs="宋体"/>
          <w:b/>
          <w:bCs/>
          <w:color w:val="auto"/>
          <w:spacing w:val="-4"/>
          <w:sz w:val="24"/>
          <w:szCs w:val="24"/>
          <w:highlight w:val="none"/>
        </w:rPr>
        <w:t>格式五 法定代表人身份证明</w:t>
      </w:r>
      <w:bookmarkEnd w:id="234"/>
    </w:p>
    <w:p w14:paraId="2DA7024D">
      <w:pPr>
        <w:pStyle w:val="5"/>
        <w:spacing w:line="350" w:lineRule="auto"/>
        <w:rPr>
          <w:rFonts w:hint="eastAsia" w:ascii="宋体" w:hAnsi="宋体" w:eastAsia="宋体" w:cs="宋体"/>
          <w:color w:val="auto"/>
          <w:highlight w:val="none"/>
        </w:rPr>
      </w:pPr>
    </w:p>
    <w:p w14:paraId="0868334D">
      <w:pPr>
        <w:pStyle w:val="5"/>
        <w:spacing w:line="350" w:lineRule="auto"/>
        <w:rPr>
          <w:rFonts w:hint="eastAsia" w:ascii="宋体" w:hAnsi="宋体" w:eastAsia="宋体" w:cs="宋体"/>
          <w:color w:val="auto"/>
          <w:highlight w:val="none"/>
        </w:rPr>
      </w:pPr>
    </w:p>
    <w:p w14:paraId="5209C7D3">
      <w:pPr>
        <w:spacing w:before="98" w:line="220" w:lineRule="auto"/>
        <w:ind w:left="3183"/>
        <w:rPr>
          <w:rFonts w:hint="eastAsia" w:ascii="宋体" w:hAnsi="宋体" w:eastAsia="宋体" w:cs="宋体"/>
          <w:color w:val="auto"/>
          <w:sz w:val="30"/>
          <w:szCs w:val="30"/>
          <w:highlight w:val="none"/>
        </w:rPr>
      </w:pPr>
      <w:bookmarkStart w:id="235" w:name="bookmark152"/>
      <w:bookmarkEnd w:id="235"/>
      <w:r>
        <w:rPr>
          <w:rFonts w:hint="eastAsia" w:ascii="宋体" w:hAnsi="宋体" w:eastAsia="宋体" w:cs="宋体"/>
          <w:b/>
          <w:bCs/>
          <w:color w:val="auto"/>
          <w:spacing w:val="-4"/>
          <w:sz w:val="30"/>
          <w:szCs w:val="30"/>
          <w:highlight w:val="none"/>
        </w:rPr>
        <w:t>法定代表人身份证明</w:t>
      </w:r>
    </w:p>
    <w:p w14:paraId="136F935F">
      <w:pPr>
        <w:pStyle w:val="5"/>
        <w:spacing w:line="250" w:lineRule="auto"/>
        <w:rPr>
          <w:rFonts w:hint="eastAsia" w:ascii="宋体" w:hAnsi="宋体" w:eastAsia="宋体" w:cs="宋体"/>
          <w:color w:val="auto"/>
          <w:highlight w:val="none"/>
        </w:rPr>
      </w:pPr>
    </w:p>
    <w:p w14:paraId="2E1E9E2A">
      <w:pPr>
        <w:pStyle w:val="5"/>
        <w:spacing w:line="250" w:lineRule="auto"/>
        <w:rPr>
          <w:rFonts w:hint="eastAsia" w:ascii="宋体" w:hAnsi="宋体" w:eastAsia="宋体" w:cs="宋体"/>
          <w:color w:val="auto"/>
          <w:highlight w:val="none"/>
        </w:rPr>
      </w:pPr>
    </w:p>
    <w:p w14:paraId="6ABEAEB7">
      <w:pPr>
        <w:pStyle w:val="5"/>
        <w:spacing w:line="251" w:lineRule="auto"/>
        <w:rPr>
          <w:rFonts w:hint="eastAsia" w:ascii="宋体" w:hAnsi="宋体" w:eastAsia="宋体" w:cs="宋体"/>
          <w:color w:val="auto"/>
          <w:highlight w:val="none"/>
        </w:rPr>
      </w:pPr>
    </w:p>
    <w:p w14:paraId="766EA4CD">
      <w:pPr>
        <w:wordWrap w:val="0"/>
        <w:adjustRightInd w:val="0"/>
        <w:snapToGrid w:val="0"/>
        <w:spacing w:line="440" w:lineRule="exact"/>
        <w:rPr>
          <w:rFonts w:hint="eastAsia" w:ascii="宋体" w:hAnsi="宋体" w:eastAsia="宋体" w:cs="宋体"/>
          <w:snapToGrid w:val="0"/>
          <w:color w:val="auto"/>
          <w:kern w:val="0"/>
          <w:sz w:val="24"/>
          <w:szCs w:val="24"/>
          <w:highlight w:val="none"/>
          <w:u w:val="single"/>
        </w:rPr>
      </w:pPr>
      <w:r>
        <w:rPr>
          <w:rFonts w:hint="eastAsia" w:ascii="宋体" w:hAnsi="宋体" w:eastAsia="宋体" w:cs="宋体"/>
          <w:snapToGrid w:val="0"/>
          <w:color w:val="auto"/>
          <w:kern w:val="0"/>
          <w:sz w:val="24"/>
          <w:szCs w:val="24"/>
          <w:highlight w:val="none"/>
        </w:rPr>
        <w:t>投标人名称：</w:t>
      </w:r>
      <w:r>
        <w:rPr>
          <w:rFonts w:hint="eastAsia" w:ascii="宋体" w:hAnsi="宋体" w:eastAsia="宋体" w:cs="宋体"/>
          <w:snapToGrid w:val="0"/>
          <w:color w:val="auto"/>
          <w:kern w:val="0"/>
          <w:sz w:val="24"/>
          <w:szCs w:val="24"/>
          <w:highlight w:val="none"/>
          <w:u w:val="single"/>
        </w:rPr>
        <w:t xml:space="preserve">                  </w:t>
      </w:r>
    </w:p>
    <w:p w14:paraId="2A539E30">
      <w:pPr>
        <w:wordWrap w:val="0"/>
        <w:adjustRightInd w:val="0"/>
        <w:snapToGrid w:val="0"/>
        <w:spacing w:line="440" w:lineRule="exact"/>
        <w:rPr>
          <w:rFonts w:hint="eastAsia" w:ascii="宋体" w:hAnsi="宋体" w:eastAsia="宋体" w:cs="宋体"/>
          <w:snapToGrid w:val="0"/>
          <w:color w:val="auto"/>
          <w:kern w:val="0"/>
          <w:sz w:val="24"/>
          <w:szCs w:val="24"/>
          <w:highlight w:val="none"/>
          <w:u w:val="single"/>
        </w:rPr>
      </w:pPr>
      <w:r>
        <w:rPr>
          <w:rFonts w:hint="eastAsia" w:ascii="宋体" w:hAnsi="宋体" w:eastAsia="宋体" w:cs="宋体"/>
          <w:snapToGrid w:val="0"/>
          <w:color w:val="auto"/>
          <w:kern w:val="0"/>
          <w:sz w:val="24"/>
          <w:szCs w:val="24"/>
          <w:highlight w:val="none"/>
        </w:rPr>
        <w:t>姓名：</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性别：</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年龄：</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职务：</w:t>
      </w:r>
      <w:r>
        <w:rPr>
          <w:rFonts w:hint="eastAsia" w:ascii="宋体" w:hAnsi="宋体" w:eastAsia="宋体" w:cs="宋体"/>
          <w:snapToGrid w:val="0"/>
          <w:color w:val="auto"/>
          <w:kern w:val="0"/>
          <w:sz w:val="24"/>
          <w:szCs w:val="24"/>
          <w:highlight w:val="none"/>
          <w:u w:val="single"/>
        </w:rPr>
        <w:t xml:space="preserve">           </w:t>
      </w:r>
    </w:p>
    <w:p w14:paraId="431001FF">
      <w:pPr>
        <w:wordWrap w:val="0"/>
        <w:adjustRightInd w:val="0"/>
        <w:snapToGrid w:val="0"/>
        <w:spacing w:line="44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系</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（投标人名称）的法定代表人。</w:t>
      </w:r>
    </w:p>
    <w:p w14:paraId="3FB51469">
      <w:pPr>
        <w:wordWrap w:val="0"/>
        <w:adjustRightInd w:val="0"/>
        <w:snapToGrid w:val="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 w:val="24"/>
          <w:szCs w:val="24"/>
          <w:highlight w:val="none"/>
        </w:rPr>
        <w:t xml:space="preserve">    特此证明。</w:t>
      </w:r>
    </w:p>
    <w:p w14:paraId="3B4AAF0B">
      <w:pPr>
        <w:pStyle w:val="5"/>
        <w:spacing w:line="277" w:lineRule="auto"/>
        <w:rPr>
          <w:rFonts w:hint="eastAsia" w:ascii="宋体" w:hAnsi="宋体" w:eastAsia="宋体" w:cs="宋体"/>
          <w:color w:val="auto"/>
          <w:highlight w:val="none"/>
        </w:rPr>
      </w:pPr>
    </w:p>
    <w:p w14:paraId="6D7B4DE3">
      <w:pPr>
        <w:pStyle w:val="5"/>
        <w:spacing w:line="277" w:lineRule="auto"/>
        <w:rPr>
          <w:rFonts w:hint="eastAsia" w:ascii="宋体" w:hAnsi="宋体" w:eastAsia="宋体" w:cs="宋体"/>
          <w:color w:val="auto"/>
          <w:highlight w:val="none"/>
        </w:rPr>
      </w:pPr>
    </w:p>
    <w:p w14:paraId="2D9D6E99">
      <w:pPr>
        <w:pStyle w:val="5"/>
        <w:spacing w:line="278" w:lineRule="auto"/>
        <w:rPr>
          <w:rFonts w:hint="eastAsia" w:ascii="宋体" w:hAnsi="宋体" w:eastAsia="宋体" w:cs="宋体"/>
          <w:color w:val="auto"/>
          <w:highlight w:val="none"/>
        </w:rPr>
      </w:pPr>
    </w:p>
    <w:p w14:paraId="125D92B0">
      <w:pPr>
        <w:spacing w:before="78" w:line="219" w:lineRule="auto"/>
        <w:jc w:val="righ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w:t>
      </w:r>
      <w:r>
        <w:rPr>
          <w:rFonts w:hint="eastAsia" w:ascii="宋体" w:hAnsi="宋体" w:eastAsia="宋体" w:cs="宋体"/>
          <w:color w:val="auto"/>
          <w:spacing w:val="-18"/>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pacing w:val="-18"/>
          <w:sz w:val="24"/>
          <w:szCs w:val="24"/>
          <w:highlight w:val="none"/>
        </w:rPr>
        <w:t>（</w:t>
      </w:r>
      <w:r>
        <w:rPr>
          <w:rFonts w:hint="eastAsia" w:ascii="宋体" w:hAnsi="宋体" w:eastAsia="宋体" w:cs="宋体"/>
          <w:color w:val="auto"/>
          <w:sz w:val="24"/>
          <w:szCs w:val="24"/>
          <w:highlight w:val="none"/>
        </w:rPr>
        <w:t>盖单位章）</w:t>
      </w:r>
    </w:p>
    <w:p w14:paraId="027B6A92">
      <w:pPr>
        <w:pStyle w:val="5"/>
        <w:spacing w:line="317" w:lineRule="auto"/>
        <w:jc w:val="right"/>
        <w:rPr>
          <w:rFonts w:hint="eastAsia" w:ascii="宋体" w:hAnsi="宋体" w:eastAsia="宋体" w:cs="宋体"/>
          <w:color w:val="auto"/>
          <w:highlight w:val="none"/>
        </w:rPr>
      </w:pPr>
    </w:p>
    <w:p w14:paraId="6F4B4B3A">
      <w:pPr>
        <w:pStyle w:val="5"/>
        <w:spacing w:line="317" w:lineRule="auto"/>
        <w:jc w:val="right"/>
        <w:rPr>
          <w:rFonts w:hint="eastAsia" w:ascii="宋体" w:hAnsi="宋体" w:eastAsia="宋体" w:cs="宋体"/>
          <w:color w:val="auto"/>
          <w:highlight w:val="none"/>
        </w:rPr>
      </w:pPr>
    </w:p>
    <w:p w14:paraId="1110A429">
      <w:pPr>
        <w:pStyle w:val="5"/>
        <w:spacing w:line="317" w:lineRule="auto"/>
        <w:jc w:val="right"/>
        <w:rPr>
          <w:rFonts w:hint="eastAsia" w:ascii="宋体" w:hAnsi="宋体" w:eastAsia="宋体" w:cs="宋体"/>
          <w:color w:val="auto"/>
          <w:highlight w:val="none"/>
        </w:rPr>
      </w:pPr>
    </w:p>
    <w:p w14:paraId="0997B4DF">
      <w:pPr>
        <w:spacing w:before="79" w:line="219" w:lineRule="auto"/>
        <w:jc w:val="righ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w:t>
      </w:r>
      <w:r>
        <w:rPr>
          <w:rFonts w:hint="eastAsia" w:ascii="宋体" w:hAnsi="宋体" w:eastAsia="宋体" w:cs="宋体"/>
          <w:color w:val="auto"/>
          <w:spacing w:val="-17"/>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pacing w:val="-17"/>
          <w:sz w:val="24"/>
          <w:szCs w:val="24"/>
          <w:highlight w:val="none"/>
        </w:rPr>
        <w:t>（</w:t>
      </w:r>
      <w:r>
        <w:rPr>
          <w:rFonts w:hint="eastAsia" w:ascii="宋体" w:hAnsi="宋体" w:eastAsia="宋体" w:cs="宋体"/>
          <w:color w:val="auto"/>
          <w:sz w:val="24"/>
          <w:szCs w:val="24"/>
          <w:highlight w:val="none"/>
        </w:rPr>
        <w:t>签字或盖章）</w:t>
      </w:r>
    </w:p>
    <w:p w14:paraId="72F193EB">
      <w:pPr>
        <w:pStyle w:val="5"/>
        <w:spacing w:line="257" w:lineRule="auto"/>
        <w:jc w:val="right"/>
        <w:rPr>
          <w:rFonts w:hint="eastAsia" w:ascii="宋体" w:hAnsi="宋体" w:eastAsia="宋体" w:cs="宋体"/>
          <w:color w:val="auto"/>
          <w:highlight w:val="none"/>
        </w:rPr>
      </w:pPr>
    </w:p>
    <w:p w14:paraId="407142E8">
      <w:pPr>
        <w:pStyle w:val="5"/>
        <w:spacing w:line="257" w:lineRule="auto"/>
        <w:jc w:val="right"/>
        <w:rPr>
          <w:rFonts w:hint="eastAsia" w:ascii="宋体" w:hAnsi="宋体" w:eastAsia="宋体" w:cs="宋体"/>
          <w:color w:val="auto"/>
          <w:highlight w:val="none"/>
        </w:rPr>
      </w:pPr>
    </w:p>
    <w:p w14:paraId="0A27F30D">
      <w:pPr>
        <w:pStyle w:val="5"/>
        <w:spacing w:line="254" w:lineRule="auto"/>
        <w:jc w:val="right"/>
        <w:rPr>
          <w:rFonts w:hint="eastAsia" w:ascii="宋体" w:hAnsi="宋体" w:eastAsia="宋体" w:cs="宋体"/>
          <w:color w:val="auto"/>
          <w:highlight w:val="none"/>
        </w:rPr>
      </w:pP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月</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日</w:t>
      </w:r>
    </w:p>
    <w:p w14:paraId="0BF375B2">
      <w:pPr>
        <w:pStyle w:val="5"/>
        <w:spacing w:line="254" w:lineRule="auto"/>
        <w:rPr>
          <w:rFonts w:hint="eastAsia" w:ascii="宋体" w:hAnsi="宋体" w:eastAsia="宋体" w:cs="宋体"/>
          <w:color w:val="auto"/>
          <w:highlight w:val="none"/>
        </w:rPr>
      </w:pPr>
    </w:p>
    <w:p w14:paraId="03AC5067">
      <w:pPr>
        <w:pStyle w:val="5"/>
        <w:spacing w:line="254" w:lineRule="auto"/>
        <w:rPr>
          <w:rFonts w:hint="eastAsia" w:ascii="宋体" w:hAnsi="宋体" w:eastAsia="宋体" w:cs="宋体"/>
          <w:color w:val="auto"/>
          <w:highlight w:val="none"/>
        </w:rPr>
      </w:pPr>
    </w:p>
    <w:p w14:paraId="36A90F84">
      <w:pPr>
        <w:pStyle w:val="5"/>
        <w:spacing w:line="254" w:lineRule="auto"/>
        <w:rPr>
          <w:rFonts w:hint="eastAsia" w:ascii="宋体" w:hAnsi="宋体" w:eastAsia="宋体" w:cs="宋体"/>
          <w:color w:val="auto"/>
          <w:highlight w:val="none"/>
        </w:rPr>
      </w:pPr>
    </w:p>
    <w:p w14:paraId="259164D9">
      <w:pPr>
        <w:pStyle w:val="5"/>
        <w:spacing w:line="254" w:lineRule="auto"/>
        <w:rPr>
          <w:rFonts w:hint="eastAsia" w:ascii="宋体" w:hAnsi="宋体" w:eastAsia="宋体" w:cs="宋体"/>
          <w:color w:val="auto"/>
          <w:highlight w:val="none"/>
        </w:rPr>
      </w:pPr>
    </w:p>
    <w:p w14:paraId="0C625CC7">
      <w:pPr>
        <w:pStyle w:val="5"/>
        <w:spacing w:line="255" w:lineRule="auto"/>
        <w:rPr>
          <w:rFonts w:hint="eastAsia" w:ascii="宋体" w:hAnsi="宋体" w:eastAsia="宋体" w:cs="宋体"/>
          <w:color w:val="auto"/>
          <w:highlight w:val="none"/>
        </w:rPr>
      </w:pPr>
    </w:p>
    <w:p w14:paraId="1979E48F">
      <w:pPr>
        <w:pStyle w:val="5"/>
        <w:spacing w:line="255" w:lineRule="auto"/>
        <w:rPr>
          <w:rFonts w:hint="eastAsia" w:ascii="宋体" w:hAnsi="宋体" w:eastAsia="宋体" w:cs="宋体"/>
          <w:color w:val="auto"/>
          <w:highlight w:val="none"/>
        </w:rPr>
      </w:pPr>
    </w:p>
    <w:p w14:paraId="6E23282B">
      <w:pPr>
        <w:pStyle w:val="5"/>
        <w:spacing w:before="1" w:line="2510" w:lineRule="exact"/>
        <w:ind w:firstLine="2534"/>
        <w:rPr>
          <w:rFonts w:hint="eastAsia" w:ascii="宋体" w:hAnsi="宋体" w:eastAsia="宋体" w:cs="宋体"/>
          <w:color w:val="auto"/>
          <w:highlight w:val="none"/>
        </w:rPr>
      </w:pPr>
      <w:r>
        <w:rPr>
          <w:rFonts w:hint="eastAsia" w:ascii="宋体" w:hAnsi="宋体" w:eastAsia="宋体" w:cs="宋体"/>
          <w:color w:val="auto"/>
          <w:position w:val="-50"/>
          <w:highlight w:val="none"/>
        </w:rPr>
        <mc:AlternateContent>
          <mc:Choice Requires="wpg">
            <w:drawing>
              <wp:inline distT="0" distB="0" distL="114300" distR="114300">
                <wp:extent cx="2835275" cy="1593850"/>
                <wp:effectExtent l="12700" t="0" r="28575" b="12700"/>
                <wp:docPr id="13" name="组合 13"/>
                <wp:cNvGraphicFramePr/>
                <a:graphic xmlns:a="http://schemas.openxmlformats.org/drawingml/2006/main">
                  <a:graphicData uri="http://schemas.microsoft.com/office/word/2010/wordprocessingGroup">
                    <wpg:wgp>
                      <wpg:cNvGrpSpPr>
                        <a:grpSpLocks noRot="1"/>
                      </wpg:cNvGrpSpPr>
                      <wpg:grpSpPr>
                        <a:xfrm>
                          <a:off x="0" y="0"/>
                          <a:ext cx="2835275" cy="1593850"/>
                          <a:chOff x="0" y="0"/>
                          <a:chExt cx="4465" cy="2510"/>
                        </a:xfrm>
                      </wpg:grpSpPr>
                      <pic:pic xmlns:pic="http://schemas.openxmlformats.org/drawingml/2006/picture">
                        <pic:nvPicPr>
                          <pic:cNvPr id="11" name="图片 5"/>
                          <pic:cNvPicPr>
                            <a:picLocks noChangeAspect="1"/>
                          </pic:cNvPicPr>
                        </pic:nvPicPr>
                        <pic:blipFill>
                          <a:blip r:embed="rId54"/>
                          <a:stretch>
                            <a:fillRect/>
                          </a:stretch>
                        </pic:blipFill>
                        <pic:spPr>
                          <a:xfrm>
                            <a:off x="0" y="0"/>
                            <a:ext cx="4465" cy="2510"/>
                          </a:xfrm>
                          <a:prstGeom prst="rect">
                            <a:avLst/>
                          </a:prstGeom>
                          <a:noFill/>
                          <a:ln>
                            <a:noFill/>
                          </a:ln>
                        </pic:spPr>
                      </pic:pic>
                      <wps:wsp>
                        <wps:cNvPr id="12" name="文本框 12"/>
                        <wps:cNvSpPr txBox="1"/>
                        <wps:spPr>
                          <a:xfrm>
                            <a:off x="-20" y="-20"/>
                            <a:ext cx="4505" cy="2550"/>
                          </a:xfrm>
                          <a:prstGeom prst="rect">
                            <a:avLst/>
                          </a:prstGeom>
                          <a:noFill/>
                          <a:ln>
                            <a:noFill/>
                          </a:ln>
                        </wps:spPr>
                        <wps:txbx>
                          <w:txbxContent>
                            <w:p w14:paraId="59307053">
                              <w:pPr>
                                <w:spacing w:line="249" w:lineRule="auto"/>
                              </w:pPr>
                            </w:p>
                            <w:p w14:paraId="33DBE834">
                              <w:pPr>
                                <w:spacing w:line="249" w:lineRule="auto"/>
                              </w:pPr>
                            </w:p>
                            <w:p w14:paraId="5772CF5B">
                              <w:pPr>
                                <w:spacing w:line="249" w:lineRule="auto"/>
                              </w:pPr>
                            </w:p>
                            <w:p w14:paraId="5E8A9750">
                              <w:pPr>
                                <w:spacing w:line="249" w:lineRule="auto"/>
                              </w:pPr>
                            </w:p>
                            <w:p w14:paraId="029B95F9">
                              <w:pPr>
                                <w:spacing w:before="78" w:line="220" w:lineRule="auto"/>
                                <w:jc w:val="center"/>
                                <w:rPr>
                                  <w:rFonts w:ascii="宋体" w:hAnsi="宋体" w:eastAsia="宋体" w:cs="宋体"/>
                                  <w:sz w:val="24"/>
                                  <w:szCs w:val="24"/>
                                </w:rPr>
                              </w:pPr>
                              <w:r>
                                <w:rPr>
                                  <w:rFonts w:ascii="宋体" w:hAnsi="宋体" w:eastAsia="宋体" w:cs="宋体"/>
                                  <w:spacing w:val="-1"/>
                                  <w:sz w:val="24"/>
                                  <w:szCs w:val="24"/>
                                </w:rPr>
                                <w:t>法定代表人身</w:t>
                              </w:r>
                              <w:r>
                                <w:rPr>
                                  <w:rFonts w:ascii="宋体" w:hAnsi="宋体" w:eastAsia="宋体" w:cs="宋体"/>
                                  <w:spacing w:val="-1"/>
                                  <w:sz w:val="24"/>
                                  <w:szCs w:val="24"/>
                                  <w:highlight w:val="none"/>
                                </w:rPr>
                                <w:t>份证</w:t>
                              </w:r>
                              <w:r>
                                <w:rPr>
                                  <w:rFonts w:hint="eastAsia" w:ascii="宋体" w:hAnsi="宋体" w:eastAsia="宋体" w:cs="宋体"/>
                                  <w:spacing w:val="-1"/>
                                  <w:sz w:val="24"/>
                                  <w:szCs w:val="24"/>
                                  <w:highlight w:val="none"/>
                                  <w:lang w:val="en-US" w:eastAsia="zh-CN"/>
                                </w:rPr>
                                <w:t>彩色扫描件</w:t>
                              </w:r>
                              <w:r>
                                <w:rPr>
                                  <w:rFonts w:ascii="宋体" w:hAnsi="宋体" w:eastAsia="宋体" w:cs="宋体"/>
                                  <w:spacing w:val="-1"/>
                                  <w:sz w:val="24"/>
                                  <w:szCs w:val="24"/>
                                  <w:highlight w:val="none"/>
                                </w:rPr>
                                <w:t>正</w:t>
                              </w:r>
                              <w:r>
                                <w:rPr>
                                  <w:rFonts w:ascii="宋体" w:hAnsi="宋体" w:eastAsia="宋体" w:cs="宋体"/>
                                  <w:spacing w:val="-1"/>
                                  <w:sz w:val="24"/>
                                  <w:szCs w:val="24"/>
                                </w:rPr>
                                <w:t>、反面</w:t>
                              </w:r>
                            </w:p>
                          </w:txbxContent>
                        </wps:txbx>
                        <wps:bodyPr lIns="0" tIns="0" rIns="0" bIns="0" upright="1"/>
                      </wps:wsp>
                    </wpg:wgp>
                  </a:graphicData>
                </a:graphic>
              </wp:inline>
            </w:drawing>
          </mc:Choice>
          <mc:Fallback>
            <w:pict>
              <v:group id="_x0000_s1026" o:spid="_x0000_s1026" o:spt="203" style="height:125.5pt;width:223.25pt;" coordsize="4465,2510" o:gfxdata="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">
                <o:lock v:ext="edit" rotation="t" aspectratio="f"/>
                <v:shape id="图片 5" o:spid="_x0000_s1026" o:spt="75" type="#_x0000_t75" style="position:absolute;left:0;top:0;height:2510;width:4465;" filled="f" o:preferrelative="t" stroked="f" coordsize="21600,21600" o:gfxdata="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kRLC28AAAA&#10;2wAAAA8AAAAAAAAAAQAgAAAAIgAAAGRycy9kb3ducmV2LnhtbFBLAQIUABQAAAAIAIdO4kAzLwWe&#10;OwAAADkAAAAQAAAAAAAAAAEAIAAAAAsBAABkcnMvc2hhcGV4bWwueG1sUEsFBgAAAAAGAAYAWwEA&#10;ALUDAAAAAA==&#10;">
                  <v:fill on="f" focussize="0,0"/>
                  <v:stroke on="f"/>
                  <v:imagedata r:id="rId54" o:title=""/>
                  <o:lock v:ext="edit" aspectratio="t"/>
                </v:shape>
                <v:shape id="_x0000_s1026" o:spid="_x0000_s1026" o:spt="202" type="#_x0000_t202" style="position:absolute;left:-20;top:-20;height:2550;width:4505;" filled="f" stroked="f" coordsize="21600,21600" o:gfxdata="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UylS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59307053">
                        <w:pPr>
                          <w:spacing w:line="249" w:lineRule="auto"/>
                        </w:pPr>
                      </w:p>
                      <w:p w14:paraId="33DBE834">
                        <w:pPr>
                          <w:spacing w:line="249" w:lineRule="auto"/>
                        </w:pPr>
                      </w:p>
                      <w:p w14:paraId="5772CF5B">
                        <w:pPr>
                          <w:spacing w:line="249" w:lineRule="auto"/>
                        </w:pPr>
                      </w:p>
                      <w:p w14:paraId="5E8A9750">
                        <w:pPr>
                          <w:spacing w:line="249" w:lineRule="auto"/>
                        </w:pPr>
                      </w:p>
                      <w:p w14:paraId="029B95F9">
                        <w:pPr>
                          <w:spacing w:before="78" w:line="220" w:lineRule="auto"/>
                          <w:jc w:val="center"/>
                          <w:rPr>
                            <w:rFonts w:ascii="宋体" w:hAnsi="宋体" w:eastAsia="宋体" w:cs="宋体"/>
                            <w:sz w:val="24"/>
                            <w:szCs w:val="24"/>
                          </w:rPr>
                        </w:pPr>
                        <w:r>
                          <w:rPr>
                            <w:rFonts w:ascii="宋体" w:hAnsi="宋体" w:eastAsia="宋体" w:cs="宋体"/>
                            <w:spacing w:val="-1"/>
                            <w:sz w:val="24"/>
                            <w:szCs w:val="24"/>
                          </w:rPr>
                          <w:t>法定代表人身</w:t>
                        </w:r>
                        <w:r>
                          <w:rPr>
                            <w:rFonts w:ascii="宋体" w:hAnsi="宋体" w:eastAsia="宋体" w:cs="宋体"/>
                            <w:spacing w:val="-1"/>
                            <w:sz w:val="24"/>
                            <w:szCs w:val="24"/>
                            <w:highlight w:val="none"/>
                          </w:rPr>
                          <w:t>份证</w:t>
                        </w:r>
                        <w:r>
                          <w:rPr>
                            <w:rFonts w:hint="eastAsia" w:ascii="宋体" w:hAnsi="宋体" w:eastAsia="宋体" w:cs="宋体"/>
                            <w:spacing w:val="-1"/>
                            <w:sz w:val="24"/>
                            <w:szCs w:val="24"/>
                            <w:highlight w:val="none"/>
                            <w:lang w:val="en-US" w:eastAsia="zh-CN"/>
                          </w:rPr>
                          <w:t>彩色扫描件</w:t>
                        </w:r>
                        <w:r>
                          <w:rPr>
                            <w:rFonts w:ascii="宋体" w:hAnsi="宋体" w:eastAsia="宋体" w:cs="宋体"/>
                            <w:spacing w:val="-1"/>
                            <w:sz w:val="24"/>
                            <w:szCs w:val="24"/>
                            <w:highlight w:val="none"/>
                          </w:rPr>
                          <w:t>正</w:t>
                        </w:r>
                        <w:r>
                          <w:rPr>
                            <w:rFonts w:ascii="宋体" w:hAnsi="宋体" w:eastAsia="宋体" w:cs="宋体"/>
                            <w:spacing w:val="-1"/>
                            <w:sz w:val="24"/>
                            <w:szCs w:val="24"/>
                          </w:rPr>
                          <w:t>、反面</w:t>
                        </w:r>
                      </w:p>
                    </w:txbxContent>
                  </v:textbox>
                </v:shape>
                <w10:wrap type="none"/>
                <w10:anchorlock/>
              </v:group>
            </w:pict>
          </mc:Fallback>
        </mc:AlternateContent>
      </w:r>
    </w:p>
    <w:p w14:paraId="31936323">
      <w:pPr>
        <w:spacing w:line="2510" w:lineRule="exact"/>
        <w:rPr>
          <w:rFonts w:hint="eastAsia" w:ascii="宋体" w:hAnsi="宋体" w:eastAsia="宋体" w:cs="宋体"/>
          <w:color w:val="auto"/>
          <w:highlight w:val="none"/>
        </w:rPr>
        <w:sectPr>
          <w:footerReference r:id="rId17"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272FF65F">
      <w:pPr>
        <w:spacing w:before="78" w:line="220" w:lineRule="auto"/>
        <w:outlineLvl w:val="2"/>
        <w:rPr>
          <w:rFonts w:hint="eastAsia" w:ascii="宋体" w:hAnsi="宋体" w:eastAsia="宋体" w:cs="宋体"/>
          <w:b/>
          <w:bCs/>
          <w:color w:val="auto"/>
          <w:spacing w:val="-4"/>
          <w:sz w:val="24"/>
          <w:szCs w:val="24"/>
          <w:highlight w:val="none"/>
        </w:rPr>
      </w:pPr>
      <w:bookmarkStart w:id="236" w:name="_Toc5771"/>
      <w:r>
        <w:rPr>
          <w:rFonts w:hint="eastAsia" w:ascii="宋体" w:hAnsi="宋体" w:eastAsia="宋体" w:cs="宋体"/>
          <w:b/>
          <w:bCs/>
          <w:color w:val="auto"/>
          <w:spacing w:val="-4"/>
          <w:sz w:val="24"/>
          <w:szCs w:val="24"/>
          <w:highlight w:val="none"/>
        </w:rPr>
        <w:t>格式六 联合体协议书</w:t>
      </w:r>
      <w:bookmarkEnd w:id="236"/>
    </w:p>
    <w:p w14:paraId="48BC7635">
      <w:pPr>
        <w:spacing w:before="98" w:line="219" w:lineRule="auto"/>
        <w:ind w:left="3638"/>
        <w:rPr>
          <w:rFonts w:hint="eastAsia" w:ascii="宋体" w:hAnsi="宋体" w:eastAsia="宋体" w:cs="宋体"/>
          <w:color w:val="auto"/>
          <w:sz w:val="30"/>
          <w:szCs w:val="30"/>
          <w:highlight w:val="none"/>
        </w:rPr>
      </w:pPr>
      <w:bookmarkStart w:id="237" w:name="bookmark153"/>
      <w:bookmarkEnd w:id="237"/>
      <w:r>
        <w:rPr>
          <w:rFonts w:hint="eastAsia" w:ascii="宋体" w:hAnsi="宋体" w:eastAsia="宋体" w:cs="宋体"/>
          <w:b/>
          <w:bCs/>
          <w:color w:val="auto"/>
          <w:spacing w:val="-5"/>
          <w:sz w:val="30"/>
          <w:szCs w:val="30"/>
          <w:highlight w:val="none"/>
        </w:rPr>
        <w:t>联合体协议书</w:t>
      </w:r>
    </w:p>
    <w:p w14:paraId="2AC3F97F">
      <w:pPr>
        <w:pStyle w:val="5"/>
        <w:keepNext w:val="0"/>
        <w:keepLines w:val="0"/>
        <w:pageBreakBefore w:val="0"/>
        <w:widowControl/>
        <w:kinsoku w:val="0"/>
        <w:wordWrap/>
        <w:overflowPunct/>
        <w:topLinePunct w:val="0"/>
        <w:autoSpaceDE w:val="0"/>
        <w:autoSpaceDN w:val="0"/>
        <w:bidi w:val="0"/>
        <w:adjustRightInd w:val="0"/>
        <w:snapToGrid w:val="0"/>
        <w:spacing w:line="264" w:lineRule="auto"/>
        <w:textAlignment w:val="baseline"/>
        <w:rPr>
          <w:rFonts w:hint="eastAsia" w:ascii="宋体" w:hAnsi="宋体" w:eastAsia="宋体" w:cs="宋体"/>
          <w:color w:val="auto"/>
          <w:highlight w:val="none"/>
        </w:rPr>
      </w:pPr>
    </w:p>
    <w:p w14:paraId="0C796E14">
      <w:pPr>
        <w:keepNext w:val="0"/>
        <w:keepLines w:val="0"/>
        <w:pageBreakBefore w:val="0"/>
        <w:widowControl/>
        <w:kinsoku w:val="0"/>
        <w:wordWrap/>
        <w:overflowPunct/>
        <w:topLinePunct w:val="0"/>
        <w:autoSpaceDE w:val="0"/>
        <w:autoSpaceDN w:val="0"/>
        <w:bidi w:val="0"/>
        <w:adjustRightInd w:val="0"/>
        <w:snapToGrid w:val="0"/>
        <w:spacing w:before="78" w:line="264" w:lineRule="auto"/>
        <w:ind w:left="421" w:right="7272" w:hanging="3"/>
        <w:jc w:val="both"/>
        <w:textAlignment w:val="baseline"/>
        <w:rPr>
          <w:rFonts w:hint="eastAsia" w:ascii="宋体" w:hAnsi="宋体" w:eastAsia="宋体" w:cs="宋体"/>
          <w:color w:val="auto"/>
          <w:spacing w:val="4"/>
          <w:sz w:val="24"/>
          <w:szCs w:val="24"/>
          <w:highlight w:val="none"/>
        </w:rPr>
      </w:pPr>
      <w:r>
        <w:rPr>
          <w:rFonts w:hint="eastAsia" w:ascii="宋体" w:hAnsi="宋体" w:eastAsia="宋体" w:cs="宋体"/>
          <w:color w:val="auto"/>
          <w:spacing w:val="-12"/>
          <w:sz w:val="24"/>
          <w:szCs w:val="24"/>
          <w:highlight w:val="none"/>
        </w:rPr>
        <w:t>牵头人名称：</w:t>
      </w:r>
      <w:r>
        <w:rPr>
          <w:rFonts w:hint="eastAsia" w:ascii="宋体" w:hAnsi="宋体" w:eastAsia="宋体" w:cs="宋体"/>
          <w:color w:val="auto"/>
          <w:spacing w:val="4"/>
          <w:sz w:val="24"/>
          <w:szCs w:val="24"/>
          <w:highlight w:val="none"/>
        </w:rPr>
        <w:t xml:space="preserve"> </w:t>
      </w:r>
    </w:p>
    <w:p w14:paraId="78BE601B">
      <w:pPr>
        <w:keepNext w:val="0"/>
        <w:keepLines w:val="0"/>
        <w:pageBreakBefore w:val="0"/>
        <w:widowControl/>
        <w:kinsoku w:val="0"/>
        <w:wordWrap/>
        <w:overflowPunct/>
        <w:topLinePunct w:val="0"/>
        <w:autoSpaceDE w:val="0"/>
        <w:autoSpaceDN w:val="0"/>
        <w:bidi w:val="0"/>
        <w:adjustRightInd w:val="0"/>
        <w:snapToGrid w:val="0"/>
        <w:spacing w:before="78" w:line="264" w:lineRule="auto"/>
        <w:ind w:left="421" w:right="7272" w:hanging="3"/>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2"/>
          <w:sz w:val="24"/>
          <w:szCs w:val="24"/>
          <w:highlight w:val="none"/>
        </w:rPr>
        <w:t>法定代表人：</w:t>
      </w:r>
      <w:r>
        <w:rPr>
          <w:rFonts w:hint="eastAsia" w:ascii="宋体" w:hAnsi="宋体" w:eastAsia="宋体" w:cs="宋体"/>
          <w:color w:val="auto"/>
          <w:sz w:val="24"/>
          <w:szCs w:val="24"/>
          <w:highlight w:val="none"/>
        </w:rPr>
        <w:t xml:space="preserve"> </w:t>
      </w:r>
    </w:p>
    <w:p w14:paraId="04808BC7">
      <w:pPr>
        <w:keepNext w:val="0"/>
        <w:keepLines w:val="0"/>
        <w:pageBreakBefore w:val="0"/>
        <w:widowControl/>
        <w:kinsoku w:val="0"/>
        <w:wordWrap/>
        <w:overflowPunct/>
        <w:topLinePunct w:val="0"/>
        <w:autoSpaceDE w:val="0"/>
        <w:autoSpaceDN w:val="0"/>
        <w:bidi w:val="0"/>
        <w:adjustRightInd w:val="0"/>
        <w:snapToGrid w:val="0"/>
        <w:spacing w:before="78" w:line="264" w:lineRule="auto"/>
        <w:ind w:left="421" w:right="7272" w:hanging="3"/>
        <w:jc w:val="both"/>
        <w:textAlignment w:val="baseline"/>
        <w:rPr>
          <w:rFonts w:hint="eastAsia" w:ascii="宋体" w:hAnsi="宋体" w:eastAsia="宋体" w:cs="宋体"/>
          <w:color w:val="auto"/>
          <w:spacing w:val="-3"/>
          <w:sz w:val="24"/>
          <w:szCs w:val="24"/>
          <w:highlight w:val="none"/>
        </w:rPr>
      </w:pPr>
      <w:r>
        <w:rPr>
          <w:rFonts w:hint="eastAsia" w:ascii="宋体" w:hAnsi="宋体" w:eastAsia="宋体" w:cs="宋体"/>
          <w:color w:val="auto"/>
          <w:spacing w:val="-3"/>
          <w:sz w:val="24"/>
          <w:szCs w:val="24"/>
          <w:highlight w:val="none"/>
        </w:rPr>
        <w:t>法定住所：</w:t>
      </w:r>
    </w:p>
    <w:p w14:paraId="2D6BB855">
      <w:pPr>
        <w:outlineLvl w:val="9"/>
        <w:rPr>
          <w:rFonts w:hint="eastAsia"/>
          <w:color w:val="auto"/>
          <w:highlight w:val="none"/>
        </w:rPr>
      </w:pPr>
    </w:p>
    <w:p w14:paraId="1E8287CD">
      <w:pPr>
        <w:keepNext w:val="0"/>
        <w:keepLines w:val="0"/>
        <w:pageBreakBefore w:val="0"/>
        <w:widowControl/>
        <w:kinsoku w:val="0"/>
        <w:wordWrap/>
        <w:overflowPunct/>
        <w:topLinePunct w:val="0"/>
        <w:autoSpaceDE w:val="0"/>
        <w:autoSpaceDN w:val="0"/>
        <w:bidi w:val="0"/>
        <w:adjustRightInd w:val="0"/>
        <w:snapToGrid w:val="0"/>
        <w:spacing w:before="78" w:line="264" w:lineRule="auto"/>
        <w:ind w:left="421" w:right="7272"/>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2"/>
          <w:sz w:val="24"/>
          <w:szCs w:val="24"/>
          <w:highlight w:val="none"/>
        </w:rPr>
        <w:t>成员二名称：</w:t>
      </w:r>
      <w:r>
        <w:rPr>
          <w:rFonts w:hint="eastAsia" w:ascii="宋体" w:hAnsi="宋体" w:eastAsia="宋体" w:cs="宋体"/>
          <w:color w:val="auto"/>
          <w:sz w:val="24"/>
          <w:szCs w:val="24"/>
          <w:highlight w:val="none"/>
        </w:rPr>
        <w:t xml:space="preserve"> </w:t>
      </w:r>
    </w:p>
    <w:p w14:paraId="7C1025DC">
      <w:pPr>
        <w:keepNext w:val="0"/>
        <w:keepLines w:val="0"/>
        <w:pageBreakBefore w:val="0"/>
        <w:widowControl/>
        <w:kinsoku w:val="0"/>
        <w:wordWrap/>
        <w:overflowPunct/>
        <w:topLinePunct w:val="0"/>
        <w:autoSpaceDE w:val="0"/>
        <w:autoSpaceDN w:val="0"/>
        <w:bidi w:val="0"/>
        <w:adjustRightInd w:val="0"/>
        <w:snapToGrid w:val="0"/>
        <w:spacing w:before="78" w:line="264" w:lineRule="auto"/>
        <w:ind w:left="421" w:right="7272"/>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2"/>
          <w:sz w:val="24"/>
          <w:szCs w:val="24"/>
          <w:highlight w:val="none"/>
        </w:rPr>
        <w:t>法定代表人：</w:t>
      </w:r>
      <w:r>
        <w:rPr>
          <w:rFonts w:hint="eastAsia" w:ascii="宋体" w:hAnsi="宋体" w:eastAsia="宋体" w:cs="宋体"/>
          <w:color w:val="auto"/>
          <w:sz w:val="24"/>
          <w:szCs w:val="24"/>
          <w:highlight w:val="none"/>
        </w:rPr>
        <w:t xml:space="preserve"> </w:t>
      </w:r>
    </w:p>
    <w:p w14:paraId="391F3F76">
      <w:pPr>
        <w:keepNext w:val="0"/>
        <w:keepLines w:val="0"/>
        <w:pageBreakBefore w:val="0"/>
        <w:widowControl/>
        <w:kinsoku w:val="0"/>
        <w:wordWrap/>
        <w:overflowPunct/>
        <w:topLinePunct w:val="0"/>
        <w:autoSpaceDE w:val="0"/>
        <w:autoSpaceDN w:val="0"/>
        <w:bidi w:val="0"/>
        <w:adjustRightInd w:val="0"/>
        <w:snapToGrid w:val="0"/>
        <w:spacing w:before="78" w:line="264" w:lineRule="auto"/>
        <w:ind w:left="421" w:right="7272"/>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法定住所：</w:t>
      </w:r>
    </w:p>
    <w:p w14:paraId="1A5AB485">
      <w:pPr>
        <w:keepNext w:val="0"/>
        <w:keepLines w:val="0"/>
        <w:pageBreakBefore w:val="0"/>
        <w:widowControl/>
        <w:kinsoku w:val="0"/>
        <w:wordWrap/>
        <w:overflowPunct/>
        <w:topLinePunct w:val="0"/>
        <w:autoSpaceDE w:val="0"/>
        <w:autoSpaceDN w:val="0"/>
        <w:bidi w:val="0"/>
        <w:adjustRightInd w:val="0"/>
        <w:snapToGrid w:val="0"/>
        <w:spacing w:before="32" w:line="264" w:lineRule="auto"/>
        <w:ind w:left="436"/>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3"/>
          <w:position w:val="3"/>
          <w:sz w:val="24"/>
          <w:szCs w:val="24"/>
          <w:highlight w:val="none"/>
        </w:rPr>
        <w:t>……</w:t>
      </w:r>
    </w:p>
    <w:p w14:paraId="6DDA5343">
      <w:pPr>
        <w:keepNext w:val="0"/>
        <w:keepLines w:val="0"/>
        <w:pageBreakBefore w:val="0"/>
        <w:widowControl/>
        <w:kinsoku w:val="0"/>
        <w:wordWrap/>
        <w:overflowPunct/>
        <w:topLinePunct w:val="0"/>
        <w:autoSpaceDE w:val="0"/>
        <w:autoSpaceDN w:val="0"/>
        <w:bidi w:val="0"/>
        <w:adjustRightInd w:val="0"/>
        <w:snapToGrid w:val="0"/>
        <w:spacing w:before="61" w:line="264" w:lineRule="auto"/>
        <w:ind w:firstLine="422"/>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上述各成员单位经过友好协商，自愿组成联合体，</w:t>
      </w:r>
      <w:r>
        <w:rPr>
          <w:rFonts w:hint="eastAsia" w:ascii="宋体" w:hAnsi="宋体" w:eastAsia="宋体" w:cs="宋体"/>
          <w:color w:val="auto"/>
          <w:sz w:val="24"/>
          <w:szCs w:val="24"/>
          <w:highlight w:val="none"/>
        </w:rPr>
        <w:t>共同参加（项目名称</w:t>
      </w:r>
      <w:r>
        <w:rPr>
          <w:rFonts w:hint="eastAsia" w:ascii="宋体" w:hAnsi="宋体" w:eastAsia="宋体" w:cs="宋体"/>
          <w:color w:val="auto"/>
          <w:spacing w:val="-18"/>
          <w:sz w:val="24"/>
          <w:szCs w:val="24"/>
          <w:highlight w:val="none"/>
        </w:rPr>
        <w:t>）（</w:t>
      </w:r>
      <w:r>
        <w:rPr>
          <w:rFonts w:hint="eastAsia" w:ascii="宋体" w:hAnsi="宋体" w:eastAsia="宋体" w:cs="宋体"/>
          <w:color w:val="auto"/>
          <w:sz w:val="24"/>
          <w:szCs w:val="24"/>
          <w:highlight w:val="none"/>
        </w:rPr>
        <w:t>以下简</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2"/>
          <w:sz w:val="24"/>
          <w:szCs w:val="24"/>
          <w:highlight w:val="none"/>
        </w:rPr>
        <w:t>称“本项目</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”）的施工投标并争取赢得本项目施工承包</w:t>
      </w:r>
      <w:r>
        <w:rPr>
          <w:rFonts w:hint="eastAsia" w:ascii="宋体" w:hAnsi="宋体" w:eastAsia="宋体" w:cs="宋体"/>
          <w:color w:val="auto"/>
          <w:spacing w:val="-3"/>
          <w:sz w:val="24"/>
          <w:szCs w:val="24"/>
          <w:highlight w:val="none"/>
        </w:rPr>
        <w:t>合同（以下简称合同）。现就联</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合体投标事宜订立如下协议：</w:t>
      </w:r>
    </w:p>
    <w:p w14:paraId="35E1AD38">
      <w:pPr>
        <w:keepNext w:val="0"/>
        <w:keepLines w:val="0"/>
        <w:pageBreakBefore w:val="0"/>
        <w:widowControl/>
        <w:kinsoku w:val="0"/>
        <w:wordWrap/>
        <w:overflowPunct/>
        <w:topLinePunct w:val="0"/>
        <w:autoSpaceDE w:val="0"/>
        <w:autoSpaceDN w:val="0"/>
        <w:bidi w:val="0"/>
        <w:adjustRightInd w:val="0"/>
        <w:snapToGrid w:val="0"/>
        <w:spacing w:before="33" w:line="264" w:lineRule="auto"/>
        <w:ind w:left="499"/>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31"/>
          <w:sz w:val="24"/>
          <w:szCs w:val="24"/>
          <w:highlight w:val="none"/>
        </w:rPr>
        <w:t>．（</w:t>
      </w:r>
      <w:r>
        <w:rPr>
          <w:rFonts w:hint="eastAsia" w:ascii="宋体" w:hAnsi="宋体" w:eastAsia="宋体" w:cs="宋体"/>
          <w:color w:val="auto"/>
          <w:sz w:val="24"/>
          <w:szCs w:val="24"/>
          <w:highlight w:val="none"/>
        </w:rPr>
        <w:t>某成员单位名称）为联合体牵头人。</w:t>
      </w:r>
    </w:p>
    <w:p w14:paraId="06B53A35">
      <w:pPr>
        <w:keepNext w:val="0"/>
        <w:keepLines w:val="0"/>
        <w:pageBreakBefore w:val="0"/>
        <w:widowControl/>
        <w:kinsoku w:val="0"/>
        <w:wordWrap/>
        <w:overflowPunct/>
        <w:topLinePunct w:val="0"/>
        <w:autoSpaceDE w:val="0"/>
        <w:autoSpaceDN w:val="0"/>
        <w:bidi w:val="0"/>
        <w:adjustRightInd w:val="0"/>
        <w:snapToGrid w:val="0"/>
        <w:spacing w:before="156" w:line="264" w:lineRule="auto"/>
        <w:ind w:left="1" w:firstLine="474"/>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w:t>
      </w:r>
      <w:r>
        <w:rPr>
          <w:rFonts w:hint="eastAsia" w:ascii="宋体" w:hAnsi="宋体" w:eastAsia="宋体" w:cs="宋体"/>
          <w:color w:val="auto"/>
          <w:spacing w:val="-29"/>
          <w:sz w:val="24"/>
          <w:szCs w:val="24"/>
          <w:highlight w:val="none"/>
        </w:rPr>
        <w:t xml:space="preserve"> </w:t>
      </w:r>
      <w:r>
        <w:rPr>
          <w:rFonts w:hint="eastAsia" w:ascii="宋体" w:hAnsi="宋体" w:eastAsia="宋体" w:cs="宋体"/>
          <w:color w:val="auto"/>
          <w:spacing w:val="-1"/>
          <w:sz w:val="24"/>
          <w:szCs w:val="24"/>
          <w:highlight w:val="none"/>
        </w:rPr>
        <w:t>．在本项目投标阶段，联合体牵头人合法代表联合体各成员负责本项目投标</w:t>
      </w:r>
      <w:r>
        <w:rPr>
          <w:rFonts w:hint="eastAsia" w:ascii="宋体" w:hAnsi="宋体" w:eastAsia="宋体" w:cs="宋体"/>
          <w:color w:val="auto"/>
          <w:spacing w:val="-2"/>
          <w:sz w:val="24"/>
          <w:szCs w:val="24"/>
          <w:highlight w:val="none"/>
        </w:rPr>
        <w:t>文件编制活动，代表联合体提交和接收相关的资料、信息及指示，并处理与投标和中标有关</w:t>
      </w:r>
      <w:r>
        <w:rPr>
          <w:rFonts w:hint="eastAsia" w:ascii="宋体" w:hAnsi="宋体" w:eastAsia="宋体" w:cs="宋体"/>
          <w:color w:val="auto"/>
          <w:spacing w:val="16"/>
          <w:sz w:val="24"/>
          <w:szCs w:val="24"/>
          <w:highlight w:val="none"/>
        </w:rPr>
        <w:t xml:space="preserve"> </w:t>
      </w:r>
      <w:r>
        <w:rPr>
          <w:rFonts w:hint="eastAsia" w:ascii="宋体" w:hAnsi="宋体" w:eastAsia="宋体" w:cs="宋体"/>
          <w:color w:val="auto"/>
          <w:spacing w:val="-2"/>
          <w:sz w:val="24"/>
          <w:szCs w:val="24"/>
          <w:highlight w:val="none"/>
        </w:rPr>
        <w:t>的一切事务；联合体中标后，联合体牵头人负责合同订立和合同实施阶段的主办、组织</w:t>
      </w:r>
      <w:r>
        <w:rPr>
          <w:rFonts w:hint="eastAsia" w:ascii="宋体" w:hAnsi="宋体" w:eastAsia="宋体" w:cs="宋体"/>
          <w:color w:val="auto"/>
          <w:spacing w:val="16"/>
          <w:sz w:val="24"/>
          <w:szCs w:val="24"/>
          <w:highlight w:val="none"/>
        </w:rPr>
        <w:t xml:space="preserve"> </w:t>
      </w:r>
      <w:r>
        <w:rPr>
          <w:rFonts w:hint="eastAsia" w:ascii="宋体" w:hAnsi="宋体" w:eastAsia="宋体" w:cs="宋体"/>
          <w:color w:val="auto"/>
          <w:spacing w:val="-2"/>
          <w:sz w:val="24"/>
          <w:szCs w:val="24"/>
          <w:highlight w:val="none"/>
        </w:rPr>
        <w:t>和协调工作。</w:t>
      </w:r>
    </w:p>
    <w:p w14:paraId="4950AC5C">
      <w:pPr>
        <w:keepNext w:val="0"/>
        <w:keepLines w:val="0"/>
        <w:pageBreakBefore w:val="0"/>
        <w:widowControl/>
        <w:kinsoku w:val="0"/>
        <w:wordWrap/>
        <w:overflowPunct/>
        <w:topLinePunct w:val="0"/>
        <w:autoSpaceDE w:val="0"/>
        <w:autoSpaceDN w:val="0"/>
        <w:bidi w:val="0"/>
        <w:adjustRightInd w:val="0"/>
        <w:snapToGrid w:val="0"/>
        <w:spacing w:before="153" w:line="264" w:lineRule="auto"/>
        <w:ind w:left="2" w:firstLine="478"/>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1"/>
          <w:sz w:val="24"/>
          <w:szCs w:val="24"/>
          <w:highlight w:val="none"/>
        </w:rPr>
        <w:t>．联合体将严格按照招标文件的各项要求，递交投标文件，履行</w:t>
      </w:r>
      <w:r>
        <w:rPr>
          <w:rFonts w:hint="eastAsia" w:ascii="宋体" w:hAnsi="宋体" w:eastAsia="宋体" w:cs="宋体"/>
          <w:color w:val="auto"/>
          <w:spacing w:val="-2"/>
          <w:sz w:val="24"/>
          <w:szCs w:val="24"/>
          <w:highlight w:val="none"/>
        </w:rPr>
        <w:t>投标义务和中标后的合同，共同承担合同规定的一切义务和责任，联合体各成员单位按照内部职责的部</w:t>
      </w:r>
      <w:r>
        <w:rPr>
          <w:rFonts w:hint="eastAsia" w:ascii="宋体" w:hAnsi="宋体" w:eastAsia="宋体" w:cs="宋体"/>
          <w:color w:val="auto"/>
          <w:spacing w:val="15"/>
          <w:sz w:val="24"/>
          <w:szCs w:val="24"/>
          <w:highlight w:val="none"/>
        </w:rPr>
        <w:t xml:space="preserve"> </w:t>
      </w:r>
      <w:r>
        <w:rPr>
          <w:rFonts w:hint="eastAsia" w:ascii="宋体" w:hAnsi="宋体" w:eastAsia="宋体" w:cs="宋体"/>
          <w:color w:val="auto"/>
          <w:spacing w:val="-1"/>
          <w:sz w:val="24"/>
          <w:szCs w:val="24"/>
          <w:highlight w:val="none"/>
        </w:rPr>
        <w:t>分，承担各自所负的责任和风险，并向招标人承担连带责任。</w:t>
      </w:r>
    </w:p>
    <w:p w14:paraId="64C4A26A">
      <w:pPr>
        <w:keepNext w:val="0"/>
        <w:keepLines w:val="0"/>
        <w:pageBreakBefore w:val="0"/>
        <w:widowControl/>
        <w:kinsoku w:val="0"/>
        <w:wordWrap/>
        <w:overflowPunct/>
        <w:topLinePunct w:val="0"/>
        <w:autoSpaceDE w:val="0"/>
        <w:autoSpaceDN w:val="0"/>
        <w:bidi w:val="0"/>
        <w:adjustRightInd w:val="0"/>
        <w:snapToGrid w:val="0"/>
        <w:spacing w:before="154" w:line="264" w:lineRule="auto"/>
        <w:ind w:left="475"/>
        <w:textAlignment w:val="baseline"/>
        <w:outlineLvl w:val="9"/>
        <w:rPr>
          <w:rFonts w:hint="eastAsia" w:ascii="宋体" w:hAnsi="宋体" w:eastAsia="宋体" w:cs="宋体"/>
          <w:color w:val="auto"/>
          <w:sz w:val="24"/>
          <w:szCs w:val="24"/>
          <w:highlight w:val="none"/>
        </w:rPr>
      </w:pPr>
      <w:bookmarkStart w:id="238" w:name="_Toc5365"/>
      <w:bookmarkStart w:id="239" w:name="_Toc32149"/>
      <w:r>
        <w:rPr>
          <w:rFonts w:hint="eastAsia" w:ascii="宋体" w:hAnsi="宋体" w:eastAsia="宋体" w:cs="宋体"/>
          <w:color w:val="auto"/>
          <w:spacing w:val="-2"/>
          <w:sz w:val="24"/>
          <w:szCs w:val="24"/>
          <w:highlight w:val="none"/>
        </w:rPr>
        <w:t>4</w:t>
      </w:r>
      <w:r>
        <w:rPr>
          <w:rFonts w:hint="eastAsia" w:ascii="宋体" w:hAnsi="宋体" w:eastAsia="宋体" w:cs="宋体"/>
          <w:color w:val="auto"/>
          <w:spacing w:val="-23"/>
          <w:sz w:val="24"/>
          <w:szCs w:val="24"/>
          <w:highlight w:val="none"/>
        </w:rPr>
        <w:t xml:space="preserve"> </w:t>
      </w:r>
      <w:r>
        <w:rPr>
          <w:rFonts w:hint="eastAsia" w:ascii="宋体" w:hAnsi="宋体" w:eastAsia="宋体" w:cs="宋体"/>
          <w:color w:val="auto"/>
          <w:spacing w:val="-2"/>
          <w:sz w:val="24"/>
          <w:szCs w:val="24"/>
          <w:highlight w:val="none"/>
        </w:rPr>
        <w:t>．联合体各成员单位内部的职责分工如下：。</w:t>
      </w:r>
      <w:bookmarkEnd w:id="238"/>
      <w:bookmarkEnd w:id="239"/>
    </w:p>
    <w:p w14:paraId="1D71CD83">
      <w:pPr>
        <w:keepNext w:val="0"/>
        <w:keepLines w:val="0"/>
        <w:pageBreakBefore w:val="0"/>
        <w:widowControl/>
        <w:kinsoku w:val="0"/>
        <w:wordWrap/>
        <w:overflowPunct/>
        <w:topLinePunct w:val="0"/>
        <w:autoSpaceDE w:val="0"/>
        <w:autoSpaceDN w:val="0"/>
        <w:bidi w:val="0"/>
        <w:adjustRightInd w:val="0"/>
        <w:snapToGrid w:val="0"/>
        <w:spacing w:before="152" w:line="264" w:lineRule="auto"/>
        <w:ind w:right="71" w:firstLine="483"/>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5</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1"/>
          <w:sz w:val="24"/>
          <w:szCs w:val="24"/>
          <w:highlight w:val="none"/>
        </w:rPr>
        <w:t>．投标工作和联合体在中标后工程实施过程中的有关费用按</w:t>
      </w:r>
      <w:r>
        <w:rPr>
          <w:rFonts w:hint="eastAsia" w:ascii="宋体" w:hAnsi="宋体" w:eastAsia="宋体" w:cs="宋体"/>
          <w:color w:val="auto"/>
          <w:spacing w:val="-2"/>
          <w:sz w:val="24"/>
          <w:szCs w:val="24"/>
          <w:highlight w:val="none"/>
        </w:rPr>
        <w:t>各自承担的工作量分</w:t>
      </w:r>
      <w:r>
        <w:rPr>
          <w:rFonts w:hint="eastAsia" w:ascii="宋体" w:hAnsi="宋体" w:eastAsia="宋体" w:cs="宋体"/>
          <w:color w:val="auto"/>
          <w:spacing w:val="-5"/>
          <w:sz w:val="24"/>
          <w:szCs w:val="24"/>
          <w:highlight w:val="none"/>
        </w:rPr>
        <w:t>摊。</w:t>
      </w:r>
    </w:p>
    <w:p w14:paraId="03389633">
      <w:pPr>
        <w:keepNext w:val="0"/>
        <w:keepLines w:val="0"/>
        <w:pageBreakBefore w:val="0"/>
        <w:widowControl/>
        <w:kinsoku w:val="0"/>
        <w:wordWrap/>
        <w:overflowPunct/>
        <w:topLinePunct w:val="0"/>
        <w:autoSpaceDE w:val="0"/>
        <w:autoSpaceDN w:val="0"/>
        <w:bidi w:val="0"/>
        <w:adjustRightInd w:val="0"/>
        <w:snapToGrid w:val="0"/>
        <w:spacing w:before="153" w:line="264" w:lineRule="auto"/>
        <w:ind w:left="4" w:right="71" w:firstLine="477"/>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6</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1"/>
          <w:sz w:val="24"/>
          <w:szCs w:val="24"/>
          <w:highlight w:val="none"/>
        </w:rPr>
        <w:t>．联合体中标后，本联合体协议是合同的附件，对联合体各成</w:t>
      </w:r>
      <w:r>
        <w:rPr>
          <w:rFonts w:hint="eastAsia" w:ascii="宋体" w:hAnsi="宋体" w:eastAsia="宋体" w:cs="宋体"/>
          <w:color w:val="auto"/>
          <w:spacing w:val="-2"/>
          <w:sz w:val="24"/>
          <w:szCs w:val="24"/>
          <w:highlight w:val="none"/>
        </w:rPr>
        <w:t>员单位有合同约束</w:t>
      </w:r>
      <w:r>
        <w:rPr>
          <w:rFonts w:hint="eastAsia" w:ascii="宋体" w:hAnsi="宋体" w:eastAsia="宋体" w:cs="宋体"/>
          <w:color w:val="auto"/>
          <w:spacing w:val="-7"/>
          <w:sz w:val="24"/>
          <w:szCs w:val="24"/>
          <w:highlight w:val="none"/>
        </w:rPr>
        <w:t>力。</w:t>
      </w:r>
    </w:p>
    <w:p w14:paraId="3D9DFEE6">
      <w:pPr>
        <w:keepNext w:val="0"/>
        <w:keepLines w:val="0"/>
        <w:pageBreakBefore w:val="0"/>
        <w:widowControl/>
        <w:kinsoku w:val="0"/>
        <w:wordWrap/>
        <w:overflowPunct/>
        <w:topLinePunct w:val="0"/>
        <w:autoSpaceDE w:val="0"/>
        <w:autoSpaceDN w:val="0"/>
        <w:bidi w:val="0"/>
        <w:adjustRightInd w:val="0"/>
        <w:snapToGrid w:val="0"/>
        <w:spacing w:before="157" w:line="264" w:lineRule="auto"/>
        <w:ind w:left="6" w:right="71" w:firstLine="473"/>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7</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1"/>
          <w:sz w:val="24"/>
          <w:szCs w:val="24"/>
          <w:highlight w:val="none"/>
        </w:rPr>
        <w:t>．本协议书自签署之日起生效，联合体未中标或者中标时合同履行</w:t>
      </w:r>
      <w:r>
        <w:rPr>
          <w:rFonts w:hint="eastAsia" w:ascii="宋体" w:hAnsi="宋体" w:eastAsia="宋体" w:cs="宋体"/>
          <w:color w:val="auto"/>
          <w:spacing w:val="-2"/>
          <w:sz w:val="24"/>
          <w:szCs w:val="24"/>
          <w:highlight w:val="none"/>
        </w:rPr>
        <w:t>完毕后自动失</w:t>
      </w:r>
      <w:r>
        <w:rPr>
          <w:rFonts w:hint="eastAsia" w:ascii="宋体" w:hAnsi="宋体" w:eastAsia="宋体" w:cs="宋体"/>
          <w:color w:val="auto"/>
          <w:spacing w:val="-8"/>
          <w:sz w:val="24"/>
          <w:szCs w:val="24"/>
          <w:highlight w:val="none"/>
        </w:rPr>
        <w:t>效。</w:t>
      </w:r>
    </w:p>
    <w:p w14:paraId="1DB0ADDC">
      <w:pPr>
        <w:keepNext w:val="0"/>
        <w:keepLines w:val="0"/>
        <w:pageBreakBefore w:val="0"/>
        <w:widowControl/>
        <w:kinsoku w:val="0"/>
        <w:wordWrap/>
        <w:overflowPunct/>
        <w:topLinePunct w:val="0"/>
        <w:autoSpaceDE w:val="0"/>
        <w:autoSpaceDN w:val="0"/>
        <w:bidi w:val="0"/>
        <w:adjustRightInd w:val="0"/>
        <w:snapToGrid w:val="0"/>
        <w:spacing w:before="152" w:line="264" w:lineRule="auto"/>
        <w:ind w:left="486"/>
        <w:textAlignment w:val="baseline"/>
        <w:outlineLvl w:val="9"/>
        <w:rPr>
          <w:rFonts w:hint="eastAsia" w:ascii="宋体" w:hAnsi="宋体" w:eastAsia="宋体" w:cs="宋体"/>
          <w:color w:val="auto"/>
          <w:sz w:val="24"/>
          <w:szCs w:val="24"/>
          <w:highlight w:val="none"/>
        </w:rPr>
      </w:pPr>
      <w:bookmarkStart w:id="240" w:name="_Toc26708"/>
      <w:bookmarkStart w:id="241" w:name="_Toc22612"/>
      <w:r>
        <w:rPr>
          <w:rFonts w:hint="eastAsia" w:ascii="宋体" w:hAnsi="宋体" w:eastAsia="宋体" w:cs="宋体"/>
          <w:color w:val="auto"/>
          <w:spacing w:val="-2"/>
          <w:sz w:val="24"/>
          <w:szCs w:val="24"/>
          <w:highlight w:val="none"/>
        </w:rPr>
        <w:t>8</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2"/>
          <w:sz w:val="24"/>
          <w:szCs w:val="24"/>
          <w:highlight w:val="none"/>
        </w:rPr>
        <w:t>．本协议书一式份，联合体成员和招标人各执一份。</w:t>
      </w:r>
      <w:bookmarkEnd w:id="240"/>
      <w:bookmarkEnd w:id="241"/>
    </w:p>
    <w:p w14:paraId="599B051B">
      <w:pPr>
        <w:keepNext w:val="0"/>
        <w:keepLines w:val="0"/>
        <w:pageBreakBefore w:val="0"/>
        <w:widowControl/>
        <w:kinsoku w:val="0"/>
        <w:wordWrap/>
        <w:overflowPunct/>
        <w:topLinePunct w:val="0"/>
        <w:autoSpaceDE w:val="0"/>
        <w:autoSpaceDN w:val="0"/>
        <w:bidi w:val="0"/>
        <w:adjustRightInd w:val="0"/>
        <w:snapToGrid w:val="0"/>
        <w:spacing w:before="78" w:line="264" w:lineRule="auto"/>
        <w:jc w:val="right"/>
        <w:textAlignment w:val="baseline"/>
        <w:rPr>
          <w:rFonts w:hint="eastAsia" w:ascii="宋体" w:hAnsi="宋体" w:eastAsia="宋体" w:cs="宋体"/>
          <w:color w:val="auto"/>
          <w:sz w:val="24"/>
          <w:szCs w:val="24"/>
          <w:highlight w:val="none"/>
        </w:rPr>
      </w:pPr>
      <w:bookmarkStart w:id="242" w:name="bookmark154"/>
      <w:bookmarkEnd w:id="242"/>
      <w:r>
        <w:rPr>
          <w:rFonts w:hint="eastAsia" w:ascii="宋体" w:hAnsi="宋体" w:eastAsia="宋体" w:cs="宋体"/>
          <w:color w:val="auto"/>
          <w:sz w:val="24"/>
          <w:szCs w:val="24"/>
          <w:highlight w:val="none"/>
        </w:rPr>
        <w:t>牵头人名称</w:t>
      </w:r>
      <w:r>
        <w:rPr>
          <w:rFonts w:hint="eastAsia" w:ascii="宋体" w:hAnsi="宋体" w:eastAsia="宋体" w:cs="宋体"/>
          <w:color w:val="auto"/>
          <w:spacing w:val="-15"/>
          <w:sz w:val="24"/>
          <w:szCs w:val="24"/>
          <w:highlight w:val="none"/>
        </w:rPr>
        <w:t>：</w:t>
      </w:r>
      <w:r>
        <w:rPr>
          <w:rFonts w:hint="eastAsia" w:ascii="宋体" w:hAnsi="宋体" w:eastAsia="宋体" w:cs="宋体"/>
          <w:snapToGrid w:val="0"/>
          <w:color w:val="auto"/>
          <w:kern w:val="0"/>
          <w:sz w:val="24"/>
          <w:szCs w:val="24"/>
          <w:highlight w:val="none"/>
          <w:u w:val="single"/>
          <w:lang w:val="en-US" w:eastAsia="zh-CN" w:bidi="ar-SA"/>
        </w:rPr>
        <w:t xml:space="preserve">               </w:t>
      </w:r>
      <w:r>
        <w:rPr>
          <w:rFonts w:hint="eastAsia" w:ascii="宋体" w:hAnsi="宋体" w:eastAsia="宋体" w:cs="宋体"/>
          <w:color w:val="auto"/>
          <w:spacing w:val="-15"/>
          <w:sz w:val="24"/>
          <w:szCs w:val="24"/>
          <w:highlight w:val="none"/>
        </w:rPr>
        <w:t>（</w:t>
      </w:r>
      <w:r>
        <w:rPr>
          <w:rFonts w:hint="eastAsia" w:ascii="宋体" w:hAnsi="宋体" w:eastAsia="宋体" w:cs="宋体"/>
          <w:color w:val="auto"/>
          <w:sz w:val="24"/>
          <w:szCs w:val="24"/>
          <w:highlight w:val="none"/>
        </w:rPr>
        <w:t>盖单位章）</w:t>
      </w:r>
    </w:p>
    <w:p w14:paraId="109CFDDE">
      <w:pPr>
        <w:pStyle w:val="5"/>
        <w:keepNext w:val="0"/>
        <w:keepLines w:val="0"/>
        <w:pageBreakBefore w:val="0"/>
        <w:widowControl/>
        <w:kinsoku w:val="0"/>
        <w:wordWrap/>
        <w:overflowPunct/>
        <w:topLinePunct w:val="0"/>
        <w:autoSpaceDE w:val="0"/>
        <w:autoSpaceDN w:val="0"/>
        <w:bidi w:val="0"/>
        <w:adjustRightInd w:val="0"/>
        <w:snapToGrid w:val="0"/>
        <w:spacing w:line="264" w:lineRule="auto"/>
        <w:textAlignment w:val="baseline"/>
        <w:rPr>
          <w:rFonts w:hint="eastAsia" w:ascii="宋体" w:hAnsi="宋体" w:eastAsia="宋体" w:cs="宋体"/>
          <w:color w:val="auto"/>
          <w:highlight w:val="none"/>
        </w:rPr>
      </w:pPr>
    </w:p>
    <w:p w14:paraId="03AF1506">
      <w:pPr>
        <w:keepNext w:val="0"/>
        <w:keepLines w:val="0"/>
        <w:pageBreakBefore w:val="0"/>
        <w:widowControl/>
        <w:kinsoku w:val="0"/>
        <w:wordWrap/>
        <w:overflowPunct/>
        <w:topLinePunct w:val="0"/>
        <w:autoSpaceDE w:val="0"/>
        <w:autoSpaceDN w:val="0"/>
        <w:bidi w:val="0"/>
        <w:adjustRightInd w:val="0"/>
        <w:snapToGrid w:val="0"/>
        <w:spacing w:before="78" w:line="264" w:lineRule="auto"/>
        <w:jc w:val="righ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法定代表人或其委托代理人</w:t>
      </w:r>
      <w:r>
        <w:rPr>
          <w:rFonts w:hint="eastAsia" w:ascii="宋体" w:hAnsi="宋体" w:eastAsia="宋体" w:cs="宋体"/>
          <w:color w:val="auto"/>
          <w:spacing w:val="-17"/>
          <w:sz w:val="24"/>
          <w:szCs w:val="24"/>
          <w:highlight w:val="none"/>
        </w:rPr>
        <w:t>：</w:t>
      </w:r>
      <w:r>
        <w:rPr>
          <w:rFonts w:hint="eastAsia" w:ascii="宋体" w:hAnsi="宋体" w:eastAsia="宋体" w:cs="宋体"/>
          <w:snapToGrid w:val="0"/>
          <w:color w:val="auto"/>
          <w:kern w:val="0"/>
          <w:sz w:val="24"/>
          <w:szCs w:val="24"/>
          <w:highlight w:val="none"/>
          <w:u w:val="single"/>
          <w:lang w:val="en-US" w:eastAsia="zh-CN" w:bidi="ar-SA"/>
        </w:rPr>
        <w:t xml:space="preserve">            </w:t>
      </w:r>
      <w:r>
        <w:rPr>
          <w:rFonts w:hint="eastAsia" w:ascii="宋体" w:hAnsi="宋体" w:eastAsia="宋体" w:cs="宋体"/>
          <w:color w:val="auto"/>
          <w:spacing w:val="-17"/>
          <w:sz w:val="24"/>
          <w:szCs w:val="24"/>
          <w:highlight w:val="none"/>
        </w:rPr>
        <w:t>（</w:t>
      </w:r>
      <w:r>
        <w:rPr>
          <w:rFonts w:hint="eastAsia" w:ascii="宋体" w:hAnsi="宋体" w:eastAsia="宋体" w:cs="宋体"/>
          <w:color w:val="auto"/>
          <w:sz w:val="24"/>
          <w:szCs w:val="24"/>
          <w:highlight w:val="none"/>
        </w:rPr>
        <w:t>签字或盖章）</w:t>
      </w:r>
    </w:p>
    <w:p w14:paraId="1F0DAD02">
      <w:pPr>
        <w:keepNext w:val="0"/>
        <w:keepLines w:val="0"/>
        <w:pageBreakBefore w:val="0"/>
        <w:widowControl/>
        <w:kinsoku w:val="0"/>
        <w:wordWrap/>
        <w:overflowPunct/>
        <w:topLinePunct w:val="0"/>
        <w:autoSpaceDE w:val="0"/>
        <w:autoSpaceDN w:val="0"/>
        <w:bidi w:val="0"/>
        <w:adjustRightInd w:val="0"/>
        <w:snapToGrid w:val="0"/>
        <w:spacing w:before="78" w:line="264" w:lineRule="auto"/>
        <w:jc w:val="righ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成员二名称</w:t>
      </w:r>
      <w:r>
        <w:rPr>
          <w:rFonts w:hint="eastAsia" w:ascii="宋体" w:hAnsi="宋体" w:eastAsia="宋体" w:cs="宋体"/>
          <w:color w:val="auto"/>
          <w:spacing w:val="-17"/>
          <w:sz w:val="24"/>
          <w:szCs w:val="24"/>
          <w:highlight w:val="none"/>
        </w:rPr>
        <w:t>：</w:t>
      </w:r>
      <w:r>
        <w:rPr>
          <w:rFonts w:hint="eastAsia" w:ascii="宋体" w:hAnsi="宋体" w:eastAsia="宋体" w:cs="宋体"/>
          <w:snapToGrid w:val="0"/>
          <w:color w:val="auto"/>
          <w:kern w:val="0"/>
          <w:sz w:val="24"/>
          <w:szCs w:val="24"/>
          <w:highlight w:val="none"/>
          <w:u w:val="single"/>
          <w:lang w:val="en-US" w:eastAsia="zh-CN" w:bidi="ar-SA"/>
        </w:rPr>
        <w:t xml:space="preserve">               </w:t>
      </w:r>
      <w:r>
        <w:rPr>
          <w:rFonts w:hint="eastAsia" w:ascii="宋体" w:hAnsi="宋体" w:eastAsia="宋体" w:cs="宋体"/>
          <w:color w:val="auto"/>
          <w:spacing w:val="-17"/>
          <w:sz w:val="24"/>
          <w:szCs w:val="24"/>
          <w:highlight w:val="none"/>
        </w:rPr>
        <w:t>（</w:t>
      </w:r>
      <w:r>
        <w:rPr>
          <w:rFonts w:hint="eastAsia" w:ascii="宋体" w:hAnsi="宋体" w:eastAsia="宋体" w:cs="宋体"/>
          <w:color w:val="auto"/>
          <w:sz w:val="24"/>
          <w:szCs w:val="24"/>
          <w:highlight w:val="none"/>
        </w:rPr>
        <w:t>盖单位章）</w:t>
      </w:r>
    </w:p>
    <w:p w14:paraId="05AA9D56">
      <w:pPr>
        <w:pStyle w:val="5"/>
        <w:keepNext w:val="0"/>
        <w:keepLines w:val="0"/>
        <w:pageBreakBefore w:val="0"/>
        <w:widowControl/>
        <w:kinsoku w:val="0"/>
        <w:wordWrap/>
        <w:overflowPunct/>
        <w:topLinePunct w:val="0"/>
        <w:autoSpaceDE w:val="0"/>
        <w:autoSpaceDN w:val="0"/>
        <w:bidi w:val="0"/>
        <w:adjustRightInd w:val="0"/>
        <w:snapToGrid w:val="0"/>
        <w:spacing w:line="264" w:lineRule="auto"/>
        <w:textAlignment w:val="baseline"/>
        <w:rPr>
          <w:rFonts w:hint="eastAsia" w:ascii="宋体" w:hAnsi="宋体" w:eastAsia="宋体" w:cs="宋体"/>
          <w:color w:val="auto"/>
          <w:highlight w:val="none"/>
        </w:rPr>
      </w:pPr>
    </w:p>
    <w:p w14:paraId="28E891F2">
      <w:pPr>
        <w:keepNext w:val="0"/>
        <w:keepLines w:val="0"/>
        <w:pageBreakBefore w:val="0"/>
        <w:widowControl/>
        <w:kinsoku w:val="0"/>
        <w:wordWrap/>
        <w:overflowPunct/>
        <w:topLinePunct w:val="0"/>
        <w:autoSpaceDE w:val="0"/>
        <w:autoSpaceDN w:val="0"/>
        <w:bidi w:val="0"/>
        <w:adjustRightInd w:val="0"/>
        <w:snapToGrid w:val="0"/>
        <w:spacing w:before="78" w:line="264" w:lineRule="auto"/>
        <w:jc w:val="righ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法定代表人或其委托代理人</w:t>
      </w:r>
      <w:r>
        <w:rPr>
          <w:rFonts w:hint="eastAsia" w:ascii="宋体" w:hAnsi="宋体" w:eastAsia="宋体" w:cs="宋体"/>
          <w:color w:val="auto"/>
          <w:spacing w:val="-17"/>
          <w:sz w:val="24"/>
          <w:szCs w:val="24"/>
          <w:highlight w:val="none"/>
        </w:rPr>
        <w:t>：</w:t>
      </w:r>
      <w:r>
        <w:rPr>
          <w:rFonts w:hint="eastAsia" w:ascii="宋体" w:hAnsi="宋体" w:eastAsia="宋体" w:cs="宋体"/>
          <w:snapToGrid w:val="0"/>
          <w:color w:val="auto"/>
          <w:kern w:val="0"/>
          <w:sz w:val="24"/>
          <w:szCs w:val="24"/>
          <w:highlight w:val="none"/>
          <w:u w:val="single"/>
          <w:lang w:val="en-US" w:eastAsia="zh-CN" w:bidi="ar-SA"/>
        </w:rPr>
        <w:t xml:space="preserve">          </w:t>
      </w:r>
      <w:r>
        <w:rPr>
          <w:rFonts w:hint="eastAsia" w:ascii="宋体" w:hAnsi="宋体" w:eastAsia="宋体" w:cs="宋体"/>
          <w:color w:val="auto"/>
          <w:spacing w:val="-17"/>
          <w:sz w:val="24"/>
          <w:szCs w:val="24"/>
          <w:highlight w:val="none"/>
        </w:rPr>
        <w:t>（</w:t>
      </w:r>
      <w:r>
        <w:rPr>
          <w:rFonts w:hint="eastAsia" w:ascii="宋体" w:hAnsi="宋体" w:eastAsia="宋体" w:cs="宋体"/>
          <w:color w:val="auto"/>
          <w:sz w:val="24"/>
          <w:szCs w:val="24"/>
          <w:highlight w:val="none"/>
        </w:rPr>
        <w:t>签字或盖章）</w:t>
      </w:r>
    </w:p>
    <w:p w14:paraId="6B70E035">
      <w:pPr>
        <w:spacing w:before="78" w:line="220" w:lineRule="auto"/>
        <w:ind w:left="6730"/>
        <w:jc w:val="right"/>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月</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日</w:t>
      </w:r>
    </w:p>
    <w:p w14:paraId="601F5F4F">
      <w:pPr>
        <w:pStyle w:val="5"/>
        <w:keepNext w:val="0"/>
        <w:keepLines w:val="0"/>
        <w:pageBreakBefore w:val="0"/>
        <w:widowControl/>
        <w:kinsoku w:val="0"/>
        <w:wordWrap/>
        <w:overflowPunct/>
        <w:topLinePunct w:val="0"/>
        <w:autoSpaceDE w:val="0"/>
        <w:autoSpaceDN w:val="0"/>
        <w:bidi w:val="0"/>
        <w:adjustRightInd w:val="0"/>
        <w:snapToGrid w:val="0"/>
        <w:spacing w:line="264" w:lineRule="auto"/>
        <w:textAlignment w:val="baseline"/>
        <w:rPr>
          <w:rFonts w:hint="eastAsia" w:ascii="宋体" w:hAnsi="宋体" w:eastAsia="宋体" w:cs="宋体"/>
          <w:color w:val="auto"/>
          <w:highlight w:val="none"/>
        </w:rPr>
      </w:pPr>
    </w:p>
    <w:p w14:paraId="1EC8E023">
      <w:pPr>
        <w:keepNext w:val="0"/>
        <w:keepLines w:val="0"/>
        <w:pageBreakBefore w:val="0"/>
        <w:widowControl/>
        <w:kinsoku w:val="0"/>
        <w:wordWrap/>
        <w:overflowPunct/>
        <w:topLinePunct w:val="0"/>
        <w:autoSpaceDE w:val="0"/>
        <w:autoSpaceDN w:val="0"/>
        <w:bidi w:val="0"/>
        <w:adjustRightInd w:val="0"/>
        <w:snapToGrid w:val="0"/>
        <w:spacing w:before="65" w:line="264" w:lineRule="auto"/>
        <w:ind w:right="22"/>
        <w:jc w:val="both"/>
        <w:textAlignment w:val="baseline"/>
        <w:rPr>
          <w:rFonts w:hint="eastAsia" w:ascii="宋体" w:hAnsi="宋体" w:eastAsia="宋体" w:cs="宋体"/>
          <w:color w:val="auto"/>
          <w:sz w:val="20"/>
          <w:szCs w:val="20"/>
          <w:highlight w:val="none"/>
        </w:rPr>
      </w:pPr>
      <w:r>
        <w:rPr>
          <w:rFonts w:hint="eastAsia" w:ascii="宋体" w:hAnsi="宋体" w:eastAsia="宋体" w:cs="宋体"/>
          <w:color w:val="auto"/>
          <w:spacing w:val="9"/>
          <w:sz w:val="20"/>
          <w:szCs w:val="20"/>
          <w:highlight w:val="none"/>
        </w:rPr>
        <w:t>说明：《联合体协议书》</w:t>
      </w:r>
      <w:r>
        <w:rPr>
          <w:rFonts w:hint="eastAsia" w:ascii="宋体" w:hAnsi="宋体" w:eastAsia="宋体" w:cs="宋体"/>
          <w:color w:val="auto"/>
          <w:spacing w:val="-55"/>
          <w:sz w:val="20"/>
          <w:szCs w:val="20"/>
          <w:highlight w:val="none"/>
        </w:rPr>
        <w:t xml:space="preserve"> </w:t>
      </w:r>
      <w:r>
        <w:rPr>
          <w:rFonts w:hint="eastAsia" w:ascii="宋体" w:hAnsi="宋体" w:eastAsia="宋体" w:cs="宋体"/>
          <w:color w:val="auto"/>
          <w:spacing w:val="9"/>
          <w:sz w:val="20"/>
          <w:szCs w:val="20"/>
          <w:highlight w:val="none"/>
        </w:rPr>
        <w:t>由委托代理人签字或盖章的，</w:t>
      </w:r>
      <w:r>
        <w:rPr>
          <w:rFonts w:hint="eastAsia" w:ascii="宋体" w:hAnsi="宋体" w:eastAsia="宋体" w:cs="宋体"/>
          <w:color w:val="auto"/>
          <w:spacing w:val="8"/>
          <w:sz w:val="20"/>
          <w:szCs w:val="20"/>
          <w:highlight w:val="none"/>
        </w:rPr>
        <w:t>应附法定代表人签字或盖章的授权委托</w:t>
      </w:r>
      <w:r>
        <w:rPr>
          <w:rFonts w:hint="eastAsia" w:ascii="宋体" w:hAnsi="宋体" w:eastAsia="宋体" w:cs="宋体"/>
          <w:color w:val="auto"/>
          <w:spacing w:val="-2"/>
          <w:sz w:val="20"/>
          <w:szCs w:val="20"/>
          <w:highlight w:val="none"/>
        </w:rPr>
        <w:t>书。</w:t>
      </w:r>
    </w:p>
    <w:p w14:paraId="14CA2F70">
      <w:pPr>
        <w:keepNext w:val="0"/>
        <w:keepLines w:val="0"/>
        <w:pageBreakBefore w:val="0"/>
        <w:widowControl/>
        <w:kinsoku w:val="0"/>
        <w:wordWrap/>
        <w:overflowPunct/>
        <w:topLinePunct w:val="0"/>
        <w:autoSpaceDE w:val="0"/>
        <w:autoSpaceDN w:val="0"/>
        <w:bidi w:val="0"/>
        <w:adjustRightInd w:val="0"/>
        <w:snapToGrid w:val="0"/>
        <w:spacing w:line="264" w:lineRule="auto"/>
        <w:textAlignment w:val="baseline"/>
        <w:rPr>
          <w:rFonts w:hint="eastAsia" w:ascii="宋体" w:hAnsi="宋体" w:eastAsia="宋体" w:cs="宋体"/>
          <w:color w:val="auto"/>
          <w:sz w:val="20"/>
          <w:szCs w:val="20"/>
          <w:highlight w:val="none"/>
        </w:rPr>
        <w:sectPr>
          <w:footerReference r:id="rId18"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5F3704FE">
      <w:pPr>
        <w:spacing w:before="78" w:line="220" w:lineRule="auto"/>
        <w:outlineLvl w:val="2"/>
        <w:rPr>
          <w:rFonts w:hint="eastAsia" w:ascii="宋体" w:hAnsi="宋体" w:eastAsia="宋体" w:cs="宋体"/>
          <w:b/>
          <w:bCs/>
          <w:color w:val="auto"/>
          <w:spacing w:val="-4"/>
          <w:sz w:val="24"/>
          <w:szCs w:val="24"/>
          <w:highlight w:val="none"/>
        </w:rPr>
      </w:pPr>
      <w:bookmarkStart w:id="243" w:name="_Toc17838"/>
      <w:r>
        <w:rPr>
          <w:rFonts w:hint="eastAsia" w:ascii="宋体" w:hAnsi="宋体" w:eastAsia="宋体" w:cs="宋体"/>
          <w:b/>
          <w:bCs/>
          <w:color w:val="auto"/>
          <w:spacing w:val="-4"/>
          <w:sz w:val="24"/>
          <w:szCs w:val="24"/>
          <w:highlight w:val="none"/>
        </w:rPr>
        <w:t>格式七 投标人基本情况表</w:t>
      </w:r>
      <w:bookmarkEnd w:id="243"/>
    </w:p>
    <w:p w14:paraId="365D949B">
      <w:pPr>
        <w:spacing w:before="333" w:line="219" w:lineRule="auto"/>
        <w:ind w:left="3350"/>
        <w:rPr>
          <w:rFonts w:hint="eastAsia" w:ascii="宋体" w:hAnsi="宋体" w:eastAsia="宋体" w:cs="宋体"/>
          <w:color w:val="auto"/>
          <w:sz w:val="30"/>
          <w:szCs w:val="30"/>
          <w:highlight w:val="none"/>
        </w:rPr>
      </w:pPr>
      <w:r>
        <w:rPr>
          <w:rFonts w:hint="eastAsia" w:ascii="宋体" w:hAnsi="宋体" w:eastAsia="宋体" w:cs="宋体"/>
          <w:b/>
          <w:bCs/>
          <w:color w:val="auto"/>
          <w:spacing w:val="-5"/>
          <w:sz w:val="30"/>
          <w:szCs w:val="30"/>
          <w:highlight w:val="none"/>
        </w:rPr>
        <w:t>投标人基本情况表</w:t>
      </w:r>
    </w:p>
    <w:p w14:paraId="2CD970DC">
      <w:pPr>
        <w:spacing w:line="239" w:lineRule="exact"/>
        <w:rPr>
          <w:rFonts w:hint="eastAsia" w:ascii="宋体" w:hAnsi="宋体" w:eastAsia="宋体" w:cs="宋体"/>
          <w:color w:val="auto"/>
          <w:highlight w:val="none"/>
        </w:rPr>
      </w:pPr>
    </w:p>
    <w:tbl>
      <w:tblPr>
        <w:tblStyle w:val="14"/>
        <w:tblW w:w="9259" w:type="dxa"/>
        <w:tblInd w:w="28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20"/>
        <w:gridCol w:w="975"/>
        <w:gridCol w:w="1837"/>
        <w:gridCol w:w="872"/>
        <w:gridCol w:w="311"/>
        <w:gridCol w:w="1043"/>
        <w:gridCol w:w="283"/>
        <w:gridCol w:w="770"/>
        <w:gridCol w:w="1548"/>
      </w:tblGrid>
      <w:tr w14:paraId="44A25A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trPr>
        <w:tc>
          <w:tcPr>
            <w:tcW w:w="1620" w:type="dxa"/>
            <w:vAlign w:val="center"/>
          </w:tcPr>
          <w:p w14:paraId="07127D66">
            <w:pPr>
              <w:spacing w:before="149" w:line="229" w:lineRule="auto"/>
              <w:ind w:left="228"/>
              <w:jc w:val="both"/>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投标人名称</w:t>
            </w:r>
          </w:p>
        </w:tc>
        <w:tc>
          <w:tcPr>
            <w:tcW w:w="7639" w:type="dxa"/>
            <w:gridSpan w:val="8"/>
            <w:vAlign w:val="top"/>
          </w:tcPr>
          <w:p w14:paraId="686AB840">
            <w:pPr>
              <w:pStyle w:val="21"/>
              <w:rPr>
                <w:rFonts w:hint="eastAsia" w:ascii="宋体" w:hAnsi="宋体" w:eastAsia="宋体" w:cs="宋体"/>
                <w:color w:val="auto"/>
                <w:sz w:val="24"/>
                <w:szCs w:val="24"/>
                <w:highlight w:val="none"/>
              </w:rPr>
            </w:pPr>
          </w:p>
        </w:tc>
      </w:tr>
      <w:tr w14:paraId="4CC1D3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4" w:hRule="atLeast"/>
        </w:trPr>
        <w:tc>
          <w:tcPr>
            <w:tcW w:w="1620" w:type="dxa"/>
            <w:vAlign w:val="top"/>
          </w:tcPr>
          <w:p w14:paraId="19EABCF3">
            <w:pPr>
              <w:spacing w:before="144" w:line="230" w:lineRule="auto"/>
              <w:ind w:left="328"/>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注册地址</w:t>
            </w:r>
          </w:p>
        </w:tc>
        <w:tc>
          <w:tcPr>
            <w:tcW w:w="3684" w:type="dxa"/>
            <w:gridSpan w:val="3"/>
            <w:vAlign w:val="top"/>
          </w:tcPr>
          <w:p w14:paraId="0AC65D35">
            <w:pPr>
              <w:pStyle w:val="21"/>
              <w:rPr>
                <w:rFonts w:hint="eastAsia" w:ascii="宋体" w:hAnsi="宋体" w:eastAsia="宋体" w:cs="宋体"/>
                <w:color w:val="auto"/>
                <w:sz w:val="24"/>
                <w:szCs w:val="24"/>
                <w:highlight w:val="none"/>
              </w:rPr>
            </w:pPr>
          </w:p>
        </w:tc>
        <w:tc>
          <w:tcPr>
            <w:tcW w:w="1354" w:type="dxa"/>
            <w:gridSpan w:val="2"/>
            <w:vAlign w:val="top"/>
          </w:tcPr>
          <w:p w14:paraId="031EC2C9">
            <w:pPr>
              <w:spacing w:before="144" w:line="228" w:lineRule="auto"/>
              <w:ind w:left="226"/>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邮政编码</w:t>
            </w:r>
          </w:p>
        </w:tc>
        <w:tc>
          <w:tcPr>
            <w:tcW w:w="2601" w:type="dxa"/>
            <w:gridSpan w:val="3"/>
            <w:vAlign w:val="top"/>
          </w:tcPr>
          <w:p w14:paraId="7AD354B7">
            <w:pPr>
              <w:pStyle w:val="21"/>
              <w:rPr>
                <w:rFonts w:hint="eastAsia" w:ascii="宋体" w:hAnsi="宋体" w:eastAsia="宋体" w:cs="宋体"/>
                <w:color w:val="auto"/>
                <w:sz w:val="24"/>
                <w:szCs w:val="24"/>
                <w:highlight w:val="none"/>
              </w:rPr>
            </w:pPr>
          </w:p>
        </w:tc>
      </w:tr>
      <w:tr w14:paraId="2574F8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1620" w:type="dxa"/>
            <w:vMerge w:val="restart"/>
            <w:tcBorders>
              <w:bottom w:val="nil"/>
            </w:tcBorders>
            <w:vAlign w:val="top"/>
          </w:tcPr>
          <w:p w14:paraId="15650E43">
            <w:pPr>
              <w:pStyle w:val="21"/>
              <w:spacing w:line="332" w:lineRule="auto"/>
              <w:rPr>
                <w:rFonts w:hint="eastAsia" w:ascii="宋体" w:hAnsi="宋体" w:eastAsia="宋体" w:cs="宋体"/>
                <w:color w:val="auto"/>
                <w:sz w:val="24"/>
                <w:szCs w:val="24"/>
                <w:highlight w:val="none"/>
              </w:rPr>
            </w:pPr>
          </w:p>
          <w:p w14:paraId="3917AF4F">
            <w:pPr>
              <w:spacing w:before="65" w:line="230" w:lineRule="auto"/>
              <w:ind w:left="329"/>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联系方式</w:t>
            </w:r>
          </w:p>
        </w:tc>
        <w:tc>
          <w:tcPr>
            <w:tcW w:w="975" w:type="dxa"/>
            <w:vAlign w:val="top"/>
          </w:tcPr>
          <w:p w14:paraId="3D7FC625">
            <w:pPr>
              <w:spacing w:before="145" w:line="231" w:lineRule="auto"/>
              <w:ind w:left="136"/>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联系人</w:t>
            </w:r>
          </w:p>
        </w:tc>
        <w:tc>
          <w:tcPr>
            <w:tcW w:w="2709" w:type="dxa"/>
            <w:gridSpan w:val="2"/>
            <w:vAlign w:val="top"/>
          </w:tcPr>
          <w:p w14:paraId="74C76AE1">
            <w:pPr>
              <w:pStyle w:val="21"/>
              <w:rPr>
                <w:rFonts w:hint="eastAsia" w:ascii="宋体" w:hAnsi="宋体" w:eastAsia="宋体" w:cs="宋体"/>
                <w:color w:val="auto"/>
                <w:sz w:val="24"/>
                <w:szCs w:val="24"/>
                <w:highlight w:val="none"/>
              </w:rPr>
            </w:pPr>
          </w:p>
        </w:tc>
        <w:tc>
          <w:tcPr>
            <w:tcW w:w="1354" w:type="dxa"/>
            <w:gridSpan w:val="2"/>
            <w:vAlign w:val="top"/>
          </w:tcPr>
          <w:p w14:paraId="65D93497">
            <w:pPr>
              <w:spacing w:before="145" w:line="231" w:lineRule="auto"/>
              <w:ind w:left="338"/>
              <w:rPr>
                <w:rFonts w:hint="eastAsia" w:ascii="宋体" w:hAnsi="宋体" w:eastAsia="宋体" w:cs="宋体"/>
                <w:color w:val="auto"/>
                <w:sz w:val="24"/>
                <w:szCs w:val="24"/>
                <w:highlight w:val="none"/>
              </w:rPr>
            </w:pPr>
            <w:r>
              <w:rPr>
                <w:rFonts w:hint="eastAsia" w:ascii="宋体" w:hAnsi="宋体" w:eastAsia="宋体" w:cs="宋体"/>
                <w:color w:val="auto"/>
                <w:spacing w:val="-12"/>
                <w:sz w:val="24"/>
                <w:szCs w:val="24"/>
                <w:highlight w:val="none"/>
              </w:rPr>
              <w:t>电</w:t>
            </w:r>
            <w:r>
              <w:rPr>
                <w:rFonts w:hint="eastAsia" w:ascii="宋体" w:hAnsi="宋体" w:eastAsia="宋体" w:cs="宋体"/>
                <w:color w:val="auto"/>
                <w:spacing w:val="9"/>
                <w:sz w:val="24"/>
                <w:szCs w:val="24"/>
                <w:highlight w:val="none"/>
              </w:rPr>
              <w:t xml:space="preserve">  </w:t>
            </w:r>
            <w:r>
              <w:rPr>
                <w:rFonts w:hint="eastAsia" w:ascii="宋体" w:hAnsi="宋体" w:eastAsia="宋体" w:cs="宋体"/>
                <w:color w:val="auto"/>
                <w:spacing w:val="-12"/>
                <w:sz w:val="24"/>
                <w:szCs w:val="24"/>
                <w:highlight w:val="none"/>
              </w:rPr>
              <w:t>话</w:t>
            </w:r>
          </w:p>
        </w:tc>
        <w:tc>
          <w:tcPr>
            <w:tcW w:w="2601" w:type="dxa"/>
            <w:gridSpan w:val="3"/>
            <w:vAlign w:val="top"/>
          </w:tcPr>
          <w:p w14:paraId="275175F8">
            <w:pPr>
              <w:pStyle w:val="21"/>
              <w:rPr>
                <w:rFonts w:hint="eastAsia" w:ascii="宋体" w:hAnsi="宋体" w:eastAsia="宋体" w:cs="宋体"/>
                <w:color w:val="auto"/>
                <w:sz w:val="24"/>
                <w:szCs w:val="24"/>
                <w:highlight w:val="none"/>
              </w:rPr>
            </w:pPr>
          </w:p>
        </w:tc>
      </w:tr>
      <w:tr w14:paraId="320F60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1620" w:type="dxa"/>
            <w:vMerge w:val="continue"/>
            <w:tcBorders>
              <w:top w:val="nil"/>
            </w:tcBorders>
            <w:vAlign w:val="top"/>
          </w:tcPr>
          <w:p w14:paraId="173CE181">
            <w:pPr>
              <w:pStyle w:val="21"/>
              <w:rPr>
                <w:rFonts w:hint="eastAsia" w:ascii="宋体" w:hAnsi="宋体" w:eastAsia="宋体" w:cs="宋体"/>
                <w:color w:val="auto"/>
                <w:sz w:val="24"/>
                <w:szCs w:val="24"/>
                <w:highlight w:val="none"/>
              </w:rPr>
            </w:pPr>
          </w:p>
        </w:tc>
        <w:tc>
          <w:tcPr>
            <w:tcW w:w="975" w:type="dxa"/>
            <w:vAlign w:val="top"/>
          </w:tcPr>
          <w:p w14:paraId="42FC9B75">
            <w:pPr>
              <w:spacing w:before="143" w:line="228" w:lineRule="auto"/>
              <w:ind w:left="134"/>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传</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1"/>
                <w:sz w:val="24"/>
                <w:szCs w:val="24"/>
                <w:highlight w:val="none"/>
              </w:rPr>
              <w:t>真</w:t>
            </w:r>
          </w:p>
        </w:tc>
        <w:tc>
          <w:tcPr>
            <w:tcW w:w="2709" w:type="dxa"/>
            <w:gridSpan w:val="2"/>
            <w:vAlign w:val="top"/>
          </w:tcPr>
          <w:p w14:paraId="7E63A544">
            <w:pPr>
              <w:pStyle w:val="21"/>
              <w:rPr>
                <w:rFonts w:hint="eastAsia" w:ascii="宋体" w:hAnsi="宋体" w:eastAsia="宋体" w:cs="宋体"/>
                <w:color w:val="auto"/>
                <w:sz w:val="24"/>
                <w:szCs w:val="24"/>
                <w:highlight w:val="none"/>
              </w:rPr>
            </w:pPr>
          </w:p>
        </w:tc>
        <w:tc>
          <w:tcPr>
            <w:tcW w:w="1354" w:type="dxa"/>
            <w:gridSpan w:val="2"/>
            <w:vAlign w:val="top"/>
          </w:tcPr>
          <w:p w14:paraId="6612B606">
            <w:pPr>
              <w:spacing w:before="144" w:line="229" w:lineRule="auto"/>
              <w:ind w:left="235"/>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电子邮箱</w:t>
            </w:r>
          </w:p>
        </w:tc>
        <w:tc>
          <w:tcPr>
            <w:tcW w:w="2601" w:type="dxa"/>
            <w:gridSpan w:val="3"/>
            <w:vAlign w:val="top"/>
          </w:tcPr>
          <w:p w14:paraId="5F4345F5">
            <w:pPr>
              <w:pStyle w:val="21"/>
              <w:rPr>
                <w:rFonts w:hint="eastAsia" w:ascii="宋体" w:hAnsi="宋体" w:eastAsia="宋体" w:cs="宋体"/>
                <w:color w:val="auto"/>
                <w:sz w:val="24"/>
                <w:szCs w:val="24"/>
                <w:highlight w:val="none"/>
              </w:rPr>
            </w:pPr>
          </w:p>
        </w:tc>
      </w:tr>
      <w:tr w14:paraId="17C69C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620" w:type="dxa"/>
            <w:vAlign w:val="top"/>
          </w:tcPr>
          <w:p w14:paraId="45F28E6B">
            <w:pPr>
              <w:spacing w:before="145" w:line="229" w:lineRule="auto"/>
              <w:ind w:left="330"/>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单位性质</w:t>
            </w:r>
          </w:p>
        </w:tc>
        <w:tc>
          <w:tcPr>
            <w:tcW w:w="7639" w:type="dxa"/>
            <w:gridSpan w:val="8"/>
            <w:vAlign w:val="top"/>
          </w:tcPr>
          <w:p w14:paraId="1E0E32B6">
            <w:pPr>
              <w:pStyle w:val="21"/>
              <w:rPr>
                <w:rFonts w:hint="eastAsia" w:ascii="宋体" w:hAnsi="宋体" w:eastAsia="宋体" w:cs="宋体"/>
                <w:color w:val="auto"/>
                <w:sz w:val="24"/>
                <w:szCs w:val="24"/>
                <w:highlight w:val="none"/>
              </w:rPr>
            </w:pPr>
          </w:p>
        </w:tc>
      </w:tr>
      <w:tr w14:paraId="7ACAFA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1620" w:type="dxa"/>
            <w:vAlign w:val="top"/>
          </w:tcPr>
          <w:p w14:paraId="183ED7E1">
            <w:pPr>
              <w:spacing w:before="144" w:line="228" w:lineRule="auto"/>
              <w:ind w:left="226"/>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法定代表人</w:t>
            </w:r>
          </w:p>
        </w:tc>
        <w:tc>
          <w:tcPr>
            <w:tcW w:w="975" w:type="dxa"/>
            <w:vAlign w:val="top"/>
          </w:tcPr>
          <w:p w14:paraId="07222CE7">
            <w:pPr>
              <w:spacing w:before="144" w:line="228" w:lineRule="auto"/>
              <w:ind w:left="241"/>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姓名</w:t>
            </w:r>
          </w:p>
        </w:tc>
        <w:tc>
          <w:tcPr>
            <w:tcW w:w="1837" w:type="dxa"/>
            <w:vAlign w:val="top"/>
          </w:tcPr>
          <w:p w14:paraId="091073F5">
            <w:pPr>
              <w:pStyle w:val="21"/>
              <w:rPr>
                <w:rFonts w:hint="eastAsia" w:ascii="宋体" w:hAnsi="宋体" w:eastAsia="宋体" w:cs="宋体"/>
                <w:color w:val="auto"/>
                <w:sz w:val="24"/>
                <w:szCs w:val="24"/>
                <w:highlight w:val="none"/>
              </w:rPr>
            </w:pPr>
          </w:p>
        </w:tc>
        <w:tc>
          <w:tcPr>
            <w:tcW w:w="1183" w:type="dxa"/>
            <w:gridSpan w:val="2"/>
            <w:vAlign w:val="top"/>
          </w:tcPr>
          <w:p w14:paraId="4A11ACAE">
            <w:pPr>
              <w:spacing w:before="144" w:line="228" w:lineRule="auto"/>
              <w:ind w:left="130"/>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技术职称</w:t>
            </w:r>
          </w:p>
        </w:tc>
        <w:tc>
          <w:tcPr>
            <w:tcW w:w="1326" w:type="dxa"/>
            <w:gridSpan w:val="2"/>
            <w:vAlign w:val="top"/>
          </w:tcPr>
          <w:p w14:paraId="6ADE5618">
            <w:pPr>
              <w:pStyle w:val="21"/>
              <w:rPr>
                <w:rFonts w:hint="eastAsia" w:ascii="宋体" w:hAnsi="宋体" w:eastAsia="宋体" w:cs="宋体"/>
                <w:color w:val="auto"/>
                <w:sz w:val="24"/>
                <w:szCs w:val="24"/>
                <w:highlight w:val="none"/>
              </w:rPr>
            </w:pPr>
          </w:p>
        </w:tc>
        <w:tc>
          <w:tcPr>
            <w:tcW w:w="770" w:type="dxa"/>
            <w:vAlign w:val="top"/>
          </w:tcPr>
          <w:p w14:paraId="5C8E96FC">
            <w:pPr>
              <w:spacing w:before="143" w:line="231" w:lineRule="auto"/>
              <w:ind w:left="177"/>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电话</w:t>
            </w:r>
          </w:p>
        </w:tc>
        <w:tc>
          <w:tcPr>
            <w:tcW w:w="1548" w:type="dxa"/>
            <w:vAlign w:val="top"/>
          </w:tcPr>
          <w:p w14:paraId="6AD0C2BC">
            <w:pPr>
              <w:pStyle w:val="21"/>
              <w:rPr>
                <w:rFonts w:hint="eastAsia" w:ascii="宋体" w:hAnsi="宋体" w:eastAsia="宋体" w:cs="宋体"/>
                <w:color w:val="auto"/>
                <w:sz w:val="24"/>
                <w:szCs w:val="24"/>
                <w:highlight w:val="none"/>
              </w:rPr>
            </w:pPr>
          </w:p>
        </w:tc>
      </w:tr>
      <w:tr w14:paraId="191733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1620" w:type="dxa"/>
            <w:vAlign w:val="top"/>
          </w:tcPr>
          <w:p w14:paraId="5ADD1B28">
            <w:pPr>
              <w:spacing w:before="145" w:line="230" w:lineRule="auto"/>
              <w:ind w:left="330"/>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成立时间</w:t>
            </w:r>
          </w:p>
        </w:tc>
        <w:tc>
          <w:tcPr>
            <w:tcW w:w="2812" w:type="dxa"/>
            <w:gridSpan w:val="2"/>
            <w:vAlign w:val="top"/>
          </w:tcPr>
          <w:p w14:paraId="4BAD1642">
            <w:pPr>
              <w:pStyle w:val="21"/>
              <w:rPr>
                <w:rFonts w:hint="eastAsia" w:ascii="宋体" w:hAnsi="宋体" w:eastAsia="宋体" w:cs="宋体"/>
                <w:color w:val="auto"/>
                <w:sz w:val="24"/>
                <w:szCs w:val="24"/>
                <w:highlight w:val="none"/>
              </w:rPr>
            </w:pPr>
          </w:p>
        </w:tc>
        <w:tc>
          <w:tcPr>
            <w:tcW w:w="4827" w:type="dxa"/>
            <w:gridSpan w:val="6"/>
            <w:vAlign w:val="top"/>
          </w:tcPr>
          <w:p w14:paraId="30D24B75">
            <w:pPr>
              <w:spacing w:before="145" w:line="228" w:lineRule="auto"/>
              <w:ind w:left="1287"/>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员工总人数（个</w:t>
            </w:r>
            <w:r>
              <w:rPr>
                <w:rFonts w:hint="eastAsia" w:ascii="宋体" w:hAnsi="宋体" w:eastAsia="宋体" w:cs="宋体"/>
                <w:color w:val="auto"/>
                <w:sz w:val="24"/>
                <w:szCs w:val="24"/>
                <w:highlight w:val="none"/>
              </w:rPr>
              <w:t>）：</w:t>
            </w:r>
          </w:p>
        </w:tc>
      </w:tr>
      <w:tr w14:paraId="1229E7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1620" w:type="dxa"/>
            <w:vAlign w:val="top"/>
          </w:tcPr>
          <w:p w14:paraId="754966A2">
            <w:pPr>
              <w:spacing w:before="61" w:line="262" w:lineRule="auto"/>
              <w:ind w:right="220"/>
              <w:jc w:val="center"/>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企业资质</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7"/>
                <w:sz w:val="24"/>
                <w:szCs w:val="24"/>
                <w:highlight w:val="none"/>
              </w:rPr>
              <w:t>类型和等级</w:t>
            </w:r>
          </w:p>
        </w:tc>
        <w:tc>
          <w:tcPr>
            <w:tcW w:w="2812" w:type="dxa"/>
            <w:gridSpan w:val="2"/>
            <w:vAlign w:val="top"/>
          </w:tcPr>
          <w:p w14:paraId="782B0B60">
            <w:pPr>
              <w:pStyle w:val="21"/>
              <w:rPr>
                <w:rFonts w:hint="eastAsia" w:ascii="宋体" w:hAnsi="宋体" w:eastAsia="宋体" w:cs="宋体"/>
                <w:color w:val="auto"/>
                <w:sz w:val="24"/>
                <w:szCs w:val="24"/>
                <w:highlight w:val="none"/>
              </w:rPr>
            </w:pPr>
          </w:p>
        </w:tc>
        <w:tc>
          <w:tcPr>
            <w:tcW w:w="1183" w:type="dxa"/>
            <w:gridSpan w:val="2"/>
            <w:vMerge w:val="restart"/>
            <w:tcBorders>
              <w:bottom w:val="nil"/>
            </w:tcBorders>
            <w:vAlign w:val="top"/>
          </w:tcPr>
          <w:p w14:paraId="7A69FEFC">
            <w:pPr>
              <w:pStyle w:val="21"/>
              <w:spacing w:line="254" w:lineRule="auto"/>
              <w:rPr>
                <w:rFonts w:hint="eastAsia" w:ascii="宋体" w:hAnsi="宋体" w:eastAsia="宋体" w:cs="宋体"/>
                <w:color w:val="auto"/>
                <w:sz w:val="24"/>
                <w:szCs w:val="24"/>
                <w:highlight w:val="none"/>
              </w:rPr>
            </w:pPr>
          </w:p>
          <w:p w14:paraId="02C0E7FA">
            <w:pPr>
              <w:pStyle w:val="21"/>
              <w:spacing w:line="254" w:lineRule="auto"/>
              <w:rPr>
                <w:rFonts w:hint="eastAsia" w:ascii="宋体" w:hAnsi="宋体" w:eastAsia="宋体" w:cs="宋体"/>
                <w:color w:val="auto"/>
                <w:sz w:val="24"/>
                <w:szCs w:val="24"/>
                <w:highlight w:val="none"/>
              </w:rPr>
            </w:pPr>
          </w:p>
          <w:p w14:paraId="1FBAEACC">
            <w:pPr>
              <w:pStyle w:val="21"/>
              <w:spacing w:line="254" w:lineRule="auto"/>
              <w:rPr>
                <w:rFonts w:hint="eastAsia" w:ascii="宋体" w:hAnsi="宋体" w:eastAsia="宋体" w:cs="宋体"/>
                <w:color w:val="auto"/>
                <w:sz w:val="24"/>
                <w:szCs w:val="24"/>
                <w:highlight w:val="none"/>
              </w:rPr>
            </w:pPr>
          </w:p>
          <w:p w14:paraId="64C94A08">
            <w:pPr>
              <w:pStyle w:val="21"/>
              <w:spacing w:line="254" w:lineRule="auto"/>
              <w:rPr>
                <w:rFonts w:hint="eastAsia" w:ascii="宋体" w:hAnsi="宋体" w:eastAsia="宋体" w:cs="宋体"/>
                <w:color w:val="auto"/>
                <w:sz w:val="24"/>
                <w:szCs w:val="24"/>
                <w:highlight w:val="none"/>
              </w:rPr>
            </w:pPr>
          </w:p>
          <w:p w14:paraId="69BBE9A7">
            <w:pPr>
              <w:pStyle w:val="21"/>
              <w:spacing w:line="255" w:lineRule="auto"/>
              <w:rPr>
                <w:rFonts w:hint="eastAsia" w:ascii="宋体" w:hAnsi="宋体" w:eastAsia="宋体" w:cs="宋体"/>
                <w:color w:val="auto"/>
                <w:sz w:val="24"/>
                <w:szCs w:val="24"/>
                <w:highlight w:val="none"/>
              </w:rPr>
            </w:pPr>
          </w:p>
          <w:p w14:paraId="7C094C19">
            <w:pPr>
              <w:spacing w:before="65" w:line="229" w:lineRule="auto"/>
              <w:ind w:left="341"/>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其中</w:t>
            </w:r>
          </w:p>
        </w:tc>
        <w:tc>
          <w:tcPr>
            <w:tcW w:w="2096" w:type="dxa"/>
            <w:gridSpan w:val="3"/>
            <w:vAlign w:val="top"/>
          </w:tcPr>
          <w:p w14:paraId="010F104F">
            <w:pPr>
              <w:spacing w:before="214" w:line="229" w:lineRule="auto"/>
              <w:ind w:left="554"/>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项目经理</w:t>
            </w:r>
          </w:p>
        </w:tc>
        <w:tc>
          <w:tcPr>
            <w:tcW w:w="1548" w:type="dxa"/>
            <w:vAlign w:val="top"/>
          </w:tcPr>
          <w:p w14:paraId="67C64A1C">
            <w:pPr>
              <w:pStyle w:val="21"/>
              <w:rPr>
                <w:rFonts w:hint="eastAsia" w:ascii="宋体" w:hAnsi="宋体" w:eastAsia="宋体" w:cs="宋体"/>
                <w:color w:val="auto"/>
                <w:sz w:val="24"/>
                <w:szCs w:val="24"/>
                <w:highlight w:val="none"/>
              </w:rPr>
            </w:pPr>
          </w:p>
        </w:tc>
      </w:tr>
      <w:tr w14:paraId="4B8001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620" w:type="dxa"/>
            <w:vAlign w:val="top"/>
          </w:tcPr>
          <w:p w14:paraId="6F14B77C">
            <w:pPr>
              <w:spacing w:before="146" w:line="228" w:lineRule="auto"/>
              <w:ind w:left="232"/>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营业执照号</w:t>
            </w:r>
          </w:p>
        </w:tc>
        <w:tc>
          <w:tcPr>
            <w:tcW w:w="2812" w:type="dxa"/>
            <w:gridSpan w:val="2"/>
            <w:vAlign w:val="top"/>
          </w:tcPr>
          <w:p w14:paraId="4431F67B">
            <w:pPr>
              <w:pStyle w:val="21"/>
              <w:rPr>
                <w:rFonts w:hint="eastAsia" w:ascii="宋体" w:hAnsi="宋体" w:eastAsia="宋体" w:cs="宋体"/>
                <w:color w:val="auto"/>
                <w:sz w:val="24"/>
                <w:szCs w:val="24"/>
                <w:highlight w:val="none"/>
              </w:rPr>
            </w:pPr>
          </w:p>
        </w:tc>
        <w:tc>
          <w:tcPr>
            <w:tcW w:w="1183" w:type="dxa"/>
            <w:gridSpan w:val="2"/>
            <w:vMerge w:val="continue"/>
            <w:tcBorders>
              <w:top w:val="nil"/>
              <w:bottom w:val="nil"/>
            </w:tcBorders>
            <w:vAlign w:val="top"/>
          </w:tcPr>
          <w:p w14:paraId="425F8241">
            <w:pPr>
              <w:pStyle w:val="21"/>
              <w:rPr>
                <w:rFonts w:hint="eastAsia" w:ascii="宋体" w:hAnsi="宋体" w:eastAsia="宋体" w:cs="宋体"/>
                <w:color w:val="auto"/>
                <w:sz w:val="24"/>
                <w:szCs w:val="24"/>
                <w:highlight w:val="none"/>
              </w:rPr>
            </w:pPr>
          </w:p>
        </w:tc>
        <w:tc>
          <w:tcPr>
            <w:tcW w:w="2096" w:type="dxa"/>
            <w:gridSpan w:val="3"/>
            <w:vAlign w:val="top"/>
          </w:tcPr>
          <w:p w14:paraId="52E9EE82">
            <w:pPr>
              <w:spacing w:before="146" w:line="228" w:lineRule="auto"/>
              <w:ind w:left="345"/>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高级职称人员</w:t>
            </w:r>
          </w:p>
        </w:tc>
        <w:tc>
          <w:tcPr>
            <w:tcW w:w="1548" w:type="dxa"/>
            <w:vAlign w:val="top"/>
          </w:tcPr>
          <w:p w14:paraId="5AB52FD6">
            <w:pPr>
              <w:pStyle w:val="21"/>
              <w:rPr>
                <w:rFonts w:hint="eastAsia" w:ascii="宋体" w:hAnsi="宋体" w:eastAsia="宋体" w:cs="宋体"/>
                <w:color w:val="auto"/>
                <w:sz w:val="24"/>
                <w:szCs w:val="24"/>
                <w:highlight w:val="none"/>
              </w:rPr>
            </w:pPr>
          </w:p>
        </w:tc>
      </w:tr>
      <w:tr w14:paraId="0C7896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1620" w:type="dxa"/>
            <w:vAlign w:val="top"/>
          </w:tcPr>
          <w:p w14:paraId="2B0CF379">
            <w:pPr>
              <w:spacing w:before="146" w:line="230" w:lineRule="auto"/>
              <w:ind w:left="328"/>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注册资金</w:t>
            </w:r>
          </w:p>
        </w:tc>
        <w:tc>
          <w:tcPr>
            <w:tcW w:w="2812" w:type="dxa"/>
            <w:gridSpan w:val="2"/>
            <w:vAlign w:val="top"/>
          </w:tcPr>
          <w:p w14:paraId="55DE9293">
            <w:pPr>
              <w:pStyle w:val="21"/>
              <w:rPr>
                <w:rFonts w:hint="eastAsia" w:ascii="宋体" w:hAnsi="宋体" w:eastAsia="宋体" w:cs="宋体"/>
                <w:color w:val="auto"/>
                <w:sz w:val="24"/>
                <w:szCs w:val="24"/>
                <w:highlight w:val="none"/>
              </w:rPr>
            </w:pPr>
          </w:p>
        </w:tc>
        <w:tc>
          <w:tcPr>
            <w:tcW w:w="1183" w:type="dxa"/>
            <w:gridSpan w:val="2"/>
            <w:vMerge w:val="continue"/>
            <w:tcBorders>
              <w:top w:val="nil"/>
              <w:bottom w:val="nil"/>
            </w:tcBorders>
            <w:vAlign w:val="top"/>
          </w:tcPr>
          <w:p w14:paraId="0C4A9705">
            <w:pPr>
              <w:pStyle w:val="21"/>
              <w:rPr>
                <w:rFonts w:hint="eastAsia" w:ascii="宋体" w:hAnsi="宋体" w:eastAsia="宋体" w:cs="宋体"/>
                <w:color w:val="auto"/>
                <w:sz w:val="24"/>
                <w:szCs w:val="24"/>
                <w:highlight w:val="none"/>
              </w:rPr>
            </w:pPr>
          </w:p>
        </w:tc>
        <w:tc>
          <w:tcPr>
            <w:tcW w:w="2096" w:type="dxa"/>
            <w:gridSpan w:val="3"/>
            <w:vAlign w:val="top"/>
          </w:tcPr>
          <w:p w14:paraId="4B26D2D4">
            <w:pPr>
              <w:spacing w:before="147" w:line="229" w:lineRule="auto"/>
              <w:ind w:left="359"/>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中级职称人员</w:t>
            </w:r>
          </w:p>
        </w:tc>
        <w:tc>
          <w:tcPr>
            <w:tcW w:w="1548" w:type="dxa"/>
            <w:vAlign w:val="top"/>
          </w:tcPr>
          <w:p w14:paraId="262A2EE0">
            <w:pPr>
              <w:pStyle w:val="21"/>
              <w:rPr>
                <w:rFonts w:hint="eastAsia" w:ascii="宋体" w:hAnsi="宋体" w:eastAsia="宋体" w:cs="宋体"/>
                <w:color w:val="auto"/>
                <w:sz w:val="24"/>
                <w:szCs w:val="24"/>
                <w:highlight w:val="none"/>
              </w:rPr>
            </w:pPr>
          </w:p>
        </w:tc>
      </w:tr>
      <w:tr w14:paraId="473163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1620" w:type="dxa"/>
            <w:vAlign w:val="top"/>
          </w:tcPr>
          <w:p w14:paraId="2688AE8B">
            <w:pPr>
              <w:spacing w:before="62" w:line="241" w:lineRule="auto"/>
              <w:ind w:right="325"/>
              <w:jc w:val="center"/>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基本账户</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7"/>
                <w:sz w:val="24"/>
                <w:szCs w:val="24"/>
                <w:highlight w:val="none"/>
              </w:rPr>
              <w:t>开户银行</w:t>
            </w:r>
          </w:p>
        </w:tc>
        <w:tc>
          <w:tcPr>
            <w:tcW w:w="2812" w:type="dxa"/>
            <w:gridSpan w:val="2"/>
            <w:vAlign w:val="top"/>
          </w:tcPr>
          <w:p w14:paraId="45553C43">
            <w:pPr>
              <w:pStyle w:val="21"/>
              <w:rPr>
                <w:rFonts w:hint="eastAsia" w:ascii="宋体" w:hAnsi="宋体" w:eastAsia="宋体" w:cs="宋体"/>
                <w:color w:val="auto"/>
                <w:sz w:val="24"/>
                <w:szCs w:val="24"/>
                <w:highlight w:val="none"/>
              </w:rPr>
            </w:pPr>
          </w:p>
        </w:tc>
        <w:tc>
          <w:tcPr>
            <w:tcW w:w="1183" w:type="dxa"/>
            <w:gridSpan w:val="2"/>
            <w:vMerge w:val="continue"/>
            <w:tcBorders>
              <w:top w:val="nil"/>
              <w:bottom w:val="nil"/>
            </w:tcBorders>
            <w:vAlign w:val="top"/>
          </w:tcPr>
          <w:p w14:paraId="56532354">
            <w:pPr>
              <w:pStyle w:val="21"/>
              <w:rPr>
                <w:rFonts w:hint="eastAsia" w:ascii="宋体" w:hAnsi="宋体" w:eastAsia="宋体" w:cs="宋体"/>
                <w:color w:val="auto"/>
                <w:sz w:val="24"/>
                <w:szCs w:val="24"/>
                <w:highlight w:val="none"/>
              </w:rPr>
            </w:pPr>
          </w:p>
        </w:tc>
        <w:tc>
          <w:tcPr>
            <w:tcW w:w="2096" w:type="dxa"/>
            <w:gridSpan w:val="3"/>
            <w:vAlign w:val="top"/>
          </w:tcPr>
          <w:p w14:paraId="5A3DA22F">
            <w:pPr>
              <w:spacing w:before="191" w:line="230" w:lineRule="auto"/>
              <w:ind w:left="338"/>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初级职称人员</w:t>
            </w:r>
          </w:p>
        </w:tc>
        <w:tc>
          <w:tcPr>
            <w:tcW w:w="1548" w:type="dxa"/>
            <w:vAlign w:val="top"/>
          </w:tcPr>
          <w:p w14:paraId="184D3D43">
            <w:pPr>
              <w:pStyle w:val="21"/>
              <w:rPr>
                <w:rFonts w:hint="eastAsia" w:ascii="宋体" w:hAnsi="宋体" w:eastAsia="宋体" w:cs="宋体"/>
                <w:color w:val="auto"/>
                <w:sz w:val="24"/>
                <w:szCs w:val="24"/>
                <w:highlight w:val="none"/>
              </w:rPr>
            </w:pPr>
          </w:p>
        </w:tc>
      </w:tr>
      <w:tr w14:paraId="5D53F3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8" w:hRule="atLeast"/>
        </w:trPr>
        <w:tc>
          <w:tcPr>
            <w:tcW w:w="1620" w:type="dxa"/>
            <w:vAlign w:val="top"/>
          </w:tcPr>
          <w:p w14:paraId="301FBDE6">
            <w:pPr>
              <w:spacing w:before="62" w:line="259" w:lineRule="auto"/>
              <w:ind w:right="325"/>
              <w:jc w:val="center"/>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基本账户</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7"/>
                <w:sz w:val="24"/>
                <w:szCs w:val="24"/>
                <w:highlight w:val="none"/>
              </w:rPr>
              <w:t>银行账号</w:t>
            </w:r>
          </w:p>
        </w:tc>
        <w:tc>
          <w:tcPr>
            <w:tcW w:w="2812" w:type="dxa"/>
            <w:gridSpan w:val="2"/>
            <w:vAlign w:val="top"/>
          </w:tcPr>
          <w:p w14:paraId="5B1DD5F7">
            <w:pPr>
              <w:pStyle w:val="21"/>
              <w:rPr>
                <w:rFonts w:hint="eastAsia" w:ascii="宋体" w:hAnsi="宋体" w:eastAsia="宋体" w:cs="宋体"/>
                <w:color w:val="auto"/>
                <w:sz w:val="24"/>
                <w:szCs w:val="24"/>
                <w:highlight w:val="none"/>
              </w:rPr>
            </w:pPr>
          </w:p>
        </w:tc>
        <w:tc>
          <w:tcPr>
            <w:tcW w:w="1183" w:type="dxa"/>
            <w:gridSpan w:val="2"/>
            <w:vMerge w:val="continue"/>
            <w:tcBorders>
              <w:top w:val="nil"/>
            </w:tcBorders>
            <w:vAlign w:val="top"/>
          </w:tcPr>
          <w:p w14:paraId="03520BE5">
            <w:pPr>
              <w:pStyle w:val="21"/>
              <w:rPr>
                <w:rFonts w:hint="eastAsia" w:ascii="宋体" w:hAnsi="宋体" w:eastAsia="宋体" w:cs="宋体"/>
                <w:color w:val="auto"/>
                <w:sz w:val="24"/>
                <w:szCs w:val="24"/>
                <w:highlight w:val="none"/>
              </w:rPr>
            </w:pPr>
          </w:p>
        </w:tc>
        <w:tc>
          <w:tcPr>
            <w:tcW w:w="2096" w:type="dxa"/>
            <w:gridSpan w:val="3"/>
            <w:vAlign w:val="top"/>
          </w:tcPr>
          <w:p w14:paraId="5C48DB8B">
            <w:pPr>
              <w:spacing w:before="211" w:line="228" w:lineRule="auto"/>
              <w:ind w:left="657"/>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技术员</w:t>
            </w:r>
          </w:p>
        </w:tc>
        <w:tc>
          <w:tcPr>
            <w:tcW w:w="1548" w:type="dxa"/>
            <w:vAlign w:val="top"/>
          </w:tcPr>
          <w:p w14:paraId="773ECE69">
            <w:pPr>
              <w:pStyle w:val="21"/>
              <w:rPr>
                <w:rFonts w:hint="eastAsia" w:ascii="宋体" w:hAnsi="宋体" w:eastAsia="宋体" w:cs="宋体"/>
                <w:color w:val="auto"/>
                <w:sz w:val="24"/>
                <w:szCs w:val="24"/>
                <w:highlight w:val="none"/>
              </w:rPr>
            </w:pPr>
          </w:p>
        </w:tc>
      </w:tr>
      <w:tr w14:paraId="1B267B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1620" w:type="dxa"/>
            <w:vAlign w:val="top"/>
          </w:tcPr>
          <w:p w14:paraId="1C145867">
            <w:pPr>
              <w:spacing w:before="65" w:line="229" w:lineRule="auto"/>
              <w:ind w:left="330"/>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经营范围</w:t>
            </w:r>
          </w:p>
        </w:tc>
        <w:tc>
          <w:tcPr>
            <w:tcW w:w="7639" w:type="dxa"/>
            <w:gridSpan w:val="8"/>
            <w:vAlign w:val="top"/>
          </w:tcPr>
          <w:p w14:paraId="78175160">
            <w:pPr>
              <w:pStyle w:val="21"/>
              <w:rPr>
                <w:rFonts w:hint="eastAsia" w:ascii="宋体" w:hAnsi="宋体" w:eastAsia="宋体" w:cs="宋体"/>
                <w:color w:val="auto"/>
                <w:sz w:val="24"/>
                <w:szCs w:val="24"/>
                <w:highlight w:val="none"/>
              </w:rPr>
            </w:pPr>
          </w:p>
        </w:tc>
      </w:tr>
      <w:tr w14:paraId="5CA65D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51" w:hRule="atLeast"/>
        </w:trPr>
        <w:tc>
          <w:tcPr>
            <w:tcW w:w="1620" w:type="dxa"/>
            <w:vAlign w:val="top"/>
          </w:tcPr>
          <w:p w14:paraId="3B43F663">
            <w:pPr>
              <w:pStyle w:val="21"/>
              <w:spacing w:line="295" w:lineRule="auto"/>
              <w:rPr>
                <w:rFonts w:hint="eastAsia" w:ascii="宋体" w:hAnsi="宋体" w:eastAsia="宋体" w:cs="宋体"/>
                <w:color w:val="auto"/>
                <w:sz w:val="24"/>
                <w:szCs w:val="24"/>
                <w:highlight w:val="none"/>
              </w:rPr>
            </w:pPr>
          </w:p>
          <w:p w14:paraId="598814F5">
            <w:pPr>
              <w:pStyle w:val="21"/>
              <w:spacing w:line="296" w:lineRule="auto"/>
              <w:rPr>
                <w:rFonts w:hint="eastAsia" w:ascii="宋体" w:hAnsi="宋体" w:eastAsia="宋体" w:cs="宋体"/>
                <w:color w:val="auto"/>
                <w:sz w:val="24"/>
                <w:szCs w:val="24"/>
                <w:highlight w:val="none"/>
              </w:rPr>
            </w:pPr>
          </w:p>
          <w:p w14:paraId="52A98BFF">
            <w:pPr>
              <w:spacing w:before="65" w:line="229" w:lineRule="auto"/>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关联企业情况</w:t>
            </w:r>
          </w:p>
        </w:tc>
        <w:tc>
          <w:tcPr>
            <w:tcW w:w="7639" w:type="dxa"/>
            <w:gridSpan w:val="8"/>
            <w:vAlign w:val="top"/>
          </w:tcPr>
          <w:p w14:paraId="5EFCA351">
            <w:pPr>
              <w:spacing w:before="168" w:line="228" w:lineRule="auto"/>
              <w:ind w:left="111"/>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包括但不限于与投标人存在以下关系的不同单位：</w:t>
            </w:r>
          </w:p>
          <w:p w14:paraId="4A7FA872">
            <w:pPr>
              <w:spacing w:before="81" w:line="228" w:lineRule="auto"/>
              <w:ind w:left="128"/>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1</w:t>
            </w:r>
            <w:r>
              <w:rPr>
                <w:rFonts w:hint="eastAsia" w:ascii="宋体" w:hAnsi="宋体" w:eastAsia="宋体" w:cs="宋体"/>
                <w:color w:val="auto"/>
                <w:spacing w:val="-13"/>
                <w:sz w:val="24"/>
                <w:szCs w:val="24"/>
                <w:highlight w:val="none"/>
              </w:rPr>
              <w:t xml:space="preserve"> </w:t>
            </w:r>
            <w:r>
              <w:rPr>
                <w:rFonts w:hint="eastAsia" w:ascii="宋体" w:hAnsi="宋体" w:eastAsia="宋体" w:cs="宋体"/>
                <w:color w:val="auto"/>
                <w:spacing w:val="4"/>
                <w:sz w:val="24"/>
                <w:szCs w:val="24"/>
                <w:highlight w:val="none"/>
              </w:rPr>
              <w:t>．法定代表人为同一人的。</w:t>
            </w:r>
          </w:p>
          <w:p w14:paraId="416ED6EF">
            <w:pPr>
              <w:spacing w:before="81" w:line="228" w:lineRule="auto"/>
              <w:ind w:left="107"/>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2</w:t>
            </w:r>
            <w:r>
              <w:rPr>
                <w:rFonts w:hint="eastAsia" w:ascii="宋体" w:hAnsi="宋体" w:eastAsia="宋体" w:cs="宋体"/>
                <w:color w:val="auto"/>
                <w:spacing w:val="-19"/>
                <w:sz w:val="24"/>
                <w:szCs w:val="24"/>
                <w:highlight w:val="none"/>
              </w:rPr>
              <w:t xml:space="preserve"> </w:t>
            </w:r>
            <w:r>
              <w:rPr>
                <w:rFonts w:hint="eastAsia" w:ascii="宋体" w:hAnsi="宋体" w:eastAsia="宋体" w:cs="宋体"/>
                <w:color w:val="auto"/>
                <w:spacing w:val="6"/>
                <w:sz w:val="24"/>
                <w:szCs w:val="24"/>
                <w:highlight w:val="none"/>
              </w:rPr>
              <w:t>．存在控股、管理关系的。</w:t>
            </w:r>
          </w:p>
          <w:p w14:paraId="2E78667B">
            <w:pPr>
              <w:spacing w:before="81" w:line="228" w:lineRule="auto"/>
              <w:ind w:left="112"/>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3</w:t>
            </w:r>
            <w:r>
              <w:rPr>
                <w:rFonts w:hint="eastAsia" w:ascii="宋体" w:hAnsi="宋体" w:eastAsia="宋体" w:cs="宋体"/>
                <w:color w:val="auto"/>
                <w:spacing w:val="-17"/>
                <w:sz w:val="24"/>
                <w:szCs w:val="24"/>
                <w:highlight w:val="none"/>
              </w:rPr>
              <w:t xml:space="preserve"> </w:t>
            </w:r>
            <w:r>
              <w:rPr>
                <w:rFonts w:hint="eastAsia" w:ascii="宋体" w:hAnsi="宋体" w:eastAsia="宋体" w:cs="宋体"/>
                <w:color w:val="auto"/>
                <w:spacing w:val="5"/>
                <w:sz w:val="24"/>
                <w:szCs w:val="24"/>
                <w:highlight w:val="none"/>
              </w:rPr>
              <w:t>．主要人员相互任职的。</w:t>
            </w:r>
          </w:p>
        </w:tc>
      </w:tr>
      <w:tr w14:paraId="245E42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8" w:hRule="atLeast"/>
        </w:trPr>
        <w:tc>
          <w:tcPr>
            <w:tcW w:w="1620" w:type="dxa"/>
            <w:vAlign w:val="top"/>
          </w:tcPr>
          <w:p w14:paraId="0B1A642B">
            <w:pPr>
              <w:spacing w:before="235" w:line="230" w:lineRule="auto"/>
              <w:ind w:left="542"/>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备注</w:t>
            </w:r>
          </w:p>
        </w:tc>
        <w:tc>
          <w:tcPr>
            <w:tcW w:w="7639" w:type="dxa"/>
            <w:gridSpan w:val="8"/>
            <w:vAlign w:val="top"/>
          </w:tcPr>
          <w:p w14:paraId="63E087EA">
            <w:pPr>
              <w:pStyle w:val="21"/>
              <w:rPr>
                <w:rFonts w:hint="eastAsia" w:ascii="宋体" w:hAnsi="宋体" w:eastAsia="宋体" w:cs="宋体"/>
                <w:color w:val="auto"/>
                <w:sz w:val="24"/>
                <w:szCs w:val="24"/>
                <w:highlight w:val="none"/>
              </w:rPr>
            </w:pPr>
          </w:p>
        </w:tc>
      </w:tr>
    </w:tbl>
    <w:p w14:paraId="608E648E">
      <w:pPr>
        <w:spacing w:before="140" w:line="228" w:lineRule="auto"/>
        <w:rPr>
          <w:rFonts w:hint="eastAsia" w:ascii="宋体" w:hAnsi="宋体" w:eastAsia="宋体" w:cs="宋体"/>
          <w:color w:val="auto"/>
          <w:sz w:val="18"/>
          <w:szCs w:val="18"/>
          <w:highlight w:val="none"/>
        </w:rPr>
      </w:pPr>
      <w:r>
        <w:rPr>
          <w:rFonts w:hint="eastAsia" w:ascii="宋体" w:hAnsi="宋体" w:eastAsia="宋体" w:cs="宋体"/>
          <w:color w:val="auto"/>
          <w:spacing w:val="2"/>
          <w:sz w:val="18"/>
          <w:szCs w:val="18"/>
          <w:highlight w:val="none"/>
        </w:rPr>
        <w:t>说明：</w:t>
      </w:r>
    </w:p>
    <w:p w14:paraId="6972BAA3">
      <w:pPr>
        <w:keepNext w:val="0"/>
        <w:keepLines w:val="0"/>
        <w:pageBreakBefore w:val="0"/>
        <w:widowControl/>
        <w:kinsoku w:val="0"/>
        <w:wordWrap/>
        <w:overflowPunct/>
        <w:topLinePunct w:val="0"/>
        <w:autoSpaceDE w:val="0"/>
        <w:autoSpaceDN w:val="0"/>
        <w:bidi w:val="0"/>
        <w:adjustRightInd w:val="0"/>
        <w:snapToGrid w:val="0"/>
        <w:spacing w:before="81" w:line="288" w:lineRule="auto"/>
        <w:textAlignment w:val="baseline"/>
        <w:outlineLvl w:val="9"/>
        <w:rPr>
          <w:rFonts w:hint="eastAsia" w:ascii="宋体" w:hAnsi="宋体" w:eastAsia="宋体" w:cs="宋体"/>
          <w:color w:val="auto"/>
          <w:spacing w:val="4"/>
          <w:sz w:val="18"/>
          <w:szCs w:val="18"/>
          <w:highlight w:val="none"/>
        </w:rPr>
      </w:pPr>
      <w:bookmarkStart w:id="244" w:name="_Toc14048"/>
      <w:bookmarkStart w:id="245" w:name="_Toc5131"/>
      <w:r>
        <w:rPr>
          <w:rFonts w:hint="eastAsia" w:ascii="宋体" w:hAnsi="宋体" w:eastAsia="宋体" w:cs="宋体"/>
          <w:color w:val="auto"/>
          <w:spacing w:val="4"/>
          <w:sz w:val="18"/>
          <w:szCs w:val="18"/>
          <w:highlight w:val="none"/>
        </w:rPr>
        <w:t>1 ．《投标人基本情况表》后应附以下资料：</w:t>
      </w:r>
      <w:bookmarkEnd w:id="244"/>
      <w:bookmarkEnd w:id="245"/>
    </w:p>
    <w:p w14:paraId="56BD52AA">
      <w:pPr>
        <w:keepNext w:val="0"/>
        <w:keepLines w:val="0"/>
        <w:pageBreakBefore w:val="0"/>
        <w:widowControl/>
        <w:kinsoku w:val="0"/>
        <w:wordWrap/>
        <w:overflowPunct/>
        <w:topLinePunct w:val="0"/>
        <w:autoSpaceDE w:val="0"/>
        <w:autoSpaceDN w:val="0"/>
        <w:bidi w:val="0"/>
        <w:adjustRightInd w:val="0"/>
        <w:snapToGrid w:val="0"/>
        <w:spacing w:before="153" w:line="288" w:lineRule="auto"/>
        <w:textAlignment w:val="baseline"/>
        <w:rPr>
          <w:rFonts w:hint="eastAsia" w:ascii="宋体" w:hAnsi="宋体" w:eastAsia="宋体" w:cs="宋体"/>
          <w:color w:val="auto"/>
          <w:spacing w:val="6"/>
          <w:sz w:val="18"/>
          <w:szCs w:val="18"/>
          <w:highlight w:val="none"/>
        </w:rPr>
      </w:pPr>
      <w:r>
        <w:rPr>
          <w:rFonts w:hint="eastAsia" w:ascii="宋体" w:hAnsi="宋体" w:eastAsia="宋体" w:cs="宋体"/>
          <w:color w:val="auto"/>
          <w:spacing w:val="9"/>
          <w:sz w:val="18"/>
          <w:szCs w:val="18"/>
          <w:highlight w:val="none"/>
          <w:lang w:eastAsia="zh-CN"/>
        </w:rPr>
        <w:t>（1）企业营业执照、资质证书、安全生产许可证的（因推行电子证照，企业的营业执照、资质证书等可以提供电子证照。为实时掌握项目投标单位的是否具备企业安全生产条件，企业的安全生生许可证需提供企业实时网页查询页，实时查询页的打印时间应在项目招标公告发布之日起至开标前。企业的安全生产许可证实时网页查询路径：登录“ 中华人民共和国住房和城乡建设部 ”进入“全国工程质量安全监管信息平台公共服务门户 ”版块，具体网址为：https://zlaq.mohurd.gov.cn，进入后点击“安全生产许可证信息 ”，输入企业名称和统一社会信用代码即可查询。如中标后，投标单位安全生产许可证发生被暂扣情形，需双方另行协商）；</w:t>
      </w:r>
    </w:p>
    <w:p w14:paraId="5F1F8270">
      <w:pPr>
        <w:keepNext w:val="0"/>
        <w:keepLines w:val="0"/>
        <w:pageBreakBefore w:val="0"/>
        <w:widowControl/>
        <w:kinsoku w:val="0"/>
        <w:wordWrap/>
        <w:overflowPunct/>
        <w:topLinePunct w:val="0"/>
        <w:autoSpaceDE w:val="0"/>
        <w:autoSpaceDN w:val="0"/>
        <w:bidi w:val="0"/>
        <w:adjustRightInd w:val="0"/>
        <w:snapToGrid w:val="0"/>
        <w:spacing w:before="153" w:line="288" w:lineRule="auto"/>
        <w:textAlignment w:val="baseline"/>
        <w:rPr>
          <w:rFonts w:hint="eastAsia" w:ascii="宋体" w:hAnsi="宋体" w:eastAsia="宋体" w:cs="宋体"/>
          <w:color w:val="auto"/>
          <w:sz w:val="18"/>
          <w:szCs w:val="18"/>
          <w:highlight w:val="none"/>
        </w:rPr>
      </w:pPr>
      <w:r>
        <w:rPr>
          <w:rFonts w:hint="eastAsia" w:ascii="宋体" w:hAnsi="宋体" w:eastAsia="宋体" w:cs="宋体"/>
          <w:color w:val="auto"/>
          <w:spacing w:val="9"/>
          <w:sz w:val="18"/>
          <w:szCs w:val="18"/>
          <w:highlight w:val="none"/>
          <w:lang w:eastAsia="zh-CN"/>
        </w:rPr>
        <w:t>（2）</w:t>
      </w:r>
      <w:r>
        <w:rPr>
          <w:rFonts w:hint="eastAsia" w:ascii="宋体" w:hAnsi="宋体" w:eastAsia="宋体" w:cs="宋体"/>
          <w:color w:val="auto"/>
          <w:spacing w:val="9"/>
          <w:sz w:val="18"/>
          <w:szCs w:val="18"/>
          <w:highlight w:val="none"/>
        </w:rPr>
        <w:t>“进粤企业和人员诚信信息登记平台</w:t>
      </w:r>
      <w:r>
        <w:rPr>
          <w:rFonts w:hint="eastAsia" w:ascii="宋体" w:hAnsi="宋体" w:eastAsia="宋体" w:cs="宋体"/>
          <w:color w:val="auto"/>
          <w:spacing w:val="-72"/>
          <w:sz w:val="18"/>
          <w:szCs w:val="18"/>
          <w:highlight w:val="none"/>
        </w:rPr>
        <w:t xml:space="preserve"> </w:t>
      </w:r>
      <w:r>
        <w:rPr>
          <w:rFonts w:hint="eastAsia" w:ascii="宋体" w:hAnsi="宋体" w:eastAsia="宋体" w:cs="宋体"/>
          <w:color w:val="auto"/>
          <w:spacing w:val="8"/>
          <w:sz w:val="18"/>
          <w:szCs w:val="18"/>
          <w:highlight w:val="none"/>
        </w:rPr>
        <w:t>”企业信息情况打印页。（适用于省外建筑企业）</w:t>
      </w:r>
    </w:p>
    <w:p w14:paraId="359CA035">
      <w:pPr>
        <w:keepNext w:val="0"/>
        <w:keepLines w:val="0"/>
        <w:pageBreakBefore w:val="0"/>
        <w:widowControl/>
        <w:kinsoku w:val="0"/>
        <w:wordWrap/>
        <w:overflowPunct/>
        <w:topLinePunct w:val="0"/>
        <w:autoSpaceDE w:val="0"/>
        <w:autoSpaceDN w:val="0"/>
        <w:bidi w:val="0"/>
        <w:adjustRightInd w:val="0"/>
        <w:snapToGrid w:val="0"/>
        <w:spacing w:before="153" w:line="288" w:lineRule="auto"/>
        <w:jc w:val="both"/>
        <w:textAlignment w:val="baseline"/>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lang w:eastAsia="zh-CN"/>
        </w:rPr>
        <w:t>（3）</w:t>
      </w:r>
      <w:r>
        <w:rPr>
          <w:rFonts w:hint="eastAsia" w:ascii="宋体" w:hAnsi="宋体" w:eastAsia="宋体" w:cs="宋体"/>
          <w:color w:val="auto"/>
          <w:spacing w:val="8"/>
          <w:sz w:val="18"/>
          <w:szCs w:val="18"/>
          <w:highlight w:val="none"/>
        </w:rPr>
        <w:t>《法人和非法人组织公共信用信息报告》（在“信用中国</w:t>
      </w:r>
      <w:r>
        <w:rPr>
          <w:rFonts w:hint="eastAsia" w:ascii="宋体" w:hAnsi="宋体" w:eastAsia="宋体" w:cs="宋体"/>
          <w:color w:val="auto"/>
          <w:spacing w:val="-70"/>
          <w:sz w:val="18"/>
          <w:szCs w:val="18"/>
          <w:highlight w:val="none"/>
        </w:rPr>
        <w:t xml:space="preserve"> </w:t>
      </w:r>
      <w:r>
        <w:rPr>
          <w:rFonts w:hint="eastAsia" w:ascii="宋体" w:hAnsi="宋体" w:eastAsia="宋体" w:cs="宋体"/>
          <w:color w:val="auto"/>
          <w:spacing w:val="8"/>
          <w:sz w:val="18"/>
          <w:szCs w:val="18"/>
          <w:highlight w:val="none"/>
        </w:rPr>
        <w:t>”网站企业查询界面</w:t>
      </w:r>
      <w:r>
        <w:rPr>
          <w:rFonts w:hint="eastAsia" w:ascii="宋体" w:hAnsi="宋体" w:eastAsia="宋体" w:cs="宋体"/>
          <w:color w:val="auto"/>
          <w:spacing w:val="7"/>
          <w:sz w:val="18"/>
          <w:szCs w:val="18"/>
          <w:highlight w:val="none"/>
        </w:rPr>
        <w:t>中下载）。</w:t>
      </w:r>
    </w:p>
    <w:p w14:paraId="3AE0E693">
      <w:pPr>
        <w:keepNext w:val="0"/>
        <w:keepLines w:val="0"/>
        <w:pageBreakBefore w:val="0"/>
        <w:widowControl/>
        <w:kinsoku w:val="0"/>
        <w:wordWrap/>
        <w:overflowPunct/>
        <w:topLinePunct w:val="0"/>
        <w:autoSpaceDE w:val="0"/>
        <w:autoSpaceDN w:val="0"/>
        <w:bidi w:val="0"/>
        <w:adjustRightInd w:val="0"/>
        <w:snapToGrid w:val="0"/>
        <w:spacing w:before="81" w:line="288" w:lineRule="auto"/>
        <w:textAlignment w:val="baseline"/>
        <w:rPr>
          <w:rFonts w:hint="eastAsia" w:ascii="宋体" w:hAnsi="宋体" w:eastAsia="宋体" w:cs="宋体"/>
          <w:color w:val="auto"/>
          <w:spacing w:val="4"/>
          <w:sz w:val="20"/>
          <w:szCs w:val="20"/>
          <w:highlight w:val="none"/>
        </w:rPr>
      </w:pPr>
      <w:r>
        <w:rPr>
          <w:rFonts w:hint="eastAsia" w:ascii="宋体" w:hAnsi="宋体" w:eastAsia="宋体" w:cs="宋体"/>
          <w:color w:val="auto"/>
          <w:spacing w:val="9"/>
          <w:sz w:val="18"/>
          <w:szCs w:val="18"/>
          <w:highlight w:val="none"/>
        </w:rPr>
        <w:t>2</w:t>
      </w:r>
      <w:r>
        <w:rPr>
          <w:rFonts w:hint="eastAsia" w:ascii="宋体" w:hAnsi="宋体" w:eastAsia="宋体" w:cs="宋体"/>
          <w:color w:val="auto"/>
          <w:spacing w:val="-21"/>
          <w:sz w:val="18"/>
          <w:szCs w:val="18"/>
          <w:highlight w:val="none"/>
        </w:rPr>
        <w:t xml:space="preserve"> </w:t>
      </w:r>
      <w:r>
        <w:rPr>
          <w:rFonts w:hint="eastAsia" w:ascii="宋体" w:hAnsi="宋体" w:eastAsia="宋体" w:cs="宋体"/>
          <w:color w:val="auto"/>
          <w:spacing w:val="9"/>
          <w:sz w:val="18"/>
          <w:szCs w:val="18"/>
          <w:highlight w:val="none"/>
        </w:rPr>
        <w:t>．联合体投标的，联合体成员单位均应填写《投标人基本情况</w:t>
      </w:r>
      <w:r>
        <w:rPr>
          <w:rFonts w:hint="eastAsia" w:ascii="宋体" w:hAnsi="宋体" w:eastAsia="宋体" w:cs="宋体"/>
          <w:color w:val="auto"/>
          <w:spacing w:val="8"/>
          <w:sz w:val="18"/>
          <w:szCs w:val="18"/>
          <w:highlight w:val="none"/>
        </w:rPr>
        <w:t>表》并提供以上所需资料。</w:t>
      </w:r>
    </w:p>
    <w:p w14:paraId="4E6AB364">
      <w:pPr>
        <w:spacing w:before="78" w:line="220" w:lineRule="auto"/>
        <w:outlineLvl w:val="2"/>
        <w:rPr>
          <w:rFonts w:hint="eastAsia" w:ascii="宋体" w:hAnsi="宋体" w:eastAsia="宋体" w:cs="宋体"/>
          <w:b/>
          <w:bCs/>
          <w:color w:val="auto"/>
          <w:spacing w:val="-4"/>
          <w:sz w:val="24"/>
          <w:szCs w:val="24"/>
          <w:highlight w:val="none"/>
        </w:rPr>
      </w:pPr>
      <w:bookmarkStart w:id="246" w:name="_Toc19699"/>
      <w:r>
        <w:rPr>
          <w:rFonts w:hint="eastAsia" w:ascii="宋体" w:hAnsi="宋体" w:eastAsia="宋体" w:cs="宋体"/>
          <w:b/>
          <w:bCs/>
          <w:color w:val="auto"/>
          <w:spacing w:val="-4"/>
          <w:sz w:val="24"/>
          <w:szCs w:val="24"/>
          <w:highlight w:val="none"/>
        </w:rPr>
        <w:t>格式八 项目经理简历表</w:t>
      </w:r>
      <w:bookmarkEnd w:id="246"/>
    </w:p>
    <w:p w14:paraId="1DBA7B98">
      <w:pPr>
        <w:pStyle w:val="5"/>
        <w:spacing w:line="444" w:lineRule="auto"/>
        <w:rPr>
          <w:rFonts w:hint="eastAsia" w:ascii="宋体" w:hAnsi="宋体" w:eastAsia="宋体" w:cs="宋体"/>
          <w:color w:val="auto"/>
          <w:highlight w:val="none"/>
        </w:rPr>
      </w:pPr>
    </w:p>
    <w:p w14:paraId="0CAE90B5">
      <w:pPr>
        <w:spacing w:before="97" w:line="219" w:lineRule="auto"/>
        <w:ind w:left="3538"/>
        <w:outlineLvl w:val="9"/>
        <w:rPr>
          <w:rFonts w:hint="eastAsia" w:ascii="宋体" w:hAnsi="宋体" w:eastAsia="宋体" w:cs="宋体"/>
          <w:color w:val="auto"/>
          <w:sz w:val="30"/>
          <w:szCs w:val="30"/>
          <w:highlight w:val="none"/>
        </w:rPr>
      </w:pPr>
      <w:bookmarkStart w:id="247" w:name="bookmark156"/>
      <w:bookmarkEnd w:id="247"/>
      <w:bookmarkStart w:id="248" w:name="bookmark89"/>
      <w:bookmarkEnd w:id="248"/>
      <w:bookmarkStart w:id="249" w:name="_Toc31533"/>
      <w:bookmarkStart w:id="250" w:name="_Toc24489"/>
      <w:r>
        <w:rPr>
          <w:rFonts w:hint="eastAsia" w:ascii="宋体" w:hAnsi="宋体" w:eastAsia="宋体" w:cs="宋体"/>
          <w:b/>
          <w:bCs/>
          <w:color w:val="auto"/>
          <w:spacing w:val="-5"/>
          <w:sz w:val="30"/>
          <w:szCs w:val="30"/>
          <w:highlight w:val="none"/>
        </w:rPr>
        <w:t>项目经理简历表</w:t>
      </w:r>
      <w:bookmarkEnd w:id="249"/>
      <w:bookmarkEnd w:id="250"/>
    </w:p>
    <w:p w14:paraId="59593258">
      <w:pPr>
        <w:spacing w:line="240" w:lineRule="exact"/>
        <w:rPr>
          <w:rFonts w:hint="eastAsia" w:ascii="宋体" w:hAnsi="宋体" w:eastAsia="宋体" w:cs="宋体"/>
          <w:color w:val="auto"/>
          <w:highlight w:val="none"/>
        </w:rPr>
      </w:pPr>
    </w:p>
    <w:tbl>
      <w:tblPr>
        <w:tblStyle w:val="14"/>
        <w:tblW w:w="973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010"/>
        <w:gridCol w:w="614"/>
        <w:gridCol w:w="680"/>
        <w:gridCol w:w="1357"/>
        <w:gridCol w:w="2062"/>
        <w:gridCol w:w="1798"/>
        <w:gridCol w:w="1398"/>
      </w:tblGrid>
      <w:tr w14:paraId="4554F8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trPr>
        <w:tc>
          <w:tcPr>
            <w:tcW w:w="1828" w:type="dxa"/>
            <w:gridSpan w:val="2"/>
            <w:vAlign w:val="top"/>
          </w:tcPr>
          <w:p w14:paraId="38F4F2C1">
            <w:pPr>
              <w:spacing w:before="177" w:line="228" w:lineRule="auto"/>
              <w:ind w:left="50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w:t>
            </w:r>
            <w:r>
              <w:rPr>
                <w:rFonts w:hint="eastAsia" w:ascii="宋体" w:hAnsi="宋体" w:eastAsia="宋体" w:cs="宋体"/>
                <w:color w:val="auto"/>
                <w:spacing w:val="9"/>
                <w:sz w:val="24"/>
                <w:szCs w:val="24"/>
                <w:highlight w:val="none"/>
              </w:rPr>
              <w:t xml:space="preserve">   </w:t>
            </w:r>
            <w:r>
              <w:rPr>
                <w:rFonts w:hint="eastAsia" w:ascii="宋体" w:hAnsi="宋体" w:eastAsia="宋体" w:cs="宋体"/>
                <w:color w:val="auto"/>
                <w:sz w:val="24"/>
                <w:szCs w:val="24"/>
                <w:highlight w:val="none"/>
              </w:rPr>
              <w:t>名</w:t>
            </w:r>
          </w:p>
        </w:tc>
        <w:tc>
          <w:tcPr>
            <w:tcW w:w="1294" w:type="dxa"/>
            <w:gridSpan w:val="2"/>
            <w:vAlign w:val="top"/>
          </w:tcPr>
          <w:p w14:paraId="0E27BBB7">
            <w:pPr>
              <w:pStyle w:val="21"/>
              <w:rPr>
                <w:rFonts w:hint="eastAsia" w:ascii="宋体" w:hAnsi="宋体" w:eastAsia="宋体" w:cs="宋体"/>
                <w:color w:val="auto"/>
                <w:sz w:val="24"/>
                <w:szCs w:val="24"/>
                <w:highlight w:val="none"/>
              </w:rPr>
            </w:pPr>
          </w:p>
        </w:tc>
        <w:tc>
          <w:tcPr>
            <w:tcW w:w="1357" w:type="dxa"/>
            <w:vAlign w:val="top"/>
          </w:tcPr>
          <w:p w14:paraId="5E64039D">
            <w:pPr>
              <w:spacing w:before="177" w:line="229" w:lineRule="auto"/>
              <w:ind w:left="33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性</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z w:val="24"/>
                <w:szCs w:val="24"/>
                <w:highlight w:val="none"/>
              </w:rPr>
              <w:t>别</w:t>
            </w:r>
          </w:p>
        </w:tc>
        <w:tc>
          <w:tcPr>
            <w:tcW w:w="2062" w:type="dxa"/>
            <w:vAlign w:val="top"/>
          </w:tcPr>
          <w:p w14:paraId="68D9664A">
            <w:pPr>
              <w:pStyle w:val="21"/>
              <w:rPr>
                <w:rFonts w:hint="eastAsia" w:ascii="宋体" w:hAnsi="宋体" w:eastAsia="宋体" w:cs="宋体"/>
                <w:color w:val="auto"/>
                <w:sz w:val="24"/>
                <w:szCs w:val="24"/>
                <w:highlight w:val="none"/>
              </w:rPr>
            </w:pPr>
          </w:p>
        </w:tc>
        <w:tc>
          <w:tcPr>
            <w:tcW w:w="1798" w:type="dxa"/>
            <w:vAlign w:val="top"/>
          </w:tcPr>
          <w:p w14:paraId="3FC87041">
            <w:pPr>
              <w:spacing w:before="177" w:line="228" w:lineRule="auto"/>
              <w:ind w:left="48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w:t>
            </w:r>
            <w:r>
              <w:rPr>
                <w:rFonts w:hint="eastAsia" w:ascii="宋体" w:hAnsi="宋体" w:eastAsia="宋体" w:cs="宋体"/>
                <w:color w:val="auto"/>
                <w:spacing w:val="8"/>
                <w:sz w:val="24"/>
                <w:szCs w:val="24"/>
                <w:highlight w:val="none"/>
              </w:rPr>
              <w:t xml:space="preserve">   </w:t>
            </w:r>
            <w:r>
              <w:rPr>
                <w:rFonts w:hint="eastAsia" w:ascii="宋体" w:hAnsi="宋体" w:eastAsia="宋体" w:cs="宋体"/>
                <w:color w:val="auto"/>
                <w:sz w:val="24"/>
                <w:szCs w:val="24"/>
                <w:highlight w:val="none"/>
              </w:rPr>
              <w:t>龄</w:t>
            </w:r>
          </w:p>
        </w:tc>
        <w:tc>
          <w:tcPr>
            <w:tcW w:w="1398" w:type="dxa"/>
            <w:vAlign w:val="top"/>
          </w:tcPr>
          <w:p w14:paraId="02E0EF39">
            <w:pPr>
              <w:pStyle w:val="21"/>
              <w:rPr>
                <w:rFonts w:hint="eastAsia" w:ascii="宋体" w:hAnsi="宋体" w:eastAsia="宋体" w:cs="宋体"/>
                <w:color w:val="auto"/>
                <w:sz w:val="24"/>
                <w:szCs w:val="24"/>
                <w:highlight w:val="none"/>
              </w:rPr>
            </w:pPr>
          </w:p>
        </w:tc>
      </w:tr>
      <w:tr w14:paraId="59723D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trPr>
        <w:tc>
          <w:tcPr>
            <w:tcW w:w="1828" w:type="dxa"/>
            <w:gridSpan w:val="2"/>
            <w:vAlign w:val="top"/>
          </w:tcPr>
          <w:p w14:paraId="6E04C4D2">
            <w:pPr>
              <w:spacing w:before="175" w:line="228" w:lineRule="auto"/>
              <w:ind w:left="50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w:t>
            </w:r>
            <w:r>
              <w:rPr>
                <w:rFonts w:hint="eastAsia" w:ascii="宋体" w:hAnsi="宋体" w:eastAsia="宋体" w:cs="宋体"/>
                <w:color w:val="auto"/>
                <w:spacing w:val="8"/>
                <w:sz w:val="24"/>
                <w:szCs w:val="24"/>
                <w:highlight w:val="none"/>
              </w:rPr>
              <w:t xml:space="preserve">   </w:t>
            </w:r>
            <w:r>
              <w:rPr>
                <w:rFonts w:hint="eastAsia" w:ascii="宋体" w:hAnsi="宋体" w:eastAsia="宋体" w:cs="宋体"/>
                <w:color w:val="auto"/>
                <w:sz w:val="24"/>
                <w:szCs w:val="24"/>
                <w:highlight w:val="none"/>
              </w:rPr>
              <w:t>务</w:t>
            </w:r>
          </w:p>
        </w:tc>
        <w:tc>
          <w:tcPr>
            <w:tcW w:w="1294" w:type="dxa"/>
            <w:gridSpan w:val="2"/>
            <w:vAlign w:val="top"/>
          </w:tcPr>
          <w:p w14:paraId="59BA2A8F">
            <w:pPr>
              <w:pStyle w:val="21"/>
              <w:rPr>
                <w:rFonts w:hint="eastAsia" w:ascii="宋体" w:hAnsi="宋体" w:eastAsia="宋体" w:cs="宋体"/>
                <w:color w:val="auto"/>
                <w:sz w:val="24"/>
                <w:szCs w:val="24"/>
                <w:highlight w:val="none"/>
              </w:rPr>
            </w:pPr>
          </w:p>
        </w:tc>
        <w:tc>
          <w:tcPr>
            <w:tcW w:w="1357" w:type="dxa"/>
            <w:vAlign w:val="top"/>
          </w:tcPr>
          <w:p w14:paraId="5913F49D">
            <w:pPr>
              <w:spacing w:before="174" w:line="231" w:lineRule="auto"/>
              <w:ind w:left="33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w:t>
            </w:r>
            <w:r>
              <w:rPr>
                <w:rFonts w:hint="eastAsia" w:ascii="宋体" w:hAnsi="宋体" w:eastAsia="宋体" w:cs="宋体"/>
                <w:color w:val="auto"/>
                <w:spacing w:val="9"/>
                <w:sz w:val="24"/>
                <w:szCs w:val="24"/>
                <w:highlight w:val="none"/>
              </w:rPr>
              <w:t xml:space="preserve">  </w:t>
            </w:r>
            <w:r>
              <w:rPr>
                <w:rFonts w:hint="eastAsia" w:ascii="宋体" w:hAnsi="宋体" w:eastAsia="宋体" w:cs="宋体"/>
                <w:color w:val="auto"/>
                <w:sz w:val="24"/>
                <w:szCs w:val="24"/>
                <w:highlight w:val="none"/>
              </w:rPr>
              <w:t>称</w:t>
            </w:r>
          </w:p>
        </w:tc>
        <w:tc>
          <w:tcPr>
            <w:tcW w:w="2062" w:type="dxa"/>
            <w:vAlign w:val="top"/>
          </w:tcPr>
          <w:p w14:paraId="0D719B3D">
            <w:pPr>
              <w:pStyle w:val="21"/>
              <w:rPr>
                <w:rFonts w:hint="eastAsia" w:ascii="宋体" w:hAnsi="宋体" w:eastAsia="宋体" w:cs="宋体"/>
                <w:color w:val="auto"/>
                <w:sz w:val="24"/>
                <w:szCs w:val="24"/>
                <w:highlight w:val="none"/>
              </w:rPr>
            </w:pPr>
          </w:p>
        </w:tc>
        <w:tc>
          <w:tcPr>
            <w:tcW w:w="1798" w:type="dxa"/>
            <w:vAlign w:val="top"/>
          </w:tcPr>
          <w:p w14:paraId="3C4F5945">
            <w:pPr>
              <w:spacing w:before="175" w:line="230" w:lineRule="auto"/>
              <w:ind w:left="49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学</w:t>
            </w:r>
            <w:r>
              <w:rPr>
                <w:rFonts w:hint="eastAsia" w:ascii="宋体" w:hAnsi="宋体" w:eastAsia="宋体" w:cs="宋体"/>
                <w:color w:val="auto"/>
                <w:spacing w:val="9"/>
                <w:sz w:val="24"/>
                <w:szCs w:val="24"/>
                <w:highlight w:val="none"/>
              </w:rPr>
              <w:t xml:space="preserve">   </w:t>
            </w:r>
            <w:r>
              <w:rPr>
                <w:rFonts w:hint="eastAsia" w:ascii="宋体" w:hAnsi="宋体" w:eastAsia="宋体" w:cs="宋体"/>
                <w:color w:val="auto"/>
                <w:spacing w:val="-2"/>
                <w:sz w:val="24"/>
                <w:szCs w:val="24"/>
                <w:highlight w:val="none"/>
              </w:rPr>
              <w:t>历</w:t>
            </w:r>
          </w:p>
        </w:tc>
        <w:tc>
          <w:tcPr>
            <w:tcW w:w="1398" w:type="dxa"/>
            <w:vAlign w:val="top"/>
          </w:tcPr>
          <w:p w14:paraId="772D8AB2">
            <w:pPr>
              <w:pStyle w:val="21"/>
              <w:rPr>
                <w:rFonts w:hint="eastAsia" w:ascii="宋体" w:hAnsi="宋体" w:eastAsia="宋体" w:cs="宋体"/>
                <w:color w:val="auto"/>
                <w:sz w:val="24"/>
                <w:szCs w:val="24"/>
                <w:highlight w:val="none"/>
              </w:rPr>
            </w:pPr>
          </w:p>
        </w:tc>
      </w:tr>
      <w:tr w14:paraId="41BAF8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2" w:hRule="atLeast"/>
        </w:trPr>
        <w:tc>
          <w:tcPr>
            <w:tcW w:w="1828" w:type="dxa"/>
            <w:gridSpan w:val="2"/>
            <w:vAlign w:val="top"/>
          </w:tcPr>
          <w:p w14:paraId="3D285945">
            <w:pPr>
              <w:spacing w:before="175" w:line="229" w:lineRule="auto"/>
              <w:ind w:left="248"/>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参加工作时间</w:t>
            </w:r>
          </w:p>
        </w:tc>
        <w:tc>
          <w:tcPr>
            <w:tcW w:w="2651" w:type="dxa"/>
            <w:gridSpan w:val="3"/>
            <w:vAlign w:val="top"/>
          </w:tcPr>
          <w:p w14:paraId="4D8E12D6">
            <w:pPr>
              <w:pStyle w:val="21"/>
              <w:rPr>
                <w:rFonts w:hint="eastAsia" w:ascii="宋体" w:hAnsi="宋体" w:eastAsia="宋体" w:cs="宋体"/>
                <w:color w:val="auto"/>
                <w:sz w:val="24"/>
                <w:szCs w:val="24"/>
                <w:highlight w:val="none"/>
              </w:rPr>
            </w:pPr>
          </w:p>
        </w:tc>
        <w:tc>
          <w:tcPr>
            <w:tcW w:w="3860" w:type="dxa"/>
            <w:gridSpan w:val="2"/>
            <w:vAlign w:val="top"/>
          </w:tcPr>
          <w:p w14:paraId="3410F97D">
            <w:pPr>
              <w:spacing w:before="176" w:line="228" w:lineRule="auto"/>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从事工程建设项目管理工作年限</w:t>
            </w:r>
          </w:p>
        </w:tc>
        <w:tc>
          <w:tcPr>
            <w:tcW w:w="1398" w:type="dxa"/>
            <w:vAlign w:val="top"/>
          </w:tcPr>
          <w:p w14:paraId="5CA4498F">
            <w:pPr>
              <w:pStyle w:val="21"/>
              <w:rPr>
                <w:rFonts w:hint="eastAsia" w:ascii="宋体" w:hAnsi="宋体" w:eastAsia="宋体" w:cs="宋体"/>
                <w:color w:val="auto"/>
                <w:sz w:val="24"/>
                <w:szCs w:val="24"/>
                <w:highlight w:val="none"/>
              </w:rPr>
            </w:pPr>
          </w:p>
        </w:tc>
      </w:tr>
      <w:tr w14:paraId="0792C3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trPr>
        <w:tc>
          <w:tcPr>
            <w:tcW w:w="9737" w:type="dxa"/>
            <w:gridSpan w:val="8"/>
            <w:vAlign w:val="top"/>
          </w:tcPr>
          <w:p w14:paraId="19780F0C">
            <w:pPr>
              <w:spacing w:before="176" w:line="228" w:lineRule="auto"/>
              <w:ind w:left="2356"/>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以项目经理身份参与过的主要业绩（已完工项目）</w:t>
            </w:r>
          </w:p>
        </w:tc>
      </w:tr>
      <w:tr w14:paraId="44C6D7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2" w:hRule="atLeast"/>
        </w:trPr>
        <w:tc>
          <w:tcPr>
            <w:tcW w:w="818" w:type="dxa"/>
            <w:vAlign w:val="top"/>
          </w:tcPr>
          <w:p w14:paraId="2CA330A6">
            <w:pPr>
              <w:spacing w:before="176" w:line="230" w:lineRule="auto"/>
              <w:ind w:left="183"/>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序号</w:t>
            </w:r>
          </w:p>
        </w:tc>
        <w:tc>
          <w:tcPr>
            <w:tcW w:w="1624" w:type="dxa"/>
            <w:gridSpan w:val="2"/>
            <w:vAlign w:val="top"/>
          </w:tcPr>
          <w:p w14:paraId="387E6BB1">
            <w:pPr>
              <w:spacing w:before="176" w:line="229" w:lineRule="auto"/>
              <w:ind w:left="359"/>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项目名称</w:t>
            </w:r>
          </w:p>
        </w:tc>
        <w:tc>
          <w:tcPr>
            <w:tcW w:w="2037" w:type="dxa"/>
            <w:gridSpan w:val="2"/>
            <w:vAlign w:val="top"/>
          </w:tcPr>
          <w:p w14:paraId="60841D39">
            <w:pPr>
              <w:spacing w:before="176" w:line="229" w:lineRule="auto"/>
              <w:ind w:left="557"/>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建设单位</w:t>
            </w:r>
          </w:p>
        </w:tc>
        <w:tc>
          <w:tcPr>
            <w:tcW w:w="2062" w:type="dxa"/>
            <w:vAlign w:val="top"/>
          </w:tcPr>
          <w:p w14:paraId="0511F79F">
            <w:pPr>
              <w:spacing w:before="176" w:line="228" w:lineRule="auto"/>
              <w:ind w:left="260"/>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建设内容和规模</w:t>
            </w:r>
          </w:p>
        </w:tc>
        <w:tc>
          <w:tcPr>
            <w:tcW w:w="1798" w:type="dxa"/>
            <w:vAlign w:val="top"/>
          </w:tcPr>
          <w:p w14:paraId="1FA090F6">
            <w:pPr>
              <w:spacing w:before="176" w:line="228" w:lineRule="auto"/>
              <w:ind w:left="238"/>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开、竣工日期</w:t>
            </w:r>
          </w:p>
        </w:tc>
        <w:tc>
          <w:tcPr>
            <w:tcW w:w="1398" w:type="dxa"/>
            <w:vAlign w:val="top"/>
          </w:tcPr>
          <w:p w14:paraId="46379B80">
            <w:pPr>
              <w:spacing w:before="176" w:line="228" w:lineRule="auto"/>
              <w:ind w:left="251"/>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质量等级</w:t>
            </w:r>
          </w:p>
        </w:tc>
      </w:tr>
      <w:tr w14:paraId="6216D9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8" w:hRule="atLeast"/>
        </w:trPr>
        <w:tc>
          <w:tcPr>
            <w:tcW w:w="818" w:type="dxa"/>
            <w:vAlign w:val="top"/>
          </w:tcPr>
          <w:p w14:paraId="4A3F448C">
            <w:pPr>
              <w:spacing w:before="214" w:line="195" w:lineRule="auto"/>
              <w:ind w:left="35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624" w:type="dxa"/>
            <w:gridSpan w:val="2"/>
            <w:vAlign w:val="top"/>
          </w:tcPr>
          <w:p w14:paraId="0F1E5CCA">
            <w:pPr>
              <w:pStyle w:val="21"/>
              <w:rPr>
                <w:rFonts w:hint="eastAsia" w:ascii="宋体" w:hAnsi="宋体" w:eastAsia="宋体" w:cs="宋体"/>
                <w:color w:val="auto"/>
                <w:sz w:val="24"/>
                <w:szCs w:val="24"/>
                <w:highlight w:val="none"/>
              </w:rPr>
            </w:pPr>
          </w:p>
        </w:tc>
        <w:tc>
          <w:tcPr>
            <w:tcW w:w="2037" w:type="dxa"/>
            <w:gridSpan w:val="2"/>
            <w:vAlign w:val="top"/>
          </w:tcPr>
          <w:p w14:paraId="78888A3B">
            <w:pPr>
              <w:pStyle w:val="21"/>
              <w:rPr>
                <w:rFonts w:hint="eastAsia" w:ascii="宋体" w:hAnsi="宋体" w:eastAsia="宋体" w:cs="宋体"/>
                <w:color w:val="auto"/>
                <w:sz w:val="24"/>
                <w:szCs w:val="24"/>
                <w:highlight w:val="none"/>
              </w:rPr>
            </w:pPr>
          </w:p>
        </w:tc>
        <w:tc>
          <w:tcPr>
            <w:tcW w:w="2062" w:type="dxa"/>
            <w:vAlign w:val="top"/>
          </w:tcPr>
          <w:p w14:paraId="74289F65">
            <w:pPr>
              <w:pStyle w:val="21"/>
              <w:rPr>
                <w:rFonts w:hint="eastAsia" w:ascii="宋体" w:hAnsi="宋体" w:eastAsia="宋体" w:cs="宋体"/>
                <w:color w:val="auto"/>
                <w:sz w:val="24"/>
                <w:szCs w:val="24"/>
                <w:highlight w:val="none"/>
              </w:rPr>
            </w:pPr>
          </w:p>
        </w:tc>
        <w:tc>
          <w:tcPr>
            <w:tcW w:w="1798" w:type="dxa"/>
            <w:vAlign w:val="top"/>
          </w:tcPr>
          <w:p w14:paraId="22429141">
            <w:pPr>
              <w:pStyle w:val="21"/>
              <w:rPr>
                <w:rFonts w:hint="eastAsia" w:ascii="宋体" w:hAnsi="宋体" w:eastAsia="宋体" w:cs="宋体"/>
                <w:color w:val="auto"/>
                <w:sz w:val="24"/>
                <w:szCs w:val="24"/>
                <w:highlight w:val="none"/>
              </w:rPr>
            </w:pPr>
          </w:p>
        </w:tc>
        <w:tc>
          <w:tcPr>
            <w:tcW w:w="1398" w:type="dxa"/>
            <w:vAlign w:val="top"/>
          </w:tcPr>
          <w:p w14:paraId="0CCA428D">
            <w:pPr>
              <w:pStyle w:val="21"/>
              <w:rPr>
                <w:rFonts w:hint="eastAsia" w:ascii="宋体" w:hAnsi="宋体" w:eastAsia="宋体" w:cs="宋体"/>
                <w:color w:val="auto"/>
                <w:sz w:val="24"/>
                <w:szCs w:val="24"/>
                <w:highlight w:val="none"/>
              </w:rPr>
            </w:pPr>
          </w:p>
        </w:tc>
      </w:tr>
      <w:tr w14:paraId="41D909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trPr>
        <w:tc>
          <w:tcPr>
            <w:tcW w:w="818" w:type="dxa"/>
            <w:vAlign w:val="top"/>
          </w:tcPr>
          <w:p w14:paraId="2AE59E84">
            <w:pPr>
              <w:spacing w:before="213" w:line="195" w:lineRule="auto"/>
              <w:ind w:left="33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624" w:type="dxa"/>
            <w:gridSpan w:val="2"/>
            <w:vAlign w:val="top"/>
          </w:tcPr>
          <w:p w14:paraId="64A79A29">
            <w:pPr>
              <w:pStyle w:val="21"/>
              <w:rPr>
                <w:rFonts w:hint="eastAsia" w:ascii="宋体" w:hAnsi="宋体" w:eastAsia="宋体" w:cs="宋体"/>
                <w:color w:val="auto"/>
                <w:sz w:val="24"/>
                <w:szCs w:val="24"/>
                <w:highlight w:val="none"/>
              </w:rPr>
            </w:pPr>
          </w:p>
        </w:tc>
        <w:tc>
          <w:tcPr>
            <w:tcW w:w="2037" w:type="dxa"/>
            <w:gridSpan w:val="2"/>
            <w:vAlign w:val="top"/>
          </w:tcPr>
          <w:p w14:paraId="6061C8EF">
            <w:pPr>
              <w:pStyle w:val="21"/>
              <w:rPr>
                <w:rFonts w:hint="eastAsia" w:ascii="宋体" w:hAnsi="宋体" w:eastAsia="宋体" w:cs="宋体"/>
                <w:color w:val="auto"/>
                <w:sz w:val="24"/>
                <w:szCs w:val="24"/>
                <w:highlight w:val="none"/>
              </w:rPr>
            </w:pPr>
          </w:p>
        </w:tc>
        <w:tc>
          <w:tcPr>
            <w:tcW w:w="2062" w:type="dxa"/>
            <w:vAlign w:val="top"/>
          </w:tcPr>
          <w:p w14:paraId="37C2C8FD">
            <w:pPr>
              <w:pStyle w:val="21"/>
              <w:rPr>
                <w:rFonts w:hint="eastAsia" w:ascii="宋体" w:hAnsi="宋体" w:eastAsia="宋体" w:cs="宋体"/>
                <w:color w:val="auto"/>
                <w:sz w:val="24"/>
                <w:szCs w:val="24"/>
                <w:highlight w:val="none"/>
              </w:rPr>
            </w:pPr>
          </w:p>
        </w:tc>
        <w:tc>
          <w:tcPr>
            <w:tcW w:w="1798" w:type="dxa"/>
            <w:vAlign w:val="top"/>
          </w:tcPr>
          <w:p w14:paraId="35838BEB">
            <w:pPr>
              <w:pStyle w:val="21"/>
              <w:rPr>
                <w:rFonts w:hint="eastAsia" w:ascii="宋体" w:hAnsi="宋体" w:eastAsia="宋体" w:cs="宋体"/>
                <w:color w:val="auto"/>
                <w:sz w:val="24"/>
                <w:szCs w:val="24"/>
                <w:highlight w:val="none"/>
              </w:rPr>
            </w:pPr>
          </w:p>
        </w:tc>
        <w:tc>
          <w:tcPr>
            <w:tcW w:w="1398" w:type="dxa"/>
            <w:vAlign w:val="top"/>
          </w:tcPr>
          <w:p w14:paraId="1A7FF52A">
            <w:pPr>
              <w:pStyle w:val="21"/>
              <w:rPr>
                <w:rFonts w:hint="eastAsia" w:ascii="宋体" w:hAnsi="宋体" w:eastAsia="宋体" w:cs="宋体"/>
                <w:color w:val="auto"/>
                <w:sz w:val="24"/>
                <w:szCs w:val="24"/>
                <w:highlight w:val="none"/>
              </w:rPr>
            </w:pPr>
          </w:p>
        </w:tc>
      </w:tr>
      <w:tr w14:paraId="748CF2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8" w:hRule="atLeast"/>
        </w:trPr>
        <w:tc>
          <w:tcPr>
            <w:tcW w:w="818" w:type="dxa"/>
            <w:vAlign w:val="top"/>
          </w:tcPr>
          <w:p w14:paraId="49A8215C">
            <w:pPr>
              <w:spacing w:before="213" w:line="195" w:lineRule="auto"/>
              <w:ind w:left="34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1624" w:type="dxa"/>
            <w:gridSpan w:val="2"/>
            <w:vAlign w:val="top"/>
          </w:tcPr>
          <w:p w14:paraId="6B3BD65C">
            <w:pPr>
              <w:pStyle w:val="21"/>
              <w:rPr>
                <w:rFonts w:hint="eastAsia" w:ascii="宋体" w:hAnsi="宋体" w:eastAsia="宋体" w:cs="宋体"/>
                <w:color w:val="auto"/>
                <w:sz w:val="24"/>
                <w:szCs w:val="24"/>
                <w:highlight w:val="none"/>
              </w:rPr>
            </w:pPr>
          </w:p>
        </w:tc>
        <w:tc>
          <w:tcPr>
            <w:tcW w:w="2037" w:type="dxa"/>
            <w:gridSpan w:val="2"/>
            <w:vAlign w:val="top"/>
          </w:tcPr>
          <w:p w14:paraId="49395E10">
            <w:pPr>
              <w:pStyle w:val="21"/>
              <w:rPr>
                <w:rFonts w:hint="eastAsia" w:ascii="宋体" w:hAnsi="宋体" w:eastAsia="宋体" w:cs="宋体"/>
                <w:color w:val="auto"/>
                <w:sz w:val="24"/>
                <w:szCs w:val="24"/>
                <w:highlight w:val="none"/>
              </w:rPr>
            </w:pPr>
          </w:p>
        </w:tc>
        <w:tc>
          <w:tcPr>
            <w:tcW w:w="2062" w:type="dxa"/>
            <w:vAlign w:val="top"/>
          </w:tcPr>
          <w:p w14:paraId="38C89432">
            <w:pPr>
              <w:pStyle w:val="21"/>
              <w:rPr>
                <w:rFonts w:hint="eastAsia" w:ascii="宋体" w:hAnsi="宋体" w:eastAsia="宋体" w:cs="宋体"/>
                <w:color w:val="auto"/>
                <w:sz w:val="24"/>
                <w:szCs w:val="24"/>
                <w:highlight w:val="none"/>
              </w:rPr>
            </w:pPr>
          </w:p>
        </w:tc>
        <w:tc>
          <w:tcPr>
            <w:tcW w:w="1798" w:type="dxa"/>
            <w:vAlign w:val="top"/>
          </w:tcPr>
          <w:p w14:paraId="5214B6C3">
            <w:pPr>
              <w:pStyle w:val="21"/>
              <w:rPr>
                <w:rFonts w:hint="eastAsia" w:ascii="宋体" w:hAnsi="宋体" w:eastAsia="宋体" w:cs="宋体"/>
                <w:color w:val="auto"/>
                <w:sz w:val="24"/>
                <w:szCs w:val="24"/>
                <w:highlight w:val="none"/>
              </w:rPr>
            </w:pPr>
          </w:p>
        </w:tc>
        <w:tc>
          <w:tcPr>
            <w:tcW w:w="1398" w:type="dxa"/>
            <w:vAlign w:val="top"/>
          </w:tcPr>
          <w:p w14:paraId="359AD966">
            <w:pPr>
              <w:pStyle w:val="21"/>
              <w:rPr>
                <w:rFonts w:hint="eastAsia" w:ascii="宋体" w:hAnsi="宋体" w:eastAsia="宋体" w:cs="宋体"/>
                <w:color w:val="auto"/>
                <w:sz w:val="24"/>
                <w:szCs w:val="24"/>
                <w:highlight w:val="none"/>
              </w:rPr>
            </w:pPr>
          </w:p>
        </w:tc>
      </w:tr>
      <w:tr w14:paraId="132C3F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2" w:hRule="atLeast"/>
        </w:trPr>
        <w:tc>
          <w:tcPr>
            <w:tcW w:w="818" w:type="dxa"/>
            <w:vAlign w:val="top"/>
          </w:tcPr>
          <w:p w14:paraId="203D061C">
            <w:pPr>
              <w:spacing w:before="177" w:line="325" w:lineRule="exact"/>
              <w:ind w:left="197"/>
              <w:rPr>
                <w:rFonts w:hint="eastAsia" w:ascii="宋体" w:hAnsi="宋体" w:eastAsia="宋体" w:cs="宋体"/>
                <w:color w:val="auto"/>
                <w:sz w:val="24"/>
                <w:szCs w:val="24"/>
                <w:highlight w:val="none"/>
              </w:rPr>
            </w:pPr>
            <w:r>
              <w:rPr>
                <w:rFonts w:hint="eastAsia" w:ascii="宋体" w:hAnsi="宋体" w:eastAsia="宋体" w:cs="宋体"/>
                <w:color w:val="auto"/>
                <w:spacing w:val="-2"/>
                <w:position w:val="3"/>
                <w:sz w:val="24"/>
                <w:szCs w:val="24"/>
                <w:highlight w:val="none"/>
              </w:rPr>
              <w:t>……</w:t>
            </w:r>
          </w:p>
        </w:tc>
        <w:tc>
          <w:tcPr>
            <w:tcW w:w="1624" w:type="dxa"/>
            <w:gridSpan w:val="2"/>
            <w:vAlign w:val="top"/>
          </w:tcPr>
          <w:p w14:paraId="3022258E">
            <w:pPr>
              <w:pStyle w:val="21"/>
              <w:rPr>
                <w:rFonts w:hint="eastAsia" w:ascii="宋体" w:hAnsi="宋体" w:eastAsia="宋体" w:cs="宋体"/>
                <w:color w:val="auto"/>
                <w:sz w:val="24"/>
                <w:szCs w:val="24"/>
                <w:highlight w:val="none"/>
              </w:rPr>
            </w:pPr>
          </w:p>
        </w:tc>
        <w:tc>
          <w:tcPr>
            <w:tcW w:w="2037" w:type="dxa"/>
            <w:gridSpan w:val="2"/>
            <w:vAlign w:val="top"/>
          </w:tcPr>
          <w:p w14:paraId="13591C1A">
            <w:pPr>
              <w:pStyle w:val="21"/>
              <w:rPr>
                <w:rFonts w:hint="eastAsia" w:ascii="宋体" w:hAnsi="宋体" w:eastAsia="宋体" w:cs="宋体"/>
                <w:color w:val="auto"/>
                <w:sz w:val="24"/>
                <w:szCs w:val="24"/>
                <w:highlight w:val="none"/>
              </w:rPr>
            </w:pPr>
          </w:p>
        </w:tc>
        <w:tc>
          <w:tcPr>
            <w:tcW w:w="2062" w:type="dxa"/>
            <w:vAlign w:val="top"/>
          </w:tcPr>
          <w:p w14:paraId="7E190888">
            <w:pPr>
              <w:pStyle w:val="21"/>
              <w:rPr>
                <w:rFonts w:hint="eastAsia" w:ascii="宋体" w:hAnsi="宋体" w:eastAsia="宋体" w:cs="宋体"/>
                <w:color w:val="auto"/>
                <w:sz w:val="24"/>
                <w:szCs w:val="24"/>
                <w:highlight w:val="none"/>
              </w:rPr>
            </w:pPr>
          </w:p>
        </w:tc>
        <w:tc>
          <w:tcPr>
            <w:tcW w:w="1798" w:type="dxa"/>
            <w:vAlign w:val="top"/>
          </w:tcPr>
          <w:p w14:paraId="465A33C8">
            <w:pPr>
              <w:pStyle w:val="21"/>
              <w:rPr>
                <w:rFonts w:hint="eastAsia" w:ascii="宋体" w:hAnsi="宋体" w:eastAsia="宋体" w:cs="宋体"/>
                <w:color w:val="auto"/>
                <w:sz w:val="24"/>
                <w:szCs w:val="24"/>
                <w:highlight w:val="none"/>
              </w:rPr>
            </w:pPr>
          </w:p>
        </w:tc>
        <w:tc>
          <w:tcPr>
            <w:tcW w:w="1398" w:type="dxa"/>
            <w:vAlign w:val="top"/>
          </w:tcPr>
          <w:p w14:paraId="3E8CFEF8">
            <w:pPr>
              <w:pStyle w:val="21"/>
              <w:rPr>
                <w:rFonts w:hint="eastAsia" w:ascii="宋体" w:hAnsi="宋体" w:eastAsia="宋体" w:cs="宋体"/>
                <w:color w:val="auto"/>
                <w:sz w:val="24"/>
                <w:szCs w:val="24"/>
                <w:highlight w:val="none"/>
              </w:rPr>
            </w:pPr>
          </w:p>
        </w:tc>
      </w:tr>
    </w:tbl>
    <w:p w14:paraId="31E2A55D">
      <w:pPr>
        <w:pStyle w:val="5"/>
        <w:spacing w:line="315" w:lineRule="auto"/>
        <w:rPr>
          <w:rFonts w:hint="eastAsia" w:ascii="宋体" w:hAnsi="宋体" w:eastAsia="宋体" w:cs="宋体"/>
          <w:color w:val="auto"/>
          <w:highlight w:val="none"/>
        </w:rPr>
      </w:pPr>
    </w:p>
    <w:p w14:paraId="4A488FFC">
      <w:pPr>
        <w:spacing w:before="78" w:line="220" w:lineRule="auto"/>
        <w:ind w:left="6965"/>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项目经理</w:t>
      </w:r>
      <w:r>
        <w:rPr>
          <w:rFonts w:hint="eastAsia" w:ascii="宋体" w:hAnsi="宋体" w:eastAsia="宋体" w:cs="宋体"/>
          <w:color w:val="auto"/>
          <w:spacing w:val="-18"/>
          <w:sz w:val="24"/>
          <w:szCs w:val="24"/>
          <w:highlight w:val="none"/>
        </w:rPr>
        <w:t>：</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u w:val="single"/>
          <w:lang w:val="en-US" w:eastAsia="zh-CN"/>
        </w:rPr>
        <w:t xml:space="preserve">   </w:t>
      </w:r>
      <w:r>
        <w:rPr>
          <w:rFonts w:hint="eastAsia" w:ascii="宋体" w:hAnsi="宋体" w:eastAsia="宋体" w:cs="宋体"/>
          <w:color w:val="auto"/>
          <w:spacing w:val="-18"/>
          <w:sz w:val="24"/>
          <w:szCs w:val="24"/>
          <w:highlight w:val="none"/>
        </w:rPr>
        <w:t>（</w:t>
      </w:r>
      <w:r>
        <w:rPr>
          <w:rFonts w:hint="eastAsia" w:ascii="宋体" w:hAnsi="宋体" w:eastAsia="宋体" w:cs="宋体"/>
          <w:color w:val="auto"/>
          <w:spacing w:val="3"/>
          <w:sz w:val="24"/>
          <w:szCs w:val="24"/>
          <w:highlight w:val="none"/>
        </w:rPr>
        <w:t>签字）</w:t>
      </w:r>
    </w:p>
    <w:p w14:paraId="55084914">
      <w:pPr>
        <w:pStyle w:val="5"/>
        <w:spacing w:line="256" w:lineRule="auto"/>
        <w:rPr>
          <w:rFonts w:hint="eastAsia" w:ascii="宋体" w:hAnsi="宋体" w:eastAsia="宋体" w:cs="宋体"/>
          <w:color w:val="auto"/>
          <w:highlight w:val="none"/>
        </w:rPr>
      </w:pPr>
    </w:p>
    <w:p w14:paraId="04095A12">
      <w:pPr>
        <w:pStyle w:val="5"/>
        <w:spacing w:line="254" w:lineRule="auto"/>
        <w:jc w:val="right"/>
        <w:rPr>
          <w:rFonts w:hint="eastAsia" w:ascii="宋体" w:hAnsi="宋体" w:eastAsia="宋体" w:cs="宋体"/>
          <w:color w:val="auto"/>
          <w:highlight w:val="none"/>
        </w:rPr>
      </w:pPr>
      <w:r>
        <w:rPr>
          <w:rFonts w:hint="eastAsia" w:ascii="宋体" w:hAnsi="宋体" w:eastAsia="宋体" w:cs="宋体"/>
          <w:color w:val="auto"/>
          <w:spacing w:val="-4"/>
          <w:sz w:val="24"/>
          <w:szCs w:val="24"/>
          <w:highlight w:val="none"/>
          <w:lang w:val="en-US" w:eastAsia="zh-CN"/>
        </w:rPr>
        <w:t xml:space="preserve">               </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月</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日</w:t>
      </w:r>
    </w:p>
    <w:p w14:paraId="39040016">
      <w:pPr>
        <w:spacing w:before="78" w:line="220" w:lineRule="auto"/>
        <w:ind w:left="4226"/>
        <w:jc w:val="center"/>
        <w:rPr>
          <w:rFonts w:hint="eastAsia" w:ascii="宋体" w:hAnsi="宋体" w:eastAsia="宋体" w:cs="宋体"/>
          <w:color w:val="auto"/>
          <w:highlight w:val="none"/>
        </w:rPr>
      </w:pPr>
    </w:p>
    <w:p w14:paraId="09DFFC47">
      <w:pPr>
        <w:pStyle w:val="5"/>
        <w:spacing w:line="241" w:lineRule="auto"/>
        <w:rPr>
          <w:rFonts w:hint="eastAsia" w:ascii="宋体" w:hAnsi="宋体" w:eastAsia="宋体" w:cs="宋体"/>
          <w:color w:val="auto"/>
          <w:highlight w:val="none"/>
        </w:rPr>
      </w:pPr>
    </w:p>
    <w:p w14:paraId="19347D26">
      <w:pPr>
        <w:spacing w:before="65" w:line="228" w:lineRule="auto"/>
        <w:ind w:left="470"/>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说明：《项目经理简历表》后应附拟派项目经理以下资料：</w:t>
      </w:r>
    </w:p>
    <w:p w14:paraId="5F52ECB2">
      <w:pPr>
        <w:spacing w:before="152" w:line="228" w:lineRule="auto"/>
        <w:ind w:left="484"/>
        <w:outlineLvl w:val="9"/>
        <w:rPr>
          <w:rFonts w:hint="eastAsia" w:ascii="宋体" w:hAnsi="宋体" w:eastAsia="宋体" w:cs="宋体"/>
          <w:color w:val="auto"/>
          <w:sz w:val="24"/>
          <w:szCs w:val="24"/>
          <w:highlight w:val="none"/>
        </w:rPr>
      </w:pPr>
      <w:bookmarkStart w:id="251" w:name="_Toc25271"/>
      <w:bookmarkStart w:id="252" w:name="_Toc1942"/>
      <w:r>
        <w:rPr>
          <w:rFonts w:hint="eastAsia" w:ascii="宋体" w:hAnsi="宋体" w:eastAsia="宋体" w:cs="宋体"/>
          <w:color w:val="auto"/>
          <w:spacing w:val="3"/>
          <w:sz w:val="24"/>
          <w:szCs w:val="24"/>
          <w:highlight w:val="none"/>
        </w:rPr>
        <w:t>1</w:t>
      </w:r>
      <w:r>
        <w:rPr>
          <w:rFonts w:hint="eastAsia" w:ascii="宋体" w:hAnsi="宋体" w:eastAsia="宋体" w:cs="宋体"/>
          <w:color w:val="auto"/>
          <w:spacing w:val="-14"/>
          <w:sz w:val="24"/>
          <w:szCs w:val="24"/>
          <w:highlight w:val="none"/>
        </w:rPr>
        <w:t xml:space="preserve"> </w:t>
      </w:r>
      <w:r>
        <w:rPr>
          <w:rFonts w:hint="eastAsia" w:ascii="宋体" w:hAnsi="宋体" w:eastAsia="宋体" w:cs="宋体"/>
          <w:color w:val="auto"/>
          <w:spacing w:val="3"/>
          <w:sz w:val="24"/>
          <w:szCs w:val="24"/>
          <w:highlight w:val="none"/>
        </w:rPr>
        <w:t>．身份证彩色扫描件；</w:t>
      </w:r>
      <w:bookmarkEnd w:id="251"/>
      <w:bookmarkEnd w:id="252"/>
    </w:p>
    <w:p w14:paraId="4FCFE8D7">
      <w:pPr>
        <w:spacing w:before="153" w:line="228" w:lineRule="auto"/>
        <w:ind w:left="464"/>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2</w:t>
      </w:r>
      <w:r>
        <w:rPr>
          <w:rFonts w:hint="eastAsia" w:ascii="宋体" w:hAnsi="宋体" w:eastAsia="宋体" w:cs="宋体"/>
          <w:color w:val="auto"/>
          <w:spacing w:val="-6"/>
          <w:sz w:val="24"/>
          <w:szCs w:val="24"/>
          <w:highlight w:val="none"/>
        </w:rPr>
        <w:t xml:space="preserve"> </w:t>
      </w:r>
      <w:r>
        <w:rPr>
          <w:rFonts w:hint="eastAsia" w:ascii="宋体" w:hAnsi="宋体" w:eastAsia="宋体" w:cs="宋体"/>
          <w:color w:val="auto"/>
          <w:spacing w:val="8"/>
          <w:sz w:val="24"/>
          <w:szCs w:val="24"/>
          <w:highlight w:val="none"/>
        </w:rPr>
        <w:t>．建造师电子注册证书（在使用有效期内的有效电子证书）彩色扫描件；</w:t>
      </w:r>
    </w:p>
    <w:p w14:paraId="439F755F">
      <w:pPr>
        <w:spacing w:before="154" w:line="298" w:lineRule="auto"/>
        <w:ind w:left="50" w:right="167" w:firstLine="417"/>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3．B 类安全生产考核合格证书彩色扫描件或广东省建筑施工企业管理人员安全生产考核系统考</w:t>
      </w:r>
      <w:r>
        <w:rPr>
          <w:rFonts w:hint="eastAsia" w:ascii="宋体" w:hAnsi="宋体" w:eastAsia="宋体" w:cs="宋体"/>
          <w:color w:val="auto"/>
          <w:spacing w:val="15"/>
          <w:sz w:val="24"/>
          <w:szCs w:val="24"/>
          <w:highlight w:val="none"/>
        </w:rPr>
        <w:t xml:space="preserve"> </w:t>
      </w:r>
      <w:r>
        <w:rPr>
          <w:rFonts w:hint="eastAsia" w:ascii="宋体" w:hAnsi="宋体" w:eastAsia="宋体" w:cs="宋体"/>
          <w:color w:val="auto"/>
          <w:spacing w:val="7"/>
          <w:sz w:val="24"/>
          <w:szCs w:val="24"/>
          <w:highlight w:val="none"/>
        </w:rPr>
        <w:t>核合格信息彩色扫描件；</w:t>
      </w:r>
    </w:p>
    <w:p w14:paraId="540AD7C6">
      <w:pPr>
        <w:spacing w:before="153" w:line="299" w:lineRule="auto"/>
        <w:ind w:left="49" w:right="167" w:firstLine="413"/>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4</w:t>
      </w:r>
      <w:r>
        <w:rPr>
          <w:rFonts w:hint="eastAsia" w:ascii="宋体" w:hAnsi="宋体" w:eastAsia="宋体" w:cs="宋体"/>
          <w:color w:val="auto"/>
          <w:spacing w:val="-20"/>
          <w:sz w:val="24"/>
          <w:szCs w:val="24"/>
          <w:highlight w:val="none"/>
        </w:rPr>
        <w:t xml:space="preserve"> </w:t>
      </w:r>
      <w:r>
        <w:rPr>
          <w:rFonts w:hint="eastAsia" w:ascii="宋体" w:hAnsi="宋体" w:eastAsia="宋体" w:cs="宋体"/>
          <w:color w:val="auto"/>
          <w:spacing w:val="8"/>
          <w:sz w:val="24"/>
          <w:szCs w:val="24"/>
          <w:highlight w:val="none"/>
        </w:rPr>
        <w:t>．在本单位缴纳社保</w:t>
      </w:r>
      <w:r>
        <w:rPr>
          <w:rFonts w:hint="eastAsia" w:ascii="宋体" w:hAnsi="宋体" w:eastAsia="宋体" w:cs="宋体"/>
          <w:color w:val="auto"/>
          <w:sz w:val="24"/>
          <w:szCs w:val="24"/>
          <w:highlight w:val="none"/>
          <w:lang w:eastAsia="zh-CN"/>
        </w:rPr>
        <w:t>的证明（至少</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个月，其</w:t>
      </w:r>
      <w:bookmarkStart w:id="253" w:name="OLE_LINK38"/>
      <w:r>
        <w:rPr>
          <w:rFonts w:hint="eastAsia" w:ascii="宋体" w:hAnsi="宋体" w:eastAsia="宋体" w:cs="宋体"/>
          <w:color w:val="auto"/>
          <w:sz w:val="24"/>
          <w:szCs w:val="24"/>
          <w:highlight w:val="none"/>
          <w:lang w:eastAsia="zh-CN"/>
        </w:rPr>
        <w:t>中必须有20</w:t>
      </w:r>
      <w:r>
        <w:rPr>
          <w:rFonts w:hint="eastAsia" w:ascii="宋体" w:hAnsi="宋体" w:eastAsia="宋体" w:cs="宋体"/>
          <w:color w:val="auto"/>
          <w:sz w:val="24"/>
          <w:szCs w:val="24"/>
          <w:highlight w:val="none"/>
          <w:lang w:val="en-US" w:eastAsia="zh-CN"/>
        </w:rPr>
        <w:t>26</w:t>
      </w:r>
      <w:r>
        <w:rPr>
          <w:rFonts w:hint="eastAsia" w:ascii="宋体" w:hAnsi="宋体" w:eastAsia="宋体" w:cs="宋体"/>
          <w:color w:val="auto"/>
          <w:sz w:val="24"/>
          <w:szCs w:val="24"/>
          <w:highlight w:val="none"/>
          <w:lang w:eastAsia="zh-CN"/>
        </w:rPr>
        <w:t>年</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eastAsia="zh-CN"/>
        </w:rPr>
        <w:t>月</w:t>
      </w:r>
      <w:bookmarkEnd w:id="253"/>
      <w:r>
        <w:rPr>
          <w:rFonts w:hint="eastAsia" w:ascii="宋体" w:hAnsi="宋体" w:eastAsia="宋体" w:cs="宋体"/>
          <w:color w:val="auto"/>
          <w:sz w:val="24"/>
          <w:szCs w:val="24"/>
          <w:highlight w:val="none"/>
          <w:lang w:eastAsia="zh-CN"/>
        </w:rPr>
        <w:t>）</w:t>
      </w:r>
      <w:r>
        <w:rPr>
          <w:rFonts w:hint="eastAsia" w:ascii="宋体" w:hAnsi="宋体" w:eastAsia="宋体" w:cs="宋体"/>
          <w:color w:val="auto"/>
          <w:spacing w:val="8"/>
          <w:sz w:val="24"/>
          <w:szCs w:val="24"/>
          <w:highlight w:val="none"/>
        </w:rPr>
        <w:t>彩色扫描件或打印件。拟</w:t>
      </w:r>
      <w:r>
        <w:rPr>
          <w:rFonts w:hint="eastAsia" w:ascii="宋体" w:hAnsi="宋体" w:eastAsia="宋体" w:cs="宋体"/>
          <w:color w:val="auto"/>
          <w:spacing w:val="9"/>
          <w:sz w:val="24"/>
          <w:szCs w:val="24"/>
          <w:highlight w:val="none"/>
        </w:rPr>
        <w:t>派项目经理为退休返聘人员无法提供社保证明的，提供退休证和劳动合同彩色扫描件。</w:t>
      </w:r>
    </w:p>
    <w:p w14:paraId="0D76B9F6">
      <w:pPr>
        <w:spacing w:before="150" w:line="300" w:lineRule="auto"/>
        <w:ind w:left="49" w:right="170" w:firstLine="420"/>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5</w:t>
      </w:r>
      <w:r>
        <w:rPr>
          <w:rFonts w:hint="eastAsia" w:ascii="宋体" w:hAnsi="宋体" w:eastAsia="宋体" w:cs="宋体"/>
          <w:color w:val="auto"/>
          <w:spacing w:val="-21"/>
          <w:sz w:val="24"/>
          <w:szCs w:val="24"/>
          <w:highlight w:val="none"/>
        </w:rPr>
        <w:t xml:space="preserve"> </w:t>
      </w:r>
      <w:r>
        <w:rPr>
          <w:rFonts w:hint="eastAsia" w:ascii="宋体" w:hAnsi="宋体" w:eastAsia="宋体" w:cs="宋体"/>
          <w:color w:val="auto"/>
          <w:spacing w:val="7"/>
          <w:sz w:val="24"/>
          <w:szCs w:val="24"/>
          <w:highlight w:val="none"/>
        </w:rPr>
        <w:t>．“进粤企业和人员诚信信息登记平台</w:t>
      </w:r>
      <w:r>
        <w:rPr>
          <w:rFonts w:hint="eastAsia" w:ascii="宋体" w:hAnsi="宋体" w:eastAsia="宋体" w:cs="宋体"/>
          <w:color w:val="auto"/>
          <w:spacing w:val="-73"/>
          <w:sz w:val="24"/>
          <w:szCs w:val="24"/>
          <w:highlight w:val="none"/>
        </w:rPr>
        <w:t xml:space="preserve"> </w:t>
      </w:r>
      <w:r>
        <w:rPr>
          <w:rFonts w:hint="eastAsia" w:ascii="宋体" w:hAnsi="宋体" w:eastAsia="宋体" w:cs="宋体"/>
          <w:color w:val="auto"/>
          <w:spacing w:val="7"/>
          <w:sz w:val="24"/>
          <w:szCs w:val="24"/>
          <w:highlight w:val="none"/>
        </w:rPr>
        <w:t>”个人（项目经理等）信息</w:t>
      </w:r>
      <w:r>
        <w:rPr>
          <w:rFonts w:hint="eastAsia" w:ascii="宋体" w:hAnsi="宋体" w:eastAsia="宋体" w:cs="宋体"/>
          <w:color w:val="auto"/>
          <w:spacing w:val="6"/>
          <w:sz w:val="24"/>
          <w:szCs w:val="24"/>
          <w:highlight w:val="none"/>
        </w:rPr>
        <w:t>情况截图。（适用于省外建</w:t>
      </w:r>
      <w:r>
        <w:rPr>
          <w:rFonts w:hint="eastAsia" w:ascii="宋体" w:hAnsi="宋体" w:eastAsia="宋体" w:cs="宋体"/>
          <w:color w:val="auto"/>
          <w:spacing w:val="4"/>
          <w:sz w:val="24"/>
          <w:szCs w:val="24"/>
          <w:highlight w:val="none"/>
        </w:rPr>
        <w:t>筑企业）</w:t>
      </w:r>
    </w:p>
    <w:p w14:paraId="0073D580">
      <w:pPr>
        <w:spacing w:line="300" w:lineRule="auto"/>
        <w:rPr>
          <w:rFonts w:hint="eastAsia" w:ascii="宋体" w:hAnsi="宋体" w:eastAsia="宋体" w:cs="宋体"/>
          <w:color w:val="auto"/>
          <w:sz w:val="20"/>
          <w:szCs w:val="20"/>
          <w:highlight w:val="none"/>
        </w:rPr>
        <w:sectPr>
          <w:footerReference r:id="rId19"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23EA23D5">
      <w:pPr>
        <w:spacing w:before="78" w:line="220" w:lineRule="auto"/>
        <w:outlineLvl w:val="2"/>
        <w:rPr>
          <w:rFonts w:hint="eastAsia" w:ascii="宋体" w:hAnsi="宋体" w:eastAsia="宋体" w:cs="宋体"/>
          <w:b/>
          <w:bCs/>
          <w:color w:val="auto"/>
          <w:spacing w:val="-4"/>
          <w:sz w:val="24"/>
          <w:szCs w:val="24"/>
          <w:highlight w:val="none"/>
        </w:rPr>
      </w:pPr>
      <w:bookmarkStart w:id="254" w:name="_Toc30661"/>
      <w:r>
        <w:rPr>
          <w:rFonts w:hint="eastAsia" w:ascii="宋体" w:hAnsi="宋体" w:eastAsia="宋体" w:cs="宋体"/>
          <w:b/>
          <w:bCs/>
          <w:color w:val="auto"/>
          <w:spacing w:val="-4"/>
          <w:sz w:val="24"/>
          <w:szCs w:val="24"/>
          <w:highlight w:val="none"/>
        </w:rPr>
        <w:t>格式九 项目经理任职声明</w:t>
      </w:r>
      <w:bookmarkEnd w:id="254"/>
    </w:p>
    <w:p w14:paraId="612F2BD3">
      <w:pPr>
        <w:pStyle w:val="5"/>
        <w:spacing w:line="350" w:lineRule="auto"/>
        <w:rPr>
          <w:rFonts w:hint="eastAsia" w:ascii="宋体" w:hAnsi="宋体" w:eastAsia="宋体" w:cs="宋体"/>
          <w:color w:val="auto"/>
          <w:highlight w:val="none"/>
        </w:rPr>
      </w:pPr>
    </w:p>
    <w:p w14:paraId="64BA9CAE">
      <w:pPr>
        <w:pStyle w:val="5"/>
        <w:spacing w:line="350" w:lineRule="auto"/>
        <w:rPr>
          <w:rFonts w:hint="eastAsia" w:ascii="宋体" w:hAnsi="宋体" w:eastAsia="宋体" w:cs="宋体"/>
          <w:color w:val="auto"/>
          <w:highlight w:val="none"/>
        </w:rPr>
      </w:pPr>
    </w:p>
    <w:p w14:paraId="2CD81D3B">
      <w:pPr>
        <w:spacing w:before="98" w:line="220" w:lineRule="auto"/>
        <w:ind w:left="3338"/>
        <w:rPr>
          <w:rFonts w:hint="eastAsia" w:ascii="宋体" w:hAnsi="宋体" w:eastAsia="宋体" w:cs="宋体"/>
          <w:color w:val="auto"/>
          <w:sz w:val="30"/>
          <w:szCs w:val="30"/>
          <w:highlight w:val="none"/>
        </w:rPr>
      </w:pPr>
      <w:bookmarkStart w:id="255" w:name="bookmark157"/>
      <w:bookmarkEnd w:id="255"/>
      <w:r>
        <w:rPr>
          <w:rFonts w:hint="eastAsia" w:ascii="宋体" w:hAnsi="宋体" w:eastAsia="宋体" w:cs="宋体"/>
          <w:b/>
          <w:bCs/>
          <w:color w:val="auto"/>
          <w:spacing w:val="-5"/>
          <w:sz w:val="30"/>
          <w:szCs w:val="30"/>
          <w:highlight w:val="none"/>
        </w:rPr>
        <w:t>项目经理任职声明</w:t>
      </w:r>
    </w:p>
    <w:p w14:paraId="5E27ED4C">
      <w:pPr>
        <w:pStyle w:val="5"/>
        <w:spacing w:line="250" w:lineRule="auto"/>
        <w:rPr>
          <w:rFonts w:hint="eastAsia" w:ascii="宋体" w:hAnsi="宋体" w:eastAsia="宋体" w:cs="宋体"/>
          <w:color w:val="auto"/>
          <w:highlight w:val="none"/>
        </w:rPr>
      </w:pPr>
    </w:p>
    <w:p w14:paraId="2F282189">
      <w:pPr>
        <w:pStyle w:val="5"/>
        <w:spacing w:line="250" w:lineRule="auto"/>
        <w:rPr>
          <w:rFonts w:hint="eastAsia" w:ascii="宋体" w:hAnsi="宋体" w:eastAsia="宋体" w:cs="宋体"/>
          <w:color w:val="auto"/>
          <w:highlight w:val="none"/>
        </w:rPr>
      </w:pPr>
    </w:p>
    <w:p w14:paraId="5C8AA10A">
      <w:pPr>
        <w:pStyle w:val="5"/>
        <w:spacing w:line="251" w:lineRule="auto"/>
        <w:rPr>
          <w:rFonts w:hint="eastAsia" w:ascii="宋体" w:hAnsi="宋体" w:eastAsia="宋体" w:cs="宋体"/>
          <w:color w:val="auto"/>
          <w:highlight w:val="none"/>
        </w:rPr>
      </w:pPr>
    </w:p>
    <w:p w14:paraId="482F2F4D">
      <w:pPr>
        <w:spacing w:before="78" w:line="221" w:lineRule="auto"/>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致</w:t>
      </w:r>
      <w:r>
        <w:rPr>
          <w:rFonts w:hint="eastAsia" w:ascii="宋体" w:hAnsi="宋体" w:eastAsia="宋体" w:cs="宋体"/>
          <w:color w:val="auto"/>
          <w:spacing w:val="-17"/>
          <w:sz w:val="24"/>
          <w:szCs w:val="24"/>
          <w:highlight w:val="none"/>
        </w:rPr>
        <w:t>：</w:t>
      </w:r>
      <w:r>
        <w:rPr>
          <w:rFonts w:hint="eastAsia" w:ascii="宋体" w:hAnsi="宋体" w:eastAsia="宋体" w:cs="宋体"/>
          <w:color w:val="auto"/>
          <w:spacing w:val="-17"/>
          <w:sz w:val="24"/>
          <w:szCs w:val="24"/>
          <w:highlight w:val="none"/>
          <w:u w:val="single"/>
          <w:lang w:val="en-US" w:eastAsia="zh-CN"/>
        </w:rPr>
        <w:t xml:space="preserve">                </w:t>
      </w:r>
      <w:r>
        <w:rPr>
          <w:rFonts w:hint="eastAsia" w:ascii="宋体" w:hAnsi="宋体" w:eastAsia="宋体" w:cs="宋体"/>
          <w:color w:val="auto"/>
          <w:spacing w:val="-17"/>
          <w:sz w:val="24"/>
          <w:szCs w:val="24"/>
          <w:highlight w:val="none"/>
        </w:rPr>
        <w:t>（</w:t>
      </w:r>
      <w:r>
        <w:rPr>
          <w:rFonts w:hint="eastAsia" w:ascii="宋体" w:hAnsi="宋体" w:eastAsia="宋体" w:cs="宋体"/>
          <w:color w:val="auto"/>
          <w:spacing w:val="9"/>
          <w:sz w:val="24"/>
          <w:szCs w:val="24"/>
          <w:highlight w:val="none"/>
        </w:rPr>
        <w:t>招标人名称</w:t>
      </w:r>
      <w:r>
        <w:rPr>
          <w:rFonts w:hint="eastAsia" w:ascii="宋体" w:hAnsi="宋体" w:eastAsia="宋体" w:cs="宋体"/>
          <w:color w:val="auto"/>
          <w:spacing w:val="-17"/>
          <w:sz w:val="24"/>
          <w:szCs w:val="24"/>
          <w:highlight w:val="none"/>
        </w:rPr>
        <w:t>）</w:t>
      </w:r>
    </w:p>
    <w:p w14:paraId="0904F3EC">
      <w:pPr>
        <w:spacing w:before="155" w:line="324"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我方在此声明，我方拟派往</w:t>
      </w:r>
      <w:r>
        <w:rPr>
          <w:rFonts w:hint="eastAsia" w:ascii="宋体" w:hAnsi="宋体" w:eastAsia="宋体" w:cs="宋体"/>
          <w:color w:val="auto"/>
          <w:spacing w:val="-2"/>
          <w:sz w:val="24"/>
          <w:szCs w:val="24"/>
          <w:highlight w:val="none"/>
          <w:u w:val="single"/>
          <w:lang w:val="en-US" w:eastAsia="zh-CN"/>
        </w:rPr>
        <w:t xml:space="preserve">         </w:t>
      </w:r>
      <w:r>
        <w:rPr>
          <w:rFonts w:hint="eastAsia" w:ascii="宋体" w:hAnsi="宋体" w:eastAsia="宋体" w:cs="宋体"/>
          <w:color w:val="auto"/>
          <w:spacing w:val="-2"/>
          <w:sz w:val="24"/>
          <w:szCs w:val="24"/>
          <w:highlight w:val="none"/>
        </w:rPr>
        <w:t>（项目名称）的项目经理</w:t>
      </w:r>
      <w:r>
        <w:rPr>
          <w:rFonts w:hint="eastAsia" w:ascii="宋体" w:hAnsi="宋体" w:eastAsia="宋体" w:cs="宋体"/>
          <w:color w:val="auto"/>
          <w:spacing w:val="-2"/>
          <w:sz w:val="24"/>
          <w:szCs w:val="24"/>
          <w:highlight w:val="none"/>
          <w:u w:val="single"/>
          <w:lang w:val="en-US" w:eastAsia="zh-CN"/>
        </w:rPr>
        <w:t xml:space="preserve">        </w:t>
      </w:r>
      <w:r>
        <w:rPr>
          <w:rFonts w:hint="eastAsia" w:ascii="宋体" w:hAnsi="宋体" w:eastAsia="宋体" w:cs="宋体"/>
          <w:color w:val="auto"/>
          <w:spacing w:val="-2"/>
          <w:sz w:val="24"/>
          <w:szCs w:val="24"/>
          <w:highlight w:val="none"/>
        </w:rPr>
        <w:t>（项目经理姓名）现阶段没有</w:t>
      </w:r>
      <w:r>
        <w:rPr>
          <w:rFonts w:hint="eastAsia" w:ascii="宋体" w:hAnsi="宋体" w:eastAsia="宋体" w:cs="宋体"/>
          <w:color w:val="auto"/>
          <w:sz w:val="24"/>
          <w:szCs w:val="24"/>
          <w:highlight w:val="none"/>
        </w:rPr>
        <w:t>担任任何在施（包括已中标未开工、已开工未竣工）</w:t>
      </w:r>
      <w:r>
        <w:rPr>
          <w:rFonts w:hint="eastAsia" w:ascii="宋体" w:hAnsi="宋体" w:eastAsia="宋体" w:cs="宋体"/>
          <w:color w:val="auto"/>
          <w:spacing w:val="-1"/>
          <w:sz w:val="24"/>
          <w:szCs w:val="24"/>
          <w:highlight w:val="none"/>
        </w:rPr>
        <w:t>建设工程项目的项目经理。</w:t>
      </w:r>
    </w:p>
    <w:p w14:paraId="640324F8">
      <w:pPr>
        <w:spacing w:before="35" w:line="326" w:lineRule="auto"/>
        <w:ind w:firstLine="48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我方保证上述信息的真实和准确，并愿意承担因我方就此弄虚作假所引起的一切法</w:t>
      </w:r>
      <w:r>
        <w:rPr>
          <w:rFonts w:hint="eastAsia" w:ascii="宋体" w:hAnsi="宋体" w:eastAsia="宋体" w:cs="宋体"/>
          <w:color w:val="auto"/>
          <w:spacing w:val="-3"/>
          <w:sz w:val="24"/>
          <w:szCs w:val="24"/>
          <w:highlight w:val="none"/>
        </w:rPr>
        <w:t>律后果。</w:t>
      </w:r>
    </w:p>
    <w:p w14:paraId="509BB5DB">
      <w:pPr>
        <w:pStyle w:val="5"/>
        <w:spacing w:line="391" w:lineRule="auto"/>
        <w:rPr>
          <w:rFonts w:hint="eastAsia" w:ascii="宋体" w:hAnsi="宋体" w:eastAsia="宋体" w:cs="宋体"/>
          <w:color w:val="auto"/>
          <w:highlight w:val="none"/>
        </w:rPr>
      </w:pPr>
    </w:p>
    <w:p w14:paraId="7EA0A4E9">
      <w:pPr>
        <w:spacing w:before="78" w:line="220" w:lineRule="auto"/>
        <w:ind w:left="480"/>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特此承诺</w:t>
      </w:r>
    </w:p>
    <w:p w14:paraId="47C7F522">
      <w:pPr>
        <w:pStyle w:val="5"/>
        <w:spacing w:line="316" w:lineRule="auto"/>
        <w:rPr>
          <w:rFonts w:hint="eastAsia" w:ascii="宋体" w:hAnsi="宋体" w:eastAsia="宋体" w:cs="宋体"/>
          <w:color w:val="auto"/>
          <w:highlight w:val="none"/>
        </w:rPr>
      </w:pPr>
    </w:p>
    <w:p w14:paraId="166EE9AC">
      <w:pPr>
        <w:pStyle w:val="5"/>
        <w:spacing w:line="317" w:lineRule="auto"/>
        <w:rPr>
          <w:rFonts w:hint="eastAsia" w:ascii="宋体" w:hAnsi="宋体" w:eastAsia="宋体" w:cs="宋体"/>
          <w:color w:val="auto"/>
          <w:highlight w:val="none"/>
        </w:rPr>
      </w:pPr>
    </w:p>
    <w:p w14:paraId="708846AD">
      <w:pPr>
        <w:pStyle w:val="5"/>
        <w:spacing w:line="317" w:lineRule="auto"/>
        <w:rPr>
          <w:rFonts w:hint="eastAsia" w:ascii="宋体" w:hAnsi="宋体" w:eastAsia="宋体" w:cs="宋体"/>
          <w:color w:val="auto"/>
          <w:highlight w:val="none"/>
        </w:rPr>
      </w:pPr>
    </w:p>
    <w:p w14:paraId="07D0B977">
      <w:pPr>
        <w:spacing w:before="79" w:line="219" w:lineRule="auto"/>
        <w:jc w:val="right"/>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投标人</w:t>
      </w:r>
      <w:r>
        <w:rPr>
          <w:rFonts w:hint="eastAsia" w:ascii="宋体" w:hAnsi="宋体" w:eastAsia="宋体" w:cs="宋体"/>
          <w:color w:val="auto"/>
          <w:spacing w:val="-15"/>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pacing w:val="-15"/>
          <w:sz w:val="24"/>
          <w:szCs w:val="24"/>
          <w:highlight w:val="none"/>
        </w:rPr>
        <w:t>（</w:t>
      </w:r>
      <w:r>
        <w:rPr>
          <w:rFonts w:hint="eastAsia" w:ascii="宋体" w:hAnsi="宋体" w:eastAsia="宋体" w:cs="宋体"/>
          <w:color w:val="auto"/>
          <w:spacing w:val="2"/>
          <w:sz w:val="24"/>
          <w:szCs w:val="24"/>
          <w:highlight w:val="none"/>
        </w:rPr>
        <w:t>盖单位章）</w:t>
      </w:r>
    </w:p>
    <w:p w14:paraId="4F711471">
      <w:pPr>
        <w:pStyle w:val="5"/>
        <w:spacing w:line="317" w:lineRule="auto"/>
        <w:rPr>
          <w:rFonts w:hint="eastAsia" w:ascii="宋体" w:hAnsi="宋体" w:eastAsia="宋体" w:cs="宋体"/>
          <w:color w:val="auto"/>
          <w:highlight w:val="none"/>
        </w:rPr>
      </w:pPr>
    </w:p>
    <w:p w14:paraId="38491E5D">
      <w:pPr>
        <w:pStyle w:val="5"/>
        <w:spacing w:line="317" w:lineRule="auto"/>
        <w:rPr>
          <w:rFonts w:hint="eastAsia" w:ascii="宋体" w:hAnsi="宋体" w:eastAsia="宋体" w:cs="宋体"/>
          <w:color w:val="auto"/>
          <w:highlight w:val="none"/>
        </w:rPr>
      </w:pPr>
    </w:p>
    <w:p w14:paraId="2845CC21">
      <w:pPr>
        <w:pStyle w:val="5"/>
        <w:spacing w:line="317" w:lineRule="auto"/>
        <w:rPr>
          <w:rFonts w:hint="eastAsia" w:ascii="宋体" w:hAnsi="宋体" w:eastAsia="宋体" w:cs="宋体"/>
          <w:color w:val="auto"/>
          <w:highlight w:val="none"/>
        </w:rPr>
      </w:pPr>
    </w:p>
    <w:p w14:paraId="270F977A">
      <w:pPr>
        <w:spacing w:before="78" w:line="219" w:lineRule="auto"/>
        <w:jc w:val="right"/>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法定代表人或其委托代理人</w:t>
      </w:r>
      <w:r>
        <w:rPr>
          <w:rFonts w:hint="eastAsia" w:ascii="宋体" w:hAnsi="宋体" w:eastAsia="宋体" w:cs="宋体"/>
          <w:color w:val="auto"/>
          <w:spacing w:val="-15"/>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pacing w:val="-15"/>
          <w:sz w:val="24"/>
          <w:szCs w:val="24"/>
          <w:highlight w:val="none"/>
        </w:rPr>
        <w:t>（</w:t>
      </w:r>
      <w:r>
        <w:rPr>
          <w:rFonts w:hint="eastAsia" w:ascii="宋体" w:hAnsi="宋体" w:eastAsia="宋体" w:cs="宋体"/>
          <w:color w:val="auto"/>
          <w:spacing w:val="1"/>
          <w:sz w:val="24"/>
          <w:szCs w:val="24"/>
          <w:highlight w:val="none"/>
        </w:rPr>
        <w:t>签字或盖章）</w:t>
      </w:r>
    </w:p>
    <w:p w14:paraId="4FF68B7A">
      <w:pPr>
        <w:pStyle w:val="5"/>
        <w:spacing w:line="257" w:lineRule="auto"/>
        <w:rPr>
          <w:rFonts w:hint="eastAsia" w:ascii="宋体" w:hAnsi="宋体" w:eastAsia="宋体" w:cs="宋体"/>
          <w:color w:val="auto"/>
          <w:highlight w:val="none"/>
        </w:rPr>
      </w:pPr>
    </w:p>
    <w:p w14:paraId="24BB67B8">
      <w:pPr>
        <w:pStyle w:val="5"/>
        <w:spacing w:line="257" w:lineRule="auto"/>
        <w:rPr>
          <w:rFonts w:hint="eastAsia" w:ascii="宋体" w:hAnsi="宋体" w:eastAsia="宋体" w:cs="宋体"/>
          <w:color w:val="auto"/>
          <w:highlight w:val="none"/>
        </w:rPr>
      </w:pPr>
    </w:p>
    <w:p w14:paraId="1DEB93F9">
      <w:pPr>
        <w:pStyle w:val="5"/>
        <w:spacing w:line="254" w:lineRule="auto"/>
        <w:jc w:val="right"/>
        <w:rPr>
          <w:rFonts w:hint="eastAsia" w:ascii="宋体" w:hAnsi="宋体" w:eastAsia="宋体" w:cs="宋体"/>
          <w:color w:val="auto"/>
          <w:highlight w:val="none"/>
        </w:rPr>
      </w:pP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月</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日</w:t>
      </w:r>
    </w:p>
    <w:p w14:paraId="09C55D77">
      <w:pPr>
        <w:spacing w:line="220" w:lineRule="auto"/>
        <w:rPr>
          <w:rFonts w:hint="eastAsia" w:ascii="宋体" w:hAnsi="宋体" w:eastAsia="宋体" w:cs="宋体"/>
          <w:color w:val="auto"/>
          <w:sz w:val="24"/>
          <w:szCs w:val="24"/>
          <w:highlight w:val="none"/>
        </w:rPr>
        <w:sectPr>
          <w:footerReference r:id="rId20"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2C279ED4">
      <w:pPr>
        <w:spacing w:before="78" w:line="220" w:lineRule="auto"/>
        <w:outlineLvl w:val="2"/>
        <w:rPr>
          <w:rFonts w:hint="eastAsia" w:ascii="宋体" w:hAnsi="宋体" w:eastAsia="宋体" w:cs="宋体"/>
          <w:b/>
          <w:bCs/>
          <w:color w:val="auto"/>
          <w:spacing w:val="-4"/>
          <w:sz w:val="24"/>
          <w:szCs w:val="24"/>
          <w:highlight w:val="none"/>
        </w:rPr>
      </w:pPr>
      <w:bookmarkStart w:id="256" w:name="_Toc31071"/>
      <w:r>
        <w:rPr>
          <w:rFonts w:hint="eastAsia" w:ascii="宋体" w:hAnsi="宋体" w:eastAsia="宋体" w:cs="宋体"/>
          <w:b/>
          <w:bCs/>
          <w:color w:val="auto"/>
          <w:spacing w:val="-4"/>
          <w:sz w:val="24"/>
          <w:szCs w:val="24"/>
          <w:highlight w:val="none"/>
        </w:rPr>
        <w:t>格式十 项目技术负责人简历表</w:t>
      </w:r>
      <w:bookmarkEnd w:id="256"/>
    </w:p>
    <w:p w14:paraId="675D0539">
      <w:pPr>
        <w:pStyle w:val="5"/>
        <w:spacing w:line="444" w:lineRule="auto"/>
        <w:rPr>
          <w:rFonts w:hint="eastAsia" w:ascii="宋体" w:hAnsi="宋体" w:eastAsia="宋体" w:cs="宋体"/>
          <w:color w:val="auto"/>
          <w:highlight w:val="none"/>
        </w:rPr>
      </w:pPr>
    </w:p>
    <w:p w14:paraId="0EE5F1FB">
      <w:pPr>
        <w:spacing w:before="97" w:line="219" w:lineRule="auto"/>
        <w:ind w:left="3087"/>
        <w:outlineLvl w:val="9"/>
        <w:rPr>
          <w:rFonts w:hint="eastAsia" w:ascii="宋体" w:hAnsi="宋体" w:eastAsia="宋体" w:cs="宋体"/>
          <w:color w:val="auto"/>
          <w:sz w:val="30"/>
          <w:szCs w:val="30"/>
          <w:highlight w:val="none"/>
        </w:rPr>
      </w:pPr>
      <w:bookmarkStart w:id="257" w:name="_Toc1553"/>
      <w:bookmarkStart w:id="258" w:name="_Toc25712"/>
      <w:r>
        <w:rPr>
          <w:rFonts w:hint="eastAsia" w:ascii="宋体" w:hAnsi="宋体" w:eastAsia="宋体" w:cs="宋体"/>
          <w:b/>
          <w:bCs/>
          <w:color w:val="auto"/>
          <w:spacing w:val="-4"/>
          <w:sz w:val="30"/>
          <w:szCs w:val="30"/>
          <w:highlight w:val="none"/>
        </w:rPr>
        <w:t>项目技术负责人简历表</w:t>
      </w:r>
      <w:bookmarkEnd w:id="257"/>
      <w:bookmarkEnd w:id="258"/>
    </w:p>
    <w:p w14:paraId="0C4EC7B8">
      <w:pPr>
        <w:spacing w:line="240" w:lineRule="exact"/>
        <w:rPr>
          <w:rFonts w:hint="eastAsia" w:ascii="宋体" w:hAnsi="宋体" w:eastAsia="宋体" w:cs="宋体"/>
          <w:color w:val="auto"/>
          <w:highlight w:val="none"/>
        </w:rPr>
      </w:pPr>
    </w:p>
    <w:tbl>
      <w:tblPr>
        <w:tblStyle w:val="14"/>
        <w:tblW w:w="965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0"/>
        <w:gridCol w:w="1003"/>
        <w:gridCol w:w="607"/>
        <w:gridCol w:w="675"/>
        <w:gridCol w:w="1346"/>
        <w:gridCol w:w="2047"/>
        <w:gridCol w:w="1783"/>
        <w:gridCol w:w="1386"/>
      </w:tblGrid>
      <w:tr w14:paraId="54649E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jc w:val="center"/>
        </w:trPr>
        <w:tc>
          <w:tcPr>
            <w:tcW w:w="1813" w:type="dxa"/>
            <w:gridSpan w:val="2"/>
            <w:vAlign w:val="top"/>
          </w:tcPr>
          <w:p w14:paraId="07401C12">
            <w:pPr>
              <w:spacing w:before="177" w:line="228" w:lineRule="auto"/>
              <w:ind w:left="50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w:t>
            </w:r>
            <w:r>
              <w:rPr>
                <w:rFonts w:hint="eastAsia" w:ascii="宋体" w:hAnsi="宋体" w:eastAsia="宋体" w:cs="宋体"/>
                <w:color w:val="auto"/>
                <w:spacing w:val="9"/>
                <w:sz w:val="24"/>
                <w:szCs w:val="24"/>
                <w:highlight w:val="none"/>
              </w:rPr>
              <w:t xml:space="preserve">   </w:t>
            </w:r>
            <w:r>
              <w:rPr>
                <w:rFonts w:hint="eastAsia" w:ascii="宋体" w:hAnsi="宋体" w:eastAsia="宋体" w:cs="宋体"/>
                <w:color w:val="auto"/>
                <w:sz w:val="24"/>
                <w:szCs w:val="24"/>
                <w:highlight w:val="none"/>
              </w:rPr>
              <w:t>名</w:t>
            </w:r>
          </w:p>
        </w:tc>
        <w:tc>
          <w:tcPr>
            <w:tcW w:w="1282" w:type="dxa"/>
            <w:gridSpan w:val="2"/>
            <w:vAlign w:val="top"/>
          </w:tcPr>
          <w:p w14:paraId="1DDDCFB5">
            <w:pPr>
              <w:pStyle w:val="21"/>
              <w:rPr>
                <w:rFonts w:hint="eastAsia" w:ascii="宋体" w:hAnsi="宋体" w:eastAsia="宋体" w:cs="宋体"/>
                <w:color w:val="auto"/>
                <w:sz w:val="24"/>
                <w:szCs w:val="24"/>
                <w:highlight w:val="none"/>
              </w:rPr>
            </w:pPr>
          </w:p>
        </w:tc>
        <w:tc>
          <w:tcPr>
            <w:tcW w:w="1346" w:type="dxa"/>
            <w:vAlign w:val="top"/>
          </w:tcPr>
          <w:p w14:paraId="3A00E866">
            <w:pPr>
              <w:spacing w:before="177" w:line="229" w:lineRule="auto"/>
              <w:ind w:left="33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性</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z w:val="24"/>
                <w:szCs w:val="24"/>
                <w:highlight w:val="none"/>
              </w:rPr>
              <w:t>别</w:t>
            </w:r>
          </w:p>
        </w:tc>
        <w:tc>
          <w:tcPr>
            <w:tcW w:w="2047" w:type="dxa"/>
            <w:vAlign w:val="top"/>
          </w:tcPr>
          <w:p w14:paraId="2C9F5B8C">
            <w:pPr>
              <w:pStyle w:val="21"/>
              <w:rPr>
                <w:rFonts w:hint="eastAsia" w:ascii="宋体" w:hAnsi="宋体" w:eastAsia="宋体" w:cs="宋体"/>
                <w:color w:val="auto"/>
                <w:sz w:val="24"/>
                <w:szCs w:val="24"/>
                <w:highlight w:val="none"/>
              </w:rPr>
            </w:pPr>
          </w:p>
        </w:tc>
        <w:tc>
          <w:tcPr>
            <w:tcW w:w="1783" w:type="dxa"/>
            <w:vAlign w:val="top"/>
          </w:tcPr>
          <w:p w14:paraId="7B35F84B">
            <w:pPr>
              <w:spacing w:before="177" w:line="228" w:lineRule="auto"/>
              <w:ind w:left="48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w:t>
            </w:r>
            <w:r>
              <w:rPr>
                <w:rFonts w:hint="eastAsia" w:ascii="宋体" w:hAnsi="宋体" w:eastAsia="宋体" w:cs="宋体"/>
                <w:color w:val="auto"/>
                <w:spacing w:val="8"/>
                <w:sz w:val="24"/>
                <w:szCs w:val="24"/>
                <w:highlight w:val="none"/>
              </w:rPr>
              <w:t xml:space="preserve">   </w:t>
            </w:r>
            <w:r>
              <w:rPr>
                <w:rFonts w:hint="eastAsia" w:ascii="宋体" w:hAnsi="宋体" w:eastAsia="宋体" w:cs="宋体"/>
                <w:color w:val="auto"/>
                <w:sz w:val="24"/>
                <w:szCs w:val="24"/>
                <w:highlight w:val="none"/>
              </w:rPr>
              <w:t>龄</w:t>
            </w:r>
          </w:p>
        </w:tc>
        <w:tc>
          <w:tcPr>
            <w:tcW w:w="1386" w:type="dxa"/>
            <w:vAlign w:val="top"/>
          </w:tcPr>
          <w:p w14:paraId="60520BF4">
            <w:pPr>
              <w:pStyle w:val="21"/>
              <w:rPr>
                <w:rFonts w:hint="eastAsia" w:ascii="宋体" w:hAnsi="宋体" w:eastAsia="宋体" w:cs="宋体"/>
                <w:color w:val="auto"/>
                <w:sz w:val="24"/>
                <w:szCs w:val="24"/>
                <w:highlight w:val="none"/>
              </w:rPr>
            </w:pPr>
          </w:p>
        </w:tc>
      </w:tr>
      <w:tr w14:paraId="0D966A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jc w:val="center"/>
        </w:trPr>
        <w:tc>
          <w:tcPr>
            <w:tcW w:w="1813" w:type="dxa"/>
            <w:gridSpan w:val="2"/>
            <w:vAlign w:val="top"/>
          </w:tcPr>
          <w:p w14:paraId="1C3F8DB8">
            <w:pPr>
              <w:spacing w:before="175" w:line="228" w:lineRule="auto"/>
              <w:ind w:left="50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w:t>
            </w:r>
            <w:r>
              <w:rPr>
                <w:rFonts w:hint="eastAsia" w:ascii="宋体" w:hAnsi="宋体" w:eastAsia="宋体" w:cs="宋体"/>
                <w:color w:val="auto"/>
                <w:spacing w:val="8"/>
                <w:sz w:val="24"/>
                <w:szCs w:val="24"/>
                <w:highlight w:val="none"/>
              </w:rPr>
              <w:t xml:space="preserve">   </w:t>
            </w:r>
            <w:r>
              <w:rPr>
                <w:rFonts w:hint="eastAsia" w:ascii="宋体" w:hAnsi="宋体" w:eastAsia="宋体" w:cs="宋体"/>
                <w:color w:val="auto"/>
                <w:sz w:val="24"/>
                <w:szCs w:val="24"/>
                <w:highlight w:val="none"/>
              </w:rPr>
              <w:t>务</w:t>
            </w:r>
          </w:p>
        </w:tc>
        <w:tc>
          <w:tcPr>
            <w:tcW w:w="1282" w:type="dxa"/>
            <w:gridSpan w:val="2"/>
            <w:vAlign w:val="top"/>
          </w:tcPr>
          <w:p w14:paraId="19790CAF">
            <w:pPr>
              <w:pStyle w:val="21"/>
              <w:rPr>
                <w:rFonts w:hint="eastAsia" w:ascii="宋体" w:hAnsi="宋体" w:eastAsia="宋体" w:cs="宋体"/>
                <w:color w:val="auto"/>
                <w:sz w:val="24"/>
                <w:szCs w:val="24"/>
                <w:highlight w:val="none"/>
              </w:rPr>
            </w:pPr>
          </w:p>
        </w:tc>
        <w:tc>
          <w:tcPr>
            <w:tcW w:w="1346" w:type="dxa"/>
            <w:vAlign w:val="top"/>
          </w:tcPr>
          <w:p w14:paraId="1732E3C0">
            <w:pPr>
              <w:spacing w:before="174" w:line="231" w:lineRule="auto"/>
              <w:ind w:left="33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w:t>
            </w:r>
            <w:r>
              <w:rPr>
                <w:rFonts w:hint="eastAsia" w:ascii="宋体" w:hAnsi="宋体" w:eastAsia="宋体" w:cs="宋体"/>
                <w:color w:val="auto"/>
                <w:spacing w:val="9"/>
                <w:sz w:val="24"/>
                <w:szCs w:val="24"/>
                <w:highlight w:val="none"/>
              </w:rPr>
              <w:t xml:space="preserve">  </w:t>
            </w:r>
            <w:r>
              <w:rPr>
                <w:rFonts w:hint="eastAsia" w:ascii="宋体" w:hAnsi="宋体" w:eastAsia="宋体" w:cs="宋体"/>
                <w:color w:val="auto"/>
                <w:sz w:val="24"/>
                <w:szCs w:val="24"/>
                <w:highlight w:val="none"/>
              </w:rPr>
              <w:t>称</w:t>
            </w:r>
          </w:p>
        </w:tc>
        <w:tc>
          <w:tcPr>
            <w:tcW w:w="2047" w:type="dxa"/>
            <w:vAlign w:val="top"/>
          </w:tcPr>
          <w:p w14:paraId="481B37E4">
            <w:pPr>
              <w:pStyle w:val="21"/>
              <w:rPr>
                <w:rFonts w:hint="eastAsia" w:ascii="宋体" w:hAnsi="宋体" w:eastAsia="宋体" w:cs="宋体"/>
                <w:color w:val="auto"/>
                <w:sz w:val="24"/>
                <w:szCs w:val="24"/>
                <w:highlight w:val="none"/>
              </w:rPr>
            </w:pPr>
          </w:p>
        </w:tc>
        <w:tc>
          <w:tcPr>
            <w:tcW w:w="1783" w:type="dxa"/>
            <w:vAlign w:val="top"/>
          </w:tcPr>
          <w:p w14:paraId="56AB3CDE">
            <w:pPr>
              <w:spacing w:before="175" w:line="230" w:lineRule="auto"/>
              <w:ind w:left="49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学</w:t>
            </w:r>
            <w:r>
              <w:rPr>
                <w:rFonts w:hint="eastAsia" w:ascii="宋体" w:hAnsi="宋体" w:eastAsia="宋体" w:cs="宋体"/>
                <w:color w:val="auto"/>
                <w:spacing w:val="9"/>
                <w:sz w:val="24"/>
                <w:szCs w:val="24"/>
                <w:highlight w:val="none"/>
              </w:rPr>
              <w:t xml:space="preserve">   </w:t>
            </w:r>
            <w:r>
              <w:rPr>
                <w:rFonts w:hint="eastAsia" w:ascii="宋体" w:hAnsi="宋体" w:eastAsia="宋体" w:cs="宋体"/>
                <w:color w:val="auto"/>
                <w:spacing w:val="-2"/>
                <w:sz w:val="24"/>
                <w:szCs w:val="24"/>
                <w:highlight w:val="none"/>
              </w:rPr>
              <w:t>历</w:t>
            </w:r>
          </w:p>
        </w:tc>
        <w:tc>
          <w:tcPr>
            <w:tcW w:w="1386" w:type="dxa"/>
            <w:vAlign w:val="top"/>
          </w:tcPr>
          <w:p w14:paraId="5C9CA710">
            <w:pPr>
              <w:pStyle w:val="21"/>
              <w:rPr>
                <w:rFonts w:hint="eastAsia" w:ascii="宋体" w:hAnsi="宋体" w:eastAsia="宋体" w:cs="宋体"/>
                <w:color w:val="auto"/>
                <w:sz w:val="24"/>
                <w:szCs w:val="24"/>
                <w:highlight w:val="none"/>
              </w:rPr>
            </w:pPr>
          </w:p>
        </w:tc>
      </w:tr>
      <w:tr w14:paraId="06ECC0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7" w:hRule="atLeast"/>
          <w:jc w:val="center"/>
        </w:trPr>
        <w:tc>
          <w:tcPr>
            <w:tcW w:w="1813" w:type="dxa"/>
            <w:gridSpan w:val="2"/>
            <w:vAlign w:val="top"/>
          </w:tcPr>
          <w:p w14:paraId="2C6D39E6">
            <w:pPr>
              <w:spacing w:before="175" w:line="229" w:lineRule="auto"/>
              <w:ind w:left="248"/>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参加工作时间</w:t>
            </w:r>
          </w:p>
        </w:tc>
        <w:tc>
          <w:tcPr>
            <w:tcW w:w="2628" w:type="dxa"/>
            <w:gridSpan w:val="3"/>
            <w:vAlign w:val="top"/>
          </w:tcPr>
          <w:p w14:paraId="51D2A335">
            <w:pPr>
              <w:pStyle w:val="21"/>
              <w:rPr>
                <w:rFonts w:hint="eastAsia" w:ascii="宋体" w:hAnsi="宋体" w:eastAsia="宋体" w:cs="宋体"/>
                <w:color w:val="auto"/>
                <w:sz w:val="24"/>
                <w:szCs w:val="24"/>
                <w:highlight w:val="none"/>
              </w:rPr>
            </w:pPr>
          </w:p>
        </w:tc>
        <w:tc>
          <w:tcPr>
            <w:tcW w:w="3830" w:type="dxa"/>
            <w:gridSpan w:val="2"/>
            <w:vAlign w:val="top"/>
          </w:tcPr>
          <w:p w14:paraId="43C0FC45">
            <w:pPr>
              <w:spacing w:before="176" w:line="228" w:lineRule="auto"/>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从事工程建设项目管理工作年限</w:t>
            </w:r>
          </w:p>
        </w:tc>
        <w:tc>
          <w:tcPr>
            <w:tcW w:w="1386" w:type="dxa"/>
            <w:vAlign w:val="top"/>
          </w:tcPr>
          <w:p w14:paraId="75D20512">
            <w:pPr>
              <w:pStyle w:val="21"/>
              <w:rPr>
                <w:rFonts w:hint="eastAsia" w:ascii="宋体" w:hAnsi="宋体" w:eastAsia="宋体" w:cs="宋体"/>
                <w:color w:val="auto"/>
                <w:sz w:val="24"/>
                <w:szCs w:val="24"/>
                <w:highlight w:val="none"/>
              </w:rPr>
            </w:pPr>
          </w:p>
        </w:tc>
      </w:tr>
      <w:tr w14:paraId="40C133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jc w:val="center"/>
        </w:trPr>
        <w:tc>
          <w:tcPr>
            <w:tcW w:w="9657" w:type="dxa"/>
            <w:gridSpan w:val="8"/>
            <w:vAlign w:val="top"/>
          </w:tcPr>
          <w:p w14:paraId="43E8CDA2">
            <w:pPr>
              <w:spacing w:before="176" w:line="228" w:lineRule="auto"/>
              <w:ind w:left="2041"/>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以项目技术负责人身份参与过的主要业绩（已完工项目）</w:t>
            </w:r>
          </w:p>
        </w:tc>
      </w:tr>
      <w:tr w14:paraId="705EE7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7" w:hRule="atLeast"/>
          <w:jc w:val="center"/>
        </w:trPr>
        <w:tc>
          <w:tcPr>
            <w:tcW w:w="810" w:type="dxa"/>
            <w:vAlign w:val="top"/>
          </w:tcPr>
          <w:p w14:paraId="36F5A08A">
            <w:pPr>
              <w:spacing w:before="176" w:line="230" w:lineRule="auto"/>
              <w:ind w:left="183"/>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序号</w:t>
            </w:r>
          </w:p>
        </w:tc>
        <w:tc>
          <w:tcPr>
            <w:tcW w:w="1610" w:type="dxa"/>
            <w:gridSpan w:val="2"/>
            <w:vAlign w:val="top"/>
          </w:tcPr>
          <w:p w14:paraId="1A081902">
            <w:pPr>
              <w:spacing w:before="176" w:line="229" w:lineRule="auto"/>
              <w:ind w:left="359"/>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项目名称</w:t>
            </w:r>
          </w:p>
        </w:tc>
        <w:tc>
          <w:tcPr>
            <w:tcW w:w="2021" w:type="dxa"/>
            <w:gridSpan w:val="2"/>
            <w:vAlign w:val="top"/>
          </w:tcPr>
          <w:p w14:paraId="773730B3">
            <w:pPr>
              <w:spacing w:before="176" w:line="229" w:lineRule="auto"/>
              <w:ind w:left="557"/>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建设单位</w:t>
            </w:r>
          </w:p>
        </w:tc>
        <w:tc>
          <w:tcPr>
            <w:tcW w:w="2047" w:type="dxa"/>
            <w:vAlign w:val="top"/>
          </w:tcPr>
          <w:p w14:paraId="271BA220">
            <w:pPr>
              <w:spacing w:before="176" w:line="228"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建设内容和规模</w:t>
            </w:r>
          </w:p>
        </w:tc>
        <w:tc>
          <w:tcPr>
            <w:tcW w:w="1783" w:type="dxa"/>
            <w:vAlign w:val="top"/>
          </w:tcPr>
          <w:p w14:paraId="26A77878">
            <w:pPr>
              <w:spacing w:before="176" w:line="228" w:lineRule="auto"/>
              <w:ind w:left="237"/>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开、竣工日期</w:t>
            </w:r>
          </w:p>
        </w:tc>
        <w:tc>
          <w:tcPr>
            <w:tcW w:w="1386" w:type="dxa"/>
            <w:vAlign w:val="top"/>
          </w:tcPr>
          <w:p w14:paraId="311F0986">
            <w:pPr>
              <w:spacing w:before="176" w:line="228" w:lineRule="auto"/>
              <w:ind w:left="251"/>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质量等级</w:t>
            </w:r>
          </w:p>
        </w:tc>
      </w:tr>
      <w:tr w14:paraId="60A134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jc w:val="center"/>
        </w:trPr>
        <w:tc>
          <w:tcPr>
            <w:tcW w:w="810" w:type="dxa"/>
            <w:vAlign w:val="top"/>
          </w:tcPr>
          <w:p w14:paraId="49B2F7FC">
            <w:pPr>
              <w:spacing w:before="214" w:line="195" w:lineRule="auto"/>
              <w:ind w:left="35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610" w:type="dxa"/>
            <w:gridSpan w:val="2"/>
            <w:vAlign w:val="top"/>
          </w:tcPr>
          <w:p w14:paraId="1D017C43">
            <w:pPr>
              <w:pStyle w:val="21"/>
              <w:rPr>
                <w:rFonts w:hint="eastAsia" w:ascii="宋体" w:hAnsi="宋体" w:eastAsia="宋体" w:cs="宋体"/>
                <w:color w:val="auto"/>
                <w:sz w:val="24"/>
                <w:szCs w:val="24"/>
                <w:highlight w:val="none"/>
              </w:rPr>
            </w:pPr>
          </w:p>
        </w:tc>
        <w:tc>
          <w:tcPr>
            <w:tcW w:w="2021" w:type="dxa"/>
            <w:gridSpan w:val="2"/>
            <w:vAlign w:val="top"/>
          </w:tcPr>
          <w:p w14:paraId="270436EC">
            <w:pPr>
              <w:pStyle w:val="21"/>
              <w:rPr>
                <w:rFonts w:hint="eastAsia" w:ascii="宋体" w:hAnsi="宋体" w:eastAsia="宋体" w:cs="宋体"/>
                <w:color w:val="auto"/>
                <w:sz w:val="24"/>
                <w:szCs w:val="24"/>
                <w:highlight w:val="none"/>
              </w:rPr>
            </w:pPr>
          </w:p>
        </w:tc>
        <w:tc>
          <w:tcPr>
            <w:tcW w:w="2047" w:type="dxa"/>
            <w:vAlign w:val="top"/>
          </w:tcPr>
          <w:p w14:paraId="254FE938">
            <w:pPr>
              <w:pStyle w:val="21"/>
              <w:rPr>
                <w:rFonts w:hint="eastAsia" w:ascii="宋体" w:hAnsi="宋体" w:eastAsia="宋体" w:cs="宋体"/>
                <w:color w:val="auto"/>
                <w:sz w:val="24"/>
                <w:szCs w:val="24"/>
                <w:highlight w:val="none"/>
              </w:rPr>
            </w:pPr>
          </w:p>
        </w:tc>
        <w:tc>
          <w:tcPr>
            <w:tcW w:w="1783" w:type="dxa"/>
            <w:vAlign w:val="top"/>
          </w:tcPr>
          <w:p w14:paraId="355EA15C">
            <w:pPr>
              <w:pStyle w:val="21"/>
              <w:rPr>
                <w:rFonts w:hint="eastAsia" w:ascii="宋体" w:hAnsi="宋体" w:eastAsia="宋体" w:cs="宋体"/>
                <w:color w:val="auto"/>
                <w:sz w:val="24"/>
                <w:szCs w:val="24"/>
                <w:highlight w:val="none"/>
              </w:rPr>
            </w:pPr>
          </w:p>
        </w:tc>
        <w:tc>
          <w:tcPr>
            <w:tcW w:w="1386" w:type="dxa"/>
            <w:vAlign w:val="top"/>
          </w:tcPr>
          <w:p w14:paraId="3A063067">
            <w:pPr>
              <w:pStyle w:val="21"/>
              <w:rPr>
                <w:rFonts w:hint="eastAsia" w:ascii="宋体" w:hAnsi="宋体" w:eastAsia="宋体" w:cs="宋体"/>
                <w:color w:val="auto"/>
                <w:sz w:val="24"/>
                <w:szCs w:val="24"/>
                <w:highlight w:val="none"/>
              </w:rPr>
            </w:pPr>
          </w:p>
        </w:tc>
      </w:tr>
      <w:tr w14:paraId="76EDBD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jc w:val="center"/>
        </w:trPr>
        <w:tc>
          <w:tcPr>
            <w:tcW w:w="810" w:type="dxa"/>
            <w:vAlign w:val="top"/>
          </w:tcPr>
          <w:p w14:paraId="08B6618B">
            <w:pPr>
              <w:spacing w:before="213" w:line="195" w:lineRule="auto"/>
              <w:ind w:left="33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610" w:type="dxa"/>
            <w:gridSpan w:val="2"/>
            <w:vAlign w:val="top"/>
          </w:tcPr>
          <w:p w14:paraId="0C5944E3">
            <w:pPr>
              <w:pStyle w:val="21"/>
              <w:rPr>
                <w:rFonts w:hint="eastAsia" w:ascii="宋体" w:hAnsi="宋体" w:eastAsia="宋体" w:cs="宋体"/>
                <w:color w:val="auto"/>
                <w:sz w:val="24"/>
                <w:szCs w:val="24"/>
                <w:highlight w:val="none"/>
              </w:rPr>
            </w:pPr>
          </w:p>
        </w:tc>
        <w:tc>
          <w:tcPr>
            <w:tcW w:w="2021" w:type="dxa"/>
            <w:gridSpan w:val="2"/>
            <w:vAlign w:val="top"/>
          </w:tcPr>
          <w:p w14:paraId="4FF33181">
            <w:pPr>
              <w:pStyle w:val="21"/>
              <w:rPr>
                <w:rFonts w:hint="eastAsia" w:ascii="宋体" w:hAnsi="宋体" w:eastAsia="宋体" w:cs="宋体"/>
                <w:color w:val="auto"/>
                <w:sz w:val="24"/>
                <w:szCs w:val="24"/>
                <w:highlight w:val="none"/>
              </w:rPr>
            </w:pPr>
          </w:p>
        </w:tc>
        <w:tc>
          <w:tcPr>
            <w:tcW w:w="2047" w:type="dxa"/>
            <w:vAlign w:val="top"/>
          </w:tcPr>
          <w:p w14:paraId="7DB0E2CE">
            <w:pPr>
              <w:pStyle w:val="21"/>
              <w:rPr>
                <w:rFonts w:hint="eastAsia" w:ascii="宋体" w:hAnsi="宋体" w:eastAsia="宋体" w:cs="宋体"/>
                <w:color w:val="auto"/>
                <w:sz w:val="24"/>
                <w:szCs w:val="24"/>
                <w:highlight w:val="none"/>
              </w:rPr>
            </w:pPr>
          </w:p>
        </w:tc>
        <w:tc>
          <w:tcPr>
            <w:tcW w:w="1783" w:type="dxa"/>
            <w:vAlign w:val="top"/>
          </w:tcPr>
          <w:p w14:paraId="026AE2C4">
            <w:pPr>
              <w:pStyle w:val="21"/>
              <w:rPr>
                <w:rFonts w:hint="eastAsia" w:ascii="宋体" w:hAnsi="宋体" w:eastAsia="宋体" w:cs="宋体"/>
                <w:color w:val="auto"/>
                <w:sz w:val="24"/>
                <w:szCs w:val="24"/>
                <w:highlight w:val="none"/>
              </w:rPr>
            </w:pPr>
          </w:p>
        </w:tc>
        <w:tc>
          <w:tcPr>
            <w:tcW w:w="1386" w:type="dxa"/>
            <w:vAlign w:val="top"/>
          </w:tcPr>
          <w:p w14:paraId="371023C5">
            <w:pPr>
              <w:pStyle w:val="21"/>
              <w:rPr>
                <w:rFonts w:hint="eastAsia" w:ascii="宋体" w:hAnsi="宋体" w:eastAsia="宋体" w:cs="宋体"/>
                <w:color w:val="auto"/>
                <w:sz w:val="24"/>
                <w:szCs w:val="24"/>
                <w:highlight w:val="none"/>
              </w:rPr>
            </w:pPr>
          </w:p>
        </w:tc>
      </w:tr>
      <w:tr w14:paraId="69277F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jc w:val="center"/>
        </w:trPr>
        <w:tc>
          <w:tcPr>
            <w:tcW w:w="810" w:type="dxa"/>
            <w:vAlign w:val="top"/>
          </w:tcPr>
          <w:p w14:paraId="3F6C5487">
            <w:pPr>
              <w:spacing w:before="178" w:line="324" w:lineRule="exact"/>
              <w:ind w:left="197"/>
              <w:rPr>
                <w:rFonts w:hint="eastAsia" w:ascii="宋体" w:hAnsi="宋体" w:eastAsia="宋体" w:cs="宋体"/>
                <w:color w:val="auto"/>
                <w:sz w:val="24"/>
                <w:szCs w:val="24"/>
                <w:highlight w:val="none"/>
              </w:rPr>
            </w:pPr>
            <w:r>
              <w:rPr>
                <w:rFonts w:hint="eastAsia" w:ascii="宋体" w:hAnsi="宋体" w:eastAsia="宋体" w:cs="宋体"/>
                <w:color w:val="auto"/>
                <w:spacing w:val="-2"/>
                <w:position w:val="3"/>
                <w:sz w:val="24"/>
                <w:szCs w:val="24"/>
                <w:highlight w:val="none"/>
              </w:rPr>
              <w:t>……</w:t>
            </w:r>
          </w:p>
        </w:tc>
        <w:tc>
          <w:tcPr>
            <w:tcW w:w="1610" w:type="dxa"/>
            <w:gridSpan w:val="2"/>
            <w:vAlign w:val="top"/>
          </w:tcPr>
          <w:p w14:paraId="4A2416CF">
            <w:pPr>
              <w:pStyle w:val="21"/>
              <w:rPr>
                <w:rFonts w:hint="eastAsia" w:ascii="宋体" w:hAnsi="宋体" w:eastAsia="宋体" w:cs="宋体"/>
                <w:color w:val="auto"/>
                <w:sz w:val="24"/>
                <w:szCs w:val="24"/>
                <w:highlight w:val="none"/>
              </w:rPr>
            </w:pPr>
          </w:p>
        </w:tc>
        <w:tc>
          <w:tcPr>
            <w:tcW w:w="2021" w:type="dxa"/>
            <w:gridSpan w:val="2"/>
            <w:vAlign w:val="top"/>
          </w:tcPr>
          <w:p w14:paraId="5DC4416F">
            <w:pPr>
              <w:pStyle w:val="21"/>
              <w:rPr>
                <w:rFonts w:hint="eastAsia" w:ascii="宋体" w:hAnsi="宋体" w:eastAsia="宋体" w:cs="宋体"/>
                <w:color w:val="auto"/>
                <w:sz w:val="24"/>
                <w:szCs w:val="24"/>
                <w:highlight w:val="none"/>
              </w:rPr>
            </w:pPr>
          </w:p>
        </w:tc>
        <w:tc>
          <w:tcPr>
            <w:tcW w:w="2047" w:type="dxa"/>
            <w:vAlign w:val="top"/>
          </w:tcPr>
          <w:p w14:paraId="2AF0F04E">
            <w:pPr>
              <w:pStyle w:val="21"/>
              <w:rPr>
                <w:rFonts w:hint="eastAsia" w:ascii="宋体" w:hAnsi="宋体" w:eastAsia="宋体" w:cs="宋体"/>
                <w:color w:val="auto"/>
                <w:sz w:val="24"/>
                <w:szCs w:val="24"/>
                <w:highlight w:val="none"/>
              </w:rPr>
            </w:pPr>
          </w:p>
        </w:tc>
        <w:tc>
          <w:tcPr>
            <w:tcW w:w="1783" w:type="dxa"/>
            <w:vAlign w:val="top"/>
          </w:tcPr>
          <w:p w14:paraId="400EE5B7">
            <w:pPr>
              <w:pStyle w:val="21"/>
              <w:rPr>
                <w:rFonts w:hint="eastAsia" w:ascii="宋体" w:hAnsi="宋体" w:eastAsia="宋体" w:cs="宋体"/>
                <w:color w:val="auto"/>
                <w:sz w:val="24"/>
                <w:szCs w:val="24"/>
                <w:highlight w:val="none"/>
              </w:rPr>
            </w:pPr>
          </w:p>
        </w:tc>
        <w:tc>
          <w:tcPr>
            <w:tcW w:w="1386" w:type="dxa"/>
            <w:vAlign w:val="top"/>
          </w:tcPr>
          <w:p w14:paraId="1734BD0B">
            <w:pPr>
              <w:pStyle w:val="21"/>
              <w:rPr>
                <w:rFonts w:hint="eastAsia" w:ascii="宋体" w:hAnsi="宋体" w:eastAsia="宋体" w:cs="宋体"/>
                <w:color w:val="auto"/>
                <w:sz w:val="24"/>
                <w:szCs w:val="24"/>
                <w:highlight w:val="none"/>
              </w:rPr>
            </w:pPr>
          </w:p>
        </w:tc>
      </w:tr>
      <w:tr w14:paraId="58719F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jc w:val="center"/>
        </w:trPr>
        <w:tc>
          <w:tcPr>
            <w:tcW w:w="810" w:type="dxa"/>
            <w:vAlign w:val="top"/>
          </w:tcPr>
          <w:p w14:paraId="3EA1F3C9">
            <w:pPr>
              <w:pStyle w:val="21"/>
              <w:rPr>
                <w:rFonts w:hint="eastAsia" w:ascii="宋体" w:hAnsi="宋体" w:eastAsia="宋体" w:cs="宋体"/>
                <w:color w:val="auto"/>
                <w:sz w:val="24"/>
                <w:szCs w:val="24"/>
                <w:highlight w:val="none"/>
              </w:rPr>
            </w:pPr>
          </w:p>
        </w:tc>
        <w:tc>
          <w:tcPr>
            <w:tcW w:w="1610" w:type="dxa"/>
            <w:gridSpan w:val="2"/>
            <w:vAlign w:val="top"/>
          </w:tcPr>
          <w:p w14:paraId="698F5787">
            <w:pPr>
              <w:pStyle w:val="21"/>
              <w:rPr>
                <w:rFonts w:hint="eastAsia" w:ascii="宋体" w:hAnsi="宋体" w:eastAsia="宋体" w:cs="宋体"/>
                <w:color w:val="auto"/>
                <w:sz w:val="24"/>
                <w:szCs w:val="24"/>
                <w:highlight w:val="none"/>
              </w:rPr>
            </w:pPr>
          </w:p>
        </w:tc>
        <w:tc>
          <w:tcPr>
            <w:tcW w:w="2021" w:type="dxa"/>
            <w:gridSpan w:val="2"/>
            <w:vAlign w:val="top"/>
          </w:tcPr>
          <w:p w14:paraId="69858A0D">
            <w:pPr>
              <w:pStyle w:val="21"/>
              <w:rPr>
                <w:rFonts w:hint="eastAsia" w:ascii="宋体" w:hAnsi="宋体" w:eastAsia="宋体" w:cs="宋体"/>
                <w:color w:val="auto"/>
                <w:sz w:val="24"/>
                <w:szCs w:val="24"/>
                <w:highlight w:val="none"/>
              </w:rPr>
            </w:pPr>
          </w:p>
        </w:tc>
        <w:tc>
          <w:tcPr>
            <w:tcW w:w="2047" w:type="dxa"/>
            <w:vAlign w:val="top"/>
          </w:tcPr>
          <w:p w14:paraId="2BD7DCDB">
            <w:pPr>
              <w:pStyle w:val="21"/>
              <w:rPr>
                <w:rFonts w:hint="eastAsia" w:ascii="宋体" w:hAnsi="宋体" w:eastAsia="宋体" w:cs="宋体"/>
                <w:color w:val="auto"/>
                <w:sz w:val="24"/>
                <w:szCs w:val="24"/>
                <w:highlight w:val="none"/>
              </w:rPr>
            </w:pPr>
          </w:p>
        </w:tc>
        <w:tc>
          <w:tcPr>
            <w:tcW w:w="1783" w:type="dxa"/>
            <w:vAlign w:val="top"/>
          </w:tcPr>
          <w:p w14:paraId="4D125A3E">
            <w:pPr>
              <w:pStyle w:val="21"/>
              <w:rPr>
                <w:rFonts w:hint="eastAsia" w:ascii="宋体" w:hAnsi="宋体" w:eastAsia="宋体" w:cs="宋体"/>
                <w:color w:val="auto"/>
                <w:sz w:val="24"/>
                <w:szCs w:val="24"/>
                <w:highlight w:val="none"/>
              </w:rPr>
            </w:pPr>
          </w:p>
        </w:tc>
        <w:tc>
          <w:tcPr>
            <w:tcW w:w="1386" w:type="dxa"/>
            <w:vAlign w:val="top"/>
          </w:tcPr>
          <w:p w14:paraId="39C6E406">
            <w:pPr>
              <w:pStyle w:val="21"/>
              <w:rPr>
                <w:rFonts w:hint="eastAsia" w:ascii="宋体" w:hAnsi="宋体" w:eastAsia="宋体" w:cs="宋体"/>
                <w:color w:val="auto"/>
                <w:sz w:val="24"/>
                <w:szCs w:val="24"/>
                <w:highlight w:val="none"/>
              </w:rPr>
            </w:pPr>
          </w:p>
        </w:tc>
      </w:tr>
      <w:tr w14:paraId="320ED6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jc w:val="center"/>
        </w:trPr>
        <w:tc>
          <w:tcPr>
            <w:tcW w:w="810" w:type="dxa"/>
            <w:vAlign w:val="top"/>
          </w:tcPr>
          <w:p w14:paraId="2C145747">
            <w:pPr>
              <w:pStyle w:val="21"/>
              <w:rPr>
                <w:rFonts w:hint="eastAsia" w:ascii="宋体" w:hAnsi="宋体" w:eastAsia="宋体" w:cs="宋体"/>
                <w:color w:val="auto"/>
                <w:sz w:val="24"/>
                <w:szCs w:val="24"/>
                <w:highlight w:val="none"/>
              </w:rPr>
            </w:pPr>
          </w:p>
        </w:tc>
        <w:tc>
          <w:tcPr>
            <w:tcW w:w="1610" w:type="dxa"/>
            <w:gridSpan w:val="2"/>
            <w:vAlign w:val="top"/>
          </w:tcPr>
          <w:p w14:paraId="51FAB6E2">
            <w:pPr>
              <w:pStyle w:val="21"/>
              <w:rPr>
                <w:rFonts w:hint="eastAsia" w:ascii="宋体" w:hAnsi="宋体" w:eastAsia="宋体" w:cs="宋体"/>
                <w:color w:val="auto"/>
                <w:sz w:val="24"/>
                <w:szCs w:val="24"/>
                <w:highlight w:val="none"/>
              </w:rPr>
            </w:pPr>
          </w:p>
        </w:tc>
        <w:tc>
          <w:tcPr>
            <w:tcW w:w="2021" w:type="dxa"/>
            <w:gridSpan w:val="2"/>
            <w:vAlign w:val="top"/>
          </w:tcPr>
          <w:p w14:paraId="61875FD1">
            <w:pPr>
              <w:pStyle w:val="21"/>
              <w:rPr>
                <w:rFonts w:hint="eastAsia" w:ascii="宋体" w:hAnsi="宋体" w:eastAsia="宋体" w:cs="宋体"/>
                <w:color w:val="auto"/>
                <w:sz w:val="24"/>
                <w:szCs w:val="24"/>
                <w:highlight w:val="none"/>
              </w:rPr>
            </w:pPr>
          </w:p>
        </w:tc>
        <w:tc>
          <w:tcPr>
            <w:tcW w:w="2047" w:type="dxa"/>
            <w:vAlign w:val="top"/>
          </w:tcPr>
          <w:p w14:paraId="404E5FF7">
            <w:pPr>
              <w:pStyle w:val="21"/>
              <w:rPr>
                <w:rFonts w:hint="eastAsia" w:ascii="宋体" w:hAnsi="宋体" w:eastAsia="宋体" w:cs="宋体"/>
                <w:color w:val="auto"/>
                <w:sz w:val="24"/>
                <w:szCs w:val="24"/>
                <w:highlight w:val="none"/>
              </w:rPr>
            </w:pPr>
          </w:p>
        </w:tc>
        <w:tc>
          <w:tcPr>
            <w:tcW w:w="1783" w:type="dxa"/>
            <w:vAlign w:val="top"/>
          </w:tcPr>
          <w:p w14:paraId="6ADD1E7F">
            <w:pPr>
              <w:pStyle w:val="21"/>
              <w:rPr>
                <w:rFonts w:hint="eastAsia" w:ascii="宋体" w:hAnsi="宋体" w:eastAsia="宋体" w:cs="宋体"/>
                <w:color w:val="auto"/>
                <w:sz w:val="24"/>
                <w:szCs w:val="24"/>
                <w:highlight w:val="none"/>
              </w:rPr>
            </w:pPr>
          </w:p>
        </w:tc>
        <w:tc>
          <w:tcPr>
            <w:tcW w:w="1386" w:type="dxa"/>
            <w:vAlign w:val="top"/>
          </w:tcPr>
          <w:p w14:paraId="384217C7">
            <w:pPr>
              <w:pStyle w:val="21"/>
              <w:rPr>
                <w:rFonts w:hint="eastAsia" w:ascii="宋体" w:hAnsi="宋体" w:eastAsia="宋体" w:cs="宋体"/>
                <w:color w:val="auto"/>
                <w:sz w:val="24"/>
                <w:szCs w:val="24"/>
                <w:highlight w:val="none"/>
              </w:rPr>
            </w:pPr>
          </w:p>
        </w:tc>
      </w:tr>
    </w:tbl>
    <w:p w14:paraId="45EB821D">
      <w:pPr>
        <w:pStyle w:val="5"/>
        <w:spacing w:line="314" w:lineRule="auto"/>
        <w:rPr>
          <w:rFonts w:hint="eastAsia" w:ascii="宋体" w:hAnsi="宋体" w:eastAsia="宋体" w:cs="宋体"/>
          <w:color w:val="auto"/>
          <w:sz w:val="24"/>
          <w:szCs w:val="24"/>
          <w:highlight w:val="none"/>
        </w:rPr>
      </w:pPr>
    </w:p>
    <w:p w14:paraId="02839B71">
      <w:pPr>
        <w:pStyle w:val="5"/>
        <w:spacing w:line="315" w:lineRule="auto"/>
        <w:rPr>
          <w:rFonts w:hint="eastAsia" w:ascii="宋体" w:hAnsi="宋体" w:eastAsia="宋体" w:cs="宋体"/>
          <w:color w:val="auto"/>
          <w:sz w:val="24"/>
          <w:szCs w:val="24"/>
          <w:highlight w:val="none"/>
        </w:rPr>
      </w:pPr>
    </w:p>
    <w:p w14:paraId="75FEC917">
      <w:pPr>
        <w:pStyle w:val="5"/>
        <w:spacing w:line="315" w:lineRule="auto"/>
        <w:rPr>
          <w:rFonts w:hint="eastAsia" w:ascii="宋体" w:hAnsi="宋体" w:eastAsia="宋体" w:cs="宋体"/>
          <w:color w:val="auto"/>
          <w:sz w:val="24"/>
          <w:szCs w:val="24"/>
          <w:highlight w:val="none"/>
        </w:rPr>
      </w:pPr>
    </w:p>
    <w:p w14:paraId="443E0EA6">
      <w:pPr>
        <w:spacing w:before="78" w:line="220" w:lineRule="auto"/>
        <w:ind w:left="5165"/>
        <w:jc w:val="right"/>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项目技术负责人</w:t>
      </w:r>
      <w:r>
        <w:rPr>
          <w:rFonts w:hint="eastAsia" w:ascii="宋体" w:hAnsi="宋体" w:eastAsia="宋体" w:cs="宋体"/>
          <w:color w:val="auto"/>
          <w:spacing w:val="-18"/>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pacing w:val="-18"/>
          <w:sz w:val="24"/>
          <w:szCs w:val="24"/>
          <w:highlight w:val="none"/>
        </w:rPr>
        <w:t>（</w:t>
      </w:r>
      <w:r>
        <w:rPr>
          <w:rFonts w:hint="eastAsia" w:ascii="宋体" w:hAnsi="宋体" w:eastAsia="宋体" w:cs="宋体"/>
          <w:color w:val="auto"/>
          <w:spacing w:val="2"/>
          <w:sz w:val="24"/>
          <w:szCs w:val="24"/>
          <w:highlight w:val="none"/>
        </w:rPr>
        <w:t>签字）</w:t>
      </w:r>
    </w:p>
    <w:p w14:paraId="06231E95">
      <w:pPr>
        <w:pStyle w:val="5"/>
        <w:spacing w:line="256" w:lineRule="auto"/>
        <w:jc w:val="right"/>
        <w:rPr>
          <w:rFonts w:hint="eastAsia" w:ascii="宋体" w:hAnsi="宋体" w:eastAsia="宋体" w:cs="宋体"/>
          <w:color w:val="auto"/>
          <w:sz w:val="24"/>
          <w:szCs w:val="24"/>
          <w:highlight w:val="none"/>
        </w:rPr>
      </w:pPr>
    </w:p>
    <w:p w14:paraId="48AD0385">
      <w:pPr>
        <w:pStyle w:val="5"/>
        <w:spacing w:line="257" w:lineRule="auto"/>
        <w:jc w:val="right"/>
        <w:rPr>
          <w:rFonts w:hint="eastAsia" w:ascii="宋体" w:hAnsi="宋体" w:eastAsia="宋体" w:cs="宋体"/>
          <w:color w:val="auto"/>
          <w:sz w:val="24"/>
          <w:szCs w:val="24"/>
          <w:highlight w:val="none"/>
        </w:rPr>
      </w:pPr>
    </w:p>
    <w:p w14:paraId="50CB5F37">
      <w:pPr>
        <w:pStyle w:val="5"/>
        <w:spacing w:line="254" w:lineRule="auto"/>
        <w:jc w:val="right"/>
        <w:rPr>
          <w:rFonts w:hint="eastAsia" w:ascii="宋体" w:hAnsi="宋体" w:eastAsia="宋体" w:cs="宋体"/>
          <w:color w:val="auto"/>
          <w:highlight w:val="none"/>
        </w:rPr>
      </w:pP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月</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日</w:t>
      </w:r>
    </w:p>
    <w:p w14:paraId="01408BD7">
      <w:pPr>
        <w:spacing w:before="65" w:line="228" w:lineRule="auto"/>
        <w:ind w:left="470"/>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说明：《项目技术负责人简历表》后应附拟派项目技术负责人以下资料：</w:t>
      </w:r>
    </w:p>
    <w:p w14:paraId="2DD6422C">
      <w:pPr>
        <w:spacing w:before="155" w:line="228" w:lineRule="auto"/>
        <w:ind w:left="484"/>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1</w:t>
      </w:r>
      <w:r>
        <w:rPr>
          <w:rFonts w:hint="eastAsia" w:ascii="宋体" w:hAnsi="宋体" w:eastAsia="宋体" w:cs="宋体"/>
          <w:color w:val="auto"/>
          <w:spacing w:val="-14"/>
          <w:sz w:val="24"/>
          <w:szCs w:val="24"/>
          <w:highlight w:val="none"/>
        </w:rPr>
        <w:t xml:space="preserve"> </w:t>
      </w:r>
      <w:r>
        <w:rPr>
          <w:rFonts w:hint="eastAsia" w:ascii="宋体" w:hAnsi="宋体" w:eastAsia="宋体" w:cs="宋体"/>
          <w:color w:val="auto"/>
          <w:spacing w:val="3"/>
          <w:sz w:val="24"/>
          <w:szCs w:val="24"/>
          <w:highlight w:val="none"/>
        </w:rPr>
        <w:t>．身份证彩色扫描件；</w:t>
      </w:r>
    </w:p>
    <w:p w14:paraId="2AC7099F">
      <w:pPr>
        <w:spacing w:before="151" w:line="228" w:lineRule="auto"/>
        <w:ind w:left="464"/>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2</w:t>
      </w:r>
      <w:r>
        <w:rPr>
          <w:rFonts w:hint="eastAsia" w:ascii="宋体" w:hAnsi="宋体" w:eastAsia="宋体" w:cs="宋体"/>
          <w:color w:val="auto"/>
          <w:spacing w:val="-16"/>
          <w:sz w:val="24"/>
          <w:szCs w:val="24"/>
          <w:highlight w:val="none"/>
        </w:rPr>
        <w:t xml:space="preserve"> </w:t>
      </w:r>
      <w:r>
        <w:rPr>
          <w:rFonts w:hint="eastAsia" w:ascii="宋体" w:hAnsi="宋体" w:eastAsia="宋体" w:cs="宋体"/>
          <w:color w:val="auto"/>
          <w:spacing w:val="5"/>
          <w:sz w:val="24"/>
          <w:szCs w:val="24"/>
          <w:highlight w:val="none"/>
        </w:rPr>
        <w:t>．职称证彩色扫描件；</w:t>
      </w:r>
    </w:p>
    <w:p w14:paraId="531EC1B5">
      <w:pPr>
        <w:spacing w:before="153" w:line="299" w:lineRule="auto"/>
        <w:ind w:left="47" w:right="95" w:firstLine="420"/>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3</w:t>
      </w:r>
      <w:r>
        <w:rPr>
          <w:rFonts w:hint="eastAsia" w:ascii="宋体" w:hAnsi="宋体" w:eastAsia="宋体" w:cs="宋体"/>
          <w:color w:val="auto"/>
          <w:spacing w:val="-21"/>
          <w:sz w:val="24"/>
          <w:szCs w:val="24"/>
          <w:highlight w:val="none"/>
        </w:rPr>
        <w:t xml:space="preserve"> </w:t>
      </w:r>
      <w:r>
        <w:rPr>
          <w:rFonts w:hint="eastAsia" w:ascii="宋体" w:hAnsi="宋体" w:eastAsia="宋体" w:cs="宋体"/>
          <w:color w:val="auto"/>
          <w:spacing w:val="8"/>
          <w:sz w:val="24"/>
          <w:szCs w:val="24"/>
          <w:highlight w:val="none"/>
        </w:rPr>
        <w:t>．在本单位缴纳社保的证明（</w:t>
      </w:r>
      <w:r>
        <w:rPr>
          <w:rFonts w:hint="eastAsia" w:ascii="宋体" w:hAnsi="宋体" w:eastAsia="宋体" w:cs="宋体"/>
          <w:color w:val="auto"/>
          <w:sz w:val="24"/>
          <w:szCs w:val="24"/>
          <w:highlight w:val="none"/>
          <w:lang w:eastAsia="zh-CN"/>
        </w:rPr>
        <w:t>至少</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个月</w:t>
      </w:r>
      <w:r>
        <w:rPr>
          <w:rFonts w:hint="eastAsia" w:ascii="宋体" w:hAnsi="宋体" w:eastAsia="宋体" w:cs="宋体"/>
          <w:color w:val="auto"/>
          <w:spacing w:val="8"/>
          <w:sz w:val="24"/>
          <w:szCs w:val="24"/>
          <w:highlight w:val="none"/>
        </w:rPr>
        <w:t>，其中必须有</w:t>
      </w:r>
      <w:r>
        <w:rPr>
          <w:rFonts w:hint="eastAsia" w:ascii="宋体" w:hAnsi="宋体" w:eastAsia="宋体" w:cs="宋体"/>
          <w:color w:val="auto"/>
          <w:spacing w:val="-45"/>
          <w:sz w:val="24"/>
          <w:szCs w:val="24"/>
          <w:highlight w:val="none"/>
        </w:rPr>
        <w:t xml:space="preserve"> </w:t>
      </w:r>
      <w:r>
        <w:rPr>
          <w:rFonts w:hint="eastAsia" w:ascii="宋体" w:hAnsi="宋体" w:eastAsia="宋体" w:cs="宋体"/>
          <w:color w:val="auto"/>
          <w:sz w:val="24"/>
          <w:szCs w:val="24"/>
          <w:highlight w:val="none"/>
          <w:lang w:eastAsia="zh-CN"/>
        </w:rPr>
        <w:t>20</w:t>
      </w:r>
      <w:r>
        <w:rPr>
          <w:rFonts w:hint="eastAsia" w:ascii="宋体" w:hAnsi="宋体" w:eastAsia="宋体" w:cs="宋体"/>
          <w:color w:val="auto"/>
          <w:sz w:val="24"/>
          <w:szCs w:val="24"/>
          <w:highlight w:val="none"/>
          <w:lang w:val="en-US" w:eastAsia="zh-CN"/>
        </w:rPr>
        <w:t>26</w:t>
      </w:r>
      <w:r>
        <w:rPr>
          <w:rFonts w:hint="eastAsia" w:ascii="宋体" w:hAnsi="宋体" w:eastAsia="宋体" w:cs="宋体"/>
          <w:color w:val="auto"/>
          <w:spacing w:val="8"/>
          <w:sz w:val="24"/>
          <w:szCs w:val="24"/>
          <w:highlight w:val="none"/>
        </w:rPr>
        <w:t>年</w:t>
      </w:r>
      <w:r>
        <w:rPr>
          <w:rFonts w:hint="eastAsia" w:ascii="宋体" w:hAnsi="宋体" w:eastAsia="宋体" w:cs="宋体"/>
          <w:color w:val="auto"/>
          <w:spacing w:val="8"/>
          <w:sz w:val="24"/>
          <w:szCs w:val="24"/>
          <w:highlight w:val="none"/>
          <w:lang w:val="en-US" w:eastAsia="zh-CN"/>
        </w:rPr>
        <w:t>4</w:t>
      </w:r>
      <w:r>
        <w:rPr>
          <w:rFonts w:hint="eastAsia" w:ascii="宋体" w:hAnsi="宋体" w:eastAsia="宋体" w:cs="宋体"/>
          <w:color w:val="auto"/>
          <w:spacing w:val="8"/>
          <w:sz w:val="24"/>
          <w:szCs w:val="24"/>
          <w:highlight w:val="none"/>
        </w:rPr>
        <w:t>月）彩色扫描件</w:t>
      </w:r>
      <w:r>
        <w:rPr>
          <w:rFonts w:hint="eastAsia" w:ascii="宋体" w:hAnsi="宋体" w:eastAsia="宋体" w:cs="宋体"/>
          <w:color w:val="auto"/>
          <w:spacing w:val="8"/>
          <w:sz w:val="24"/>
          <w:szCs w:val="24"/>
          <w:highlight w:val="none"/>
          <w:lang w:val="en-US" w:eastAsia="zh-CN"/>
        </w:rPr>
        <w:t>或打印件</w:t>
      </w:r>
      <w:r>
        <w:rPr>
          <w:rFonts w:hint="eastAsia" w:ascii="宋体" w:hAnsi="宋体" w:eastAsia="宋体" w:cs="宋体"/>
          <w:color w:val="auto"/>
          <w:spacing w:val="8"/>
          <w:sz w:val="24"/>
          <w:szCs w:val="24"/>
          <w:highlight w:val="none"/>
        </w:rPr>
        <w:t>。</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0"/>
          <w:sz w:val="24"/>
          <w:szCs w:val="24"/>
          <w:highlight w:val="none"/>
        </w:rPr>
        <w:t>拟派项目技术负责人为退休返聘人员无法提供社</w:t>
      </w:r>
      <w:r>
        <w:rPr>
          <w:rFonts w:hint="eastAsia" w:ascii="宋体" w:hAnsi="宋体" w:eastAsia="宋体" w:cs="宋体"/>
          <w:color w:val="auto"/>
          <w:spacing w:val="9"/>
          <w:sz w:val="24"/>
          <w:szCs w:val="24"/>
          <w:highlight w:val="none"/>
        </w:rPr>
        <w:t>保证明的，提供退休证和劳动合同彩色扫描件。</w:t>
      </w:r>
    </w:p>
    <w:p w14:paraId="784C2F67">
      <w:pPr>
        <w:spacing w:before="153" w:line="228" w:lineRule="auto"/>
        <w:ind w:left="463"/>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4</w:t>
      </w:r>
      <w:r>
        <w:rPr>
          <w:rFonts w:hint="eastAsia" w:ascii="宋体" w:hAnsi="宋体" w:eastAsia="宋体" w:cs="宋体"/>
          <w:color w:val="auto"/>
          <w:spacing w:val="-22"/>
          <w:sz w:val="24"/>
          <w:szCs w:val="24"/>
          <w:highlight w:val="none"/>
        </w:rPr>
        <w:t xml:space="preserve"> </w:t>
      </w:r>
      <w:r>
        <w:rPr>
          <w:rFonts w:hint="eastAsia" w:ascii="宋体" w:hAnsi="宋体" w:eastAsia="宋体" w:cs="宋体"/>
          <w:color w:val="auto"/>
          <w:spacing w:val="8"/>
          <w:sz w:val="24"/>
          <w:szCs w:val="24"/>
          <w:highlight w:val="none"/>
        </w:rPr>
        <w:t>．“进粤企业和人员诚信信息登记平台</w:t>
      </w:r>
      <w:r>
        <w:rPr>
          <w:rFonts w:hint="eastAsia" w:ascii="宋体" w:hAnsi="宋体" w:eastAsia="宋体" w:cs="宋体"/>
          <w:color w:val="auto"/>
          <w:spacing w:val="-70"/>
          <w:sz w:val="24"/>
          <w:szCs w:val="24"/>
          <w:highlight w:val="none"/>
        </w:rPr>
        <w:t xml:space="preserve"> </w:t>
      </w:r>
      <w:r>
        <w:rPr>
          <w:rFonts w:hint="eastAsia" w:ascii="宋体" w:hAnsi="宋体" w:eastAsia="宋体" w:cs="宋体"/>
          <w:color w:val="auto"/>
          <w:spacing w:val="8"/>
          <w:sz w:val="24"/>
          <w:szCs w:val="24"/>
          <w:highlight w:val="none"/>
        </w:rPr>
        <w:t>”个人信息情况截图。（适用于省外建筑企业）</w:t>
      </w:r>
    </w:p>
    <w:p w14:paraId="0CA53D6E">
      <w:pPr>
        <w:spacing w:line="228" w:lineRule="auto"/>
        <w:rPr>
          <w:rFonts w:hint="eastAsia" w:ascii="宋体" w:hAnsi="宋体" w:eastAsia="宋体" w:cs="宋体"/>
          <w:color w:val="auto"/>
          <w:sz w:val="20"/>
          <w:szCs w:val="20"/>
          <w:highlight w:val="none"/>
        </w:rPr>
        <w:sectPr>
          <w:footerReference r:id="rId21"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7A79FF21">
      <w:pPr>
        <w:spacing w:before="78" w:line="220" w:lineRule="auto"/>
        <w:outlineLvl w:val="2"/>
        <w:rPr>
          <w:rFonts w:hint="eastAsia" w:ascii="宋体" w:hAnsi="宋体" w:eastAsia="宋体" w:cs="宋体"/>
          <w:b/>
          <w:bCs/>
          <w:color w:val="auto"/>
          <w:spacing w:val="-4"/>
          <w:sz w:val="24"/>
          <w:szCs w:val="24"/>
          <w:highlight w:val="none"/>
        </w:rPr>
      </w:pPr>
      <w:bookmarkStart w:id="259" w:name="_Toc25235"/>
      <w:r>
        <w:rPr>
          <w:rFonts w:hint="eastAsia" w:ascii="宋体" w:hAnsi="宋体" w:eastAsia="宋体" w:cs="宋体"/>
          <w:b/>
          <w:bCs/>
          <w:color w:val="auto"/>
          <w:spacing w:val="-4"/>
          <w:sz w:val="24"/>
          <w:szCs w:val="24"/>
          <w:highlight w:val="none"/>
        </w:rPr>
        <w:t>格式十一 项目管理机构组成表</w:t>
      </w:r>
      <w:bookmarkEnd w:id="259"/>
    </w:p>
    <w:p w14:paraId="555428D3">
      <w:pPr>
        <w:pStyle w:val="5"/>
        <w:spacing w:line="351" w:lineRule="auto"/>
        <w:rPr>
          <w:rFonts w:hint="eastAsia" w:ascii="宋体" w:hAnsi="宋体" w:eastAsia="宋体" w:cs="宋体"/>
          <w:color w:val="auto"/>
          <w:highlight w:val="none"/>
        </w:rPr>
      </w:pPr>
    </w:p>
    <w:p w14:paraId="162B07EA">
      <w:pPr>
        <w:pStyle w:val="5"/>
        <w:spacing w:line="351" w:lineRule="auto"/>
        <w:rPr>
          <w:rFonts w:hint="eastAsia" w:ascii="宋体" w:hAnsi="宋体" w:eastAsia="宋体" w:cs="宋体"/>
          <w:color w:val="auto"/>
          <w:highlight w:val="none"/>
        </w:rPr>
      </w:pPr>
    </w:p>
    <w:p w14:paraId="3C7DD617">
      <w:pPr>
        <w:spacing w:before="97" w:line="219" w:lineRule="auto"/>
        <w:ind w:left="3200"/>
        <w:outlineLvl w:val="9"/>
        <w:rPr>
          <w:rFonts w:hint="eastAsia" w:ascii="宋体" w:hAnsi="宋体" w:eastAsia="宋体" w:cs="宋体"/>
          <w:color w:val="auto"/>
          <w:sz w:val="30"/>
          <w:szCs w:val="30"/>
          <w:highlight w:val="none"/>
        </w:rPr>
      </w:pPr>
      <w:bookmarkStart w:id="260" w:name="bookmark158"/>
      <w:bookmarkEnd w:id="260"/>
      <w:bookmarkStart w:id="261" w:name="_Toc19973"/>
      <w:bookmarkStart w:id="262" w:name="_Toc28765"/>
      <w:r>
        <w:rPr>
          <w:rFonts w:hint="eastAsia" w:ascii="宋体" w:hAnsi="宋体" w:eastAsia="宋体" w:cs="宋体"/>
          <w:b/>
          <w:bCs/>
          <w:color w:val="auto"/>
          <w:spacing w:val="-4"/>
          <w:sz w:val="30"/>
          <w:szCs w:val="30"/>
          <w:highlight w:val="none"/>
        </w:rPr>
        <w:t>项目管理机构组成表</w:t>
      </w:r>
      <w:bookmarkEnd w:id="261"/>
      <w:bookmarkEnd w:id="262"/>
    </w:p>
    <w:p w14:paraId="1EDDD763">
      <w:pPr>
        <w:spacing w:before="7"/>
        <w:rPr>
          <w:rFonts w:hint="eastAsia" w:ascii="宋体" w:hAnsi="宋体" w:eastAsia="宋体" w:cs="宋体"/>
          <w:color w:val="auto"/>
          <w:highlight w:val="none"/>
        </w:rPr>
      </w:pPr>
    </w:p>
    <w:tbl>
      <w:tblPr>
        <w:tblStyle w:val="14"/>
        <w:tblW w:w="9636"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4"/>
        <w:gridCol w:w="1939"/>
        <w:gridCol w:w="1567"/>
        <w:gridCol w:w="1017"/>
        <w:gridCol w:w="1002"/>
        <w:gridCol w:w="1551"/>
        <w:gridCol w:w="1926"/>
      </w:tblGrid>
      <w:tr w14:paraId="2173B2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7" w:hRule="atLeast"/>
          <w:jc w:val="center"/>
        </w:trPr>
        <w:tc>
          <w:tcPr>
            <w:tcW w:w="634" w:type="dxa"/>
            <w:vAlign w:val="top"/>
          </w:tcPr>
          <w:p w14:paraId="2D248E3F">
            <w:pPr>
              <w:spacing w:before="229" w:line="231" w:lineRule="auto"/>
              <w:ind w:left="90"/>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序号</w:t>
            </w:r>
          </w:p>
        </w:tc>
        <w:tc>
          <w:tcPr>
            <w:tcW w:w="1939" w:type="dxa"/>
            <w:vAlign w:val="top"/>
          </w:tcPr>
          <w:p w14:paraId="5F461AAD">
            <w:pPr>
              <w:spacing w:before="228" w:line="231" w:lineRule="auto"/>
              <w:ind w:left="70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岗位</w:t>
            </w:r>
          </w:p>
        </w:tc>
        <w:tc>
          <w:tcPr>
            <w:tcW w:w="1567" w:type="dxa"/>
            <w:vAlign w:val="top"/>
          </w:tcPr>
          <w:p w14:paraId="1DD6F3D6">
            <w:pPr>
              <w:spacing w:before="228" w:line="231" w:lineRule="auto"/>
              <w:ind w:left="522"/>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姓名</w:t>
            </w:r>
          </w:p>
        </w:tc>
        <w:tc>
          <w:tcPr>
            <w:tcW w:w="1017" w:type="dxa"/>
            <w:vAlign w:val="top"/>
          </w:tcPr>
          <w:p w14:paraId="3FF2F319">
            <w:pPr>
              <w:spacing w:before="228" w:line="230" w:lineRule="auto"/>
              <w:ind w:left="268"/>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性别</w:t>
            </w:r>
          </w:p>
        </w:tc>
        <w:tc>
          <w:tcPr>
            <w:tcW w:w="1002" w:type="dxa"/>
            <w:vAlign w:val="top"/>
          </w:tcPr>
          <w:p w14:paraId="1F45BB1E">
            <w:pPr>
              <w:spacing w:before="229" w:line="231" w:lineRule="auto"/>
              <w:ind w:left="261"/>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年龄</w:t>
            </w:r>
          </w:p>
        </w:tc>
        <w:tc>
          <w:tcPr>
            <w:tcW w:w="1551" w:type="dxa"/>
            <w:vAlign w:val="top"/>
          </w:tcPr>
          <w:p w14:paraId="3EC28A26">
            <w:pPr>
              <w:spacing w:before="228" w:line="230" w:lineRule="auto"/>
              <w:ind w:left="516"/>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职称</w:t>
            </w:r>
          </w:p>
        </w:tc>
        <w:tc>
          <w:tcPr>
            <w:tcW w:w="1926" w:type="dxa"/>
            <w:vAlign w:val="top"/>
          </w:tcPr>
          <w:p w14:paraId="2B3131B4">
            <w:pPr>
              <w:spacing w:before="228" w:line="230" w:lineRule="auto"/>
              <w:ind w:left="687"/>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备注</w:t>
            </w:r>
          </w:p>
        </w:tc>
      </w:tr>
      <w:tr w14:paraId="66C7AE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jc w:val="center"/>
        </w:trPr>
        <w:tc>
          <w:tcPr>
            <w:tcW w:w="634" w:type="dxa"/>
            <w:vAlign w:val="top"/>
          </w:tcPr>
          <w:p w14:paraId="283EB046">
            <w:pPr>
              <w:spacing w:before="185" w:line="195" w:lineRule="auto"/>
              <w:ind w:left="26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939" w:type="dxa"/>
            <w:vAlign w:val="top"/>
          </w:tcPr>
          <w:p w14:paraId="197454C5">
            <w:pPr>
              <w:spacing w:before="150" w:line="229" w:lineRule="auto"/>
              <w:ind w:left="486"/>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项目经理</w:t>
            </w:r>
          </w:p>
        </w:tc>
        <w:tc>
          <w:tcPr>
            <w:tcW w:w="1567" w:type="dxa"/>
            <w:vAlign w:val="top"/>
          </w:tcPr>
          <w:p w14:paraId="33D1707C">
            <w:pPr>
              <w:pStyle w:val="21"/>
              <w:rPr>
                <w:rFonts w:hint="eastAsia" w:ascii="宋体" w:hAnsi="宋体" w:eastAsia="宋体" w:cs="宋体"/>
                <w:color w:val="auto"/>
                <w:sz w:val="24"/>
                <w:szCs w:val="24"/>
                <w:highlight w:val="none"/>
              </w:rPr>
            </w:pPr>
          </w:p>
        </w:tc>
        <w:tc>
          <w:tcPr>
            <w:tcW w:w="1017" w:type="dxa"/>
            <w:vAlign w:val="top"/>
          </w:tcPr>
          <w:p w14:paraId="4EA01CAF">
            <w:pPr>
              <w:pStyle w:val="21"/>
              <w:rPr>
                <w:rFonts w:hint="eastAsia" w:ascii="宋体" w:hAnsi="宋体" w:eastAsia="宋体" w:cs="宋体"/>
                <w:color w:val="auto"/>
                <w:sz w:val="24"/>
                <w:szCs w:val="24"/>
                <w:highlight w:val="none"/>
              </w:rPr>
            </w:pPr>
          </w:p>
        </w:tc>
        <w:tc>
          <w:tcPr>
            <w:tcW w:w="1002" w:type="dxa"/>
            <w:vAlign w:val="top"/>
          </w:tcPr>
          <w:p w14:paraId="784E4E86">
            <w:pPr>
              <w:pStyle w:val="21"/>
              <w:rPr>
                <w:rFonts w:hint="eastAsia" w:ascii="宋体" w:hAnsi="宋体" w:eastAsia="宋体" w:cs="宋体"/>
                <w:color w:val="auto"/>
                <w:sz w:val="24"/>
                <w:szCs w:val="24"/>
                <w:highlight w:val="none"/>
              </w:rPr>
            </w:pPr>
          </w:p>
        </w:tc>
        <w:tc>
          <w:tcPr>
            <w:tcW w:w="1551" w:type="dxa"/>
            <w:vAlign w:val="top"/>
          </w:tcPr>
          <w:p w14:paraId="5F4F3964">
            <w:pPr>
              <w:pStyle w:val="21"/>
              <w:rPr>
                <w:rFonts w:hint="eastAsia" w:ascii="宋体" w:hAnsi="宋体" w:eastAsia="宋体" w:cs="宋体"/>
                <w:color w:val="auto"/>
                <w:sz w:val="24"/>
                <w:szCs w:val="24"/>
                <w:highlight w:val="none"/>
              </w:rPr>
            </w:pPr>
          </w:p>
        </w:tc>
        <w:tc>
          <w:tcPr>
            <w:tcW w:w="1926" w:type="dxa"/>
            <w:vAlign w:val="top"/>
          </w:tcPr>
          <w:p w14:paraId="7E0A4FFA">
            <w:pPr>
              <w:pStyle w:val="21"/>
              <w:rPr>
                <w:rFonts w:hint="eastAsia" w:ascii="宋体" w:hAnsi="宋体" w:eastAsia="宋体" w:cs="宋体"/>
                <w:color w:val="auto"/>
                <w:sz w:val="24"/>
                <w:szCs w:val="24"/>
                <w:highlight w:val="none"/>
              </w:rPr>
            </w:pPr>
          </w:p>
        </w:tc>
      </w:tr>
      <w:tr w14:paraId="5BB571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3" w:hRule="atLeast"/>
          <w:jc w:val="center"/>
        </w:trPr>
        <w:tc>
          <w:tcPr>
            <w:tcW w:w="634" w:type="dxa"/>
            <w:vAlign w:val="top"/>
          </w:tcPr>
          <w:p w14:paraId="2ACB0DD0">
            <w:pPr>
              <w:spacing w:before="187" w:line="195" w:lineRule="auto"/>
              <w:ind w:left="24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939" w:type="dxa"/>
            <w:vAlign w:val="top"/>
          </w:tcPr>
          <w:p w14:paraId="33B30217">
            <w:pPr>
              <w:spacing w:before="152" w:line="228"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项目技术负责人</w:t>
            </w:r>
          </w:p>
        </w:tc>
        <w:tc>
          <w:tcPr>
            <w:tcW w:w="1567" w:type="dxa"/>
            <w:vAlign w:val="top"/>
          </w:tcPr>
          <w:p w14:paraId="101658E3">
            <w:pPr>
              <w:pStyle w:val="21"/>
              <w:rPr>
                <w:rFonts w:hint="eastAsia" w:ascii="宋体" w:hAnsi="宋体" w:eastAsia="宋体" w:cs="宋体"/>
                <w:color w:val="auto"/>
                <w:sz w:val="24"/>
                <w:szCs w:val="24"/>
                <w:highlight w:val="none"/>
              </w:rPr>
            </w:pPr>
          </w:p>
        </w:tc>
        <w:tc>
          <w:tcPr>
            <w:tcW w:w="1017" w:type="dxa"/>
            <w:vAlign w:val="top"/>
          </w:tcPr>
          <w:p w14:paraId="13CFB6FB">
            <w:pPr>
              <w:pStyle w:val="21"/>
              <w:rPr>
                <w:rFonts w:hint="eastAsia" w:ascii="宋体" w:hAnsi="宋体" w:eastAsia="宋体" w:cs="宋体"/>
                <w:color w:val="auto"/>
                <w:sz w:val="24"/>
                <w:szCs w:val="24"/>
                <w:highlight w:val="none"/>
              </w:rPr>
            </w:pPr>
          </w:p>
        </w:tc>
        <w:tc>
          <w:tcPr>
            <w:tcW w:w="1002" w:type="dxa"/>
            <w:vAlign w:val="top"/>
          </w:tcPr>
          <w:p w14:paraId="01708B9A">
            <w:pPr>
              <w:pStyle w:val="21"/>
              <w:rPr>
                <w:rFonts w:hint="eastAsia" w:ascii="宋体" w:hAnsi="宋体" w:eastAsia="宋体" w:cs="宋体"/>
                <w:color w:val="auto"/>
                <w:sz w:val="24"/>
                <w:szCs w:val="24"/>
                <w:highlight w:val="none"/>
              </w:rPr>
            </w:pPr>
          </w:p>
        </w:tc>
        <w:tc>
          <w:tcPr>
            <w:tcW w:w="1551" w:type="dxa"/>
            <w:vAlign w:val="top"/>
          </w:tcPr>
          <w:p w14:paraId="2DA12024">
            <w:pPr>
              <w:pStyle w:val="21"/>
              <w:rPr>
                <w:rFonts w:hint="eastAsia" w:ascii="宋体" w:hAnsi="宋体" w:eastAsia="宋体" w:cs="宋体"/>
                <w:color w:val="auto"/>
                <w:sz w:val="24"/>
                <w:szCs w:val="24"/>
                <w:highlight w:val="none"/>
              </w:rPr>
            </w:pPr>
          </w:p>
        </w:tc>
        <w:tc>
          <w:tcPr>
            <w:tcW w:w="1926" w:type="dxa"/>
            <w:vAlign w:val="top"/>
          </w:tcPr>
          <w:p w14:paraId="7E36E9CF">
            <w:pPr>
              <w:pStyle w:val="21"/>
              <w:rPr>
                <w:rFonts w:hint="eastAsia" w:ascii="宋体" w:hAnsi="宋体" w:eastAsia="宋体" w:cs="宋体"/>
                <w:color w:val="auto"/>
                <w:sz w:val="24"/>
                <w:szCs w:val="24"/>
                <w:highlight w:val="none"/>
              </w:rPr>
            </w:pPr>
          </w:p>
        </w:tc>
      </w:tr>
      <w:tr w14:paraId="72AE89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jc w:val="center"/>
        </w:trPr>
        <w:tc>
          <w:tcPr>
            <w:tcW w:w="634" w:type="dxa"/>
            <w:vAlign w:val="top"/>
          </w:tcPr>
          <w:p w14:paraId="185BE277">
            <w:pPr>
              <w:spacing w:before="189" w:line="195" w:lineRule="auto"/>
              <w:ind w:left="247"/>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1939" w:type="dxa"/>
            <w:vAlign w:val="center"/>
          </w:tcPr>
          <w:p w14:paraId="46937765">
            <w:pPr>
              <w:spacing w:before="153" w:line="229" w:lineRule="auto"/>
              <w:ind w:left="378"/>
              <w:jc w:val="both"/>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专职安全员</w:t>
            </w:r>
          </w:p>
        </w:tc>
        <w:tc>
          <w:tcPr>
            <w:tcW w:w="1567" w:type="dxa"/>
            <w:vAlign w:val="top"/>
          </w:tcPr>
          <w:p w14:paraId="15C126D8">
            <w:pPr>
              <w:pStyle w:val="21"/>
              <w:rPr>
                <w:rFonts w:hint="eastAsia" w:ascii="宋体" w:hAnsi="宋体" w:eastAsia="宋体" w:cs="宋体"/>
                <w:color w:val="auto"/>
                <w:sz w:val="24"/>
                <w:szCs w:val="24"/>
                <w:highlight w:val="none"/>
              </w:rPr>
            </w:pPr>
          </w:p>
        </w:tc>
        <w:tc>
          <w:tcPr>
            <w:tcW w:w="1017" w:type="dxa"/>
            <w:vAlign w:val="top"/>
          </w:tcPr>
          <w:p w14:paraId="7B9FA270">
            <w:pPr>
              <w:pStyle w:val="21"/>
              <w:rPr>
                <w:rFonts w:hint="eastAsia" w:ascii="宋体" w:hAnsi="宋体" w:eastAsia="宋体" w:cs="宋体"/>
                <w:color w:val="auto"/>
                <w:sz w:val="24"/>
                <w:szCs w:val="24"/>
                <w:highlight w:val="none"/>
              </w:rPr>
            </w:pPr>
          </w:p>
        </w:tc>
        <w:tc>
          <w:tcPr>
            <w:tcW w:w="1002" w:type="dxa"/>
            <w:vAlign w:val="top"/>
          </w:tcPr>
          <w:p w14:paraId="1060A9BD">
            <w:pPr>
              <w:pStyle w:val="21"/>
              <w:rPr>
                <w:rFonts w:hint="eastAsia" w:ascii="宋体" w:hAnsi="宋体" w:eastAsia="宋体" w:cs="宋体"/>
                <w:color w:val="auto"/>
                <w:sz w:val="24"/>
                <w:szCs w:val="24"/>
                <w:highlight w:val="none"/>
              </w:rPr>
            </w:pPr>
          </w:p>
        </w:tc>
        <w:tc>
          <w:tcPr>
            <w:tcW w:w="1551" w:type="dxa"/>
            <w:vAlign w:val="top"/>
          </w:tcPr>
          <w:p w14:paraId="5301968F">
            <w:pPr>
              <w:pStyle w:val="21"/>
              <w:rPr>
                <w:rFonts w:hint="eastAsia" w:ascii="宋体" w:hAnsi="宋体" w:eastAsia="宋体" w:cs="宋体"/>
                <w:color w:val="auto"/>
                <w:sz w:val="24"/>
                <w:szCs w:val="24"/>
                <w:highlight w:val="none"/>
              </w:rPr>
            </w:pPr>
          </w:p>
        </w:tc>
        <w:tc>
          <w:tcPr>
            <w:tcW w:w="1926" w:type="dxa"/>
            <w:vAlign w:val="top"/>
          </w:tcPr>
          <w:p w14:paraId="6D41F555">
            <w:pPr>
              <w:pStyle w:val="21"/>
              <w:rPr>
                <w:rFonts w:hint="eastAsia" w:ascii="宋体" w:hAnsi="宋体" w:eastAsia="宋体" w:cs="宋体"/>
                <w:color w:val="auto"/>
                <w:sz w:val="24"/>
                <w:szCs w:val="24"/>
                <w:highlight w:val="none"/>
              </w:rPr>
            </w:pPr>
          </w:p>
        </w:tc>
      </w:tr>
      <w:tr w14:paraId="748716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jc w:val="center"/>
        </w:trPr>
        <w:tc>
          <w:tcPr>
            <w:tcW w:w="634" w:type="dxa"/>
            <w:vAlign w:val="top"/>
          </w:tcPr>
          <w:p w14:paraId="30DCE2EF">
            <w:pPr>
              <w:spacing w:before="188" w:line="195" w:lineRule="auto"/>
              <w:ind w:left="242"/>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4</w:t>
            </w:r>
          </w:p>
        </w:tc>
        <w:tc>
          <w:tcPr>
            <w:tcW w:w="1939" w:type="dxa"/>
            <w:vAlign w:val="top"/>
          </w:tcPr>
          <w:p w14:paraId="696539CB">
            <w:pPr>
              <w:spacing w:before="152" w:line="230" w:lineRule="auto"/>
              <w:ind w:left="588"/>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施工员</w:t>
            </w:r>
          </w:p>
        </w:tc>
        <w:tc>
          <w:tcPr>
            <w:tcW w:w="1567" w:type="dxa"/>
            <w:vAlign w:val="top"/>
          </w:tcPr>
          <w:p w14:paraId="18E417E4">
            <w:pPr>
              <w:pStyle w:val="21"/>
              <w:rPr>
                <w:rFonts w:hint="eastAsia" w:ascii="宋体" w:hAnsi="宋体" w:eastAsia="宋体" w:cs="宋体"/>
                <w:color w:val="auto"/>
                <w:sz w:val="24"/>
                <w:szCs w:val="24"/>
                <w:highlight w:val="none"/>
              </w:rPr>
            </w:pPr>
          </w:p>
        </w:tc>
        <w:tc>
          <w:tcPr>
            <w:tcW w:w="1017" w:type="dxa"/>
            <w:vAlign w:val="top"/>
          </w:tcPr>
          <w:p w14:paraId="34BD54A5">
            <w:pPr>
              <w:pStyle w:val="21"/>
              <w:rPr>
                <w:rFonts w:hint="eastAsia" w:ascii="宋体" w:hAnsi="宋体" w:eastAsia="宋体" w:cs="宋体"/>
                <w:color w:val="auto"/>
                <w:sz w:val="24"/>
                <w:szCs w:val="24"/>
                <w:highlight w:val="none"/>
              </w:rPr>
            </w:pPr>
          </w:p>
        </w:tc>
        <w:tc>
          <w:tcPr>
            <w:tcW w:w="1002" w:type="dxa"/>
            <w:vAlign w:val="top"/>
          </w:tcPr>
          <w:p w14:paraId="35F0DD07">
            <w:pPr>
              <w:pStyle w:val="21"/>
              <w:rPr>
                <w:rFonts w:hint="eastAsia" w:ascii="宋体" w:hAnsi="宋体" w:eastAsia="宋体" w:cs="宋体"/>
                <w:color w:val="auto"/>
                <w:sz w:val="24"/>
                <w:szCs w:val="24"/>
                <w:highlight w:val="none"/>
              </w:rPr>
            </w:pPr>
          </w:p>
        </w:tc>
        <w:tc>
          <w:tcPr>
            <w:tcW w:w="1551" w:type="dxa"/>
            <w:vAlign w:val="top"/>
          </w:tcPr>
          <w:p w14:paraId="267F23C7">
            <w:pPr>
              <w:pStyle w:val="21"/>
              <w:rPr>
                <w:rFonts w:hint="eastAsia" w:ascii="宋体" w:hAnsi="宋体" w:eastAsia="宋体" w:cs="宋体"/>
                <w:color w:val="auto"/>
                <w:sz w:val="24"/>
                <w:szCs w:val="24"/>
                <w:highlight w:val="none"/>
              </w:rPr>
            </w:pPr>
          </w:p>
        </w:tc>
        <w:tc>
          <w:tcPr>
            <w:tcW w:w="1926" w:type="dxa"/>
            <w:vAlign w:val="top"/>
          </w:tcPr>
          <w:p w14:paraId="20919564">
            <w:pPr>
              <w:pStyle w:val="21"/>
              <w:rPr>
                <w:rFonts w:hint="eastAsia" w:ascii="宋体" w:hAnsi="宋体" w:eastAsia="宋体" w:cs="宋体"/>
                <w:color w:val="auto"/>
                <w:sz w:val="24"/>
                <w:szCs w:val="24"/>
                <w:highlight w:val="none"/>
              </w:rPr>
            </w:pPr>
          </w:p>
        </w:tc>
      </w:tr>
      <w:tr w14:paraId="0060E5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0" w:hRule="atLeast"/>
          <w:jc w:val="center"/>
        </w:trPr>
        <w:tc>
          <w:tcPr>
            <w:tcW w:w="634" w:type="dxa"/>
            <w:vAlign w:val="top"/>
          </w:tcPr>
          <w:p w14:paraId="67913FB8">
            <w:pPr>
              <w:spacing w:before="193" w:line="192" w:lineRule="auto"/>
              <w:ind w:left="24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p>
        </w:tc>
        <w:tc>
          <w:tcPr>
            <w:tcW w:w="1939" w:type="dxa"/>
            <w:vAlign w:val="top"/>
          </w:tcPr>
          <w:p w14:paraId="77726B25">
            <w:pPr>
              <w:spacing w:before="154" w:line="229" w:lineRule="auto"/>
              <w:ind w:left="589"/>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质量员</w:t>
            </w:r>
          </w:p>
        </w:tc>
        <w:tc>
          <w:tcPr>
            <w:tcW w:w="1567" w:type="dxa"/>
            <w:vAlign w:val="top"/>
          </w:tcPr>
          <w:p w14:paraId="7AF367BA">
            <w:pPr>
              <w:pStyle w:val="21"/>
              <w:rPr>
                <w:rFonts w:hint="eastAsia" w:ascii="宋体" w:hAnsi="宋体" w:eastAsia="宋体" w:cs="宋体"/>
                <w:color w:val="auto"/>
                <w:sz w:val="24"/>
                <w:szCs w:val="24"/>
                <w:highlight w:val="none"/>
              </w:rPr>
            </w:pPr>
          </w:p>
        </w:tc>
        <w:tc>
          <w:tcPr>
            <w:tcW w:w="1017" w:type="dxa"/>
            <w:vAlign w:val="top"/>
          </w:tcPr>
          <w:p w14:paraId="28C0AB4F">
            <w:pPr>
              <w:pStyle w:val="21"/>
              <w:rPr>
                <w:rFonts w:hint="eastAsia" w:ascii="宋体" w:hAnsi="宋体" w:eastAsia="宋体" w:cs="宋体"/>
                <w:color w:val="auto"/>
                <w:sz w:val="24"/>
                <w:szCs w:val="24"/>
                <w:highlight w:val="none"/>
              </w:rPr>
            </w:pPr>
          </w:p>
        </w:tc>
        <w:tc>
          <w:tcPr>
            <w:tcW w:w="1002" w:type="dxa"/>
            <w:vAlign w:val="top"/>
          </w:tcPr>
          <w:p w14:paraId="4F2CE8AB">
            <w:pPr>
              <w:pStyle w:val="21"/>
              <w:rPr>
                <w:rFonts w:hint="eastAsia" w:ascii="宋体" w:hAnsi="宋体" w:eastAsia="宋体" w:cs="宋体"/>
                <w:color w:val="auto"/>
                <w:sz w:val="24"/>
                <w:szCs w:val="24"/>
                <w:highlight w:val="none"/>
              </w:rPr>
            </w:pPr>
          </w:p>
        </w:tc>
        <w:tc>
          <w:tcPr>
            <w:tcW w:w="1551" w:type="dxa"/>
            <w:vAlign w:val="top"/>
          </w:tcPr>
          <w:p w14:paraId="0E48A750">
            <w:pPr>
              <w:pStyle w:val="21"/>
              <w:rPr>
                <w:rFonts w:hint="eastAsia" w:ascii="宋体" w:hAnsi="宋体" w:eastAsia="宋体" w:cs="宋体"/>
                <w:color w:val="auto"/>
                <w:sz w:val="24"/>
                <w:szCs w:val="24"/>
                <w:highlight w:val="none"/>
              </w:rPr>
            </w:pPr>
          </w:p>
        </w:tc>
        <w:tc>
          <w:tcPr>
            <w:tcW w:w="1926" w:type="dxa"/>
            <w:vAlign w:val="top"/>
          </w:tcPr>
          <w:p w14:paraId="23F7D129">
            <w:pPr>
              <w:pStyle w:val="21"/>
              <w:rPr>
                <w:rFonts w:hint="eastAsia" w:ascii="宋体" w:hAnsi="宋体" w:eastAsia="宋体" w:cs="宋体"/>
                <w:color w:val="auto"/>
                <w:sz w:val="24"/>
                <w:szCs w:val="24"/>
                <w:highlight w:val="none"/>
              </w:rPr>
            </w:pPr>
          </w:p>
        </w:tc>
      </w:tr>
      <w:tr w14:paraId="28B3C7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0" w:hRule="atLeast"/>
          <w:jc w:val="center"/>
        </w:trPr>
        <w:tc>
          <w:tcPr>
            <w:tcW w:w="634" w:type="dxa"/>
            <w:vAlign w:val="top"/>
          </w:tcPr>
          <w:p w14:paraId="4353BB91">
            <w:pPr>
              <w:spacing w:before="191" w:line="195" w:lineRule="auto"/>
              <w:ind w:left="24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p>
        </w:tc>
        <w:tc>
          <w:tcPr>
            <w:tcW w:w="1939" w:type="dxa"/>
            <w:vAlign w:val="top"/>
          </w:tcPr>
          <w:p w14:paraId="36757C05">
            <w:pPr>
              <w:spacing w:before="155" w:line="228" w:lineRule="auto"/>
              <w:ind w:left="589"/>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材料员</w:t>
            </w:r>
          </w:p>
        </w:tc>
        <w:tc>
          <w:tcPr>
            <w:tcW w:w="1567" w:type="dxa"/>
            <w:vAlign w:val="top"/>
          </w:tcPr>
          <w:p w14:paraId="7CA93473">
            <w:pPr>
              <w:pStyle w:val="21"/>
              <w:rPr>
                <w:rFonts w:hint="eastAsia" w:ascii="宋体" w:hAnsi="宋体" w:eastAsia="宋体" w:cs="宋体"/>
                <w:color w:val="auto"/>
                <w:sz w:val="24"/>
                <w:szCs w:val="24"/>
                <w:highlight w:val="none"/>
              </w:rPr>
            </w:pPr>
          </w:p>
        </w:tc>
        <w:tc>
          <w:tcPr>
            <w:tcW w:w="1017" w:type="dxa"/>
            <w:vAlign w:val="top"/>
          </w:tcPr>
          <w:p w14:paraId="22CBD8CF">
            <w:pPr>
              <w:pStyle w:val="21"/>
              <w:rPr>
                <w:rFonts w:hint="eastAsia" w:ascii="宋体" w:hAnsi="宋体" w:eastAsia="宋体" w:cs="宋体"/>
                <w:color w:val="auto"/>
                <w:sz w:val="24"/>
                <w:szCs w:val="24"/>
                <w:highlight w:val="none"/>
              </w:rPr>
            </w:pPr>
          </w:p>
        </w:tc>
        <w:tc>
          <w:tcPr>
            <w:tcW w:w="1002" w:type="dxa"/>
            <w:vAlign w:val="top"/>
          </w:tcPr>
          <w:p w14:paraId="215EF28A">
            <w:pPr>
              <w:pStyle w:val="21"/>
              <w:rPr>
                <w:rFonts w:hint="eastAsia" w:ascii="宋体" w:hAnsi="宋体" w:eastAsia="宋体" w:cs="宋体"/>
                <w:color w:val="auto"/>
                <w:sz w:val="24"/>
                <w:szCs w:val="24"/>
                <w:highlight w:val="none"/>
              </w:rPr>
            </w:pPr>
          </w:p>
        </w:tc>
        <w:tc>
          <w:tcPr>
            <w:tcW w:w="1551" w:type="dxa"/>
            <w:vAlign w:val="top"/>
          </w:tcPr>
          <w:p w14:paraId="4B59D5A3">
            <w:pPr>
              <w:pStyle w:val="21"/>
              <w:rPr>
                <w:rFonts w:hint="eastAsia" w:ascii="宋体" w:hAnsi="宋体" w:eastAsia="宋体" w:cs="宋体"/>
                <w:color w:val="auto"/>
                <w:sz w:val="24"/>
                <w:szCs w:val="24"/>
                <w:highlight w:val="none"/>
              </w:rPr>
            </w:pPr>
          </w:p>
        </w:tc>
        <w:tc>
          <w:tcPr>
            <w:tcW w:w="1926" w:type="dxa"/>
            <w:vAlign w:val="top"/>
          </w:tcPr>
          <w:p w14:paraId="6D3A902C">
            <w:pPr>
              <w:pStyle w:val="21"/>
              <w:rPr>
                <w:rFonts w:hint="eastAsia" w:ascii="宋体" w:hAnsi="宋体" w:eastAsia="宋体" w:cs="宋体"/>
                <w:color w:val="auto"/>
                <w:sz w:val="24"/>
                <w:szCs w:val="24"/>
                <w:highlight w:val="none"/>
              </w:rPr>
            </w:pPr>
          </w:p>
        </w:tc>
      </w:tr>
      <w:tr w14:paraId="024F77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0" w:hRule="atLeast"/>
          <w:jc w:val="center"/>
        </w:trPr>
        <w:tc>
          <w:tcPr>
            <w:tcW w:w="634" w:type="dxa"/>
            <w:vAlign w:val="top"/>
          </w:tcPr>
          <w:p w14:paraId="6129B6BD">
            <w:pPr>
              <w:spacing w:before="192" w:line="192" w:lineRule="auto"/>
              <w:ind w:left="24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w:t>
            </w:r>
          </w:p>
        </w:tc>
        <w:tc>
          <w:tcPr>
            <w:tcW w:w="1939" w:type="dxa"/>
            <w:vAlign w:val="top"/>
          </w:tcPr>
          <w:p w14:paraId="43618D94">
            <w:pPr>
              <w:spacing w:before="154" w:line="229" w:lineRule="auto"/>
              <w:ind w:left="598"/>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资料员</w:t>
            </w:r>
          </w:p>
        </w:tc>
        <w:tc>
          <w:tcPr>
            <w:tcW w:w="1567" w:type="dxa"/>
            <w:vAlign w:val="top"/>
          </w:tcPr>
          <w:p w14:paraId="7F6F6292">
            <w:pPr>
              <w:pStyle w:val="21"/>
              <w:rPr>
                <w:rFonts w:hint="eastAsia" w:ascii="宋体" w:hAnsi="宋体" w:eastAsia="宋体" w:cs="宋体"/>
                <w:color w:val="auto"/>
                <w:sz w:val="24"/>
                <w:szCs w:val="24"/>
                <w:highlight w:val="none"/>
              </w:rPr>
            </w:pPr>
          </w:p>
        </w:tc>
        <w:tc>
          <w:tcPr>
            <w:tcW w:w="1017" w:type="dxa"/>
            <w:vAlign w:val="top"/>
          </w:tcPr>
          <w:p w14:paraId="6F5A3CD1">
            <w:pPr>
              <w:pStyle w:val="21"/>
              <w:rPr>
                <w:rFonts w:hint="eastAsia" w:ascii="宋体" w:hAnsi="宋体" w:eastAsia="宋体" w:cs="宋体"/>
                <w:color w:val="auto"/>
                <w:sz w:val="24"/>
                <w:szCs w:val="24"/>
                <w:highlight w:val="none"/>
              </w:rPr>
            </w:pPr>
          </w:p>
        </w:tc>
        <w:tc>
          <w:tcPr>
            <w:tcW w:w="1002" w:type="dxa"/>
            <w:vAlign w:val="top"/>
          </w:tcPr>
          <w:p w14:paraId="0A3F0696">
            <w:pPr>
              <w:pStyle w:val="21"/>
              <w:rPr>
                <w:rFonts w:hint="eastAsia" w:ascii="宋体" w:hAnsi="宋体" w:eastAsia="宋体" w:cs="宋体"/>
                <w:color w:val="auto"/>
                <w:sz w:val="24"/>
                <w:szCs w:val="24"/>
                <w:highlight w:val="none"/>
              </w:rPr>
            </w:pPr>
          </w:p>
        </w:tc>
        <w:tc>
          <w:tcPr>
            <w:tcW w:w="1551" w:type="dxa"/>
            <w:vAlign w:val="top"/>
          </w:tcPr>
          <w:p w14:paraId="33CF7C3A">
            <w:pPr>
              <w:pStyle w:val="21"/>
              <w:rPr>
                <w:rFonts w:hint="eastAsia" w:ascii="宋体" w:hAnsi="宋体" w:eastAsia="宋体" w:cs="宋体"/>
                <w:color w:val="auto"/>
                <w:sz w:val="24"/>
                <w:szCs w:val="24"/>
                <w:highlight w:val="none"/>
              </w:rPr>
            </w:pPr>
          </w:p>
        </w:tc>
        <w:tc>
          <w:tcPr>
            <w:tcW w:w="1926" w:type="dxa"/>
            <w:vAlign w:val="top"/>
          </w:tcPr>
          <w:p w14:paraId="2FDF9A49">
            <w:pPr>
              <w:pStyle w:val="21"/>
              <w:rPr>
                <w:rFonts w:hint="eastAsia" w:ascii="宋体" w:hAnsi="宋体" w:eastAsia="宋体" w:cs="宋体"/>
                <w:color w:val="auto"/>
                <w:sz w:val="24"/>
                <w:szCs w:val="24"/>
                <w:highlight w:val="none"/>
              </w:rPr>
            </w:pPr>
          </w:p>
        </w:tc>
      </w:tr>
      <w:tr w14:paraId="330E46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9" w:hRule="atLeast"/>
          <w:jc w:val="center"/>
        </w:trPr>
        <w:tc>
          <w:tcPr>
            <w:tcW w:w="634" w:type="dxa"/>
            <w:vAlign w:val="top"/>
          </w:tcPr>
          <w:p w14:paraId="761367CA">
            <w:pPr>
              <w:spacing w:before="154" w:line="325" w:lineRule="exact"/>
              <w:ind w:left="104"/>
              <w:rPr>
                <w:rFonts w:hint="eastAsia" w:ascii="宋体" w:hAnsi="宋体" w:eastAsia="宋体" w:cs="宋体"/>
                <w:color w:val="auto"/>
                <w:sz w:val="24"/>
                <w:szCs w:val="24"/>
                <w:highlight w:val="none"/>
              </w:rPr>
            </w:pPr>
            <w:r>
              <w:rPr>
                <w:rFonts w:hint="eastAsia" w:ascii="宋体" w:hAnsi="宋体" w:eastAsia="宋体" w:cs="宋体"/>
                <w:color w:val="auto"/>
                <w:spacing w:val="-2"/>
                <w:position w:val="3"/>
                <w:sz w:val="24"/>
                <w:szCs w:val="24"/>
                <w:highlight w:val="none"/>
              </w:rPr>
              <w:t>……</w:t>
            </w:r>
          </w:p>
        </w:tc>
        <w:tc>
          <w:tcPr>
            <w:tcW w:w="1939" w:type="dxa"/>
            <w:vAlign w:val="top"/>
          </w:tcPr>
          <w:p w14:paraId="6C0AA321">
            <w:pPr>
              <w:pStyle w:val="21"/>
              <w:rPr>
                <w:rFonts w:hint="eastAsia" w:ascii="宋体" w:hAnsi="宋体" w:eastAsia="宋体" w:cs="宋体"/>
                <w:color w:val="auto"/>
                <w:sz w:val="24"/>
                <w:szCs w:val="24"/>
                <w:highlight w:val="none"/>
              </w:rPr>
            </w:pPr>
          </w:p>
        </w:tc>
        <w:tc>
          <w:tcPr>
            <w:tcW w:w="1567" w:type="dxa"/>
            <w:vAlign w:val="top"/>
          </w:tcPr>
          <w:p w14:paraId="6B481C93">
            <w:pPr>
              <w:pStyle w:val="21"/>
              <w:rPr>
                <w:rFonts w:hint="eastAsia" w:ascii="宋体" w:hAnsi="宋体" w:eastAsia="宋体" w:cs="宋体"/>
                <w:color w:val="auto"/>
                <w:sz w:val="24"/>
                <w:szCs w:val="24"/>
                <w:highlight w:val="none"/>
              </w:rPr>
            </w:pPr>
          </w:p>
        </w:tc>
        <w:tc>
          <w:tcPr>
            <w:tcW w:w="1017" w:type="dxa"/>
            <w:vAlign w:val="top"/>
          </w:tcPr>
          <w:p w14:paraId="2186C8F6">
            <w:pPr>
              <w:pStyle w:val="21"/>
              <w:rPr>
                <w:rFonts w:hint="eastAsia" w:ascii="宋体" w:hAnsi="宋体" w:eastAsia="宋体" w:cs="宋体"/>
                <w:color w:val="auto"/>
                <w:sz w:val="24"/>
                <w:szCs w:val="24"/>
                <w:highlight w:val="none"/>
              </w:rPr>
            </w:pPr>
          </w:p>
        </w:tc>
        <w:tc>
          <w:tcPr>
            <w:tcW w:w="1002" w:type="dxa"/>
            <w:vAlign w:val="top"/>
          </w:tcPr>
          <w:p w14:paraId="458500AA">
            <w:pPr>
              <w:pStyle w:val="21"/>
              <w:rPr>
                <w:rFonts w:hint="eastAsia" w:ascii="宋体" w:hAnsi="宋体" w:eastAsia="宋体" w:cs="宋体"/>
                <w:color w:val="auto"/>
                <w:sz w:val="24"/>
                <w:szCs w:val="24"/>
                <w:highlight w:val="none"/>
              </w:rPr>
            </w:pPr>
          </w:p>
        </w:tc>
        <w:tc>
          <w:tcPr>
            <w:tcW w:w="1551" w:type="dxa"/>
            <w:vAlign w:val="top"/>
          </w:tcPr>
          <w:p w14:paraId="69CC634F">
            <w:pPr>
              <w:pStyle w:val="21"/>
              <w:rPr>
                <w:rFonts w:hint="eastAsia" w:ascii="宋体" w:hAnsi="宋体" w:eastAsia="宋体" w:cs="宋体"/>
                <w:color w:val="auto"/>
                <w:sz w:val="24"/>
                <w:szCs w:val="24"/>
                <w:highlight w:val="none"/>
              </w:rPr>
            </w:pPr>
          </w:p>
        </w:tc>
        <w:tc>
          <w:tcPr>
            <w:tcW w:w="1926" w:type="dxa"/>
            <w:vAlign w:val="top"/>
          </w:tcPr>
          <w:p w14:paraId="0E3F8717">
            <w:pPr>
              <w:pStyle w:val="21"/>
              <w:rPr>
                <w:rFonts w:hint="eastAsia" w:ascii="宋体" w:hAnsi="宋体" w:eastAsia="宋体" w:cs="宋体"/>
                <w:color w:val="auto"/>
                <w:sz w:val="24"/>
                <w:szCs w:val="24"/>
                <w:highlight w:val="none"/>
              </w:rPr>
            </w:pPr>
          </w:p>
        </w:tc>
      </w:tr>
    </w:tbl>
    <w:p w14:paraId="2C506F4A">
      <w:pPr>
        <w:pStyle w:val="5"/>
        <w:spacing w:line="395" w:lineRule="auto"/>
        <w:rPr>
          <w:rFonts w:hint="eastAsia" w:ascii="宋体" w:hAnsi="宋体" w:eastAsia="宋体" w:cs="宋体"/>
          <w:color w:val="auto"/>
          <w:sz w:val="24"/>
          <w:szCs w:val="24"/>
          <w:highlight w:val="none"/>
        </w:rPr>
      </w:pPr>
    </w:p>
    <w:p w14:paraId="48D3ED77">
      <w:pPr>
        <w:spacing w:before="65" w:line="228" w:lineRule="auto"/>
        <w:ind w:left="434"/>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说明：</w:t>
      </w:r>
    </w:p>
    <w:p w14:paraId="3E8C578A">
      <w:pPr>
        <w:spacing w:before="153" w:line="228" w:lineRule="auto"/>
        <w:ind w:firstLine="496"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1</w:t>
      </w:r>
      <w:r>
        <w:rPr>
          <w:rFonts w:hint="eastAsia" w:ascii="宋体" w:hAnsi="宋体" w:eastAsia="宋体" w:cs="宋体"/>
          <w:color w:val="auto"/>
          <w:spacing w:val="-21"/>
          <w:sz w:val="24"/>
          <w:szCs w:val="24"/>
          <w:highlight w:val="none"/>
        </w:rPr>
        <w:t xml:space="preserve"> </w:t>
      </w:r>
      <w:r>
        <w:rPr>
          <w:rFonts w:hint="eastAsia" w:ascii="宋体" w:hAnsi="宋体" w:eastAsia="宋体" w:cs="宋体"/>
          <w:color w:val="auto"/>
          <w:spacing w:val="4"/>
          <w:sz w:val="24"/>
          <w:szCs w:val="24"/>
          <w:highlight w:val="none"/>
        </w:rPr>
        <w:t>．《项目管理机构组成表》后应附表中拟派人</w:t>
      </w:r>
      <w:r>
        <w:rPr>
          <w:rFonts w:hint="eastAsia" w:ascii="宋体" w:hAnsi="宋体" w:eastAsia="宋体" w:cs="宋体"/>
          <w:color w:val="auto"/>
          <w:spacing w:val="3"/>
          <w:sz w:val="24"/>
          <w:szCs w:val="24"/>
          <w:highlight w:val="none"/>
        </w:rPr>
        <w:t>员（项目经理、项目技术负责人除外）以下资料：</w:t>
      </w:r>
    </w:p>
    <w:p w14:paraId="5D1DDFC3">
      <w:pPr>
        <w:spacing w:before="154" w:line="228" w:lineRule="auto"/>
        <w:ind w:left="448"/>
        <w:jc w:val="left"/>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lang w:eastAsia="zh-CN"/>
        </w:rPr>
        <w:t>（</w:t>
      </w:r>
      <w:r>
        <w:rPr>
          <w:rFonts w:hint="eastAsia" w:ascii="宋体" w:hAnsi="宋体" w:eastAsia="宋体" w:cs="宋体"/>
          <w:color w:val="auto"/>
          <w:spacing w:val="3"/>
          <w:sz w:val="24"/>
          <w:szCs w:val="24"/>
          <w:highlight w:val="none"/>
          <w:lang w:val="en-US" w:eastAsia="zh-CN"/>
        </w:rPr>
        <w:t>1</w:t>
      </w:r>
      <w:r>
        <w:rPr>
          <w:rFonts w:hint="eastAsia" w:ascii="宋体" w:hAnsi="宋体" w:eastAsia="宋体" w:cs="宋体"/>
          <w:color w:val="auto"/>
          <w:spacing w:val="3"/>
          <w:sz w:val="24"/>
          <w:szCs w:val="24"/>
          <w:highlight w:val="none"/>
          <w:lang w:eastAsia="zh-CN"/>
        </w:rPr>
        <w:t>）</w:t>
      </w:r>
      <w:r>
        <w:rPr>
          <w:rFonts w:hint="eastAsia" w:ascii="宋体" w:hAnsi="宋体" w:eastAsia="宋体" w:cs="宋体"/>
          <w:color w:val="auto"/>
          <w:spacing w:val="3"/>
          <w:sz w:val="24"/>
          <w:szCs w:val="24"/>
          <w:highlight w:val="none"/>
        </w:rPr>
        <w:t>身份证彩色扫描件；</w:t>
      </w:r>
    </w:p>
    <w:p w14:paraId="53B8EA83">
      <w:pPr>
        <w:spacing w:before="152" w:line="228" w:lineRule="auto"/>
        <w:ind w:left="428"/>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lang w:eastAsia="zh-CN"/>
        </w:rPr>
        <w:t>（</w:t>
      </w:r>
      <w:r>
        <w:rPr>
          <w:rFonts w:hint="eastAsia" w:ascii="宋体" w:hAnsi="宋体" w:eastAsia="宋体" w:cs="宋体"/>
          <w:color w:val="auto"/>
          <w:spacing w:val="5"/>
          <w:sz w:val="24"/>
          <w:szCs w:val="24"/>
          <w:highlight w:val="none"/>
          <w:lang w:val="en-US" w:eastAsia="zh-CN"/>
        </w:rPr>
        <w:t>2</w:t>
      </w:r>
      <w:r>
        <w:rPr>
          <w:rFonts w:hint="eastAsia" w:ascii="宋体" w:hAnsi="宋体" w:eastAsia="宋体" w:cs="宋体"/>
          <w:color w:val="auto"/>
          <w:spacing w:val="5"/>
          <w:sz w:val="24"/>
          <w:szCs w:val="24"/>
          <w:highlight w:val="none"/>
          <w:lang w:eastAsia="zh-CN"/>
        </w:rPr>
        <w:t>）</w:t>
      </w:r>
      <w:r>
        <w:rPr>
          <w:rFonts w:hint="eastAsia" w:ascii="宋体" w:hAnsi="宋体" w:eastAsia="宋体" w:cs="宋体"/>
          <w:color w:val="auto"/>
          <w:spacing w:val="9"/>
          <w:sz w:val="24"/>
          <w:szCs w:val="24"/>
          <w:highlight w:val="none"/>
        </w:rPr>
        <w:t>专职安全员须提供C类安全生产考核合格证书扫描件或“建筑施工企业管理人员安全生产考核信息系统”考核合格信息扫描件；施工员、质量员、材料员、资料员附岗位证书或培训证书彩色扫描件或打印件；</w:t>
      </w:r>
    </w:p>
    <w:p w14:paraId="40814848">
      <w:pPr>
        <w:spacing w:before="153" w:line="299" w:lineRule="auto"/>
        <w:ind w:left="11" w:right="89" w:firstLine="420"/>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lang w:eastAsia="zh-CN"/>
        </w:rPr>
        <w:t>（</w:t>
      </w:r>
      <w:r>
        <w:rPr>
          <w:rFonts w:hint="eastAsia" w:ascii="宋体" w:hAnsi="宋体" w:eastAsia="宋体" w:cs="宋体"/>
          <w:color w:val="auto"/>
          <w:spacing w:val="9"/>
          <w:sz w:val="24"/>
          <w:szCs w:val="24"/>
          <w:highlight w:val="none"/>
          <w:lang w:val="en-US" w:eastAsia="zh-CN"/>
        </w:rPr>
        <w:t>3</w:t>
      </w:r>
      <w:r>
        <w:rPr>
          <w:rFonts w:hint="eastAsia" w:ascii="宋体" w:hAnsi="宋体" w:eastAsia="宋体" w:cs="宋体"/>
          <w:color w:val="auto"/>
          <w:spacing w:val="9"/>
          <w:sz w:val="24"/>
          <w:szCs w:val="24"/>
          <w:highlight w:val="none"/>
          <w:lang w:eastAsia="zh-CN"/>
        </w:rPr>
        <w:t>）</w:t>
      </w:r>
      <w:r>
        <w:rPr>
          <w:rFonts w:hint="eastAsia" w:ascii="宋体" w:hAnsi="宋体" w:eastAsia="宋体" w:cs="宋体"/>
          <w:color w:val="auto"/>
          <w:spacing w:val="9"/>
          <w:sz w:val="24"/>
          <w:szCs w:val="24"/>
          <w:highlight w:val="none"/>
        </w:rPr>
        <w:t>在本单位缴纳社保的证明（</w:t>
      </w:r>
      <w:r>
        <w:rPr>
          <w:rFonts w:hint="eastAsia" w:ascii="宋体" w:hAnsi="宋体" w:eastAsia="宋体" w:cs="宋体"/>
          <w:color w:val="auto"/>
          <w:sz w:val="24"/>
          <w:szCs w:val="24"/>
          <w:highlight w:val="none"/>
          <w:lang w:eastAsia="zh-CN"/>
        </w:rPr>
        <w:t>至少</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个月</w:t>
      </w:r>
      <w:r>
        <w:rPr>
          <w:rFonts w:hint="eastAsia" w:ascii="宋体" w:hAnsi="宋体" w:eastAsia="宋体" w:cs="宋体"/>
          <w:color w:val="auto"/>
          <w:spacing w:val="9"/>
          <w:sz w:val="24"/>
          <w:szCs w:val="24"/>
          <w:highlight w:val="none"/>
        </w:rPr>
        <w:t>，其中必</w:t>
      </w:r>
      <w:r>
        <w:rPr>
          <w:rFonts w:hint="eastAsia" w:ascii="宋体" w:hAnsi="宋体" w:eastAsia="宋体" w:cs="宋体"/>
          <w:color w:val="auto"/>
          <w:spacing w:val="8"/>
          <w:sz w:val="24"/>
          <w:szCs w:val="24"/>
          <w:highlight w:val="none"/>
        </w:rPr>
        <w:t>须有</w:t>
      </w:r>
      <w:r>
        <w:rPr>
          <w:rFonts w:hint="eastAsia" w:ascii="宋体" w:hAnsi="宋体" w:eastAsia="宋体" w:cs="宋体"/>
          <w:color w:val="auto"/>
          <w:spacing w:val="8"/>
          <w:sz w:val="24"/>
          <w:szCs w:val="24"/>
          <w:highlight w:val="none"/>
          <w:lang w:eastAsia="zh-CN"/>
        </w:rPr>
        <w:t>20</w:t>
      </w:r>
      <w:r>
        <w:rPr>
          <w:rFonts w:hint="eastAsia" w:ascii="宋体" w:hAnsi="宋体" w:eastAsia="宋体" w:cs="宋体"/>
          <w:color w:val="auto"/>
          <w:spacing w:val="8"/>
          <w:sz w:val="24"/>
          <w:szCs w:val="24"/>
          <w:highlight w:val="none"/>
          <w:lang w:val="en-US" w:eastAsia="zh-CN"/>
        </w:rPr>
        <w:t>26</w:t>
      </w:r>
      <w:r>
        <w:rPr>
          <w:rFonts w:hint="eastAsia" w:ascii="宋体" w:hAnsi="宋体" w:eastAsia="宋体" w:cs="宋体"/>
          <w:color w:val="auto"/>
          <w:spacing w:val="8"/>
          <w:sz w:val="24"/>
          <w:szCs w:val="24"/>
          <w:highlight w:val="none"/>
        </w:rPr>
        <w:t>年</w:t>
      </w:r>
      <w:r>
        <w:rPr>
          <w:rFonts w:hint="eastAsia" w:ascii="宋体" w:hAnsi="宋体" w:eastAsia="宋体" w:cs="宋体"/>
          <w:color w:val="auto"/>
          <w:spacing w:val="8"/>
          <w:sz w:val="24"/>
          <w:szCs w:val="24"/>
          <w:highlight w:val="none"/>
          <w:lang w:val="en-US" w:eastAsia="zh-CN"/>
        </w:rPr>
        <w:t>4</w:t>
      </w:r>
      <w:r>
        <w:rPr>
          <w:rFonts w:hint="eastAsia" w:ascii="宋体" w:hAnsi="宋体" w:eastAsia="宋体" w:cs="宋体"/>
          <w:color w:val="auto"/>
          <w:spacing w:val="8"/>
          <w:sz w:val="24"/>
          <w:szCs w:val="24"/>
          <w:highlight w:val="none"/>
        </w:rPr>
        <w:t>月）彩色扫描件</w:t>
      </w:r>
      <w:r>
        <w:rPr>
          <w:rFonts w:hint="eastAsia" w:ascii="宋体" w:hAnsi="宋体" w:eastAsia="宋体" w:cs="宋体"/>
          <w:color w:val="auto"/>
          <w:spacing w:val="8"/>
          <w:sz w:val="24"/>
          <w:szCs w:val="24"/>
          <w:highlight w:val="none"/>
          <w:lang w:val="en-US" w:eastAsia="zh-CN"/>
        </w:rPr>
        <w:t>或打印件</w:t>
      </w:r>
      <w:r>
        <w:rPr>
          <w:rFonts w:hint="eastAsia" w:ascii="宋体" w:hAnsi="宋体" w:eastAsia="宋体" w:cs="宋体"/>
          <w:color w:val="auto"/>
          <w:spacing w:val="8"/>
          <w:sz w:val="24"/>
          <w:szCs w:val="24"/>
          <w:highlight w:val="none"/>
        </w:rPr>
        <w:t>。</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0"/>
          <w:sz w:val="24"/>
          <w:szCs w:val="24"/>
          <w:highlight w:val="none"/>
        </w:rPr>
        <w:t>拟派项目技术负责人为退休返聘人员无法提供社</w:t>
      </w:r>
      <w:r>
        <w:rPr>
          <w:rFonts w:hint="eastAsia" w:ascii="宋体" w:hAnsi="宋体" w:eastAsia="宋体" w:cs="宋体"/>
          <w:color w:val="auto"/>
          <w:spacing w:val="9"/>
          <w:sz w:val="24"/>
          <w:szCs w:val="24"/>
          <w:highlight w:val="none"/>
        </w:rPr>
        <w:t>保证明的，提供退休证和劳动合同彩色扫描件。</w:t>
      </w:r>
    </w:p>
    <w:p w14:paraId="2488CB38">
      <w:pPr>
        <w:spacing w:before="152" w:line="228" w:lineRule="auto"/>
        <w:ind w:left="0" w:leftChars="0" w:firstLine="419" w:firstLineChars="164"/>
        <w:rPr>
          <w:rFonts w:hint="eastAsia" w:ascii="宋体" w:hAnsi="宋体" w:eastAsia="宋体" w:cs="宋体"/>
          <w:color w:val="auto"/>
          <w:spacing w:val="9"/>
          <w:sz w:val="24"/>
          <w:szCs w:val="24"/>
          <w:highlight w:val="none"/>
        </w:rPr>
      </w:pPr>
      <w:r>
        <w:rPr>
          <w:rFonts w:hint="eastAsia" w:ascii="宋体" w:hAnsi="宋体" w:eastAsia="宋体" w:cs="宋体"/>
          <w:color w:val="auto"/>
          <w:spacing w:val="8"/>
          <w:sz w:val="24"/>
          <w:szCs w:val="24"/>
          <w:highlight w:val="none"/>
        </w:rPr>
        <w:t>（4）</w:t>
      </w:r>
      <w:r>
        <w:rPr>
          <w:rFonts w:hint="eastAsia" w:ascii="宋体" w:hAnsi="宋体" w:eastAsia="宋体" w:cs="宋体"/>
          <w:color w:val="auto"/>
          <w:spacing w:val="9"/>
          <w:sz w:val="24"/>
          <w:szCs w:val="24"/>
          <w:highlight w:val="none"/>
        </w:rPr>
        <w:t>“进粤企业和人员诚信信息登记平台 ”个人信息情况截图。（适用于省外建筑企业）</w:t>
      </w:r>
    </w:p>
    <w:p w14:paraId="7D04B8DB">
      <w:pPr>
        <w:spacing w:before="153" w:line="299" w:lineRule="auto"/>
        <w:ind w:left="16" w:right="40" w:firstLine="411"/>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lang w:val="en-US" w:eastAsia="zh-CN"/>
        </w:rPr>
        <w:t>2.</w:t>
      </w:r>
      <w:r>
        <w:rPr>
          <w:rFonts w:hint="eastAsia" w:ascii="宋体" w:hAnsi="宋体" w:eastAsia="宋体" w:cs="宋体"/>
          <w:color w:val="auto"/>
          <w:spacing w:val="8"/>
          <w:sz w:val="24"/>
          <w:szCs w:val="24"/>
          <w:highlight w:val="none"/>
        </w:rPr>
        <w:t>联合体投标的，《项目管理机构组成表》应包括联合体成员单位参与项目管理</w:t>
      </w:r>
      <w:r>
        <w:rPr>
          <w:rFonts w:hint="eastAsia" w:ascii="宋体" w:hAnsi="宋体" w:eastAsia="宋体" w:cs="宋体"/>
          <w:color w:val="auto"/>
          <w:spacing w:val="7"/>
          <w:sz w:val="24"/>
          <w:szCs w:val="24"/>
          <w:highlight w:val="none"/>
        </w:rPr>
        <w:t>机构的人员，并提供以上所需资料。</w:t>
      </w:r>
    </w:p>
    <w:p w14:paraId="270AB728">
      <w:pPr>
        <w:pStyle w:val="5"/>
        <w:spacing w:line="248" w:lineRule="auto"/>
        <w:rPr>
          <w:rFonts w:hint="eastAsia" w:ascii="宋体" w:hAnsi="宋体" w:eastAsia="宋体" w:cs="宋体"/>
          <w:color w:val="auto"/>
          <w:sz w:val="24"/>
          <w:szCs w:val="24"/>
          <w:highlight w:val="none"/>
        </w:rPr>
      </w:pPr>
    </w:p>
    <w:p w14:paraId="67BB345D">
      <w:pPr>
        <w:pStyle w:val="5"/>
        <w:spacing w:line="248" w:lineRule="auto"/>
        <w:rPr>
          <w:rFonts w:hint="eastAsia" w:ascii="宋体" w:hAnsi="宋体" w:eastAsia="宋体" w:cs="宋体"/>
          <w:color w:val="auto"/>
          <w:sz w:val="24"/>
          <w:szCs w:val="24"/>
          <w:highlight w:val="none"/>
        </w:rPr>
      </w:pPr>
    </w:p>
    <w:p w14:paraId="7B06C124">
      <w:pPr>
        <w:pStyle w:val="5"/>
        <w:spacing w:line="248" w:lineRule="auto"/>
        <w:rPr>
          <w:rFonts w:hint="eastAsia" w:ascii="宋体" w:hAnsi="宋体" w:eastAsia="宋体" w:cs="宋体"/>
          <w:color w:val="auto"/>
          <w:highlight w:val="none"/>
        </w:rPr>
      </w:pPr>
    </w:p>
    <w:p w14:paraId="4D41C197">
      <w:pPr>
        <w:pStyle w:val="5"/>
        <w:spacing w:line="248" w:lineRule="auto"/>
        <w:rPr>
          <w:rFonts w:hint="eastAsia" w:ascii="宋体" w:hAnsi="宋体" w:eastAsia="宋体" w:cs="宋体"/>
          <w:color w:val="auto"/>
          <w:highlight w:val="none"/>
        </w:rPr>
      </w:pPr>
    </w:p>
    <w:p w14:paraId="5146A28D">
      <w:pPr>
        <w:spacing w:before="79" w:line="220" w:lineRule="auto"/>
        <w:rPr>
          <w:rFonts w:hint="eastAsia" w:ascii="宋体" w:hAnsi="宋体" w:eastAsia="宋体" w:cs="宋体"/>
          <w:b/>
          <w:bCs/>
          <w:color w:val="auto"/>
          <w:spacing w:val="-2"/>
          <w:sz w:val="24"/>
          <w:szCs w:val="24"/>
          <w:highlight w:val="none"/>
        </w:rPr>
      </w:pPr>
    </w:p>
    <w:p w14:paraId="69CF808F">
      <w:pPr>
        <w:spacing w:before="78" w:line="220" w:lineRule="auto"/>
        <w:outlineLvl w:val="2"/>
        <w:rPr>
          <w:rFonts w:hint="eastAsia" w:ascii="宋体" w:hAnsi="宋体" w:eastAsia="宋体" w:cs="宋体"/>
          <w:b/>
          <w:bCs/>
          <w:color w:val="auto"/>
          <w:spacing w:val="-4"/>
          <w:sz w:val="24"/>
          <w:szCs w:val="24"/>
          <w:highlight w:val="none"/>
        </w:rPr>
      </w:pPr>
      <w:bookmarkStart w:id="263" w:name="_Toc16480"/>
      <w:r>
        <w:rPr>
          <w:rFonts w:hint="eastAsia" w:ascii="宋体" w:hAnsi="宋体" w:eastAsia="宋体" w:cs="宋体"/>
          <w:b/>
          <w:bCs/>
          <w:color w:val="auto"/>
          <w:spacing w:val="-4"/>
          <w:sz w:val="24"/>
          <w:szCs w:val="24"/>
          <w:highlight w:val="none"/>
        </w:rPr>
        <w:t>格式十二 建造师查询页（有效期+建造师签字）</w:t>
      </w:r>
      <w:bookmarkEnd w:id="263"/>
    </w:p>
    <w:p w14:paraId="7E4612B5">
      <w:pPr>
        <w:outlineLvl w:val="9"/>
        <w:rPr>
          <w:rFonts w:hint="eastAsia" w:ascii="宋体" w:hAnsi="宋体" w:eastAsia="宋体" w:cs="宋体"/>
          <w:color w:val="auto"/>
          <w:highlight w:val="none"/>
        </w:rPr>
      </w:pPr>
      <w:r>
        <w:rPr>
          <w:rFonts w:hint="eastAsia" w:ascii="宋体" w:hAnsi="宋体" w:eastAsia="宋体" w:cs="宋体"/>
          <w:color w:val="auto"/>
          <w:position w:val="-235"/>
          <w:highlight w:val="none"/>
        </w:rPr>
        <w:drawing>
          <wp:inline distT="0" distB="0" distL="114300" distR="114300">
            <wp:extent cx="6239510" cy="8013700"/>
            <wp:effectExtent l="0" t="0" r="8890" b="6350"/>
            <wp:docPr id="6" name="图片 8"/>
            <wp:cNvGraphicFramePr/>
            <a:graphic xmlns:a="http://schemas.openxmlformats.org/drawingml/2006/main">
              <a:graphicData uri="http://schemas.openxmlformats.org/drawingml/2006/picture">
                <pic:pic xmlns:pic="http://schemas.openxmlformats.org/drawingml/2006/picture">
                  <pic:nvPicPr>
                    <pic:cNvPr id="6" name="图片 8"/>
                    <pic:cNvPicPr/>
                  </pic:nvPicPr>
                  <pic:blipFill>
                    <a:blip r:embed="rId55"/>
                    <a:stretch>
                      <a:fillRect/>
                    </a:stretch>
                  </pic:blipFill>
                  <pic:spPr>
                    <a:xfrm>
                      <a:off x="0" y="0"/>
                      <a:ext cx="6239510" cy="8013700"/>
                    </a:xfrm>
                    <a:prstGeom prst="rect">
                      <a:avLst/>
                    </a:prstGeom>
                    <a:noFill/>
                    <a:ln>
                      <a:noFill/>
                    </a:ln>
                  </pic:spPr>
                </pic:pic>
              </a:graphicData>
            </a:graphic>
          </wp:inline>
        </w:drawing>
      </w:r>
    </w:p>
    <w:p w14:paraId="3172F0C9">
      <w:pPr>
        <w:spacing w:line="220" w:lineRule="auto"/>
        <w:rPr>
          <w:rFonts w:hint="eastAsia" w:ascii="宋体" w:hAnsi="宋体" w:eastAsia="宋体" w:cs="宋体"/>
          <w:color w:val="auto"/>
          <w:sz w:val="24"/>
          <w:szCs w:val="24"/>
          <w:highlight w:val="none"/>
        </w:rPr>
        <w:sectPr>
          <w:footerReference r:id="rId22"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135EB9FF">
      <w:pPr>
        <w:spacing w:line="10744" w:lineRule="exact"/>
        <w:rPr>
          <w:rFonts w:hint="eastAsia" w:ascii="宋体" w:hAnsi="宋体" w:eastAsia="宋体" w:cs="宋体"/>
          <w:color w:val="auto"/>
          <w:highlight w:val="none"/>
        </w:rPr>
      </w:pPr>
      <w:r>
        <w:rPr>
          <w:rFonts w:hint="eastAsia" w:ascii="宋体" w:hAnsi="宋体" w:eastAsia="宋体" w:cs="宋体"/>
          <w:color w:val="auto"/>
          <w:position w:val="-214"/>
          <w:highlight w:val="none"/>
        </w:rPr>
        <w:drawing>
          <wp:inline distT="0" distB="0" distL="114300" distR="114300">
            <wp:extent cx="6285865" cy="6925310"/>
            <wp:effectExtent l="0" t="0" r="635" b="8890"/>
            <wp:docPr id="4" name="图片 9"/>
            <wp:cNvGraphicFramePr/>
            <a:graphic xmlns:a="http://schemas.openxmlformats.org/drawingml/2006/main">
              <a:graphicData uri="http://schemas.openxmlformats.org/drawingml/2006/picture">
                <pic:pic xmlns:pic="http://schemas.openxmlformats.org/drawingml/2006/picture">
                  <pic:nvPicPr>
                    <pic:cNvPr id="4" name="图片 9"/>
                    <pic:cNvPicPr/>
                  </pic:nvPicPr>
                  <pic:blipFill>
                    <a:blip r:embed="rId56"/>
                    <a:stretch>
                      <a:fillRect/>
                    </a:stretch>
                  </pic:blipFill>
                  <pic:spPr>
                    <a:xfrm>
                      <a:off x="0" y="0"/>
                      <a:ext cx="6285865" cy="6925310"/>
                    </a:xfrm>
                    <a:prstGeom prst="rect">
                      <a:avLst/>
                    </a:prstGeom>
                    <a:noFill/>
                    <a:ln>
                      <a:noFill/>
                    </a:ln>
                  </pic:spPr>
                </pic:pic>
              </a:graphicData>
            </a:graphic>
          </wp:inline>
        </w:drawing>
      </w:r>
    </w:p>
    <w:p w14:paraId="0BA8F6B0">
      <w:pPr>
        <w:spacing w:line="10744" w:lineRule="exact"/>
        <w:rPr>
          <w:rFonts w:hint="eastAsia" w:ascii="宋体" w:hAnsi="宋体" w:eastAsia="宋体" w:cs="宋体"/>
          <w:color w:val="auto"/>
          <w:highlight w:val="none"/>
        </w:rPr>
        <w:sectPr>
          <w:footerReference r:id="rId23"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6807325D">
      <w:pPr>
        <w:spacing w:before="78" w:line="220" w:lineRule="auto"/>
        <w:outlineLvl w:val="2"/>
        <w:rPr>
          <w:rFonts w:hint="eastAsia" w:ascii="宋体" w:hAnsi="宋体" w:eastAsia="宋体" w:cs="宋体"/>
          <w:b/>
          <w:bCs/>
          <w:color w:val="auto"/>
          <w:spacing w:val="-4"/>
          <w:sz w:val="24"/>
          <w:szCs w:val="24"/>
          <w:highlight w:val="none"/>
        </w:rPr>
      </w:pPr>
      <w:bookmarkStart w:id="264" w:name="_Toc28779"/>
      <w:r>
        <w:rPr>
          <w:rFonts w:hint="eastAsia" w:ascii="宋体" w:hAnsi="宋体" w:eastAsia="宋体" w:cs="宋体"/>
          <w:b/>
          <w:bCs/>
          <w:color w:val="auto"/>
          <w:spacing w:val="-4"/>
          <w:sz w:val="24"/>
          <w:szCs w:val="24"/>
          <w:highlight w:val="none"/>
        </w:rPr>
        <w:t>格式十三：</w:t>
      </w:r>
      <w:r>
        <w:rPr>
          <w:rFonts w:hint="eastAsia" w:ascii="宋体" w:hAnsi="宋体" w:eastAsia="宋体" w:cs="宋体"/>
          <w:b/>
          <w:bCs/>
          <w:color w:val="auto"/>
          <w:spacing w:val="7"/>
          <w:sz w:val="22"/>
          <w:szCs w:val="22"/>
          <w:highlight w:val="none"/>
        </w:rPr>
        <w:t>危险性较大的分部分项工程清单及超过一定规模的危险性较大的</w:t>
      </w:r>
      <w:r>
        <w:rPr>
          <w:rFonts w:hint="eastAsia" w:ascii="宋体" w:hAnsi="宋体" w:eastAsia="宋体" w:cs="宋体"/>
          <w:b/>
          <w:bCs/>
          <w:color w:val="auto"/>
          <w:spacing w:val="5"/>
          <w:sz w:val="22"/>
          <w:szCs w:val="22"/>
          <w:highlight w:val="none"/>
        </w:rPr>
        <w:t>分部分项工程清单</w:t>
      </w:r>
      <w:bookmarkEnd w:id="264"/>
    </w:p>
    <w:p w14:paraId="4A8056AD">
      <w:pPr>
        <w:pStyle w:val="5"/>
        <w:spacing w:line="269" w:lineRule="auto"/>
        <w:rPr>
          <w:rFonts w:hint="eastAsia" w:ascii="宋体" w:hAnsi="宋体" w:eastAsia="宋体" w:cs="宋体"/>
          <w:color w:val="auto"/>
          <w:highlight w:val="none"/>
        </w:rPr>
      </w:pPr>
    </w:p>
    <w:p w14:paraId="6BF95D02">
      <w:pPr>
        <w:tabs>
          <w:tab w:val="left" w:pos="2940"/>
        </w:tabs>
        <w:spacing w:before="101" w:line="377" w:lineRule="auto"/>
        <w:ind w:left="3179" w:leftChars="0" w:right="41" w:hanging="3133" w:firstLineChars="0"/>
        <w:rPr>
          <w:rFonts w:hint="eastAsia" w:ascii="宋体" w:hAnsi="宋体" w:eastAsia="宋体" w:cs="宋体"/>
          <w:color w:val="auto"/>
          <w:sz w:val="31"/>
          <w:szCs w:val="31"/>
          <w:highlight w:val="none"/>
        </w:rPr>
      </w:pPr>
      <w:bookmarkStart w:id="265" w:name="bookmark160"/>
      <w:bookmarkEnd w:id="265"/>
      <w:bookmarkStart w:id="266" w:name="OLE_LINK41"/>
      <w:r>
        <w:rPr>
          <w:rFonts w:hint="eastAsia" w:ascii="宋体" w:hAnsi="宋体" w:eastAsia="宋体" w:cs="宋体"/>
          <w:b/>
          <w:bCs/>
          <w:color w:val="auto"/>
          <w:spacing w:val="7"/>
          <w:sz w:val="31"/>
          <w:szCs w:val="31"/>
          <w:highlight w:val="none"/>
        </w:rPr>
        <w:t>危险性较大的分部分项工程清单及超过一定规模的危险性较大的</w:t>
      </w:r>
      <w:r>
        <w:rPr>
          <w:rFonts w:hint="eastAsia" w:ascii="宋体" w:hAnsi="宋体" w:eastAsia="宋体" w:cs="宋体"/>
          <w:b/>
          <w:bCs/>
          <w:color w:val="auto"/>
          <w:spacing w:val="5"/>
          <w:sz w:val="31"/>
          <w:szCs w:val="31"/>
          <w:highlight w:val="none"/>
        </w:rPr>
        <w:t>分部分项工程清单</w:t>
      </w:r>
    </w:p>
    <w:bookmarkEnd w:id="266"/>
    <w:p w14:paraId="73F326BD">
      <w:pPr>
        <w:spacing w:before="6" w:line="326" w:lineRule="auto"/>
        <w:ind w:left="5" w:firstLine="492"/>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1、根据中华人民共和国住房和城乡建设部令第37号《危险性较大的分部分项工程</w:t>
      </w:r>
      <w:r>
        <w:rPr>
          <w:rFonts w:hint="eastAsia" w:ascii="宋体" w:hAnsi="宋体" w:eastAsia="宋体" w:cs="宋体"/>
          <w:color w:val="auto"/>
          <w:spacing w:val="-2"/>
          <w:sz w:val="24"/>
          <w:szCs w:val="24"/>
          <w:highlight w:val="none"/>
        </w:rPr>
        <w:t>安全管理规定》（以下简称“37号文</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w:t>
      </w:r>
      <w:r>
        <w:rPr>
          <w:rFonts w:hint="eastAsia" w:ascii="宋体" w:hAnsi="宋体" w:eastAsia="宋体" w:cs="宋体"/>
          <w:color w:val="auto"/>
          <w:spacing w:val="-11"/>
          <w:sz w:val="24"/>
          <w:szCs w:val="24"/>
          <w:highlight w:val="none"/>
        </w:rPr>
        <w:t>），</w:t>
      </w:r>
      <w:r>
        <w:rPr>
          <w:rFonts w:hint="eastAsia" w:ascii="宋体" w:hAnsi="宋体" w:eastAsia="宋体" w:cs="宋体"/>
          <w:color w:val="auto"/>
          <w:spacing w:val="-2"/>
          <w:sz w:val="24"/>
          <w:szCs w:val="24"/>
          <w:highlight w:val="none"/>
        </w:rPr>
        <w:t>投标人在投标时须补充完善危大工程清单并</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2"/>
          <w:sz w:val="24"/>
          <w:szCs w:val="24"/>
          <w:highlight w:val="none"/>
        </w:rPr>
        <w:t>明确相应的安全管理措施。</w:t>
      </w:r>
    </w:p>
    <w:p w14:paraId="1DC88D33">
      <w:pPr>
        <w:spacing w:before="208" w:line="326" w:lineRule="auto"/>
        <w:ind w:left="1" w:firstLine="48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2、招标人根据设计文件的要求及37号文、粤建规范〔2019〕2号文的规定列出“危险性较大的分部分项工程清单及超过一定规模的危</w:t>
      </w:r>
      <w:r>
        <w:rPr>
          <w:rFonts w:hint="eastAsia" w:ascii="宋体" w:hAnsi="宋体" w:eastAsia="宋体" w:cs="宋体"/>
          <w:color w:val="auto"/>
          <w:spacing w:val="-3"/>
          <w:sz w:val="24"/>
          <w:szCs w:val="24"/>
          <w:highlight w:val="none"/>
        </w:rPr>
        <w:t>险性较大的分部分项工程清单</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3"/>
          <w:sz w:val="24"/>
          <w:szCs w:val="24"/>
          <w:highlight w:val="none"/>
        </w:rPr>
        <w:t>”中与</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5"/>
          <w:sz w:val="24"/>
          <w:szCs w:val="24"/>
          <w:highlight w:val="none"/>
        </w:rPr>
        <w:t>本招标项目相关的清单项，具体详见第5点“打</w:t>
      </w:r>
      <w:r>
        <w:rPr>
          <w:rFonts w:hint="eastAsia" w:ascii="宋体" w:hAnsi="宋体" w:eastAsia="宋体" w:cs="宋体"/>
          <w:color w:val="auto"/>
          <w:spacing w:val="-34"/>
          <w:sz w:val="24"/>
          <w:szCs w:val="24"/>
          <w:highlight w:val="none"/>
        </w:rPr>
        <w:t xml:space="preserve"> </w:t>
      </w:r>
      <w:r>
        <w:rPr>
          <w:rFonts w:hint="eastAsia" w:ascii="宋体" w:hAnsi="宋体" w:eastAsia="宋体" w:cs="宋体"/>
          <w:color w:val="auto"/>
          <w:spacing w:val="-5"/>
          <w:sz w:val="24"/>
          <w:szCs w:val="24"/>
          <w:highlight w:val="none"/>
        </w:rPr>
        <w:t>√</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5"/>
          <w:sz w:val="24"/>
          <w:szCs w:val="24"/>
          <w:highlight w:val="none"/>
        </w:rPr>
        <w:t>”标识。</w:t>
      </w:r>
    </w:p>
    <w:p w14:paraId="360030D3">
      <w:pPr>
        <w:spacing w:before="209" w:line="299" w:lineRule="auto"/>
        <w:ind w:left="3" w:right="72" w:firstLine="488"/>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（1）投标单位同意建设单位在清单中标识的该</w:t>
      </w:r>
      <w:r>
        <w:rPr>
          <w:rFonts w:hint="eastAsia" w:ascii="宋体" w:hAnsi="宋体" w:eastAsia="宋体" w:cs="宋体"/>
          <w:color w:val="auto"/>
          <w:spacing w:val="-4"/>
          <w:sz w:val="24"/>
          <w:szCs w:val="24"/>
          <w:highlight w:val="none"/>
        </w:rPr>
        <w:t>项请在对应项打“</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4"/>
          <w:sz w:val="24"/>
          <w:szCs w:val="24"/>
          <w:highlight w:val="none"/>
        </w:rPr>
        <w:t>√</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4"/>
          <w:sz w:val="24"/>
          <w:szCs w:val="24"/>
          <w:highlight w:val="none"/>
        </w:rPr>
        <w:t>”标识，并与</w:t>
      </w:r>
      <w:r>
        <w:rPr>
          <w:rFonts w:hint="eastAsia" w:ascii="宋体" w:hAnsi="宋体" w:eastAsia="宋体" w:cs="宋体"/>
          <w:color w:val="auto"/>
          <w:spacing w:val="-1"/>
          <w:sz w:val="24"/>
          <w:szCs w:val="24"/>
          <w:highlight w:val="none"/>
        </w:rPr>
        <w:t>投标文件中提供相应的安全管理措施。</w:t>
      </w:r>
    </w:p>
    <w:p w14:paraId="4935E083">
      <w:pPr>
        <w:spacing w:before="208" w:line="299" w:lineRule="auto"/>
        <w:ind w:left="2" w:right="72" w:firstLine="489"/>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（2）投标单位对清单中认为需要补充的该项请</w:t>
      </w:r>
      <w:r>
        <w:rPr>
          <w:rFonts w:hint="eastAsia" w:ascii="宋体" w:hAnsi="宋体" w:eastAsia="宋体" w:cs="宋体"/>
          <w:color w:val="auto"/>
          <w:spacing w:val="-4"/>
          <w:sz w:val="24"/>
          <w:szCs w:val="24"/>
          <w:highlight w:val="none"/>
        </w:rPr>
        <w:t>在对应项打“</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4"/>
          <w:sz w:val="24"/>
          <w:szCs w:val="24"/>
          <w:highlight w:val="none"/>
        </w:rPr>
        <w:t>√</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4"/>
          <w:sz w:val="24"/>
          <w:szCs w:val="24"/>
          <w:highlight w:val="none"/>
        </w:rPr>
        <w:t>”标识，并与投标</w:t>
      </w:r>
      <w:r>
        <w:rPr>
          <w:rFonts w:hint="eastAsia" w:ascii="宋体" w:hAnsi="宋体" w:eastAsia="宋体" w:cs="宋体"/>
          <w:color w:val="auto"/>
          <w:spacing w:val="-1"/>
          <w:sz w:val="24"/>
          <w:szCs w:val="24"/>
          <w:highlight w:val="none"/>
        </w:rPr>
        <w:t>文件中提供相应的安全管理措施。</w:t>
      </w:r>
    </w:p>
    <w:p w14:paraId="47CE10C4">
      <w:pPr>
        <w:spacing w:before="210" w:line="300" w:lineRule="auto"/>
        <w:ind w:right="72" w:firstLine="492"/>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（3）投标单位不同意建设单位在清单中标识的该项请在对应项打“</w:t>
      </w:r>
      <w:r>
        <w:rPr>
          <w:rFonts w:hint="eastAsia" w:ascii="宋体" w:hAnsi="宋体" w:eastAsia="宋体" w:cs="宋体"/>
          <w:color w:val="auto"/>
          <w:spacing w:val="-66"/>
          <w:sz w:val="24"/>
          <w:szCs w:val="24"/>
          <w:highlight w:val="none"/>
        </w:rPr>
        <w:t xml:space="preserve"> </w:t>
      </w:r>
      <w:r>
        <w:rPr>
          <w:rFonts w:hint="eastAsia" w:ascii="宋体" w:hAnsi="宋体" w:eastAsia="宋体" w:cs="宋体"/>
          <w:color w:val="auto"/>
          <w:spacing w:val="-3"/>
          <w:sz w:val="24"/>
          <w:szCs w:val="24"/>
          <w:highlight w:val="none"/>
        </w:rPr>
        <w:t>×</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3"/>
          <w:sz w:val="24"/>
          <w:szCs w:val="24"/>
          <w:highlight w:val="none"/>
        </w:rPr>
        <w:t>”标识，并</w:t>
      </w:r>
      <w:r>
        <w:rPr>
          <w:rFonts w:hint="eastAsia" w:ascii="宋体" w:hAnsi="宋体" w:eastAsia="宋体" w:cs="宋体"/>
          <w:color w:val="auto"/>
          <w:spacing w:val="-1"/>
          <w:sz w:val="24"/>
          <w:szCs w:val="24"/>
          <w:highlight w:val="none"/>
        </w:rPr>
        <w:t>在备注栏填上相关说明。</w:t>
      </w:r>
    </w:p>
    <w:p w14:paraId="34A6CA4A">
      <w:pPr>
        <w:spacing w:before="207" w:line="371" w:lineRule="auto"/>
        <w:ind w:firstLine="484"/>
        <w:jc w:val="both"/>
        <w:rPr>
          <w:rFonts w:hint="eastAsia" w:ascii="宋体" w:hAnsi="宋体" w:eastAsia="宋体" w:cs="宋体"/>
          <w:color w:val="auto"/>
          <w:sz w:val="24"/>
          <w:szCs w:val="24"/>
          <w:highlight w:val="none"/>
        </w:rPr>
      </w:pPr>
      <w:r>
        <w:rPr>
          <w:rFonts w:hint="eastAsia" w:ascii="宋体" w:hAnsi="宋体" w:eastAsia="宋体" w:cs="宋体"/>
          <w:b/>
          <w:bCs/>
          <w:color w:val="auto"/>
          <w:spacing w:val="-4"/>
          <w:sz w:val="24"/>
          <w:szCs w:val="24"/>
          <w:highlight w:val="none"/>
          <w:u w:val="single"/>
        </w:rPr>
        <w:t>3、投标单位应当在投标时根据招标人提供的下述第5点清单，</w:t>
      </w:r>
      <w:r>
        <w:rPr>
          <w:rFonts w:hint="eastAsia" w:ascii="宋体" w:hAnsi="宋体" w:eastAsia="宋体" w:cs="宋体"/>
          <w:b/>
          <w:bCs/>
          <w:color w:val="auto"/>
          <w:spacing w:val="-5"/>
          <w:sz w:val="24"/>
          <w:szCs w:val="24"/>
          <w:highlight w:val="none"/>
          <w:u w:val="single"/>
        </w:rPr>
        <w:t>在投标施工组织中回</w:t>
      </w:r>
      <w:r>
        <w:rPr>
          <w:rFonts w:hint="eastAsia" w:ascii="宋体" w:hAnsi="宋体" w:eastAsia="宋体" w:cs="宋体"/>
          <w:b/>
          <w:bCs/>
          <w:color w:val="auto"/>
          <w:spacing w:val="-4"/>
          <w:sz w:val="24"/>
          <w:szCs w:val="24"/>
          <w:highlight w:val="none"/>
          <w:u w:val="single"/>
        </w:rPr>
        <w:t>应建设单位提供的危大工程清单，补充相应的安全管理措施。（为减轻标书编制</w:t>
      </w:r>
      <w:r>
        <w:rPr>
          <w:rFonts w:hint="eastAsia" w:ascii="宋体" w:hAnsi="宋体" w:eastAsia="宋体" w:cs="宋体"/>
          <w:b/>
          <w:bCs/>
          <w:color w:val="auto"/>
          <w:spacing w:val="-5"/>
          <w:sz w:val="24"/>
          <w:szCs w:val="24"/>
          <w:highlight w:val="none"/>
          <w:u w:val="single"/>
        </w:rPr>
        <w:t>的工作</w:t>
      </w:r>
      <w:r>
        <w:rPr>
          <w:rFonts w:hint="eastAsia" w:ascii="宋体" w:hAnsi="宋体" w:eastAsia="宋体" w:cs="宋体"/>
          <w:b/>
          <w:bCs/>
          <w:color w:val="auto"/>
          <w:spacing w:val="-2"/>
          <w:sz w:val="24"/>
          <w:szCs w:val="24"/>
          <w:highlight w:val="none"/>
          <w:u w:val="single"/>
        </w:rPr>
        <w:t>量，投标单位回应的危大工程清单该部分的页数应控制在3页内）</w:t>
      </w:r>
    </w:p>
    <w:p w14:paraId="24405FA5">
      <w:pPr>
        <w:spacing w:before="33" w:line="326" w:lineRule="auto"/>
        <w:ind w:left="1" w:firstLine="47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4、对于超过一定规模的危大工程，中标单位应当组织召开</w:t>
      </w:r>
      <w:r>
        <w:rPr>
          <w:rFonts w:hint="eastAsia" w:ascii="宋体" w:hAnsi="宋体" w:eastAsia="宋体" w:cs="宋体"/>
          <w:color w:val="auto"/>
          <w:spacing w:val="-1"/>
          <w:sz w:val="24"/>
          <w:szCs w:val="24"/>
          <w:highlight w:val="none"/>
        </w:rPr>
        <w:t>专家论证会对专项施工</w:t>
      </w:r>
      <w:r>
        <w:rPr>
          <w:rFonts w:hint="eastAsia" w:ascii="宋体" w:hAnsi="宋体" w:eastAsia="宋体" w:cs="宋体"/>
          <w:color w:val="auto"/>
          <w:spacing w:val="-2"/>
          <w:sz w:val="24"/>
          <w:szCs w:val="24"/>
          <w:highlight w:val="none"/>
        </w:rPr>
        <w:t>方案进行论证。实行施工总承包的，由施工总承包单位组织召开专家论证会。专家论证</w:t>
      </w:r>
      <w:r>
        <w:rPr>
          <w:rFonts w:hint="eastAsia" w:ascii="宋体" w:hAnsi="宋体" w:eastAsia="宋体" w:cs="宋体"/>
          <w:color w:val="auto"/>
          <w:spacing w:val="-1"/>
          <w:sz w:val="24"/>
          <w:szCs w:val="24"/>
          <w:highlight w:val="none"/>
        </w:rPr>
        <w:t>前专项施工方案应当通过施工总承包单位审核和总监理工程师审查。</w:t>
      </w:r>
    </w:p>
    <w:p w14:paraId="6259503A">
      <w:pPr>
        <w:spacing w:before="208" w:line="301" w:lineRule="auto"/>
        <w:ind w:firstLine="484"/>
        <w:rPr>
          <w:rFonts w:hint="eastAsia" w:ascii="宋体" w:hAnsi="宋体" w:eastAsia="宋体" w:cs="宋体"/>
          <w:color w:val="auto"/>
          <w:highlight w:val="none"/>
        </w:rPr>
      </w:pPr>
      <w:r>
        <w:rPr>
          <w:rFonts w:hint="eastAsia" w:ascii="宋体" w:hAnsi="宋体" w:eastAsia="宋体" w:cs="宋体"/>
          <w:color w:val="auto"/>
          <w:spacing w:val="2"/>
          <w:sz w:val="24"/>
          <w:szCs w:val="24"/>
          <w:highlight w:val="none"/>
        </w:rPr>
        <w:t>5、危险性较大的分部分项工程清单及超过一</w:t>
      </w:r>
      <w:r>
        <w:rPr>
          <w:rFonts w:hint="eastAsia" w:ascii="宋体" w:hAnsi="宋体" w:eastAsia="宋体" w:cs="宋体"/>
          <w:color w:val="auto"/>
          <w:spacing w:val="1"/>
          <w:sz w:val="24"/>
          <w:szCs w:val="24"/>
          <w:highlight w:val="none"/>
        </w:rPr>
        <w:t>定规模的危险性较大的分部分项工程</w:t>
      </w:r>
      <w:r>
        <w:rPr>
          <w:rFonts w:hint="eastAsia" w:ascii="宋体" w:hAnsi="宋体" w:eastAsia="宋体" w:cs="宋体"/>
          <w:color w:val="auto"/>
          <w:spacing w:val="-4"/>
          <w:sz w:val="24"/>
          <w:szCs w:val="24"/>
          <w:highlight w:val="none"/>
        </w:rPr>
        <w:t>清单</w:t>
      </w:r>
    </w:p>
    <w:p w14:paraId="3E4BB257">
      <w:pPr>
        <w:spacing w:before="40"/>
        <w:rPr>
          <w:rFonts w:hint="eastAsia" w:ascii="宋体" w:hAnsi="宋体" w:eastAsia="宋体" w:cs="宋体"/>
          <w:color w:val="auto"/>
          <w:highlight w:val="none"/>
        </w:rPr>
      </w:pPr>
    </w:p>
    <w:tbl>
      <w:tblPr>
        <w:tblStyle w:val="14"/>
        <w:tblW w:w="988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
        <w:gridCol w:w="4862"/>
        <w:gridCol w:w="1294"/>
        <w:gridCol w:w="1294"/>
        <w:gridCol w:w="2428"/>
      </w:tblGrid>
      <w:tr w14:paraId="27FF43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4B26D5DC">
            <w:pPr>
              <w:spacing w:before="133" w:line="220" w:lineRule="auto"/>
              <w:ind w:firstLine="235" w:firstLineChars="100"/>
              <w:rPr>
                <w:rFonts w:hint="eastAsia" w:ascii="宋体" w:hAnsi="宋体" w:eastAsia="宋体" w:cs="宋体"/>
                <w:color w:val="auto"/>
                <w:spacing w:val="-2"/>
                <w:sz w:val="24"/>
                <w:szCs w:val="24"/>
                <w:highlight w:val="none"/>
              </w:rPr>
            </w:pPr>
            <w:r>
              <w:rPr>
                <w:rFonts w:hint="eastAsia" w:ascii="宋体" w:hAnsi="宋体" w:eastAsia="宋体" w:cs="宋体"/>
                <w:b/>
                <w:bCs/>
                <w:color w:val="auto"/>
                <w:spacing w:val="-3"/>
                <w:sz w:val="24"/>
                <w:szCs w:val="24"/>
                <w:highlight w:val="none"/>
              </w:rPr>
              <w:t>一、危险性较大的分部分项工程清单</w:t>
            </w:r>
          </w:p>
        </w:tc>
        <w:tc>
          <w:tcPr>
            <w:tcW w:w="1294" w:type="dxa"/>
            <w:vAlign w:val="top"/>
          </w:tcPr>
          <w:p w14:paraId="7FABA18C">
            <w:pPr>
              <w:spacing w:before="133" w:line="221" w:lineRule="auto"/>
              <w:ind w:left="206" w:leftChars="0"/>
              <w:rPr>
                <w:rFonts w:hint="eastAsia" w:ascii="宋体" w:hAnsi="宋体" w:eastAsia="宋体" w:cs="宋体"/>
                <w:color w:val="auto"/>
                <w:spacing w:val="-19"/>
                <w:w w:val="94"/>
                <w:sz w:val="24"/>
                <w:szCs w:val="24"/>
                <w:highlight w:val="none"/>
              </w:rPr>
            </w:pPr>
            <w:r>
              <w:rPr>
                <w:rFonts w:hint="eastAsia" w:ascii="宋体" w:hAnsi="宋体" w:eastAsia="宋体" w:cs="宋体"/>
                <w:color w:val="auto"/>
                <w:spacing w:val="-4"/>
                <w:sz w:val="24"/>
                <w:szCs w:val="24"/>
                <w:highlight w:val="none"/>
              </w:rPr>
              <w:t>建设单位</w:t>
            </w:r>
          </w:p>
        </w:tc>
        <w:tc>
          <w:tcPr>
            <w:tcW w:w="1294" w:type="dxa"/>
            <w:vAlign w:val="top"/>
          </w:tcPr>
          <w:p w14:paraId="350FCB31">
            <w:pPr>
              <w:spacing w:before="133" w:line="221" w:lineRule="auto"/>
              <w:ind w:left="205" w:leftChars="0"/>
              <w:rPr>
                <w:rFonts w:hint="eastAsia" w:ascii="宋体" w:hAnsi="宋体" w:eastAsia="宋体" w:cs="宋体"/>
                <w:color w:val="auto"/>
                <w:spacing w:val="-19"/>
                <w:w w:val="94"/>
                <w:sz w:val="24"/>
                <w:szCs w:val="24"/>
                <w:highlight w:val="none"/>
              </w:rPr>
            </w:pPr>
            <w:r>
              <w:rPr>
                <w:rFonts w:hint="eastAsia" w:ascii="宋体" w:hAnsi="宋体" w:eastAsia="宋体" w:cs="宋体"/>
                <w:b/>
                <w:bCs/>
                <w:color w:val="auto"/>
                <w:spacing w:val="-5"/>
                <w:sz w:val="24"/>
                <w:szCs w:val="24"/>
                <w:highlight w:val="none"/>
              </w:rPr>
              <w:t>投标单位</w:t>
            </w:r>
          </w:p>
        </w:tc>
        <w:tc>
          <w:tcPr>
            <w:tcW w:w="2428" w:type="dxa"/>
            <w:vAlign w:val="top"/>
          </w:tcPr>
          <w:p w14:paraId="3E269D90">
            <w:pPr>
              <w:spacing w:before="133" w:line="222" w:lineRule="auto"/>
              <w:ind w:left="360" w:leftChars="0"/>
              <w:rPr>
                <w:rFonts w:hint="eastAsia" w:ascii="宋体" w:hAnsi="宋体" w:eastAsia="宋体" w:cs="宋体"/>
                <w:color w:val="auto"/>
                <w:highlight w:val="none"/>
              </w:rPr>
            </w:pPr>
            <w:r>
              <w:rPr>
                <w:rFonts w:hint="eastAsia" w:ascii="宋体" w:hAnsi="宋体" w:eastAsia="宋体" w:cs="宋体"/>
                <w:color w:val="auto"/>
                <w:spacing w:val="-7"/>
                <w:sz w:val="24"/>
                <w:szCs w:val="24"/>
                <w:highlight w:val="none"/>
              </w:rPr>
              <w:t>备注</w:t>
            </w:r>
          </w:p>
        </w:tc>
      </w:tr>
      <w:tr w14:paraId="791A56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08A01D90">
            <w:pPr>
              <w:spacing w:before="128" w:line="221" w:lineRule="auto"/>
              <w:ind w:left="120" w:leftChars="0"/>
              <w:rPr>
                <w:rFonts w:hint="eastAsia" w:ascii="宋体" w:hAnsi="宋体" w:eastAsia="宋体" w:cs="宋体"/>
                <w:color w:val="auto"/>
                <w:spacing w:val="-2"/>
                <w:sz w:val="24"/>
                <w:szCs w:val="24"/>
                <w:highlight w:val="none"/>
              </w:rPr>
            </w:pPr>
            <w:r>
              <w:rPr>
                <w:rFonts w:hint="eastAsia" w:ascii="宋体" w:hAnsi="宋体" w:eastAsia="宋体" w:cs="宋体"/>
                <w:color w:val="auto"/>
                <w:spacing w:val="-3"/>
                <w:sz w:val="24"/>
                <w:szCs w:val="24"/>
                <w:highlight w:val="none"/>
              </w:rPr>
              <w:t>一、基坑支护</w:t>
            </w:r>
          </w:p>
        </w:tc>
        <w:tc>
          <w:tcPr>
            <w:tcW w:w="1294" w:type="dxa"/>
            <w:vAlign w:val="top"/>
          </w:tcPr>
          <w:p w14:paraId="13602047">
            <w:pPr>
              <w:spacing w:before="128" w:line="223" w:lineRule="auto"/>
              <w:jc w:val="center"/>
              <w:rPr>
                <w:rFonts w:hint="eastAsia" w:ascii="宋体" w:hAnsi="宋体" w:eastAsia="宋体" w:cs="宋体"/>
                <w:color w:val="auto"/>
                <w:spacing w:val="-19"/>
                <w:w w:val="94"/>
                <w:sz w:val="24"/>
                <w:szCs w:val="24"/>
                <w:highlight w:val="none"/>
              </w:rPr>
            </w:pPr>
            <w:r>
              <w:rPr>
                <w:rFonts w:hint="eastAsia" w:ascii="宋体" w:hAnsi="宋体" w:eastAsia="宋体" w:cs="宋体"/>
                <w:color w:val="auto"/>
                <w:spacing w:val="-19"/>
                <w:w w:val="94"/>
                <w:sz w:val="24"/>
                <w:szCs w:val="24"/>
                <w:highlight w:val="none"/>
              </w:rPr>
              <w:t>(</w:t>
            </w:r>
            <w:bookmarkStart w:id="267" w:name="OLE_LINK39"/>
            <w:r>
              <w:rPr>
                <w:rFonts w:hint="eastAsia" w:ascii="宋体" w:hAnsi="宋体" w:eastAsia="宋体" w:cs="宋体"/>
                <w:color w:val="auto"/>
                <w:spacing w:val="5"/>
                <w:sz w:val="24"/>
                <w:szCs w:val="24"/>
                <w:highlight w:val="none"/>
              </w:rPr>
              <w:t xml:space="preserve">  </w:t>
            </w:r>
            <w:bookmarkEnd w:id="267"/>
            <w:r>
              <w:rPr>
                <w:rFonts w:hint="eastAsia" w:ascii="宋体" w:hAnsi="宋体" w:eastAsia="宋体" w:cs="宋体"/>
                <w:color w:val="auto"/>
                <w:spacing w:val="-19"/>
                <w:w w:val="94"/>
                <w:sz w:val="24"/>
                <w:szCs w:val="24"/>
                <w:highlight w:val="none"/>
              </w:rPr>
              <w:t>)</w:t>
            </w:r>
          </w:p>
        </w:tc>
        <w:tc>
          <w:tcPr>
            <w:tcW w:w="1294" w:type="dxa"/>
            <w:vAlign w:val="top"/>
          </w:tcPr>
          <w:p w14:paraId="6590122D">
            <w:pPr>
              <w:spacing w:before="128" w:line="223" w:lineRule="auto"/>
              <w:ind w:left="367" w:leftChars="0"/>
              <w:rPr>
                <w:rFonts w:hint="eastAsia" w:ascii="宋体" w:hAnsi="宋体" w:eastAsia="宋体" w:cs="宋体"/>
                <w:color w:val="auto"/>
                <w:spacing w:val="-19"/>
                <w:w w:val="94"/>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267C5177">
            <w:pPr>
              <w:pStyle w:val="21"/>
              <w:rPr>
                <w:rFonts w:hint="eastAsia" w:ascii="宋体" w:hAnsi="宋体" w:eastAsia="宋体" w:cs="宋体"/>
                <w:color w:val="auto"/>
                <w:highlight w:val="none"/>
              </w:rPr>
            </w:pPr>
          </w:p>
        </w:tc>
      </w:tr>
      <w:tr w14:paraId="5B4AB8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52AFB183">
            <w:pPr>
              <w:spacing w:before="129" w:line="328" w:lineRule="auto"/>
              <w:ind w:left="135" w:leftChars="0" w:right="68" w:rightChars="0" w:hanging="8" w:firstLineChars="0"/>
              <w:rPr>
                <w:rFonts w:hint="eastAsia" w:ascii="宋体" w:hAnsi="宋体" w:eastAsia="宋体" w:cs="宋体"/>
                <w:color w:val="auto"/>
                <w:spacing w:val="-2"/>
                <w:sz w:val="24"/>
                <w:szCs w:val="24"/>
                <w:highlight w:val="none"/>
              </w:rPr>
            </w:pPr>
            <w:r>
              <w:rPr>
                <w:rFonts w:hint="eastAsia" w:ascii="宋体" w:hAnsi="宋体" w:eastAsia="宋体" w:cs="宋体"/>
                <w:color w:val="auto"/>
                <w:spacing w:val="-4"/>
                <w:sz w:val="24"/>
                <w:szCs w:val="24"/>
                <w:highlight w:val="none"/>
              </w:rPr>
              <w:t>（一）开挖深度超过</w:t>
            </w:r>
            <w:r>
              <w:rPr>
                <w:rFonts w:hint="eastAsia" w:ascii="宋体" w:hAnsi="宋体" w:eastAsia="宋体" w:cs="宋体"/>
                <w:color w:val="auto"/>
                <w:spacing w:val="-29"/>
                <w:sz w:val="24"/>
                <w:szCs w:val="24"/>
                <w:highlight w:val="none"/>
              </w:rPr>
              <w:t xml:space="preserve"> </w:t>
            </w:r>
            <w:r>
              <w:rPr>
                <w:rFonts w:hint="eastAsia" w:ascii="宋体" w:hAnsi="宋体" w:eastAsia="宋体" w:cs="宋体"/>
                <w:color w:val="auto"/>
                <w:spacing w:val="-4"/>
                <w:sz w:val="24"/>
                <w:szCs w:val="24"/>
                <w:highlight w:val="none"/>
              </w:rPr>
              <w:t>3m（含</w:t>
            </w:r>
            <w:r>
              <w:rPr>
                <w:rFonts w:hint="eastAsia" w:ascii="宋体" w:hAnsi="宋体" w:eastAsia="宋体" w:cs="宋体"/>
                <w:color w:val="auto"/>
                <w:spacing w:val="-46"/>
                <w:sz w:val="24"/>
                <w:szCs w:val="24"/>
                <w:highlight w:val="none"/>
              </w:rPr>
              <w:t xml:space="preserve"> </w:t>
            </w:r>
            <w:r>
              <w:rPr>
                <w:rFonts w:hint="eastAsia" w:ascii="宋体" w:hAnsi="宋体" w:eastAsia="宋体" w:cs="宋体"/>
                <w:color w:val="auto"/>
                <w:spacing w:val="-4"/>
                <w:sz w:val="24"/>
                <w:szCs w:val="24"/>
                <w:highlight w:val="none"/>
              </w:rPr>
              <w:t>3m）的基坑（槽）</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3"/>
                <w:sz w:val="24"/>
                <w:szCs w:val="24"/>
                <w:highlight w:val="none"/>
              </w:rPr>
              <w:t>的土方开挖、支护、降水工程。</w:t>
            </w:r>
          </w:p>
        </w:tc>
        <w:tc>
          <w:tcPr>
            <w:tcW w:w="1294" w:type="dxa"/>
            <w:vAlign w:val="top"/>
          </w:tcPr>
          <w:p w14:paraId="5EEDD4FC">
            <w:pPr>
              <w:pStyle w:val="21"/>
              <w:spacing w:line="297" w:lineRule="auto"/>
              <w:rPr>
                <w:rFonts w:hint="eastAsia" w:ascii="宋体" w:hAnsi="宋体" w:eastAsia="宋体" w:cs="宋体"/>
                <w:color w:val="auto"/>
                <w:highlight w:val="none"/>
              </w:rPr>
            </w:pPr>
          </w:p>
          <w:p w14:paraId="0E5A3F62">
            <w:pPr>
              <w:spacing w:before="78" w:line="223" w:lineRule="auto"/>
              <w:ind w:left="396" w:leftChars="0"/>
              <w:rPr>
                <w:rFonts w:hint="eastAsia" w:ascii="宋体" w:hAnsi="宋体" w:eastAsia="宋体" w:cs="宋体"/>
                <w:color w:val="auto"/>
                <w:spacing w:val="-19"/>
                <w:w w:val="94"/>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default" w:ascii="Arial" w:hAnsi="Arial" w:eastAsia="宋体" w:cs="Arial"/>
                <w:color w:val="auto"/>
                <w:spacing w:val="5"/>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73A8ADC1">
            <w:pPr>
              <w:pStyle w:val="21"/>
              <w:spacing w:line="297" w:lineRule="auto"/>
              <w:rPr>
                <w:rFonts w:hint="eastAsia" w:ascii="宋体" w:hAnsi="宋体" w:eastAsia="宋体" w:cs="宋体"/>
                <w:color w:val="auto"/>
                <w:highlight w:val="none"/>
              </w:rPr>
            </w:pPr>
          </w:p>
          <w:p w14:paraId="3ED7F037">
            <w:pPr>
              <w:spacing w:before="78" w:line="223" w:lineRule="auto"/>
              <w:ind w:left="367" w:leftChars="0"/>
              <w:rPr>
                <w:rFonts w:hint="eastAsia" w:ascii="宋体" w:hAnsi="宋体" w:eastAsia="宋体" w:cs="宋体"/>
                <w:color w:val="auto"/>
                <w:spacing w:val="-19"/>
                <w:w w:val="94"/>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5E844507">
            <w:pPr>
              <w:pStyle w:val="21"/>
              <w:rPr>
                <w:rFonts w:hint="eastAsia" w:ascii="宋体" w:hAnsi="宋体" w:eastAsia="宋体" w:cs="宋体"/>
                <w:color w:val="auto"/>
                <w:highlight w:val="none"/>
              </w:rPr>
            </w:pPr>
          </w:p>
        </w:tc>
      </w:tr>
      <w:tr w14:paraId="798EFC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56253A00">
            <w:pPr>
              <w:spacing w:before="132" w:line="354" w:lineRule="auto"/>
              <w:ind w:left="116" w:right="108" w:firstLine="11"/>
              <w:jc w:val="both"/>
              <w:rPr>
                <w:rFonts w:hint="eastAsia" w:ascii="宋体" w:hAnsi="宋体" w:eastAsia="宋体" w:cs="宋体"/>
                <w:color w:val="auto"/>
                <w:sz w:val="24"/>
                <w:szCs w:val="24"/>
                <w:highlight w:val="none"/>
              </w:rPr>
            </w:pPr>
            <w:bookmarkStart w:id="268" w:name="bookmark161"/>
            <w:bookmarkEnd w:id="268"/>
            <w:r>
              <w:rPr>
                <w:rFonts w:hint="eastAsia" w:ascii="宋体" w:hAnsi="宋体" w:eastAsia="宋体" w:cs="宋体"/>
                <w:color w:val="auto"/>
                <w:spacing w:val="-2"/>
                <w:sz w:val="24"/>
                <w:szCs w:val="24"/>
                <w:highlight w:val="none"/>
              </w:rPr>
              <w:t>（二）开挖深度虽未超过</w:t>
            </w:r>
            <w:r>
              <w:rPr>
                <w:rFonts w:hint="eastAsia" w:ascii="宋体" w:hAnsi="宋体" w:eastAsia="宋体" w:cs="宋体"/>
                <w:color w:val="auto"/>
                <w:spacing w:val="-40"/>
                <w:sz w:val="24"/>
                <w:szCs w:val="24"/>
                <w:highlight w:val="none"/>
              </w:rPr>
              <w:t xml:space="preserve"> </w:t>
            </w:r>
            <w:r>
              <w:rPr>
                <w:rFonts w:hint="eastAsia" w:ascii="宋体" w:hAnsi="宋体" w:eastAsia="宋体" w:cs="宋体"/>
                <w:color w:val="auto"/>
                <w:spacing w:val="-2"/>
                <w:sz w:val="24"/>
                <w:szCs w:val="24"/>
                <w:highlight w:val="none"/>
              </w:rPr>
              <w:t>3m，但地质条件、周</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围环境和地下管线复杂，或影响毗邻建、构筑</w:t>
            </w:r>
            <w:r>
              <w:rPr>
                <w:rFonts w:hint="eastAsia" w:ascii="宋体" w:hAnsi="宋体" w:eastAsia="宋体" w:cs="宋体"/>
                <w:color w:val="auto"/>
                <w:spacing w:val="9"/>
                <w:sz w:val="24"/>
                <w:szCs w:val="24"/>
                <w:highlight w:val="none"/>
              </w:rPr>
              <w:t xml:space="preserve"> </w:t>
            </w:r>
            <w:r>
              <w:rPr>
                <w:rFonts w:hint="eastAsia" w:ascii="宋体" w:hAnsi="宋体" w:eastAsia="宋体" w:cs="宋体"/>
                <w:color w:val="auto"/>
                <w:spacing w:val="-1"/>
                <w:sz w:val="24"/>
                <w:szCs w:val="24"/>
                <w:highlight w:val="none"/>
              </w:rPr>
              <w:t>物安全的基坑（槽）的土方开挖、支护、降水</w:t>
            </w:r>
            <w:r>
              <w:rPr>
                <w:rFonts w:hint="eastAsia" w:ascii="宋体" w:hAnsi="宋体" w:eastAsia="宋体" w:cs="宋体"/>
                <w:color w:val="auto"/>
                <w:spacing w:val="9"/>
                <w:sz w:val="24"/>
                <w:szCs w:val="24"/>
                <w:highlight w:val="none"/>
              </w:rPr>
              <w:t xml:space="preserve"> </w:t>
            </w:r>
            <w:r>
              <w:rPr>
                <w:rFonts w:hint="eastAsia" w:ascii="宋体" w:hAnsi="宋体" w:eastAsia="宋体" w:cs="宋体"/>
                <w:color w:val="auto"/>
                <w:spacing w:val="-4"/>
                <w:sz w:val="24"/>
                <w:szCs w:val="24"/>
                <w:highlight w:val="none"/>
              </w:rPr>
              <w:t>工程。</w:t>
            </w:r>
          </w:p>
        </w:tc>
        <w:tc>
          <w:tcPr>
            <w:tcW w:w="1294" w:type="dxa"/>
            <w:vAlign w:val="top"/>
          </w:tcPr>
          <w:p w14:paraId="092F9FFB">
            <w:pPr>
              <w:pStyle w:val="21"/>
              <w:spacing w:line="263" w:lineRule="auto"/>
              <w:rPr>
                <w:rFonts w:hint="eastAsia" w:ascii="宋体" w:hAnsi="宋体" w:eastAsia="宋体" w:cs="宋体"/>
                <w:color w:val="auto"/>
                <w:highlight w:val="none"/>
              </w:rPr>
            </w:pPr>
          </w:p>
          <w:p w14:paraId="1C25F382">
            <w:pPr>
              <w:pStyle w:val="21"/>
              <w:spacing w:line="263" w:lineRule="auto"/>
              <w:rPr>
                <w:rFonts w:hint="eastAsia" w:ascii="宋体" w:hAnsi="宋体" w:eastAsia="宋体" w:cs="宋体"/>
                <w:color w:val="auto"/>
                <w:highlight w:val="none"/>
              </w:rPr>
            </w:pPr>
          </w:p>
          <w:p w14:paraId="6C433F14">
            <w:pPr>
              <w:pStyle w:val="21"/>
              <w:spacing w:line="264" w:lineRule="auto"/>
              <w:rPr>
                <w:rFonts w:hint="eastAsia" w:ascii="宋体" w:hAnsi="宋体" w:eastAsia="宋体" w:cs="宋体"/>
                <w:color w:val="auto"/>
                <w:highlight w:val="none"/>
              </w:rPr>
            </w:pPr>
          </w:p>
          <w:p w14:paraId="1703ABF9">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bookmarkStart w:id="269" w:name="OLE_LINK40"/>
            <w:r>
              <w:rPr>
                <w:rFonts w:hint="eastAsia" w:ascii="宋体" w:hAnsi="宋体" w:eastAsia="宋体" w:cs="宋体"/>
                <w:color w:val="auto"/>
                <w:spacing w:val="2"/>
                <w:sz w:val="24"/>
                <w:szCs w:val="24"/>
                <w:highlight w:val="none"/>
              </w:rPr>
              <w:t xml:space="preserve">     </w:t>
            </w:r>
            <w:bookmarkEnd w:id="269"/>
            <w:r>
              <w:rPr>
                <w:rFonts w:hint="eastAsia" w:ascii="宋体" w:hAnsi="宋体" w:eastAsia="宋体" w:cs="宋体"/>
                <w:color w:val="auto"/>
                <w:spacing w:val="-19"/>
                <w:w w:val="94"/>
                <w:sz w:val="24"/>
                <w:szCs w:val="24"/>
                <w:highlight w:val="none"/>
              </w:rPr>
              <w:t>)</w:t>
            </w:r>
          </w:p>
        </w:tc>
        <w:tc>
          <w:tcPr>
            <w:tcW w:w="1294" w:type="dxa"/>
            <w:vAlign w:val="top"/>
          </w:tcPr>
          <w:p w14:paraId="27A5AB03">
            <w:pPr>
              <w:pStyle w:val="21"/>
              <w:spacing w:line="263" w:lineRule="auto"/>
              <w:rPr>
                <w:rFonts w:hint="eastAsia" w:ascii="宋体" w:hAnsi="宋体" w:eastAsia="宋体" w:cs="宋体"/>
                <w:color w:val="auto"/>
                <w:highlight w:val="none"/>
              </w:rPr>
            </w:pPr>
          </w:p>
          <w:p w14:paraId="2C8EDC97">
            <w:pPr>
              <w:pStyle w:val="21"/>
              <w:spacing w:line="263" w:lineRule="auto"/>
              <w:rPr>
                <w:rFonts w:hint="eastAsia" w:ascii="宋体" w:hAnsi="宋体" w:eastAsia="宋体" w:cs="宋体"/>
                <w:color w:val="auto"/>
                <w:highlight w:val="none"/>
              </w:rPr>
            </w:pPr>
          </w:p>
          <w:p w14:paraId="1A88AF32">
            <w:pPr>
              <w:pStyle w:val="21"/>
              <w:spacing w:line="264" w:lineRule="auto"/>
              <w:rPr>
                <w:rFonts w:hint="eastAsia" w:ascii="宋体" w:hAnsi="宋体" w:eastAsia="宋体" w:cs="宋体"/>
                <w:color w:val="auto"/>
                <w:highlight w:val="none"/>
              </w:rPr>
            </w:pPr>
          </w:p>
          <w:p w14:paraId="7BCE6290">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66CE42E4">
            <w:pPr>
              <w:pStyle w:val="21"/>
              <w:rPr>
                <w:rFonts w:hint="eastAsia" w:ascii="宋体" w:hAnsi="宋体" w:eastAsia="宋体" w:cs="宋体"/>
                <w:color w:val="auto"/>
                <w:highlight w:val="none"/>
              </w:rPr>
            </w:pPr>
          </w:p>
        </w:tc>
      </w:tr>
      <w:tr w14:paraId="13D609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721ACA2D">
            <w:pPr>
              <w:spacing w:before="128" w:line="219" w:lineRule="auto"/>
              <w:ind w:left="12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二、模板工程及支撑体系</w:t>
            </w:r>
          </w:p>
        </w:tc>
        <w:tc>
          <w:tcPr>
            <w:tcW w:w="1294" w:type="dxa"/>
            <w:vAlign w:val="top"/>
          </w:tcPr>
          <w:p w14:paraId="013D7C49">
            <w:pPr>
              <w:spacing w:before="12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00E30F9F">
            <w:pPr>
              <w:spacing w:before="12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2BFA85A5">
            <w:pPr>
              <w:pStyle w:val="21"/>
              <w:rPr>
                <w:rFonts w:hint="eastAsia" w:ascii="宋体" w:hAnsi="宋体" w:eastAsia="宋体" w:cs="宋体"/>
                <w:color w:val="auto"/>
                <w:highlight w:val="none"/>
              </w:rPr>
            </w:pPr>
          </w:p>
        </w:tc>
      </w:tr>
      <w:tr w14:paraId="21CEA9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1886AEA5">
            <w:pPr>
              <w:spacing w:before="128" w:line="328" w:lineRule="auto"/>
              <w:ind w:left="123" w:right="25" w:firstLine="4"/>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（一）各类工具式模板工程：包括滑模、爬模、</w:t>
            </w:r>
            <w:r>
              <w:rPr>
                <w:rFonts w:hint="eastAsia" w:ascii="宋体" w:hAnsi="宋体" w:eastAsia="宋体" w:cs="宋体"/>
                <w:color w:val="auto"/>
                <w:spacing w:val="6"/>
                <w:sz w:val="24"/>
                <w:szCs w:val="24"/>
                <w:highlight w:val="none"/>
              </w:rPr>
              <w:t xml:space="preserve"> </w:t>
            </w:r>
            <w:r>
              <w:rPr>
                <w:rFonts w:hint="eastAsia" w:ascii="宋体" w:hAnsi="宋体" w:eastAsia="宋体" w:cs="宋体"/>
                <w:color w:val="auto"/>
                <w:spacing w:val="-2"/>
                <w:sz w:val="24"/>
                <w:szCs w:val="24"/>
                <w:highlight w:val="none"/>
              </w:rPr>
              <w:t>飞模、隧道模等工程。</w:t>
            </w:r>
          </w:p>
        </w:tc>
        <w:tc>
          <w:tcPr>
            <w:tcW w:w="1294" w:type="dxa"/>
            <w:vAlign w:val="top"/>
          </w:tcPr>
          <w:p w14:paraId="31F482D0">
            <w:pPr>
              <w:pStyle w:val="21"/>
              <w:spacing w:line="293" w:lineRule="auto"/>
              <w:rPr>
                <w:rFonts w:hint="eastAsia" w:ascii="宋体" w:hAnsi="宋体" w:eastAsia="宋体" w:cs="宋体"/>
                <w:color w:val="auto"/>
                <w:highlight w:val="none"/>
              </w:rPr>
            </w:pPr>
          </w:p>
          <w:p w14:paraId="7F64793B">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1D856E2E">
            <w:pPr>
              <w:pStyle w:val="21"/>
              <w:spacing w:line="293" w:lineRule="auto"/>
              <w:rPr>
                <w:rFonts w:hint="eastAsia" w:ascii="宋体" w:hAnsi="宋体" w:eastAsia="宋体" w:cs="宋体"/>
                <w:color w:val="auto"/>
                <w:highlight w:val="none"/>
              </w:rPr>
            </w:pPr>
          </w:p>
          <w:p w14:paraId="1BBC59B1">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712A8AE3">
            <w:pPr>
              <w:pStyle w:val="21"/>
              <w:rPr>
                <w:rFonts w:hint="eastAsia" w:ascii="宋体" w:hAnsi="宋体" w:eastAsia="宋体" w:cs="宋体"/>
                <w:color w:val="auto"/>
                <w:highlight w:val="none"/>
              </w:rPr>
            </w:pPr>
          </w:p>
        </w:tc>
      </w:tr>
      <w:tr w14:paraId="7A255F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6FBDC893">
            <w:pPr>
              <w:spacing w:before="131" w:line="362" w:lineRule="auto"/>
              <w:ind w:left="115" w:right="105" w:firstLine="12"/>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（二）混凝土模板支撑工程：搭设高度</w:t>
            </w:r>
            <w:r>
              <w:rPr>
                <w:rFonts w:hint="eastAsia" w:ascii="宋体" w:hAnsi="宋体" w:eastAsia="宋体" w:cs="宋体"/>
                <w:color w:val="auto"/>
                <w:spacing w:val="-43"/>
                <w:sz w:val="24"/>
                <w:szCs w:val="24"/>
                <w:highlight w:val="none"/>
              </w:rPr>
              <w:t xml:space="preserve"> </w:t>
            </w:r>
            <w:r>
              <w:rPr>
                <w:rFonts w:hint="eastAsia" w:ascii="宋体" w:hAnsi="宋体" w:eastAsia="宋体" w:cs="宋体"/>
                <w:color w:val="auto"/>
                <w:spacing w:val="-5"/>
                <w:sz w:val="24"/>
                <w:szCs w:val="24"/>
                <w:highlight w:val="none"/>
              </w:rPr>
              <w:t>5m</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5"/>
                <w:sz w:val="24"/>
                <w:szCs w:val="24"/>
                <w:highlight w:val="none"/>
              </w:rPr>
              <w:t>及以</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0"/>
                <w:sz w:val="24"/>
                <w:szCs w:val="24"/>
                <w:highlight w:val="none"/>
              </w:rPr>
              <w:t>上，或搭设跨度</w:t>
            </w:r>
            <w:r>
              <w:rPr>
                <w:rFonts w:hint="eastAsia" w:ascii="宋体" w:hAnsi="宋体" w:eastAsia="宋体" w:cs="宋体"/>
                <w:color w:val="auto"/>
                <w:spacing w:val="-33"/>
                <w:sz w:val="24"/>
                <w:szCs w:val="24"/>
                <w:highlight w:val="none"/>
              </w:rPr>
              <w:t xml:space="preserve"> </w:t>
            </w:r>
            <w:r>
              <w:rPr>
                <w:rFonts w:hint="eastAsia" w:ascii="宋体" w:hAnsi="宋体" w:eastAsia="宋体" w:cs="宋体"/>
                <w:color w:val="auto"/>
                <w:spacing w:val="-10"/>
                <w:sz w:val="24"/>
                <w:szCs w:val="24"/>
                <w:highlight w:val="none"/>
              </w:rPr>
              <w:t>10m</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10"/>
                <w:sz w:val="24"/>
                <w:szCs w:val="24"/>
                <w:highlight w:val="none"/>
              </w:rPr>
              <w:t>及以上，或施工总荷</w:t>
            </w:r>
            <w:r>
              <w:rPr>
                <w:rFonts w:hint="eastAsia" w:ascii="宋体" w:hAnsi="宋体" w:eastAsia="宋体" w:cs="宋体"/>
                <w:color w:val="auto"/>
                <w:spacing w:val="-11"/>
                <w:sz w:val="24"/>
                <w:szCs w:val="24"/>
                <w:highlight w:val="none"/>
              </w:rPr>
              <w:t>载（荷</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2"/>
                <w:sz w:val="24"/>
                <w:szCs w:val="24"/>
                <w:highlight w:val="none"/>
              </w:rPr>
              <w:t>载效应基本组合的设计值，以下简称设计值）</w:t>
            </w:r>
            <w:r>
              <w:rPr>
                <w:rFonts w:hint="eastAsia" w:ascii="宋体" w:hAnsi="宋体" w:eastAsia="宋体" w:cs="宋体"/>
                <w:color w:val="auto"/>
                <w:spacing w:val="14"/>
                <w:sz w:val="24"/>
                <w:szCs w:val="24"/>
                <w:highlight w:val="none"/>
              </w:rPr>
              <w:t xml:space="preserve"> </w:t>
            </w:r>
            <w:r>
              <w:rPr>
                <w:rFonts w:hint="eastAsia" w:ascii="宋体" w:hAnsi="宋体" w:eastAsia="宋体" w:cs="宋体"/>
                <w:color w:val="auto"/>
                <w:spacing w:val="-14"/>
                <w:sz w:val="24"/>
                <w:szCs w:val="24"/>
                <w:highlight w:val="none"/>
              </w:rPr>
              <w:t>10kN/m2</w:t>
            </w:r>
            <w:r>
              <w:rPr>
                <w:rFonts w:hint="eastAsia" w:ascii="宋体" w:hAnsi="宋体" w:eastAsia="宋体" w:cs="宋体"/>
                <w:color w:val="auto"/>
                <w:spacing w:val="-35"/>
                <w:sz w:val="24"/>
                <w:szCs w:val="24"/>
                <w:highlight w:val="none"/>
              </w:rPr>
              <w:t xml:space="preserve"> </w:t>
            </w:r>
            <w:r>
              <w:rPr>
                <w:rFonts w:hint="eastAsia" w:ascii="宋体" w:hAnsi="宋体" w:eastAsia="宋体" w:cs="宋体"/>
                <w:color w:val="auto"/>
                <w:spacing w:val="-14"/>
                <w:sz w:val="24"/>
                <w:szCs w:val="24"/>
                <w:highlight w:val="none"/>
              </w:rPr>
              <w:t>及以上，或集中线荷载（设计值）15kN/m</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及以上，或高度大于支撑水平投影宽度且相对</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1"/>
                <w:sz w:val="24"/>
                <w:szCs w:val="24"/>
                <w:highlight w:val="none"/>
              </w:rPr>
              <w:t>独立无联系构件的混凝土模板支撑工程。</w:t>
            </w:r>
          </w:p>
        </w:tc>
        <w:tc>
          <w:tcPr>
            <w:tcW w:w="1294" w:type="dxa"/>
            <w:vAlign w:val="top"/>
          </w:tcPr>
          <w:p w14:paraId="0AC76692">
            <w:pPr>
              <w:pStyle w:val="21"/>
              <w:spacing w:line="255" w:lineRule="auto"/>
              <w:rPr>
                <w:rFonts w:hint="eastAsia" w:ascii="宋体" w:hAnsi="宋体" w:eastAsia="宋体" w:cs="宋体"/>
                <w:color w:val="auto"/>
                <w:highlight w:val="none"/>
              </w:rPr>
            </w:pPr>
          </w:p>
          <w:p w14:paraId="06A69DBD">
            <w:pPr>
              <w:pStyle w:val="21"/>
              <w:spacing w:line="255" w:lineRule="auto"/>
              <w:rPr>
                <w:rFonts w:hint="eastAsia" w:ascii="宋体" w:hAnsi="宋体" w:eastAsia="宋体" w:cs="宋体"/>
                <w:color w:val="auto"/>
                <w:highlight w:val="none"/>
              </w:rPr>
            </w:pPr>
          </w:p>
          <w:p w14:paraId="5F44AC94">
            <w:pPr>
              <w:pStyle w:val="21"/>
              <w:spacing w:line="255" w:lineRule="auto"/>
              <w:rPr>
                <w:rFonts w:hint="eastAsia" w:ascii="宋体" w:hAnsi="宋体" w:eastAsia="宋体" w:cs="宋体"/>
                <w:color w:val="auto"/>
                <w:highlight w:val="none"/>
              </w:rPr>
            </w:pPr>
          </w:p>
          <w:p w14:paraId="117E02D8">
            <w:pPr>
              <w:pStyle w:val="21"/>
              <w:spacing w:line="255" w:lineRule="auto"/>
              <w:rPr>
                <w:rFonts w:hint="eastAsia" w:ascii="宋体" w:hAnsi="宋体" w:eastAsia="宋体" w:cs="宋体"/>
                <w:color w:val="auto"/>
                <w:highlight w:val="none"/>
              </w:rPr>
            </w:pPr>
          </w:p>
          <w:p w14:paraId="58924DBB">
            <w:pPr>
              <w:pStyle w:val="21"/>
              <w:spacing w:line="256" w:lineRule="auto"/>
              <w:rPr>
                <w:rFonts w:hint="eastAsia" w:ascii="宋体" w:hAnsi="宋体" w:eastAsia="宋体" w:cs="宋体"/>
                <w:color w:val="auto"/>
                <w:highlight w:val="none"/>
              </w:rPr>
            </w:pPr>
          </w:p>
          <w:p w14:paraId="7CC727ED">
            <w:pPr>
              <w:spacing w:before="78" w:line="223" w:lineRule="auto"/>
              <w:ind w:left="42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3"/>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58C34081">
            <w:pPr>
              <w:pStyle w:val="21"/>
              <w:spacing w:line="255" w:lineRule="auto"/>
              <w:rPr>
                <w:rFonts w:hint="eastAsia" w:ascii="宋体" w:hAnsi="宋体" w:eastAsia="宋体" w:cs="宋体"/>
                <w:color w:val="auto"/>
                <w:highlight w:val="none"/>
              </w:rPr>
            </w:pPr>
          </w:p>
          <w:p w14:paraId="44D32487">
            <w:pPr>
              <w:pStyle w:val="21"/>
              <w:spacing w:line="255" w:lineRule="auto"/>
              <w:rPr>
                <w:rFonts w:hint="eastAsia" w:ascii="宋体" w:hAnsi="宋体" w:eastAsia="宋体" w:cs="宋体"/>
                <w:color w:val="auto"/>
                <w:highlight w:val="none"/>
              </w:rPr>
            </w:pPr>
          </w:p>
          <w:p w14:paraId="2FB6EB74">
            <w:pPr>
              <w:pStyle w:val="21"/>
              <w:spacing w:line="255" w:lineRule="auto"/>
              <w:rPr>
                <w:rFonts w:hint="eastAsia" w:ascii="宋体" w:hAnsi="宋体" w:eastAsia="宋体" w:cs="宋体"/>
                <w:color w:val="auto"/>
                <w:highlight w:val="none"/>
              </w:rPr>
            </w:pPr>
          </w:p>
          <w:p w14:paraId="2532C873">
            <w:pPr>
              <w:pStyle w:val="21"/>
              <w:spacing w:line="255" w:lineRule="auto"/>
              <w:rPr>
                <w:rFonts w:hint="eastAsia" w:ascii="宋体" w:hAnsi="宋体" w:eastAsia="宋体" w:cs="宋体"/>
                <w:color w:val="auto"/>
                <w:highlight w:val="none"/>
              </w:rPr>
            </w:pPr>
          </w:p>
          <w:p w14:paraId="6EA29091">
            <w:pPr>
              <w:pStyle w:val="21"/>
              <w:spacing w:line="256" w:lineRule="auto"/>
              <w:rPr>
                <w:rFonts w:hint="eastAsia" w:ascii="宋体" w:hAnsi="宋体" w:eastAsia="宋体" w:cs="宋体"/>
                <w:color w:val="auto"/>
                <w:highlight w:val="none"/>
              </w:rPr>
            </w:pPr>
          </w:p>
          <w:p w14:paraId="4FFEF356">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70A88735">
            <w:pPr>
              <w:pStyle w:val="21"/>
              <w:rPr>
                <w:rFonts w:hint="eastAsia" w:ascii="宋体" w:hAnsi="宋体" w:eastAsia="宋体" w:cs="宋体"/>
                <w:color w:val="auto"/>
                <w:highlight w:val="none"/>
              </w:rPr>
            </w:pPr>
          </w:p>
        </w:tc>
      </w:tr>
      <w:tr w14:paraId="55FE49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6DB8DF3D">
            <w:pPr>
              <w:spacing w:before="130" w:line="327" w:lineRule="auto"/>
              <w:ind w:left="117" w:right="168" w:firstLine="1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（三）承重支撑体系：用于钢结构安装等满堂</w:t>
            </w:r>
            <w:r>
              <w:rPr>
                <w:rFonts w:hint="eastAsia" w:ascii="宋体" w:hAnsi="宋体" w:eastAsia="宋体" w:cs="宋体"/>
                <w:color w:val="auto"/>
                <w:spacing w:val="18"/>
                <w:sz w:val="24"/>
                <w:szCs w:val="24"/>
                <w:highlight w:val="none"/>
              </w:rPr>
              <w:t xml:space="preserve"> </w:t>
            </w:r>
            <w:r>
              <w:rPr>
                <w:rFonts w:hint="eastAsia" w:ascii="宋体" w:hAnsi="宋体" w:eastAsia="宋体" w:cs="宋体"/>
                <w:color w:val="auto"/>
                <w:spacing w:val="-3"/>
                <w:sz w:val="24"/>
                <w:szCs w:val="24"/>
                <w:highlight w:val="none"/>
              </w:rPr>
              <w:t>支撑体系。</w:t>
            </w:r>
          </w:p>
        </w:tc>
        <w:tc>
          <w:tcPr>
            <w:tcW w:w="1294" w:type="dxa"/>
            <w:vAlign w:val="top"/>
          </w:tcPr>
          <w:p w14:paraId="08B49BEC">
            <w:pPr>
              <w:pStyle w:val="21"/>
              <w:spacing w:line="296" w:lineRule="auto"/>
              <w:rPr>
                <w:rFonts w:hint="eastAsia" w:ascii="宋体" w:hAnsi="宋体" w:eastAsia="宋体" w:cs="宋体"/>
                <w:color w:val="auto"/>
                <w:highlight w:val="none"/>
              </w:rPr>
            </w:pPr>
          </w:p>
          <w:p w14:paraId="62113AAF">
            <w:pPr>
              <w:spacing w:before="78" w:line="223" w:lineRule="auto"/>
              <w:ind w:left="30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461AA738">
            <w:pPr>
              <w:pStyle w:val="21"/>
              <w:spacing w:line="296" w:lineRule="auto"/>
              <w:rPr>
                <w:rFonts w:hint="eastAsia" w:ascii="宋体" w:hAnsi="宋体" w:eastAsia="宋体" w:cs="宋体"/>
                <w:color w:val="auto"/>
                <w:highlight w:val="none"/>
              </w:rPr>
            </w:pPr>
          </w:p>
          <w:p w14:paraId="2247851E">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728C2275">
            <w:pPr>
              <w:pStyle w:val="21"/>
              <w:rPr>
                <w:rFonts w:hint="eastAsia" w:ascii="宋体" w:hAnsi="宋体" w:eastAsia="宋体" w:cs="宋体"/>
                <w:color w:val="auto"/>
                <w:highlight w:val="none"/>
              </w:rPr>
            </w:pPr>
          </w:p>
        </w:tc>
      </w:tr>
      <w:tr w14:paraId="22C012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5CD7B1B3">
            <w:pPr>
              <w:spacing w:before="130" w:line="219" w:lineRule="auto"/>
              <w:ind w:left="356"/>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三、起重吊装及起重机械安装拆卸工程</w:t>
            </w:r>
          </w:p>
        </w:tc>
        <w:tc>
          <w:tcPr>
            <w:tcW w:w="1294" w:type="dxa"/>
            <w:vAlign w:val="top"/>
          </w:tcPr>
          <w:p w14:paraId="0C4B19D2">
            <w:pPr>
              <w:spacing w:before="129"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1007119F">
            <w:pPr>
              <w:spacing w:before="129"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2778356F">
            <w:pPr>
              <w:pStyle w:val="21"/>
              <w:rPr>
                <w:rFonts w:hint="eastAsia" w:ascii="宋体" w:hAnsi="宋体" w:eastAsia="宋体" w:cs="宋体"/>
                <w:color w:val="auto"/>
                <w:highlight w:val="none"/>
              </w:rPr>
            </w:pPr>
          </w:p>
        </w:tc>
      </w:tr>
      <w:tr w14:paraId="54B4CC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4640879D">
            <w:pPr>
              <w:spacing w:before="131" w:line="327" w:lineRule="auto"/>
              <w:ind w:left="144" w:right="168" w:hanging="1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（一）采用非常规起重设备、方法，且单件起</w:t>
            </w:r>
            <w:r>
              <w:rPr>
                <w:rFonts w:hint="eastAsia" w:ascii="宋体" w:hAnsi="宋体" w:eastAsia="宋体" w:cs="宋体"/>
                <w:color w:val="auto"/>
                <w:spacing w:val="18"/>
                <w:sz w:val="24"/>
                <w:szCs w:val="24"/>
                <w:highlight w:val="none"/>
              </w:rPr>
              <w:t xml:space="preserve"> </w:t>
            </w:r>
            <w:r>
              <w:rPr>
                <w:rFonts w:hint="eastAsia" w:ascii="宋体" w:hAnsi="宋体" w:eastAsia="宋体" w:cs="宋体"/>
                <w:color w:val="auto"/>
                <w:spacing w:val="-4"/>
                <w:sz w:val="24"/>
                <w:szCs w:val="24"/>
                <w:highlight w:val="none"/>
              </w:rPr>
              <w:t>吊重量在</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pacing w:val="-4"/>
                <w:sz w:val="24"/>
                <w:szCs w:val="24"/>
                <w:highlight w:val="none"/>
              </w:rPr>
              <w:t>10kN</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4"/>
                <w:sz w:val="24"/>
                <w:szCs w:val="24"/>
                <w:highlight w:val="none"/>
              </w:rPr>
              <w:t>及以上的起重吊装工程。</w:t>
            </w:r>
          </w:p>
        </w:tc>
        <w:tc>
          <w:tcPr>
            <w:tcW w:w="1294" w:type="dxa"/>
            <w:vAlign w:val="top"/>
          </w:tcPr>
          <w:p w14:paraId="42DC5BCC">
            <w:pPr>
              <w:pStyle w:val="21"/>
              <w:spacing w:line="297" w:lineRule="auto"/>
              <w:rPr>
                <w:rFonts w:hint="eastAsia" w:ascii="宋体" w:hAnsi="宋体" w:eastAsia="宋体" w:cs="宋体"/>
                <w:color w:val="auto"/>
                <w:highlight w:val="none"/>
              </w:rPr>
            </w:pPr>
          </w:p>
          <w:p w14:paraId="25E8B5B3">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37E69931">
            <w:pPr>
              <w:pStyle w:val="21"/>
              <w:spacing w:line="297" w:lineRule="auto"/>
              <w:rPr>
                <w:rFonts w:hint="eastAsia" w:ascii="宋体" w:hAnsi="宋体" w:eastAsia="宋体" w:cs="宋体"/>
                <w:color w:val="auto"/>
                <w:highlight w:val="none"/>
              </w:rPr>
            </w:pPr>
          </w:p>
          <w:p w14:paraId="0DECF4EA">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5F10A58D">
            <w:pPr>
              <w:pStyle w:val="21"/>
              <w:rPr>
                <w:rFonts w:hint="eastAsia" w:ascii="宋体" w:hAnsi="宋体" w:eastAsia="宋体" w:cs="宋体"/>
                <w:color w:val="auto"/>
                <w:highlight w:val="none"/>
              </w:rPr>
            </w:pPr>
          </w:p>
        </w:tc>
      </w:tr>
      <w:tr w14:paraId="30F998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5661E26F">
            <w:pPr>
              <w:spacing w:before="132" w:line="219"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（二）采用起重机械进行安装的工程。</w:t>
            </w:r>
          </w:p>
        </w:tc>
        <w:tc>
          <w:tcPr>
            <w:tcW w:w="1294" w:type="dxa"/>
            <w:vAlign w:val="top"/>
          </w:tcPr>
          <w:p w14:paraId="26A8715D">
            <w:pPr>
              <w:spacing w:before="131" w:line="223" w:lineRule="auto"/>
              <w:ind w:left="30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19D48700">
            <w:pPr>
              <w:spacing w:before="131"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4FDBB930">
            <w:pPr>
              <w:pStyle w:val="21"/>
              <w:rPr>
                <w:rFonts w:hint="eastAsia" w:ascii="宋体" w:hAnsi="宋体" w:eastAsia="宋体" w:cs="宋体"/>
                <w:color w:val="auto"/>
                <w:highlight w:val="none"/>
              </w:rPr>
            </w:pPr>
          </w:p>
        </w:tc>
      </w:tr>
      <w:tr w14:paraId="1EB3FB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3D746302">
            <w:pPr>
              <w:spacing w:before="130" w:line="219"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（三）起重机械安装和拆卸工程。</w:t>
            </w:r>
          </w:p>
        </w:tc>
        <w:tc>
          <w:tcPr>
            <w:tcW w:w="1294" w:type="dxa"/>
            <w:vAlign w:val="top"/>
          </w:tcPr>
          <w:p w14:paraId="5BA7A2F9">
            <w:pPr>
              <w:spacing w:before="129" w:line="223" w:lineRule="auto"/>
              <w:ind w:left="30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22E655D6">
            <w:pPr>
              <w:spacing w:before="129"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117E93BE">
            <w:pPr>
              <w:pStyle w:val="21"/>
              <w:rPr>
                <w:rFonts w:hint="eastAsia" w:ascii="宋体" w:hAnsi="宋体" w:eastAsia="宋体" w:cs="宋体"/>
                <w:color w:val="auto"/>
                <w:highlight w:val="none"/>
              </w:rPr>
            </w:pPr>
          </w:p>
        </w:tc>
      </w:tr>
      <w:tr w14:paraId="0E7C6C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33F3AA51">
            <w:pPr>
              <w:spacing w:before="131" w:line="219" w:lineRule="auto"/>
              <w:ind w:left="138"/>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四、脚手架工程</w:t>
            </w:r>
          </w:p>
        </w:tc>
        <w:tc>
          <w:tcPr>
            <w:tcW w:w="1294" w:type="dxa"/>
            <w:vAlign w:val="top"/>
          </w:tcPr>
          <w:p w14:paraId="2C09298F">
            <w:pPr>
              <w:spacing w:before="130" w:line="223" w:lineRule="auto"/>
              <w:ind w:left="48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5"/>
                <w:sz w:val="24"/>
                <w:szCs w:val="24"/>
                <w:highlight w:val="none"/>
                <w:lang w:val="en-US" w:eastAsia="zh-CN"/>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4C25E0F8">
            <w:pPr>
              <w:spacing w:before="130"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10A186D6">
            <w:pPr>
              <w:pStyle w:val="21"/>
              <w:rPr>
                <w:rFonts w:hint="eastAsia" w:ascii="宋体" w:hAnsi="宋体" w:eastAsia="宋体" w:cs="宋体"/>
                <w:color w:val="auto"/>
                <w:highlight w:val="none"/>
              </w:rPr>
            </w:pPr>
          </w:p>
        </w:tc>
      </w:tr>
      <w:tr w14:paraId="749B5C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6EE02938">
            <w:pPr>
              <w:spacing w:before="130" w:line="327" w:lineRule="auto"/>
              <w:ind w:left="117" w:right="168" w:firstLine="1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（一）搭设高度</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2"/>
                <w:sz w:val="24"/>
                <w:szCs w:val="24"/>
                <w:highlight w:val="none"/>
              </w:rPr>
              <w:t>24m</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2"/>
                <w:sz w:val="24"/>
                <w:szCs w:val="24"/>
                <w:highlight w:val="none"/>
              </w:rPr>
              <w:t>及以上的落地式钢管脚手</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架工程（包括采光井、电梯井脚手架）。</w:t>
            </w:r>
          </w:p>
        </w:tc>
        <w:tc>
          <w:tcPr>
            <w:tcW w:w="1294" w:type="dxa"/>
            <w:vAlign w:val="top"/>
          </w:tcPr>
          <w:p w14:paraId="5F252975">
            <w:pPr>
              <w:pStyle w:val="21"/>
              <w:spacing w:line="297" w:lineRule="auto"/>
              <w:rPr>
                <w:rFonts w:hint="eastAsia" w:ascii="宋体" w:hAnsi="宋体" w:eastAsia="宋体" w:cs="宋体"/>
                <w:color w:val="auto"/>
                <w:highlight w:val="none"/>
              </w:rPr>
            </w:pPr>
          </w:p>
          <w:p w14:paraId="274F49B0">
            <w:pPr>
              <w:spacing w:before="78" w:line="223" w:lineRule="auto"/>
              <w:ind w:left="42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3"/>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4EF3E3EC">
            <w:pPr>
              <w:pStyle w:val="21"/>
              <w:spacing w:line="297" w:lineRule="auto"/>
              <w:rPr>
                <w:rFonts w:hint="eastAsia" w:ascii="宋体" w:hAnsi="宋体" w:eastAsia="宋体" w:cs="宋体"/>
                <w:color w:val="auto"/>
                <w:highlight w:val="none"/>
              </w:rPr>
            </w:pPr>
          </w:p>
          <w:p w14:paraId="382FDB0B">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3593D3CB">
            <w:pPr>
              <w:pStyle w:val="21"/>
              <w:rPr>
                <w:rFonts w:hint="eastAsia" w:ascii="宋体" w:hAnsi="宋体" w:eastAsia="宋体" w:cs="宋体"/>
                <w:color w:val="auto"/>
                <w:highlight w:val="none"/>
              </w:rPr>
            </w:pPr>
          </w:p>
        </w:tc>
      </w:tr>
      <w:tr w14:paraId="6AD177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46711E1F">
            <w:pPr>
              <w:spacing w:before="131" w:line="219"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（二）附着式升降脚手架工程。</w:t>
            </w:r>
          </w:p>
        </w:tc>
        <w:tc>
          <w:tcPr>
            <w:tcW w:w="1294" w:type="dxa"/>
            <w:vAlign w:val="top"/>
          </w:tcPr>
          <w:p w14:paraId="46BCB016">
            <w:pPr>
              <w:spacing w:before="130" w:line="223" w:lineRule="auto"/>
              <w:ind w:left="24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67577F1C">
            <w:pPr>
              <w:spacing w:before="130"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009FAE20">
            <w:pPr>
              <w:pStyle w:val="21"/>
              <w:rPr>
                <w:rFonts w:hint="eastAsia" w:ascii="宋体" w:hAnsi="宋体" w:eastAsia="宋体" w:cs="宋体"/>
                <w:color w:val="auto"/>
                <w:highlight w:val="none"/>
              </w:rPr>
            </w:pPr>
          </w:p>
        </w:tc>
      </w:tr>
      <w:tr w14:paraId="0A02A1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348C6DC8">
            <w:pPr>
              <w:spacing w:before="132" w:line="219"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（三）悬挑式脚手架工程。</w:t>
            </w:r>
          </w:p>
        </w:tc>
        <w:tc>
          <w:tcPr>
            <w:tcW w:w="1294" w:type="dxa"/>
            <w:vAlign w:val="top"/>
          </w:tcPr>
          <w:p w14:paraId="46C95298">
            <w:pPr>
              <w:spacing w:before="131" w:line="223" w:lineRule="auto"/>
              <w:ind w:left="24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46243FF5">
            <w:pPr>
              <w:spacing w:before="131"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70A6B0F2">
            <w:pPr>
              <w:pStyle w:val="21"/>
              <w:rPr>
                <w:rFonts w:hint="eastAsia" w:ascii="宋体" w:hAnsi="宋体" w:eastAsia="宋体" w:cs="宋体"/>
                <w:color w:val="auto"/>
                <w:highlight w:val="none"/>
              </w:rPr>
            </w:pPr>
          </w:p>
        </w:tc>
      </w:tr>
      <w:tr w14:paraId="4D8E09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73025F46">
            <w:pPr>
              <w:spacing w:before="131" w:line="220"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（四）高处作业吊篮。</w:t>
            </w:r>
          </w:p>
        </w:tc>
        <w:tc>
          <w:tcPr>
            <w:tcW w:w="1294" w:type="dxa"/>
            <w:vAlign w:val="top"/>
          </w:tcPr>
          <w:p w14:paraId="30F61595">
            <w:pPr>
              <w:spacing w:before="131"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4B23E52E">
            <w:pPr>
              <w:spacing w:before="131"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0598EC26">
            <w:pPr>
              <w:pStyle w:val="21"/>
              <w:rPr>
                <w:rFonts w:hint="eastAsia" w:ascii="宋体" w:hAnsi="宋体" w:eastAsia="宋体" w:cs="宋体"/>
                <w:color w:val="auto"/>
                <w:highlight w:val="none"/>
              </w:rPr>
            </w:pPr>
          </w:p>
        </w:tc>
      </w:tr>
      <w:tr w14:paraId="2D3206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300EF757">
            <w:pPr>
              <w:spacing w:before="132" w:line="220"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（五）卸料平台、操作平台工程。</w:t>
            </w:r>
          </w:p>
        </w:tc>
        <w:tc>
          <w:tcPr>
            <w:tcW w:w="1294" w:type="dxa"/>
            <w:vAlign w:val="top"/>
          </w:tcPr>
          <w:p w14:paraId="0C7B65F3">
            <w:pPr>
              <w:spacing w:before="132" w:line="223" w:lineRule="auto"/>
              <w:ind w:left="24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04A95D6B">
            <w:pPr>
              <w:spacing w:before="132"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71878476">
            <w:pPr>
              <w:pStyle w:val="21"/>
              <w:rPr>
                <w:rFonts w:hint="eastAsia" w:ascii="宋体" w:hAnsi="宋体" w:eastAsia="宋体" w:cs="宋体"/>
                <w:color w:val="auto"/>
                <w:highlight w:val="none"/>
              </w:rPr>
            </w:pPr>
          </w:p>
        </w:tc>
      </w:tr>
      <w:tr w14:paraId="30655E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4E5297D0">
            <w:pPr>
              <w:spacing w:before="133" w:line="219"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（六）异型脚手架工程。</w:t>
            </w:r>
          </w:p>
        </w:tc>
        <w:tc>
          <w:tcPr>
            <w:tcW w:w="1294" w:type="dxa"/>
            <w:vAlign w:val="top"/>
          </w:tcPr>
          <w:p w14:paraId="486B9887">
            <w:pPr>
              <w:spacing w:before="132"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51E5988F">
            <w:pPr>
              <w:spacing w:before="132"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3235BD7D">
            <w:pPr>
              <w:pStyle w:val="21"/>
              <w:rPr>
                <w:rFonts w:hint="eastAsia" w:ascii="宋体" w:hAnsi="宋体" w:eastAsia="宋体" w:cs="宋体"/>
                <w:color w:val="auto"/>
                <w:highlight w:val="none"/>
              </w:rPr>
            </w:pPr>
          </w:p>
        </w:tc>
      </w:tr>
      <w:tr w14:paraId="0D44A4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0A6B7C50">
            <w:pPr>
              <w:spacing w:before="131" w:line="220" w:lineRule="auto"/>
              <w:ind w:left="120"/>
              <w:rPr>
                <w:rFonts w:hint="eastAsia" w:ascii="宋体" w:hAnsi="宋体" w:eastAsia="宋体" w:cs="宋体"/>
                <w:color w:val="auto"/>
                <w:sz w:val="24"/>
                <w:szCs w:val="24"/>
                <w:highlight w:val="none"/>
              </w:rPr>
            </w:pPr>
            <w:bookmarkStart w:id="270" w:name="bookmark162"/>
            <w:bookmarkEnd w:id="270"/>
            <w:r>
              <w:rPr>
                <w:rFonts w:hint="eastAsia" w:ascii="宋体" w:hAnsi="宋体" w:eastAsia="宋体" w:cs="宋体"/>
                <w:color w:val="auto"/>
                <w:spacing w:val="-3"/>
                <w:sz w:val="24"/>
                <w:szCs w:val="24"/>
                <w:highlight w:val="none"/>
              </w:rPr>
              <w:t>五、拆除工程</w:t>
            </w:r>
          </w:p>
        </w:tc>
        <w:tc>
          <w:tcPr>
            <w:tcW w:w="1294" w:type="dxa"/>
            <w:vAlign w:val="top"/>
          </w:tcPr>
          <w:p w14:paraId="0F5EE650">
            <w:pPr>
              <w:spacing w:before="131" w:line="223" w:lineRule="auto"/>
              <w:ind w:left="48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76328EEA">
            <w:pPr>
              <w:spacing w:before="131"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49A24BEF">
            <w:pPr>
              <w:pStyle w:val="21"/>
              <w:rPr>
                <w:rFonts w:hint="eastAsia" w:ascii="宋体" w:hAnsi="宋体" w:eastAsia="宋体" w:cs="宋体"/>
                <w:color w:val="auto"/>
                <w:highlight w:val="none"/>
              </w:rPr>
            </w:pPr>
          </w:p>
        </w:tc>
      </w:tr>
      <w:tr w14:paraId="42ACFF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4F6894BB">
            <w:pPr>
              <w:spacing w:before="126" w:line="329" w:lineRule="auto"/>
              <w:ind w:left="117" w:right="168"/>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可能影响行人、交通、电力设施、通讯设施或</w:t>
            </w:r>
            <w:r>
              <w:rPr>
                <w:rFonts w:hint="eastAsia" w:ascii="宋体" w:hAnsi="宋体" w:eastAsia="宋体" w:cs="宋体"/>
                <w:color w:val="auto"/>
                <w:spacing w:val="7"/>
                <w:sz w:val="24"/>
                <w:szCs w:val="24"/>
                <w:highlight w:val="none"/>
              </w:rPr>
              <w:t xml:space="preserve"> </w:t>
            </w:r>
            <w:r>
              <w:rPr>
                <w:rFonts w:hint="eastAsia" w:ascii="宋体" w:hAnsi="宋体" w:eastAsia="宋体" w:cs="宋体"/>
                <w:color w:val="auto"/>
                <w:spacing w:val="-1"/>
                <w:sz w:val="24"/>
                <w:szCs w:val="24"/>
                <w:highlight w:val="none"/>
              </w:rPr>
              <w:t>其它建、构筑物安全的拆除工程。</w:t>
            </w:r>
          </w:p>
        </w:tc>
        <w:tc>
          <w:tcPr>
            <w:tcW w:w="1294" w:type="dxa"/>
            <w:vAlign w:val="top"/>
          </w:tcPr>
          <w:p w14:paraId="53C1D06F">
            <w:pPr>
              <w:pStyle w:val="21"/>
              <w:spacing w:line="294" w:lineRule="auto"/>
              <w:rPr>
                <w:rFonts w:hint="eastAsia" w:ascii="宋体" w:hAnsi="宋体" w:eastAsia="宋体" w:cs="宋体"/>
                <w:color w:val="auto"/>
                <w:highlight w:val="none"/>
              </w:rPr>
            </w:pPr>
          </w:p>
          <w:p w14:paraId="76CB7DF5">
            <w:pPr>
              <w:spacing w:before="78" w:line="223" w:lineRule="auto"/>
              <w:ind w:left="30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2310AE40">
            <w:pPr>
              <w:pStyle w:val="21"/>
              <w:spacing w:line="294" w:lineRule="auto"/>
              <w:rPr>
                <w:rFonts w:hint="eastAsia" w:ascii="宋体" w:hAnsi="宋体" w:eastAsia="宋体" w:cs="宋体"/>
                <w:color w:val="auto"/>
                <w:highlight w:val="none"/>
              </w:rPr>
            </w:pPr>
          </w:p>
          <w:p w14:paraId="4D2EE233">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34D942FE">
            <w:pPr>
              <w:pStyle w:val="21"/>
              <w:rPr>
                <w:rFonts w:hint="eastAsia" w:ascii="宋体" w:hAnsi="宋体" w:eastAsia="宋体" w:cs="宋体"/>
                <w:color w:val="auto"/>
                <w:highlight w:val="none"/>
              </w:rPr>
            </w:pPr>
          </w:p>
        </w:tc>
      </w:tr>
      <w:tr w14:paraId="15559B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1E91FBFB">
            <w:pPr>
              <w:spacing w:before="126" w:line="221" w:lineRule="auto"/>
              <w:ind w:left="358"/>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六、暗挖工程</w:t>
            </w:r>
          </w:p>
        </w:tc>
        <w:tc>
          <w:tcPr>
            <w:tcW w:w="1294" w:type="dxa"/>
            <w:vAlign w:val="top"/>
          </w:tcPr>
          <w:p w14:paraId="137FC89C">
            <w:pPr>
              <w:spacing w:before="126"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2F652C1B">
            <w:pPr>
              <w:spacing w:before="126"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0D8FEC99">
            <w:pPr>
              <w:pStyle w:val="21"/>
              <w:rPr>
                <w:rFonts w:hint="eastAsia" w:ascii="宋体" w:hAnsi="宋体" w:eastAsia="宋体" w:cs="宋体"/>
                <w:color w:val="auto"/>
                <w:highlight w:val="none"/>
              </w:rPr>
            </w:pPr>
          </w:p>
        </w:tc>
      </w:tr>
      <w:tr w14:paraId="4B8861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789E82C2">
            <w:pPr>
              <w:spacing w:before="128" w:line="328" w:lineRule="auto"/>
              <w:ind w:left="119" w:right="168" w:hanging="4"/>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采用矿山法、盾构法、顶管法施工的隧道、洞</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4"/>
                <w:sz w:val="24"/>
                <w:szCs w:val="24"/>
                <w:highlight w:val="none"/>
              </w:rPr>
              <w:t>室工程。</w:t>
            </w:r>
          </w:p>
        </w:tc>
        <w:tc>
          <w:tcPr>
            <w:tcW w:w="1294" w:type="dxa"/>
            <w:vAlign w:val="top"/>
          </w:tcPr>
          <w:p w14:paraId="69EA54F0">
            <w:pPr>
              <w:pStyle w:val="21"/>
              <w:spacing w:line="294" w:lineRule="auto"/>
              <w:rPr>
                <w:rFonts w:hint="eastAsia" w:ascii="宋体" w:hAnsi="宋体" w:eastAsia="宋体" w:cs="宋体"/>
                <w:color w:val="auto"/>
                <w:highlight w:val="none"/>
              </w:rPr>
            </w:pPr>
          </w:p>
          <w:p w14:paraId="25806042">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07831483">
            <w:pPr>
              <w:pStyle w:val="21"/>
              <w:spacing w:line="294" w:lineRule="auto"/>
              <w:rPr>
                <w:rFonts w:hint="eastAsia" w:ascii="宋体" w:hAnsi="宋体" w:eastAsia="宋体" w:cs="宋体"/>
                <w:color w:val="auto"/>
                <w:highlight w:val="none"/>
              </w:rPr>
            </w:pPr>
          </w:p>
          <w:p w14:paraId="551C407F">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091DD324">
            <w:pPr>
              <w:pStyle w:val="21"/>
              <w:rPr>
                <w:rFonts w:hint="eastAsia" w:ascii="宋体" w:hAnsi="宋体" w:eastAsia="宋体" w:cs="宋体"/>
                <w:color w:val="auto"/>
                <w:highlight w:val="none"/>
              </w:rPr>
            </w:pPr>
          </w:p>
        </w:tc>
      </w:tr>
      <w:tr w14:paraId="512FA1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363B8B64">
            <w:pPr>
              <w:spacing w:before="129" w:line="222" w:lineRule="auto"/>
              <w:ind w:left="115"/>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七、其它</w:t>
            </w:r>
          </w:p>
        </w:tc>
        <w:tc>
          <w:tcPr>
            <w:tcW w:w="1294" w:type="dxa"/>
            <w:vAlign w:val="top"/>
          </w:tcPr>
          <w:p w14:paraId="041AFA2A">
            <w:pPr>
              <w:spacing w:before="129"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206F78AB">
            <w:pPr>
              <w:spacing w:before="129"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48F38261">
            <w:pPr>
              <w:pStyle w:val="21"/>
              <w:rPr>
                <w:rFonts w:hint="eastAsia" w:ascii="宋体" w:hAnsi="宋体" w:eastAsia="宋体" w:cs="宋体"/>
                <w:color w:val="auto"/>
                <w:highlight w:val="none"/>
              </w:rPr>
            </w:pPr>
          </w:p>
        </w:tc>
      </w:tr>
      <w:tr w14:paraId="610446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70BC9C24">
            <w:pPr>
              <w:spacing w:before="128" w:line="219"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（一）建筑幕墙安装工程。</w:t>
            </w:r>
          </w:p>
        </w:tc>
        <w:tc>
          <w:tcPr>
            <w:tcW w:w="1294" w:type="dxa"/>
            <w:vAlign w:val="top"/>
          </w:tcPr>
          <w:p w14:paraId="6935FC1C">
            <w:pPr>
              <w:spacing w:before="127"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64275F3F">
            <w:pPr>
              <w:spacing w:before="127"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3153FAD5">
            <w:pPr>
              <w:pStyle w:val="21"/>
              <w:rPr>
                <w:rFonts w:hint="eastAsia" w:ascii="宋体" w:hAnsi="宋体" w:eastAsia="宋体" w:cs="宋体"/>
                <w:color w:val="auto"/>
                <w:highlight w:val="none"/>
              </w:rPr>
            </w:pPr>
          </w:p>
        </w:tc>
      </w:tr>
      <w:tr w14:paraId="10816A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68649116">
            <w:pPr>
              <w:spacing w:before="128" w:line="221"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（二）钢结构、网架和索膜结构安装工程。</w:t>
            </w:r>
          </w:p>
        </w:tc>
        <w:tc>
          <w:tcPr>
            <w:tcW w:w="1294" w:type="dxa"/>
            <w:vAlign w:val="top"/>
          </w:tcPr>
          <w:p w14:paraId="5B256D88">
            <w:pPr>
              <w:spacing w:before="12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0002621C">
            <w:pPr>
              <w:spacing w:before="12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09C7386C">
            <w:pPr>
              <w:pStyle w:val="21"/>
              <w:rPr>
                <w:rFonts w:hint="eastAsia" w:ascii="宋体" w:hAnsi="宋体" w:eastAsia="宋体" w:cs="宋体"/>
                <w:color w:val="auto"/>
                <w:highlight w:val="none"/>
              </w:rPr>
            </w:pPr>
          </w:p>
        </w:tc>
      </w:tr>
      <w:tr w14:paraId="6E0F45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47F48E3C">
            <w:pPr>
              <w:spacing w:before="128" w:line="220"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（三）人工挖孔桩工程。</w:t>
            </w:r>
          </w:p>
        </w:tc>
        <w:tc>
          <w:tcPr>
            <w:tcW w:w="1294" w:type="dxa"/>
            <w:vAlign w:val="top"/>
          </w:tcPr>
          <w:p w14:paraId="2B0443D0">
            <w:pPr>
              <w:spacing w:before="12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39457DD8">
            <w:pPr>
              <w:spacing w:before="12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5B54B549">
            <w:pPr>
              <w:pStyle w:val="21"/>
              <w:rPr>
                <w:rFonts w:hint="eastAsia" w:ascii="宋体" w:hAnsi="宋体" w:eastAsia="宋体" w:cs="宋体"/>
                <w:color w:val="auto"/>
                <w:highlight w:val="none"/>
              </w:rPr>
            </w:pPr>
          </w:p>
        </w:tc>
      </w:tr>
      <w:tr w14:paraId="1D87E6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7023A2A7">
            <w:pPr>
              <w:spacing w:before="129" w:line="220"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（四）水下作业工程。</w:t>
            </w:r>
          </w:p>
        </w:tc>
        <w:tc>
          <w:tcPr>
            <w:tcW w:w="1294" w:type="dxa"/>
            <w:vAlign w:val="top"/>
          </w:tcPr>
          <w:p w14:paraId="7FF1CEBB">
            <w:pPr>
              <w:spacing w:before="129"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119BA99D">
            <w:pPr>
              <w:spacing w:before="129"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49099C2E">
            <w:pPr>
              <w:pStyle w:val="21"/>
              <w:rPr>
                <w:rFonts w:hint="eastAsia" w:ascii="宋体" w:hAnsi="宋体" w:eastAsia="宋体" w:cs="宋体"/>
                <w:color w:val="auto"/>
                <w:highlight w:val="none"/>
              </w:rPr>
            </w:pPr>
          </w:p>
        </w:tc>
      </w:tr>
      <w:tr w14:paraId="0578EE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1E2CFFC3">
            <w:pPr>
              <w:spacing w:before="129" w:line="220"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（五）装配式建筑混凝土预制构件安装工程。</w:t>
            </w:r>
          </w:p>
        </w:tc>
        <w:tc>
          <w:tcPr>
            <w:tcW w:w="1294" w:type="dxa"/>
            <w:vAlign w:val="top"/>
          </w:tcPr>
          <w:p w14:paraId="65C993F2">
            <w:pPr>
              <w:spacing w:before="129"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04B18911">
            <w:pPr>
              <w:spacing w:before="129"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00EEB872">
            <w:pPr>
              <w:pStyle w:val="21"/>
              <w:rPr>
                <w:rFonts w:hint="eastAsia" w:ascii="宋体" w:hAnsi="宋体" w:eastAsia="宋体" w:cs="宋体"/>
                <w:color w:val="auto"/>
                <w:highlight w:val="none"/>
              </w:rPr>
            </w:pPr>
          </w:p>
        </w:tc>
      </w:tr>
      <w:tr w14:paraId="13F167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42E07234">
            <w:pPr>
              <w:spacing w:before="129" w:line="345" w:lineRule="auto"/>
              <w:ind w:left="117" w:right="168" w:firstLine="10"/>
              <w:jc w:val="both"/>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（六）采用新技术、新工艺、新材料、新设备</w:t>
            </w:r>
            <w:r>
              <w:rPr>
                <w:rFonts w:hint="eastAsia" w:ascii="宋体" w:hAnsi="宋体" w:eastAsia="宋体" w:cs="宋体"/>
                <w:color w:val="auto"/>
                <w:spacing w:val="18"/>
                <w:sz w:val="24"/>
                <w:szCs w:val="24"/>
                <w:highlight w:val="none"/>
              </w:rPr>
              <w:t xml:space="preserve"> </w:t>
            </w:r>
            <w:r>
              <w:rPr>
                <w:rFonts w:hint="eastAsia" w:ascii="宋体" w:hAnsi="宋体" w:eastAsia="宋体" w:cs="宋体"/>
                <w:color w:val="auto"/>
                <w:spacing w:val="-1"/>
                <w:sz w:val="24"/>
                <w:szCs w:val="24"/>
                <w:highlight w:val="none"/>
              </w:rPr>
              <w:t>可能影响工程施工安全，尚无国家、行业及地</w:t>
            </w:r>
            <w:r>
              <w:rPr>
                <w:rFonts w:hint="eastAsia" w:ascii="宋体" w:hAnsi="宋体" w:eastAsia="宋体" w:cs="宋体"/>
                <w:color w:val="auto"/>
                <w:spacing w:val="8"/>
                <w:sz w:val="24"/>
                <w:szCs w:val="24"/>
                <w:highlight w:val="none"/>
              </w:rPr>
              <w:t xml:space="preserve"> </w:t>
            </w:r>
            <w:r>
              <w:rPr>
                <w:rFonts w:hint="eastAsia" w:ascii="宋体" w:hAnsi="宋体" w:eastAsia="宋体" w:cs="宋体"/>
                <w:color w:val="auto"/>
                <w:spacing w:val="-1"/>
                <w:sz w:val="24"/>
                <w:szCs w:val="24"/>
                <w:highlight w:val="none"/>
              </w:rPr>
              <w:t>方技术标准的分部分项工程。</w:t>
            </w:r>
          </w:p>
        </w:tc>
        <w:tc>
          <w:tcPr>
            <w:tcW w:w="1294" w:type="dxa"/>
            <w:vAlign w:val="top"/>
          </w:tcPr>
          <w:p w14:paraId="173190AF">
            <w:pPr>
              <w:pStyle w:val="21"/>
              <w:spacing w:line="270" w:lineRule="auto"/>
              <w:rPr>
                <w:rFonts w:hint="eastAsia" w:ascii="宋体" w:hAnsi="宋体" w:eastAsia="宋体" w:cs="宋体"/>
                <w:color w:val="auto"/>
                <w:highlight w:val="none"/>
              </w:rPr>
            </w:pPr>
          </w:p>
          <w:p w14:paraId="25286718">
            <w:pPr>
              <w:pStyle w:val="21"/>
              <w:spacing w:line="271" w:lineRule="auto"/>
              <w:rPr>
                <w:rFonts w:hint="eastAsia" w:ascii="宋体" w:hAnsi="宋体" w:eastAsia="宋体" w:cs="宋体"/>
                <w:color w:val="auto"/>
                <w:highlight w:val="none"/>
              </w:rPr>
            </w:pPr>
          </w:p>
          <w:p w14:paraId="43C2B6E5">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398617CC">
            <w:pPr>
              <w:pStyle w:val="21"/>
              <w:spacing w:line="270" w:lineRule="auto"/>
              <w:rPr>
                <w:rFonts w:hint="eastAsia" w:ascii="宋体" w:hAnsi="宋体" w:eastAsia="宋体" w:cs="宋体"/>
                <w:color w:val="auto"/>
                <w:highlight w:val="none"/>
              </w:rPr>
            </w:pPr>
          </w:p>
          <w:p w14:paraId="178E42BF">
            <w:pPr>
              <w:pStyle w:val="21"/>
              <w:spacing w:line="271" w:lineRule="auto"/>
              <w:rPr>
                <w:rFonts w:hint="eastAsia" w:ascii="宋体" w:hAnsi="宋体" w:eastAsia="宋体" w:cs="宋体"/>
                <w:color w:val="auto"/>
                <w:highlight w:val="none"/>
              </w:rPr>
            </w:pPr>
          </w:p>
          <w:p w14:paraId="7C375C8E">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766939D6">
            <w:pPr>
              <w:pStyle w:val="21"/>
              <w:rPr>
                <w:rFonts w:hint="eastAsia" w:ascii="宋体" w:hAnsi="宋体" w:eastAsia="宋体" w:cs="宋体"/>
                <w:color w:val="auto"/>
                <w:highlight w:val="none"/>
              </w:rPr>
            </w:pPr>
          </w:p>
        </w:tc>
      </w:tr>
      <w:tr w14:paraId="3B5627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73107AB9">
            <w:pPr>
              <w:spacing w:before="129" w:line="328" w:lineRule="auto"/>
              <w:ind w:left="115" w:right="108" w:firstLine="4"/>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二、超过一定规模的危险性较大的分部分项工</w:t>
            </w:r>
            <w:r>
              <w:rPr>
                <w:rFonts w:hint="eastAsia" w:ascii="宋体" w:hAnsi="宋体" w:eastAsia="宋体" w:cs="宋体"/>
                <w:b/>
                <w:bCs/>
                <w:color w:val="auto"/>
                <w:spacing w:val="-5"/>
                <w:sz w:val="24"/>
                <w:szCs w:val="24"/>
                <w:highlight w:val="none"/>
              </w:rPr>
              <w:t>程清单</w:t>
            </w:r>
          </w:p>
        </w:tc>
        <w:tc>
          <w:tcPr>
            <w:tcW w:w="1294" w:type="dxa"/>
            <w:vAlign w:val="top"/>
          </w:tcPr>
          <w:p w14:paraId="5A67B5C5">
            <w:pPr>
              <w:pStyle w:val="21"/>
              <w:spacing w:line="295" w:lineRule="auto"/>
              <w:rPr>
                <w:rFonts w:hint="eastAsia" w:ascii="宋体" w:hAnsi="宋体" w:eastAsia="宋体" w:cs="宋体"/>
                <w:color w:val="auto"/>
                <w:highlight w:val="none"/>
              </w:rPr>
            </w:pPr>
          </w:p>
          <w:p w14:paraId="2D811006">
            <w:pPr>
              <w:spacing w:before="78" w:line="221" w:lineRule="auto"/>
              <w:ind w:left="206"/>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建设单位</w:t>
            </w:r>
          </w:p>
        </w:tc>
        <w:tc>
          <w:tcPr>
            <w:tcW w:w="1294" w:type="dxa"/>
            <w:vAlign w:val="top"/>
          </w:tcPr>
          <w:p w14:paraId="24A69ECB">
            <w:pPr>
              <w:pStyle w:val="21"/>
              <w:spacing w:line="295" w:lineRule="auto"/>
              <w:rPr>
                <w:rFonts w:hint="eastAsia" w:ascii="宋体" w:hAnsi="宋体" w:eastAsia="宋体" w:cs="宋体"/>
                <w:color w:val="auto"/>
                <w:highlight w:val="none"/>
              </w:rPr>
            </w:pPr>
          </w:p>
          <w:p w14:paraId="26DB2221">
            <w:pPr>
              <w:spacing w:before="78" w:line="221" w:lineRule="auto"/>
              <w:ind w:left="119"/>
              <w:rPr>
                <w:rFonts w:hint="eastAsia" w:ascii="宋体" w:hAnsi="宋体" w:eastAsia="宋体" w:cs="宋体"/>
                <w:color w:val="auto"/>
                <w:sz w:val="24"/>
                <w:szCs w:val="24"/>
                <w:highlight w:val="none"/>
              </w:rPr>
            </w:pPr>
            <w:r>
              <w:rPr>
                <w:rFonts w:hint="eastAsia" w:ascii="宋体" w:hAnsi="宋体" w:eastAsia="宋体" w:cs="宋体"/>
                <w:b/>
                <w:bCs/>
                <w:color w:val="auto"/>
                <w:spacing w:val="-5"/>
                <w:sz w:val="24"/>
                <w:szCs w:val="24"/>
                <w:highlight w:val="none"/>
              </w:rPr>
              <w:t>投标单位</w:t>
            </w:r>
          </w:p>
        </w:tc>
        <w:tc>
          <w:tcPr>
            <w:tcW w:w="2428" w:type="dxa"/>
            <w:vAlign w:val="top"/>
          </w:tcPr>
          <w:p w14:paraId="7B1AFF26">
            <w:pPr>
              <w:pStyle w:val="21"/>
              <w:spacing w:line="295" w:lineRule="auto"/>
              <w:rPr>
                <w:rFonts w:hint="eastAsia" w:ascii="宋体" w:hAnsi="宋体" w:eastAsia="宋体" w:cs="宋体"/>
                <w:color w:val="auto"/>
                <w:highlight w:val="none"/>
              </w:rPr>
            </w:pPr>
          </w:p>
          <w:p w14:paraId="3584F90F">
            <w:pPr>
              <w:spacing w:before="78" w:line="222" w:lineRule="auto"/>
              <w:ind w:left="300"/>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备注</w:t>
            </w:r>
          </w:p>
        </w:tc>
      </w:tr>
      <w:tr w14:paraId="4B6EE0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3FFEC06F">
            <w:pPr>
              <w:spacing w:before="129" w:line="221" w:lineRule="auto"/>
              <w:ind w:left="12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一、深基坑工程</w:t>
            </w:r>
          </w:p>
        </w:tc>
        <w:tc>
          <w:tcPr>
            <w:tcW w:w="1294" w:type="dxa"/>
            <w:vAlign w:val="top"/>
          </w:tcPr>
          <w:p w14:paraId="0F1DCA38">
            <w:pPr>
              <w:spacing w:before="129" w:line="223" w:lineRule="auto"/>
              <w:ind w:left="30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5A99B878">
            <w:pPr>
              <w:spacing w:before="129"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7A826AFC">
            <w:pPr>
              <w:pStyle w:val="21"/>
              <w:rPr>
                <w:rFonts w:hint="eastAsia" w:ascii="宋体" w:hAnsi="宋体" w:eastAsia="宋体" w:cs="宋体"/>
                <w:color w:val="auto"/>
                <w:highlight w:val="none"/>
              </w:rPr>
            </w:pPr>
          </w:p>
        </w:tc>
      </w:tr>
      <w:tr w14:paraId="70408D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3C7BBDEF">
            <w:pPr>
              <w:spacing w:before="131" w:line="327" w:lineRule="auto"/>
              <w:ind w:left="117" w:right="105"/>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开挖深度超过</w:t>
            </w:r>
            <w:r>
              <w:rPr>
                <w:rFonts w:hint="eastAsia" w:ascii="宋体" w:hAnsi="宋体" w:eastAsia="宋体" w:cs="宋体"/>
                <w:color w:val="auto"/>
                <w:spacing w:val="-34"/>
                <w:sz w:val="24"/>
                <w:szCs w:val="24"/>
                <w:highlight w:val="none"/>
              </w:rPr>
              <w:t xml:space="preserve"> </w:t>
            </w:r>
            <w:r>
              <w:rPr>
                <w:rFonts w:hint="eastAsia" w:ascii="宋体" w:hAnsi="宋体" w:eastAsia="宋体" w:cs="宋体"/>
                <w:color w:val="auto"/>
                <w:spacing w:val="-5"/>
                <w:sz w:val="24"/>
                <w:szCs w:val="24"/>
                <w:highlight w:val="none"/>
              </w:rPr>
              <w:t>5m（含</w:t>
            </w:r>
            <w:r>
              <w:rPr>
                <w:rFonts w:hint="eastAsia" w:ascii="宋体" w:hAnsi="宋体" w:eastAsia="宋体" w:cs="宋体"/>
                <w:color w:val="auto"/>
                <w:spacing w:val="-45"/>
                <w:sz w:val="24"/>
                <w:szCs w:val="24"/>
                <w:highlight w:val="none"/>
              </w:rPr>
              <w:t xml:space="preserve"> </w:t>
            </w:r>
            <w:r>
              <w:rPr>
                <w:rFonts w:hint="eastAsia" w:ascii="宋体" w:hAnsi="宋体" w:eastAsia="宋体" w:cs="宋体"/>
                <w:color w:val="auto"/>
                <w:spacing w:val="-5"/>
                <w:sz w:val="24"/>
                <w:szCs w:val="24"/>
                <w:highlight w:val="none"/>
              </w:rPr>
              <w:t>5m）的基坑（槽）的土方</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开挖、支护、降水工程。</w:t>
            </w:r>
          </w:p>
        </w:tc>
        <w:tc>
          <w:tcPr>
            <w:tcW w:w="1294" w:type="dxa"/>
            <w:vAlign w:val="top"/>
          </w:tcPr>
          <w:p w14:paraId="1796810E">
            <w:pPr>
              <w:pStyle w:val="21"/>
              <w:spacing w:line="295" w:lineRule="auto"/>
              <w:rPr>
                <w:rFonts w:hint="eastAsia" w:ascii="宋体" w:hAnsi="宋体" w:eastAsia="宋体" w:cs="宋体"/>
                <w:color w:val="auto"/>
                <w:highlight w:val="none"/>
              </w:rPr>
            </w:pPr>
          </w:p>
          <w:p w14:paraId="37F2E30C">
            <w:pPr>
              <w:spacing w:before="78" w:line="223" w:lineRule="auto"/>
              <w:ind w:left="30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4B7F49D4">
            <w:pPr>
              <w:pStyle w:val="21"/>
              <w:spacing w:line="295" w:lineRule="auto"/>
              <w:rPr>
                <w:rFonts w:hint="eastAsia" w:ascii="宋体" w:hAnsi="宋体" w:eastAsia="宋体" w:cs="宋体"/>
                <w:color w:val="auto"/>
                <w:highlight w:val="none"/>
              </w:rPr>
            </w:pPr>
          </w:p>
          <w:p w14:paraId="005B6C9B">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26B784C5">
            <w:pPr>
              <w:pStyle w:val="21"/>
              <w:rPr>
                <w:rFonts w:hint="eastAsia" w:ascii="宋体" w:hAnsi="宋体" w:eastAsia="宋体" w:cs="宋体"/>
                <w:color w:val="auto"/>
                <w:highlight w:val="none"/>
              </w:rPr>
            </w:pPr>
          </w:p>
        </w:tc>
      </w:tr>
      <w:tr w14:paraId="67E021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0072E12A">
            <w:pPr>
              <w:spacing w:before="130" w:line="219" w:lineRule="auto"/>
              <w:ind w:left="12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二、模板工程及支撑体系</w:t>
            </w:r>
          </w:p>
        </w:tc>
        <w:tc>
          <w:tcPr>
            <w:tcW w:w="1294" w:type="dxa"/>
            <w:vAlign w:val="top"/>
          </w:tcPr>
          <w:p w14:paraId="695E6722">
            <w:pPr>
              <w:spacing w:before="129" w:line="223" w:lineRule="auto"/>
              <w:ind w:left="30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default" w:ascii="宋体" w:hAnsi="宋体" w:eastAsia="宋体" w:cs="宋体"/>
                <w:color w:val="auto"/>
                <w:spacing w:val="2"/>
                <w:sz w:val="24"/>
                <w:szCs w:val="24"/>
                <w:highlight w:val="none"/>
                <w:lang w:val="en-US"/>
              </w:rPr>
              <w:t xml:space="preserve">  </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04D75F55">
            <w:pPr>
              <w:spacing w:before="129"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09BB9547">
            <w:pPr>
              <w:pStyle w:val="21"/>
              <w:rPr>
                <w:rFonts w:hint="eastAsia" w:ascii="宋体" w:hAnsi="宋体" w:eastAsia="宋体" w:cs="宋体"/>
                <w:color w:val="auto"/>
                <w:highlight w:val="none"/>
              </w:rPr>
            </w:pPr>
          </w:p>
        </w:tc>
      </w:tr>
      <w:tr w14:paraId="10065A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325B4D44">
            <w:pPr>
              <w:spacing w:before="130" w:line="327" w:lineRule="auto"/>
              <w:ind w:left="123" w:right="25" w:firstLine="4"/>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（一）各类工具式模板工程：包括滑模、爬模、</w:t>
            </w:r>
            <w:r>
              <w:rPr>
                <w:rFonts w:hint="eastAsia" w:ascii="宋体" w:hAnsi="宋体" w:eastAsia="宋体" w:cs="宋体"/>
                <w:color w:val="auto"/>
                <w:spacing w:val="6"/>
                <w:sz w:val="24"/>
                <w:szCs w:val="24"/>
                <w:highlight w:val="none"/>
              </w:rPr>
              <w:t xml:space="preserve"> </w:t>
            </w:r>
            <w:r>
              <w:rPr>
                <w:rFonts w:hint="eastAsia" w:ascii="宋体" w:hAnsi="宋体" w:eastAsia="宋体" w:cs="宋体"/>
                <w:color w:val="auto"/>
                <w:spacing w:val="-2"/>
                <w:sz w:val="24"/>
                <w:szCs w:val="24"/>
                <w:highlight w:val="none"/>
              </w:rPr>
              <w:t>飞模、隧道模等工程。</w:t>
            </w:r>
          </w:p>
        </w:tc>
        <w:tc>
          <w:tcPr>
            <w:tcW w:w="1294" w:type="dxa"/>
            <w:vAlign w:val="top"/>
          </w:tcPr>
          <w:p w14:paraId="333C7548">
            <w:pPr>
              <w:pStyle w:val="21"/>
              <w:spacing w:line="294" w:lineRule="auto"/>
              <w:rPr>
                <w:rFonts w:hint="eastAsia" w:ascii="宋体" w:hAnsi="宋体" w:eastAsia="宋体" w:cs="宋体"/>
                <w:color w:val="auto"/>
                <w:highlight w:val="none"/>
              </w:rPr>
            </w:pPr>
          </w:p>
          <w:p w14:paraId="40884F4C">
            <w:pPr>
              <w:spacing w:before="78" w:line="223" w:lineRule="auto"/>
              <w:ind w:left="30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44BE3EB5">
            <w:pPr>
              <w:pStyle w:val="21"/>
              <w:spacing w:line="294" w:lineRule="auto"/>
              <w:rPr>
                <w:rFonts w:hint="eastAsia" w:ascii="宋体" w:hAnsi="宋体" w:eastAsia="宋体" w:cs="宋体"/>
                <w:color w:val="auto"/>
                <w:highlight w:val="none"/>
              </w:rPr>
            </w:pPr>
          </w:p>
          <w:p w14:paraId="4243723E">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6243DDE8">
            <w:pPr>
              <w:pStyle w:val="21"/>
              <w:rPr>
                <w:rFonts w:hint="eastAsia" w:ascii="宋体" w:hAnsi="宋体" w:eastAsia="宋体" w:cs="宋体"/>
                <w:color w:val="auto"/>
                <w:highlight w:val="none"/>
              </w:rPr>
            </w:pPr>
          </w:p>
        </w:tc>
      </w:tr>
      <w:tr w14:paraId="2F8211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4B41265B">
            <w:pPr>
              <w:spacing w:before="132" w:line="353" w:lineRule="auto"/>
              <w:ind w:left="116" w:right="6" w:firstLine="11"/>
              <w:jc w:val="both"/>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（二）混凝土模板支撑工程：搭设高度8m</w:t>
            </w:r>
            <w:r>
              <w:rPr>
                <w:rFonts w:hint="eastAsia" w:ascii="宋体" w:hAnsi="宋体" w:eastAsia="宋体" w:cs="宋体"/>
                <w:color w:val="auto"/>
                <w:spacing w:val="-38"/>
                <w:sz w:val="24"/>
                <w:szCs w:val="24"/>
                <w:highlight w:val="none"/>
              </w:rPr>
              <w:t xml:space="preserve"> </w:t>
            </w:r>
            <w:r>
              <w:rPr>
                <w:rFonts w:hint="eastAsia" w:ascii="宋体" w:hAnsi="宋体" w:eastAsia="宋体" w:cs="宋体"/>
                <w:color w:val="auto"/>
                <w:spacing w:val="-2"/>
                <w:sz w:val="24"/>
                <w:szCs w:val="24"/>
                <w:highlight w:val="none"/>
              </w:rPr>
              <w:t>及以</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1"/>
                <w:sz w:val="24"/>
                <w:szCs w:val="24"/>
                <w:highlight w:val="none"/>
              </w:rPr>
              <w:t>上，或搭设跨度</w:t>
            </w:r>
            <w:r>
              <w:rPr>
                <w:rFonts w:hint="eastAsia" w:ascii="宋体" w:hAnsi="宋体" w:eastAsia="宋体" w:cs="宋体"/>
                <w:color w:val="auto"/>
                <w:spacing w:val="-15"/>
                <w:sz w:val="24"/>
                <w:szCs w:val="24"/>
                <w:highlight w:val="none"/>
              </w:rPr>
              <w:t xml:space="preserve"> </w:t>
            </w:r>
            <w:r>
              <w:rPr>
                <w:rFonts w:hint="eastAsia" w:ascii="宋体" w:hAnsi="宋体" w:eastAsia="宋体" w:cs="宋体"/>
                <w:color w:val="auto"/>
                <w:spacing w:val="-11"/>
                <w:sz w:val="24"/>
                <w:szCs w:val="24"/>
                <w:highlight w:val="none"/>
              </w:rPr>
              <w:t>18m</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11"/>
                <w:sz w:val="24"/>
                <w:szCs w:val="24"/>
                <w:highlight w:val="none"/>
              </w:rPr>
              <w:t>及以上，或施工总荷载（设</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1"/>
                <w:sz w:val="24"/>
                <w:szCs w:val="24"/>
                <w:highlight w:val="none"/>
              </w:rPr>
              <w:t>计值）15kN/m2</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11"/>
                <w:sz w:val="24"/>
                <w:szCs w:val="24"/>
                <w:highlight w:val="none"/>
              </w:rPr>
              <w:t>及以上，或集中线荷载（设</w:t>
            </w:r>
            <w:r>
              <w:rPr>
                <w:rFonts w:hint="eastAsia" w:ascii="宋体" w:hAnsi="宋体" w:eastAsia="宋体" w:cs="宋体"/>
                <w:color w:val="auto"/>
                <w:spacing w:val="-12"/>
                <w:sz w:val="24"/>
                <w:szCs w:val="24"/>
                <w:highlight w:val="none"/>
              </w:rPr>
              <w:t>计值）</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2"/>
                <w:sz w:val="24"/>
                <w:szCs w:val="24"/>
                <w:highlight w:val="none"/>
              </w:rPr>
              <w:t>20kN/m</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2"/>
                <w:sz w:val="24"/>
                <w:szCs w:val="24"/>
                <w:highlight w:val="none"/>
              </w:rPr>
              <w:t>及以上。</w:t>
            </w:r>
          </w:p>
        </w:tc>
        <w:tc>
          <w:tcPr>
            <w:tcW w:w="1294" w:type="dxa"/>
            <w:vAlign w:val="top"/>
          </w:tcPr>
          <w:p w14:paraId="3A659D94">
            <w:pPr>
              <w:pStyle w:val="21"/>
              <w:spacing w:line="262" w:lineRule="auto"/>
              <w:rPr>
                <w:rFonts w:hint="eastAsia" w:ascii="宋体" w:hAnsi="宋体" w:eastAsia="宋体" w:cs="宋体"/>
                <w:color w:val="auto"/>
                <w:highlight w:val="none"/>
              </w:rPr>
            </w:pPr>
          </w:p>
          <w:p w14:paraId="36D0E943">
            <w:pPr>
              <w:pStyle w:val="21"/>
              <w:spacing w:line="263" w:lineRule="auto"/>
              <w:rPr>
                <w:rFonts w:hint="eastAsia" w:ascii="宋体" w:hAnsi="宋体" w:eastAsia="宋体" w:cs="宋体"/>
                <w:color w:val="auto"/>
                <w:highlight w:val="none"/>
              </w:rPr>
            </w:pPr>
          </w:p>
          <w:p w14:paraId="36225E0A">
            <w:pPr>
              <w:pStyle w:val="21"/>
              <w:spacing w:line="263" w:lineRule="auto"/>
              <w:rPr>
                <w:rFonts w:hint="eastAsia" w:ascii="宋体" w:hAnsi="宋体" w:eastAsia="宋体" w:cs="宋体"/>
                <w:color w:val="auto"/>
                <w:highlight w:val="none"/>
              </w:rPr>
            </w:pPr>
          </w:p>
          <w:p w14:paraId="1B11D092">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16F36B3E">
            <w:pPr>
              <w:pStyle w:val="21"/>
              <w:spacing w:line="262" w:lineRule="auto"/>
              <w:rPr>
                <w:rFonts w:hint="eastAsia" w:ascii="宋体" w:hAnsi="宋体" w:eastAsia="宋体" w:cs="宋体"/>
                <w:color w:val="auto"/>
                <w:highlight w:val="none"/>
              </w:rPr>
            </w:pPr>
          </w:p>
          <w:p w14:paraId="39B92A8D">
            <w:pPr>
              <w:pStyle w:val="21"/>
              <w:spacing w:line="263" w:lineRule="auto"/>
              <w:rPr>
                <w:rFonts w:hint="eastAsia" w:ascii="宋体" w:hAnsi="宋体" w:eastAsia="宋体" w:cs="宋体"/>
                <w:color w:val="auto"/>
                <w:highlight w:val="none"/>
              </w:rPr>
            </w:pPr>
          </w:p>
          <w:p w14:paraId="52E91544">
            <w:pPr>
              <w:pStyle w:val="21"/>
              <w:spacing w:line="263" w:lineRule="auto"/>
              <w:rPr>
                <w:rFonts w:hint="eastAsia" w:ascii="宋体" w:hAnsi="宋体" w:eastAsia="宋体" w:cs="宋体"/>
                <w:color w:val="auto"/>
                <w:highlight w:val="none"/>
              </w:rPr>
            </w:pPr>
          </w:p>
          <w:p w14:paraId="4010B8F8">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76675310">
            <w:pPr>
              <w:pStyle w:val="21"/>
              <w:rPr>
                <w:rFonts w:hint="eastAsia" w:ascii="宋体" w:hAnsi="宋体" w:eastAsia="宋体" w:cs="宋体"/>
                <w:color w:val="auto"/>
                <w:highlight w:val="none"/>
              </w:rPr>
            </w:pPr>
          </w:p>
        </w:tc>
      </w:tr>
      <w:tr w14:paraId="314862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44038DE2">
            <w:pPr>
              <w:spacing w:before="131" w:line="220"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（三）承重支撑体系：用于钢结构安装等满堂</w:t>
            </w:r>
          </w:p>
        </w:tc>
        <w:tc>
          <w:tcPr>
            <w:tcW w:w="1294" w:type="dxa"/>
            <w:vAlign w:val="top"/>
          </w:tcPr>
          <w:p w14:paraId="7EA93CE0">
            <w:pPr>
              <w:spacing w:before="131"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289782CE">
            <w:pPr>
              <w:spacing w:before="131"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5E42B55B">
            <w:pPr>
              <w:pStyle w:val="21"/>
              <w:rPr>
                <w:rFonts w:hint="eastAsia" w:ascii="宋体" w:hAnsi="宋体" w:eastAsia="宋体" w:cs="宋体"/>
                <w:color w:val="auto"/>
                <w:highlight w:val="none"/>
              </w:rPr>
            </w:pPr>
          </w:p>
        </w:tc>
      </w:tr>
      <w:tr w14:paraId="0DCFCE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14CD01D5">
            <w:pPr>
              <w:spacing w:before="131" w:line="220" w:lineRule="auto"/>
              <w:ind w:left="11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支撑体系，承受单点集中荷载</w:t>
            </w:r>
            <w:r>
              <w:rPr>
                <w:rFonts w:hint="eastAsia" w:ascii="宋体" w:hAnsi="宋体" w:eastAsia="宋体" w:cs="宋体"/>
                <w:color w:val="auto"/>
                <w:spacing w:val="-40"/>
                <w:sz w:val="24"/>
                <w:szCs w:val="24"/>
                <w:highlight w:val="none"/>
              </w:rPr>
              <w:t xml:space="preserve"> </w:t>
            </w:r>
            <w:r>
              <w:rPr>
                <w:rFonts w:hint="eastAsia" w:ascii="宋体" w:hAnsi="宋体" w:eastAsia="宋体" w:cs="宋体"/>
                <w:color w:val="auto"/>
                <w:spacing w:val="-2"/>
                <w:sz w:val="24"/>
                <w:szCs w:val="24"/>
                <w:highlight w:val="none"/>
              </w:rPr>
              <w:t>7kN</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2"/>
                <w:sz w:val="24"/>
                <w:szCs w:val="24"/>
                <w:highlight w:val="none"/>
              </w:rPr>
              <w:t>及以上。</w:t>
            </w:r>
          </w:p>
        </w:tc>
        <w:tc>
          <w:tcPr>
            <w:tcW w:w="1294" w:type="dxa"/>
            <w:vAlign w:val="top"/>
          </w:tcPr>
          <w:p w14:paraId="3D707081">
            <w:pPr>
              <w:pStyle w:val="21"/>
              <w:rPr>
                <w:rFonts w:hint="eastAsia" w:ascii="宋体" w:hAnsi="宋体" w:eastAsia="宋体" w:cs="宋体"/>
                <w:color w:val="auto"/>
                <w:highlight w:val="none"/>
              </w:rPr>
            </w:pPr>
          </w:p>
        </w:tc>
        <w:tc>
          <w:tcPr>
            <w:tcW w:w="1294" w:type="dxa"/>
            <w:vAlign w:val="top"/>
          </w:tcPr>
          <w:p w14:paraId="53A736AF">
            <w:pPr>
              <w:pStyle w:val="21"/>
              <w:rPr>
                <w:rFonts w:hint="eastAsia" w:ascii="宋体" w:hAnsi="宋体" w:eastAsia="宋体" w:cs="宋体"/>
                <w:color w:val="auto"/>
                <w:highlight w:val="none"/>
              </w:rPr>
            </w:pPr>
          </w:p>
        </w:tc>
        <w:tc>
          <w:tcPr>
            <w:tcW w:w="2428" w:type="dxa"/>
            <w:vAlign w:val="top"/>
          </w:tcPr>
          <w:p w14:paraId="56059996">
            <w:pPr>
              <w:pStyle w:val="21"/>
              <w:rPr>
                <w:rFonts w:hint="eastAsia" w:ascii="宋体" w:hAnsi="宋体" w:eastAsia="宋体" w:cs="宋体"/>
                <w:color w:val="auto"/>
                <w:highlight w:val="none"/>
              </w:rPr>
            </w:pPr>
          </w:p>
        </w:tc>
      </w:tr>
      <w:tr w14:paraId="718D0E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4B0C9181">
            <w:pPr>
              <w:spacing w:before="128" w:line="219" w:lineRule="auto"/>
              <w:ind w:left="356"/>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三、起重吊装及起重机械安装拆卸工程</w:t>
            </w:r>
          </w:p>
        </w:tc>
        <w:tc>
          <w:tcPr>
            <w:tcW w:w="1294" w:type="dxa"/>
            <w:vAlign w:val="top"/>
          </w:tcPr>
          <w:p w14:paraId="5DAC60BF">
            <w:pPr>
              <w:spacing w:before="127" w:line="223" w:lineRule="auto"/>
              <w:ind w:left="42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3"/>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74A1EBF1">
            <w:pPr>
              <w:spacing w:before="127"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38A51EE5">
            <w:pPr>
              <w:pStyle w:val="21"/>
              <w:rPr>
                <w:rFonts w:hint="eastAsia" w:ascii="宋体" w:hAnsi="宋体" w:eastAsia="宋体" w:cs="宋体"/>
                <w:color w:val="auto"/>
                <w:highlight w:val="none"/>
              </w:rPr>
            </w:pPr>
          </w:p>
        </w:tc>
      </w:tr>
      <w:tr w14:paraId="723FC7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12A57479">
            <w:pPr>
              <w:spacing w:before="129" w:line="328" w:lineRule="auto"/>
              <w:ind w:left="144" w:right="168" w:hanging="1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（一）采用非常规起重设备、方法，且单件起</w:t>
            </w:r>
            <w:r>
              <w:rPr>
                <w:rFonts w:hint="eastAsia" w:ascii="宋体" w:hAnsi="宋体" w:eastAsia="宋体" w:cs="宋体"/>
                <w:color w:val="auto"/>
                <w:spacing w:val="18"/>
                <w:sz w:val="24"/>
                <w:szCs w:val="24"/>
                <w:highlight w:val="none"/>
              </w:rPr>
              <w:t xml:space="preserve"> </w:t>
            </w:r>
            <w:r>
              <w:rPr>
                <w:rFonts w:hint="eastAsia" w:ascii="宋体" w:hAnsi="宋体" w:eastAsia="宋体" w:cs="宋体"/>
                <w:color w:val="auto"/>
                <w:spacing w:val="-4"/>
                <w:sz w:val="24"/>
                <w:szCs w:val="24"/>
                <w:highlight w:val="none"/>
              </w:rPr>
              <w:t>吊重量在</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4"/>
                <w:sz w:val="24"/>
                <w:szCs w:val="24"/>
                <w:highlight w:val="none"/>
              </w:rPr>
              <w:t>100kN</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4"/>
                <w:sz w:val="24"/>
                <w:szCs w:val="24"/>
                <w:highlight w:val="none"/>
              </w:rPr>
              <w:t>及以上的起重吊装工程。</w:t>
            </w:r>
          </w:p>
        </w:tc>
        <w:tc>
          <w:tcPr>
            <w:tcW w:w="1294" w:type="dxa"/>
            <w:vAlign w:val="top"/>
          </w:tcPr>
          <w:p w14:paraId="2AF28C1D">
            <w:pPr>
              <w:pStyle w:val="21"/>
              <w:spacing w:line="295" w:lineRule="auto"/>
              <w:rPr>
                <w:rFonts w:hint="eastAsia" w:ascii="宋体" w:hAnsi="宋体" w:eastAsia="宋体" w:cs="宋体"/>
                <w:color w:val="auto"/>
                <w:highlight w:val="none"/>
              </w:rPr>
            </w:pPr>
          </w:p>
          <w:p w14:paraId="68D38ADD">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3DDBCC99">
            <w:pPr>
              <w:pStyle w:val="21"/>
              <w:spacing w:line="295" w:lineRule="auto"/>
              <w:rPr>
                <w:rFonts w:hint="eastAsia" w:ascii="宋体" w:hAnsi="宋体" w:eastAsia="宋体" w:cs="宋体"/>
                <w:color w:val="auto"/>
                <w:highlight w:val="none"/>
              </w:rPr>
            </w:pPr>
          </w:p>
          <w:p w14:paraId="26478C8F">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5DAC0590">
            <w:pPr>
              <w:pStyle w:val="21"/>
              <w:rPr>
                <w:rFonts w:hint="eastAsia" w:ascii="宋体" w:hAnsi="宋体" w:eastAsia="宋体" w:cs="宋体"/>
                <w:color w:val="auto"/>
                <w:highlight w:val="none"/>
              </w:rPr>
            </w:pPr>
          </w:p>
        </w:tc>
      </w:tr>
      <w:tr w14:paraId="7A49CE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3C5F7230">
            <w:pPr>
              <w:spacing w:before="129" w:line="345" w:lineRule="auto"/>
              <w:ind w:left="115" w:right="105" w:firstLine="12"/>
              <w:jc w:val="both"/>
              <w:rPr>
                <w:rFonts w:hint="eastAsia" w:ascii="宋体" w:hAnsi="宋体" w:eastAsia="宋体" w:cs="宋体"/>
                <w:color w:val="auto"/>
                <w:sz w:val="24"/>
                <w:szCs w:val="24"/>
                <w:highlight w:val="none"/>
              </w:rPr>
            </w:pPr>
            <w:r>
              <w:rPr>
                <w:rFonts w:hint="eastAsia" w:ascii="宋体" w:hAnsi="宋体" w:eastAsia="宋体" w:cs="宋体"/>
                <w:color w:val="auto"/>
                <w:spacing w:val="-12"/>
                <w:sz w:val="24"/>
                <w:szCs w:val="24"/>
                <w:highlight w:val="none"/>
              </w:rPr>
              <w:t>（二）起重量</w:t>
            </w:r>
            <w:r>
              <w:rPr>
                <w:rFonts w:hint="eastAsia" w:ascii="宋体" w:hAnsi="宋体" w:eastAsia="宋体" w:cs="宋体"/>
                <w:color w:val="auto"/>
                <w:spacing w:val="-41"/>
                <w:sz w:val="24"/>
                <w:szCs w:val="24"/>
                <w:highlight w:val="none"/>
              </w:rPr>
              <w:t xml:space="preserve"> </w:t>
            </w:r>
            <w:r>
              <w:rPr>
                <w:rFonts w:hint="eastAsia" w:ascii="宋体" w:hAnsi="宋体" w:eastAsia="宋体" w:cs="宋体"/>
                <w:color w:val="auto"/>
                <w:spacing w:val="-12"/>
                <w:sz w:val="24"/>
                <w:szCs w:val="24"/>
                <w:highlight w:val="none"/>
              </w:rPr>
              <w:t>300kN</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12"/>
                <w:sz w:val="24"/>
                <w:szCs w:val="24"/>
                <w:highlight w:val="none"/>
              </w:rPr>
              <w:t>及以上，或搭设总高度</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12"/>
                <w:sz w:val="24"/>
                <w:szCs w:val="24"/>
                <w:highlight w:val="none"/>
              </w:rPr>
              <w:t>200m</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4"/>
                <w:sz w:val="24"/>
                <w:szCs w:val="24"/>
                <w:highlight w:val="none"/>
              </w:rPr>
              <w:t>及以上，或搭设基础标高在</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4"/>
                <w:sz w:val="24"/>
                <w:szCs w:val="24"/>
                <w:highlight w:val="none"/>
              </w:rPr>
              <w:t>200m</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4"/>
                <w:sz w:val="24"/>
                <w:szCs w:val="24"/>
                <w:highlight w:val="none"/>
              </w:rPr>
              <w:t>及以上的起重</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机械安装和拆卸工程。</w:t>
            </w:r>
          </w:p>
        </w:tc>
        <w:tc>
          <w:tcPr>
            <w:tcW w:w="1294" w:type="dxa"/>
            <w:vAlign w:val="top"/>
          </w:tcPr>
          <w:p w14:paraId="3C812803">
            <w:pPr>
              <w:pStyle w:val="21"/>
              <w:spacing w:line="270" w:lineRule="auto"/>
              <w:rPr>
                <w:rFonts w:hint="eastAsia" w:ascii="宋体" w:hAnsi="宋体" w:eastAsia="宋体" w:cs="宋体"/>
                <w:color w:val="auto"/>
                <w:highlight w:val="none"/>
              </w:rPr>
            </w:pPr>
          </w:p>
          <w:p w14:paraId="5121DDDA">
            <w:pPr>
              <w:pStyle w:val="21"/>
              <w:spacing w:line="270" w:lineRule="auto"/>
              <w:rPr>
                <w:rFonts w:hint="eastAsia" w:ascii="宋体" w:hAnsi="宋体" w:eastAsia="宋体" w:cs="宋体"/>
                <w:color w:val="auto"/>
                <w:highlight w:val="none"/>
              </w:rPr>
            </w:pPr>
          </w:p>
          <w:p w14:paraId="560FB691">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42976141">
            <w:pPr>
              <w:pStyle w:val="21"/>
              <w:spacing w:line="270" w:lineRule="auto"/>
              <w:rPr>
                <w:rFonts w:hint="eastAsia" w:ascii="宋体" w:hAnsi="宋体" w:eastAsia="宋体" w:cs="宋体"/>
                <w:color w:val="auto"/>
                <w:highlight w:val="none"/>
              </w:rPr>
            </w:pPr>
          </w:p>
          <w:p w14:paraId="0F0AF9F1">
            <w:pPr>
              <w:pStyle w:val="21"/>
              <w:spacing w:line="270" w:lineRule="auto"/>
              <w:rPr>
                <w:rFonts w:hint="eastAsia" w:ascii="宋体" w:hAnsi="宋体" w:eastAsia="宋体" w:cs="宋体"/>
                <w:color w:val="auto"/>
                <w:highlight w:val="none"/>
              </w:rPr>
            </w:pPr>
          </w:p>
          <w:p w14:paraId="69309DD2">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4436BC6D">
            <w:pPr>
              <w:pStyle w:val="21"/>
              <w:rPr>
                <w:rFonts w:hint="eastAsia" w:ascii="宋体" w:hAnsi="宋体" w:eastAsia="宋体" w:cs="宋体"/>
                <w:color w:val="auto"/>
                <w:highlight w:val="none"/>
              </w:rPr>
            </w:pPr>
          </w:p>
        </w:tc>
      </w:tr>
      <w:tr w14:paraId="0E46CF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528645FA">
            <w:pPr>
              <w:spacing w:before="128" w:line="219" w:lineRule="auto"/>
              <w:ind w:left="138"/>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四、脚手架工程</w:t>
            </w:r>
          </w:p>
        </w:tc>
        <w:tc>
          <w:tcPr>
            <w:tcW w:w="1294" w:type="dxa"/>
            <w:vAlign w:val="top"/>
          </w:tcPr>
          <w:p w14:paraId="67CC54F8">
            <w:pPr>
              <w:spacing w:before="127"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3D0B7418">
            <w:pPr>
              <w:spacing w:before="127"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766E3407">
            <w:pPr>
              <w:pStyle w:val="21"/>
              <w:rPr>
                <w:rFonts w:hint="eastAsia" w:ascii="宋体" w:hAnsi="宋体" w:eastAsia="宋体" w:cs="宋体"/>
                <w:color w:val="auto"/>
                <w:highlight w:val="none"/>
              </w:rPr>
            </w:pPr>
          </w:p>
        </w:tc>
      </w:tr>
      <w:tr w14:paraId="20CD77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38FD09B2">
            <w:pPr>
              <w:spacing w:before="128" w:line="328" w:lineRule="auto"/>
              <w:ind w:left="117" w:right="168" w:firstLine="10"/>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（一）搭设高度</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3"/>
                <w:sz w:val="24"/>
                <w:szCs w:val="24"/>
                <w:highlight w:val="none"/>
              </w:rPr>
              <w:t>50m</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3"/>
                <w:sz w:val="24"/>
                <w:szCs w:val="24"/>
                <w:highlight w:val="none"/>
              </w:rPr>
              <w:t>及以上的落地式钢管脚手</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3"/>
                <w:sz w:val="24"/>
                <w:szCs w:val="24"/>
                <w:highlight w:val="none"/>
              </w:rPr>
              <w:t>架工程。</w:t>
            </w:r>
          </w:p>
        </w:tc>
        <w:tc>
          <w:tcPr>
            <w:tcW w:w="1294" w:type="dxa"/>
            <w:vAlign w:val="top"/>
          </w:tcPr>
          <w:p w14:paraId="30FE1B6D">
            <w:pPr>
              <w:pStyle w:val="21"/>
              <w:spacing w:line="296" w:lineRule="auto"/>
              <w:rPr>
                <w:rFonts w:hint="eastAsia" w:ascii="宋体" w:hAnsi="宋体" w:eastAsia="宋体" w:cs="宋体"/>
                <w:color w:val="auto"/>
                <w:highlight w:val="none"/>
              </w:rPr>
            </w:pPr>
          </w:p>
          <w:p w14:paraId="49A947C9">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3645D770">
            <w:pPr>
              <w:pStyle w:val="21"/>
              <w:spacing w:line="296" w:lineRule="auto"/>
              <w:rPr>
                <w:rFonts w:hint="eastAsia" w:ascii="宋体" w:hAnsi="宋体" w:eastAsia="宋体" w:cs="宋体"/>
                <w:color w:val="auto"/>
                <w:highlight w:val="none"/>
              </w:rPr>
            </w:pPr>
          </w:p>
          <w:p w14:paraId="0046F705">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75A45629">
            <w:pPr>
              <w:pStyle w:val="21"/>
              <w:rPr>
                <w:rFonts w:hint="eastAsia" w:ascii="宋体" w:hAnsi="宋体" w:eastAsia="宋体" w:cs="宋体"/>
                <w:color w:val="auto"/>
                <w:highlight w:val="none"/>
              </w:rPr>
            </w:pPr>
          </w:p>
        </w:tc>
      </w:tr>
      <w:tr w14:paraId="4C2B79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331197BD">
            <w:pPr>
              <w:spacing w:before="131" w:line="327" w:lineRule="auto"/>
              <w:ind w:left="116" w:right="105" w:firstLine="11"/>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（二）提升高度在</w:t>
            </w:r>
            <w:r>
              <w:rPr>
                <w:rFonts w:hint="eastAsia" w:ascii="宋体" w:hAnsi="宋体" w:eastAsia="宋体" w:cs="宋体"/>
                <w:color w:val="auto"/>
                <w:spacing w:val="-16"/>
                <w:sz w:val="24"/>
                <w:szCs w:val="24"/>
                <w:highlight w:val="none"/>
              </w:rPr>
              <w:t xml:space="preserve"> </w:t>
            </w:r>
            <w:r>
              <w:rPr>
                <w:rFonts w:hint="eastAsia" w:ascii="宋体" w:hAnsi="宋体" w:eastAsia="宋体" w:cs="宋体"/>
                <w:color w:val="auto"/>
                <w:spacing w:val="-6"/>
                <w:sz w:val="24"/>
                <w:szCs w:val="24"/>
                <w:highlight w:val="none"/>
                <w:lang w:eastAsia="zh-CN"/>
              </w:rPr>
              <w:t>450</w:t>
            </w:r>
            <w:r>
              <w:rPr>
                <w:rFonts w:hint="eastAsia" w:ascii="宋体" w:hAnsi="宋体" w:eastAsia="宋体" w:cs="宋体"/>
                <w:color w:val="auto"/>
                <w:spacing w:val="-6"/>
                <w:sz w:val="24"/>
                <w:szCs w:val="24"/>
                <w:highlight w:val="none"/>
              </w:rPr>
              <w:t>m</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6"/>
                <w:sz w:val="24"/>
                <w:szCs w:val="24"/>
                <w:highlight w:val="none"/>
              </w:rPr>
              <w:t>及以上的附着式升降脚</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手架工程或附着式升降操作平台工程。</w:t>
            </w:r>
          </w:p>
        </w:tc>
        <w:tc>
          <w:tcPr>
            <w:tcW w:w="1294" w:type="dxa"/>
            <w:vAlign w:val="top"/>
          </w:tcPr>
          <w:p w14:paraId="26E4FDC5">
            <w:pPr>
              <w:pStyle w:val="21"/>
              <w:spacing w:line="296" w:lineRule="auto"/>
              <w:rPr>
                <w:rFonts w:hint="eastAsia" w:ascii="宋体" w:hAnsi="宋体" w:eastAsia="宋体" w:cs="宋体"/>
                <w:color w:val="auto"/>
                <w:highlight w:val="none"/>
              </w:rPr>
            </w:pPr>
          </w:p>
          <w:p w14:paraId="558431DE">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4E227112">
            <w:pPr>
              <w:pStyle w:val="21"/>
              <w:spacing w:line="296" w:lineRule="auto"/>
              <w:rPr>
                <w:rFonts w:hint="eastAsia" w:ascii="宋体" w:hAnsi="宋体" w:eastAsia="宋体" w:cs="宋体"/>
                <w:color w:val="auto"/>
                <w:highlight w:val="none"/>
              </w:rPr>
            </w:pPr>
          </w:p>
          <w:p w14:paraId="4D51D49D">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5D447CAF">
            <w:pPr>
              <w:pStyle w:val="21"/>
              <w:rPr>
                <w:rFonts w:hint="eastAsia" w:ascii="宋体" w:hAnsi="宋体" w:eastAsia="宋体" w:cs="宋体"/>
                <w:color w:val="auto"/>
                <w:highlight w:val="none"/>
              </w:rPr>
            </w:pPr>
          </w:p>
        </w:tc>
      </w:tr>
      <w:tr w14:paraId="4390B4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302DA04D">
            <w:pPr>
              <w:spacing w:before="129" w:line="328" w:lineRule="auto"/>
              <w:ind w:left="115" w:right="168" w:firstLine="12"/>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（三）分段架体搭设高度</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2"/>
                <w:sz w:val="24"/>
                <w:szCs w:val="24"/>
                <w:highlight w:val="none"/>
              </w:rPr>
              <w:t>20m</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2"/>
                <w:sz w:val="24"/>
                <w:szCs w:val="24"/>
                <w:highlight w:val="none"/>
              </w:rPr>
              <w:t>及以上的悬挑式</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2"/>
                <w:sz w:val="24"/>
                <w:szCs w:val="24"/>
                <w:highlight w:val="none"/>
              </w:rPr>
              <w:t>脚手架工程。</w:t>
            </w:r>
          </w:p>
        </w:tc>
        <w:tc>
          <w:tcPr>
            <w:tcW w:w="1294" w:type="dxa"/>
            <w:vAlign w:val="top"/>
          </w:tcPr>
          <w:p w14:paraId="1A4DC673">
            <w:pPr>
              <w:pStyle w:val="21"/>
              <w:spacing w:line="297" w:lineRule="auto"/>
              <w:rPr>
                <w:rFonts w:hint="eastAsia" w:ascii="宋体" w:hAnsi="宋体" w:eastAsia="宋体" w:cs="宋体"/>
                <w:color w:val="auto"/>
                <w:highlight w:val="none"/>
              </w:rPr>
            </w:pPr>
          </w:p>
          <w:p w14:paraId="13C8F70D">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178C3E33">
            <w:pPr>
              <w:pStyle w:val="21"/>
              <w:spacing w:line="297" w:lineRule="auto"/>
              <w:rPr>
                <w:rFonts w:hint="eastAsia" w:ascii="宋体" w:hAnsi="宋体" w:eastAsia="宋体" w:cs="宋体"/>
                <w:color w:val="auto"/>
                <w:highlight w:val="none"/>
              </w:rPr>
            </w:pPr>
          </w:p>
          <w:p w14:paraId="69F6EABF">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236FB7CE">
            <w:pPr>
              <w:pStyle w:val="21"/>
              <w:rPr>
                <w:rFonts w:hint="eastAsia" w:ascii="宋体" w:hAnsi="宋体" w:eastAsia="宋体" w:cs="宋体"/>
                <w:color w:val="auto"/>
                <w:highlight w:val="none"/>
              </w:rPr>
            </w:pPr>
          </w:p>
        </w:tc>
      </w:tr>
      <w:tr w14:paraId="19A540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6E027364">
            <w:pPr>
              <w:spacing w:before="131" w:line="220" w:lineRule="auto"/>
              <w:ind w:left="120"/>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五、拆除工程</w:t>
            </w:r>
          </w:p>
        </w:tc>
        <w:tc>
          <w:tcPr>
            <w:tcW w:w="1294" w:type="dxa"/>
            <w:vAlign w:val="top"/>
          </w:tcPr>
          <w:p w14:paraId="252E8CF3">
            <w:pPr>
              <w:spacing w:before="158" w:line="223" w:lineRule="auto"/>
              <w:ind w:left="42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3"/>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22E328A9">
            <w:pPr>
              <w:spacing w:before="15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7B214F7F">
            <w:pPr>
              <w:pStyle w:val="21"/>
              <w:rPr>
                <w:rFonts w:hint="eastAsia" w:ascii="宋体" w:hAnsi="宋体" w:eastAsia="宋体" w:cs="宋体"/>
                <w:color w:val="auto"/>
                <w:highlight w:val="none"/>
              </w:rPr>
            </w:pPr>
          </w:p>
        </w:tc>
      </w:tr>
      <w:tr w14:paraId="533AC8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6FD68D25">
            <w:pPr>
              <w:spacing w:before="132" w:line="353" w:lineRule="auto"/>
              <w:ind w:left="115" w:right="168" w:firstLine="12"/>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（一）码头、桥梁、高架、烟囱、水塔或拆除</w:t>
            </w:r>
            <w:r>
              <w:rPr>
                <w:rFonts w:hint="eastAsia" w:ascii="宋体" w:hAnsi="宋体" w:eastAsia="宋体" w:cs="宋体"/>
                <w:color w:val="auto"/>
                <w:spacing w:val="18"/>
                <w:sz w:val="24"/>
                <w:szCs w:val="24"/>
                <w:highlight w:val="none"/>
              </w:rPr>
              <w:t xml:space="preserve"> </w:t>
            </w:r>
            <w:r>
              <w:rPr>
                <w:rFonts w:hint="eastAsia" w:ascii="宋体" w:hAnsi="宋体" w:eastAsia="宋体" w:cs="宋体"/>
                <w:color w:val="auto"/>
                <w:spacing w:val="-1"/>
                <w:sz w:val="24"/>
                <w:szCs w:val="24"/>
                <w:highlight w:val="none"/>
              </w:rPr>
              <w:t>中容易引起有毒有害气（液）体或粉尘扩散、</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1"/>
                <w:sz w:val="24"/>
                <w:szCs w:val="24"/>
                <w:highlight w:val="none"/>
              </w:rPr>
              <w:t>易燃易爆事故发生的特殊建、构筑物的拆除工</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5"/>
                <w:sz w:val="24"/>
                <w:szCs w:val="24"/>
                <w:highlight w:val="none"/>
              </w:rPr>
              <w:t>程。</w:t>
            </w:r>
          </w:p>
        </w:tc>
        <w:tc>
          <w:tcPr>
            <w:tcW w:w="1294" w:type="dxa"/>
            <w:vAlign w:val="top"/>
          </w:tcPr>
          <w:p w14:paraId="06E4383E">
            <w:pPr>
              <w:pStyle w:val="21"/>
              <w:spacing w:line="262" w:lineRule="auto"/>
              <w:rPr>
                <w:rFonts w:hint="eastAsia" w:ascii="宋体" w:hAnsi="宋体" w:eastAsia="宋体" w:cs="宋体"/>
                <w:color w:val="auto"/>
                <w:highlight w:val="none"/>
              </w:rPr>
            </w:pPr>
          </w:p>
          <w:p w14:paraId="7376B21D">
            <w:pPr>
              <w:pStyle w:val="21"/>
              <w:spacing w:line="262" w:lineRule="auto"/>
              <w:rPr>
                <w:rFonts w:hint="eastAsia" w:ascii="宋体" w:hAnsi="宋体" w:eastAsia="宋体" w:cs="宋体"/>
                <w:color w:val="auto"/>
                <w:highlight w:val="none"/>
              </w:rPr>
            </w:pPr>
          </w:p>
          <w:p w14:paraId="5707BFC6">
            <w:pPr>
              <w:pStyle w:val="21"/>
              <w:spacing w:line="262" w:lineRule="auto"/>
              <w:rPr>
                <w:rFonts w:hint="eastAsia" w:ascii="宋体" w:hAnsi="宋体" w:eastAsia="宋体" w:cs="宋体"/>
                <w:color w:val="auto"/>
                <w:highlight w:val="none"/>
              </w:rPr>
            </w:pPr>
          </w:p>
          <w:p w14:paraId="07A1B4B9">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4AA7B904">
            <w:pPr>
              <w:pStyle w:val="21"/>
              <w:spacing w:line="262" w:lineRule="auto"/>
              <w:rPr>
                <w:rFonts w:hint="eastAsia" w:ascii="宋体" w:hAnsi="宋体" w:eastAsia="宋体" w:cs="宋体"/>
                <w:color w:val="auto"/>
                <w:highlight w:val="none"/>
              </w:rPr>
            </w:pPr>
          </w:p>
          <w:p w14:paraId="60B86E07">
            <w:pPr>
              <w:pStyle w:val="21"/>
              <w:spacing w:line="262" w:lineRule="auto"/>
              <w:rPr>
                <w:rFonts w:hint="eastAsia" w:ascii="宋体" w:hAnsi="宋体" w:eastAsia="宋体" w:cs="宋体"/>
                <w:color w:val="auto"/>
                <w:highlight w:val="none"/>
              </w:rPr>
            </w:pPr>
          </w:p>
          <w:p w14:paraId="069EBF28">
            <w:pPr>
              <w:pStyle w:val="21"/>
              <w:spacing w:line="262" w:lineRule="auto"/>
              <w:rPr>
                <w:rFonts w:hint="eastAsia" w:ascii="宋体" w:hAnsi="宋体" w:eastAsia="宋体" w:cs="宋体"/>
                <w:color w:val="auto"/>
                <w:highlight w:val="none"/>
              </w:rPr>
            </w:pPr>
          </w:p>
          <w:p w14:paraId="6B21D267">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1744C282">
            <w:pPr>
              <w:pStyle w:val="21"/>
              <w:rPr>
                <w:rFonts w:hint="eastAsia" w:ascii="宋体" w:hAnsi="宋体" w:eastAsia="宋体" w:cs="宋体"/>
                <w:color w:val="auto"/>
                <w:highlight w:val="none"/>
              </w:rPr>
            </w:pPr>
          </w:p>
        </w:tc>
      </w:tr>
      <w:tr w14:paraId="7A72A5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13409FFD">
            <w:pPr>
              <w:spacing w:before="131" w:line="327" w:lineRule="auto"/>
              <w:ind w:left="117" w:right="168" w:firstLine="1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（二）文物保护建筑、优秀历史建筑或历史文</w:t>
            </w:r>
            <w:r>
              <w:rPr>
                <w:rFonts w:hint="eastAsia" w:ascii="宋体" w:hAnsi="宋体" w:eastAsia="宋体" w:cs="宋体"/>
                <w:color w:val="auto"/>
                <w:spacing w:val="18"/>
                <w:sz w:val="24"/>
                <w:szCs w:val="24"/>
                <w:highlight w:val="none"/>
              </w:rPr>
              <w:t xml:space="preserve"> </w:t>
            </w:r>
            <w:r>
              <w:rPr>
                <w:rFonts w:hint="eastAsia" w:ascii="宋体" w:hAnsi="宋体" w:eastAsia="宋体" w:cs="宋体"/>
                <w:color w:val="auto"/>
                <w:spacing w:val="-1"/>
                <w:sz w:val="24"/>
                <w:szCs w:val="24"/>
                <w:highlight w:val="none"/>
              </w:rPr>
              <w:t>化风貌区影响范围内的拆除工程。</w:t>
            </w:r>
          </w:p>
        </w:tc>
        <w:tc>
          <w:tcPr>
            <w:tcW w:w="1294" w:type="dxa"/>
            <w:vAlign w:val="top"/>
          </w:tcPr>
          <w:p w14:paraId="4FDC9077">
            <w:pPr>
              <w:pStyle w:val="21"/>
              <w:spacing w:line="297" w:lineRule="auto"/>
              <w:rPr>
                <w:rFonts w:hint="eastAsia" w:ascii="宋体" w:hAnsi="宋体" w:eastAsia="宋体" w:cs="宋体"/>
                <w:color w:val="auto"/>
                <w:highlight w:val="none"/>
              </w:rPr>
            </w:pPr>
          </w:p>
          <w:p w14:paraId="557EC15C">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1B5B90DE">
            <w:pPr>
              <w:pStyle w:val="21"/>
              <w:spacing w:line="297" w:lineRule="auto"/>
              <w:rPr>
                <w:rFonts w:hint="eastAsia" w:ascii="宋体" w:hAnsi="宋体" w:eastAsia="宋体" w:cs="宋体"/>
                <w:color w:val="auto"/>
                <w:highlight w:val="none"/>
              </w:rPr>
            </w:pPr>
          </w:p>
          <w:p w14:paraId="4F686E90">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662BBBA6">
            <w:pPr>
              <w:pStyle w:val="21"/>
              <w:rPr>
                <w:rFonts w:hint="eastAsia" w:ascii="宋体" w:hAnsi="宋体" w:eastAsia="宋体" w:cs="宋体"/>
                <w:color w:val="auto"/>
                <w:highlight w:val="none"/>
              </w:rPr>
            </w:pPr>
          </w:p>
        </w:tc>
      </w:tr>
      <w:tr w14:paraId="13DCE6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048FBF8E">
            <w:pPr>
              <w:spacing w:before="131" w:line="221" w:lineRule="auto"/>
              <w:ind w:left="118"/>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六、暗挖工程</w:t>
            </w:r>
          </w:p>
        </w:tc>
        <w:tc>
          <w:tcPr>
            <w:tcW w:w="1294" w:type="dxa"/>
            <w:vAlign w:val="top"/>
          </w:tcPr>
          <w:p w14:paraId="655538CD">
            <w:pPr>
              <w:spacing w:before="140"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3EC7D9AB">
            <w:pPr>
              <w:spacing w:before="140"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5A7A96A4">
            <w:pPr>
              <w:pStyle w:val="21"/>
              <w:rPr>
                <w:rFonts w:hint="eastAsia" w:ascii="宋体" w:hAnsi="宋体" w:eastAsia="宋体" w:cs="宋体"/>
                <w:color w:val="auto"/>
                <w:highlight w:val="none"/>
              </w:rPr>
            </w:pPr>
          </w:p>
        </w:tc>
      </w:tr>
      <w:tr w14:paraId="3C44D3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6AE3583D">
            <w:pPr>
              <w:spacing w:before="131" w:line="327" w:lineRule="auto"/>
              <w:ind w:left="119" w:right="168" w:hanging="4"/>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采用矿山法、盾构法、顶管法施工的隧道、洞</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4"/>
                <w:sz w:val="24"/>
                <w:szCs w:val="24"/>
                <w:highlight w:val="none"/>
              </w:rPr>
              <w:t>室工程。</w:t>
            </w:r>
          </w:p>
        </w:tc>
        <w:tc>
          <w:tcPr>
            <w:tcW w:w="1294" w:type="dxa"/>
            <w:vAlign w:val="top"/>
          </w:tcPr>
          <w:p w14:paraId="0D94965A">
            <w:pPr>
              <w:pStyle w:val="21"/>
              <w:spacing w:line="298" w:lineRule="auto"/>
              <w:rPr>
                <w:rFonts w:hint="eastAsia" w:ascii="宋体" w:hAnsi="宋体" w:eastAsia="宋体" w:cs="宋体"/>
                <w:color w:val="auto"/>
                <w:highlight w:val="none"/>
              </w:rPr>
            </w:pPr>
          </w:p>
          <w:p w14:paraId="107BA7A6">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29BE5B49">
            <w:pPr>
              <w:pStyle w:val="21"/>
              <w:spacing w:line="298" w:lineRule="auto"/>
              <w:rPr>
                <w:rFonts w:hint="eastAsia" w:ascii="宋体" w:hAnsi="宋体" w:eastAsia="宋体" w:cs="宋体"/>
                <w:color w:val="auto"/>
                <w:highlight w:val="none"/>
              </w:rPr>
            </w:pPr>
          </w:p>
          <w:p w14:paraId="5C719A3E">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7FC8E31C">
            <w:pPr>
              <w:pStyle w:val="21"/>
              <w:rPr>
                <w:rFonts w:hint="eastAsia" w:ascii="宋体" w:hAnsi="宋体" w:eastAsia="宋体" w:cs="宋体"/>
                <w:color w:val="auto"/>
                <w:highlight w:val="none"/>
              </w:rPr>
            </w:pPr>
          </w:p>
        </w:tc>
      </w:tr>
      <w:tr w14:paraId="532C0E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01EE62D7">
            <w:pPr>
              <w:spacing w:before="130" w:line="222" w:lineRule="auto"/>
              <w:ind w:left="115"/>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七、其它</w:t>
            </w:r>
          </w:p>
        </w:tc>
        <w:tc>
          <w:tcPr>
            <w:tcW w:w="1294" w:type="dxa"/>
            <w:vAlign w:val="top"/>
          </w:tcPr>
          <w:p w14:paraId="0EBCA3B5">
            <w:pPr>
              <w:spacing w:before="130"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6E4A9485">
            <w:pPr>
              <w:spacing w:before="130"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71FFA8E9">
            <w:pPr>
              <w:pStyle w:val="21"/>
              <w:rPr>
                <w:rFonts w:hint="eastAsia" w:ascii="宋体" w:hAnsi="宋体" w:eastAsia="宋体" w:cs="宋体"/>
                <w:color w:val="auto"/>
                <w:highlight w:val="none"/>
              </w:rPr>
            </w:pPr>
          </w:p>
        </w:tc>
      </w:tr>
      <w:tr w14:paraId="2CEB38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41320CB1">
            <w:pPr>
              <w:spacing w:before="130" w:line="327" w:lineRule="auto"/>
              <w:ind w:left="115" w:right="168" w:firstLine="12"/>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（一）施工高度</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3"/>
                <w:sz w:val="24"/>
                <w:szCs w:val="24"/>
                <w:highlight w:val="none"/>
              </w:rPr>
              <w:t>50m</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3"/>
                <w:sz w:val="24"/>
                <w:szCs w:val="24"/>
                <w:highlight w:val="none"/>
              </w:rPr>
              <w:t>及以上的建筑幕墙安装工</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5"/>
                <w:sz w:val="24"/>
                <w:szCs w:val="24"/>
                <w:highlight w:val="none"/>
              </w:rPr>
              <w:t>程。</w:t>
            </w:r>
          </w:p>
        </w:tc>
        <w:tc>
          <w:tcPr>
            <w:tcW w:w="1294" w:type="dxa"/>
            <w:vAlign w:val="top"/>
          </w:tcPr>
          <w:p w14:paraId="6875389F">
            <w:pPr>
              <w:pStyle w:val="21"/>
              <w:spacing w:line="297" w:lineRule="auto"/>
              <w:rPr>
                <w:rFonts w:hint="eastAsia" w:ascii="宋体" w:hAnsi="宋体" w:eastAsia="宋体" w:cs="宋体"/>
                <w:color w:val="auto"/>
                <w:highlight w:val="none"/>
              </w:rPr>
            </w:pPr>
          </w:p>
          <w:p w14:paraId="6D662840">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17AE4538">
            <w:pPr>
              <w:pStyle w:val="21"/>
              <w:spacing w:line="297" w:lineRule="auto"/>
              <w:rPr>
                <w:rFonts w:hint="eastAsia" w:ascii="宋体" w:hAnsi="宋体" w:eastAsia="宋体" w:cs="宋体"/>
                <w:color w:val="auto"/>
                <w:highlight w:val="none"/>
              </w:rPr>
            </w:pPr>
          </w:p>
          <w:p w14:paraId="42F57BE7">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4D9A8755">
            <w:pPr>
              <w:pStyle w:val="21"/>
              <w:rPr>
                <w:rFonts w:hint="eastAsia" w:ascii="宋体" w:hAnsi="宋体" w:eastAsia="宋体" w:cs="宋体"/>
                <w:color w:val="auto"/>
                <w:highlight w:val="none"/>
              </w:rPr>
            </w:pPr>
          </w:p>
        </w:tc>
      </w:tr>
      <w:tr w14:paraId="6CB92A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2D73F987">
            <w:pPr>
              <w:spacing w:before="130" w:line="221"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（二）跨度</w:t>
            </w:r>
            <w:r>
              <w:rPr>
                <w:rFonts w:hint="eastAsia" w:ascii="宋体" w:hAnsi="宋体" w:eastAsia="宋体" w:cs="宋体"/>
                <w:color w:val="auto"/>
                <w:spacing w:val="-37"/>
                <w:sz w:val="24"/>
                <w:szCs w:val="24"/>
                <w:highlight w:val="none"/>
              </w:rPr>
              <w:t xml:space="preserve"> </w:t>
            </w:r>
            <w:r>
              <w:rPr>
                <w:rFonts w:hint="eastAsia" w:ascii="宋体" w:hAnsi="宋体" w:eastAsia="宋体" w:cs="宋体"/>
                <w:color w:val="auto"/>
                <w:spacing w:val="-2"/>
                <w:sz w:val="24"/>
                <w:szCs w:val="24"/>
                <w:highlight w:val="none"/>
              </w:rPr>
              <w:t>36m</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2"/>
                <w:sz w:val="24"/>
                <w:szCs w:val="24"/>
                <w:highlight w:val="none"/>
              </w:rPr>
              <w:t>及以上的钢结构安装工程，或</w:t>
            </w:r>
          </w:p>
        </w:tc>
        <w:tc>
          <w:tcPr>
            <w:tcW w:w="1294" w:type="dxa"/>
            <w:vAlign w:val="top"/>
          </w:tcPr>
          <w:p w14:paraId="58CC489C">
            <w:pPr>
              <w:spacing w:before="130"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1B6EC6D0">
            <w:pPr>
              <w:spacing w:before="130"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40D5DCE7">
            <w:pPr>
              <w:pStyle w:val="21"/>
              <w:rPr>
                <w:rFonts w:hint="eastAsia" w:ascii="宋体" w:hAnsi="宋体" w:eastAsia="宋体" w:cs="宋体"/>
                <w:color w:val="auto"/>
                <w:highlight w:val="none"/>
              </w:rPr>
            </w:pPr>
          </w:p>
        </w:tc>
      </w:tr>
      <w:tr w14:paraId="483863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1A2E1211">
            <w:pPr>
              <w:spacing w:before="131" w:line="221" w:lineRule="auto"/>
              <w:ind w:left="116"/>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跨度</w:t>
            </w:r>
            <w:r>
              <w:rPr>
                <w:rFonts w:hint="eastAsia" w:ascii="宋体" w:hAnsi="宋体" w:eastAsia="宋体" w:cs="宋体"/>
                <w:color w:val="auto"/>
                <w:spacing w:val="-37"/>
                <w:sz w:val="24"/>
                <w:szCs w:val="24"/>
                <w:highlight w:val="none"/>
              </w:rPr>
              <w:t xml:space="preserve"> </w:t>
            </w:r>
            <w:r>
              <w:rPr>
                <w:rFonts w:hint="eastAsia" w:ascii="宋体" w:hAnsi="宋体" w:eastAsia="宋体" w:cs="宋体"/>
                <w:color w:val="auto"/>
                <w:spacing w:val="-2"/>
                <w:sz w:val="24"/>
                <w:szCs w:val="24"/>
                <w:highlight w:val="none"/>
              </w:rPr>
              <w:t>60m</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2"/>
                <w:sz w:val="24"/>
                <w:szCs w:val="24"/>
                <w:highlight w:val="none"/>
              </w:rPr>
              <w:t>及以上的网架和索膜结构安装工程。</w:t>
            </w:r>
          </w:p>
        </w:tc>
        <w:tc>
          <w:tcPr>
            <w:tcW w:w="1294" w:type="dxa"/>
            <w:vAlign w:val="top"/>
          </w:tcPr>
          <w:p w14:paraId="605F2EF6">
            <w:pPr>
              <w:pStyle w:val="21"/>
              <w:rPr>
                <w:rFonts w:hint="eastAsia" w:ascii="宋体" w:hAnsi="宋体" w:eastAsia="宋体" w:cs="宋体"/>
                <w:color w:val="auto"/>
                <w:highlight w:val="none"/>
              </w:rPr>
            </w:pPr>
          </w:p>
        </w:tc>
        <w:tc>
          <w:tcPr>
            <w:tcW w:w="1294" w:type="dxa"/>
            <w:vAlign w:val="top"/>
          </w:tcPr>
          <w:p w14:paraId="5D1675CC">
            <w:pPr>
              <w:pStyle w:val="21"/>
              <w:rPr>
                <w:rFonts w:hint="eastAsia" w:ascii="宋体" w:hAnsi="宋体" w:eastAsia="宋体" w:cs="宋体"/>
                <w:color w:val="auto"/>
                <w:highlight w:val="none"/>
              </w:rPr>
            </w:pPr>
          </w:p>
        </w:tc>
        <w:tc>
          <w:tcPr>
            <w:tcW w:w="2428" w:type="dxa"/>
            <w:vAlign w:val="top"/>
          </w:tcPr>
          <w:p w14:paraId="0D243CC5">
            <w:pPr>
              <w:pStyle w:val="21"/>
              <w:rPr>
                <w:rFonts w:hint="eastAsia" w:ascii="宋体" w:hAnsi="宋体" w:eastAsia="宋体" w:cs="宋体"/>
                <w:color w:val="auto"/>
                <w:highlight w:val="none"/>
              </w:rPr>
            </w:pPr>
          </w:p>
        </w:tc>
      </w:tr>
      <w:tr w14:paraId="76966F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43A897C1">
            <w:pPr>
              <w:spacing w:before="127" w:line="220" w:lineRule="auto"/>
              <w:jc w:val="right"/>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（三）开挖深度</w:t>
            </w:r>
            <w:r>
              <w:rPr>
                <w:rFonts w:hint="eastAsia" w:ascii="宋体" w:hAnsi="宋体" w:eastAsia="宋体" w:cs="宋体"/>
                <w:color w:val="auto"/>
                <w:spacing w:val="-33"/>
                <w:sz w:val="24"/>
                <w:szCs w:val="24"/>
                <w:highlight w:val="none"/>
              </w:rPr>
              <w:t xml:space="preserve"> </w:t>
            </w:r>
            <w:r>
              <w:rPr>
                <w:rFonts w:hint="eastAsia" w:ascii="宋体" w:hAnsi="宋体" w:eastAsia="宋体" w:cs="宋体"/>
                <w:color w:val="auto"/>
                <w:spacing w:val="-7"/>
                <w:sz w:val="24"/>
                <w:szCs w:val="24"/>
                <w:highlight w:val="none"/>
              </w:rPr>
              <w:t>16m</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7"/>
                <w:sz w:val="24"/>
                <w:szCs w:val="24"/>
                <w:highlight w:val="none"/>
              </w:rPr>
              <w:t>及以上的人工挖孔桩工程。</w:t>
            </w:r>
          </w:p>
        </w:tc>
        <w:tc>
          <w:tcPr>
            <w:tcW w:w="1294" w:type="dxa"/>
            <w:vAlign w:val="top"/>
          </w:tcPr>
          <w:p w14:paraId="1DFBD658">
            <w:pPr>
              <w:spacing w:before="127"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0A4710CA">
            <w:pPr>
              <w:spacing w:before="127"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28555BA1">
            <w:pPr>
              <w:pStyle w:val="21"/>
              <w:rPr>
                <w:rFonts w:hint="eastAsia" w:ascii="宋体" w:hAnsi="宋体" w:eastAsia="宋体" w:cs="宋体"/>
                <w:color w:val="auto"/>
                <w:highlight w:val="none"/>
              </w:rPr>
            </w:pPr>
          </w:p>
        </w:tc>
      </w:tr>
      <w:tr w14:paraId="2B8E78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2F49CBC9">
            <w:pPr>
              <w:spacing w:before="129" w:line="220"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（四）水下作业工程。</w:t>
            </w:r>
          </w:p>
        </w:tc>
        <w:tc>
          <w:tcPr>
            <w:tcW w:w="1294" w:type="dxa"/>
            <w:vAlign w:val="top"/>
          </w:tcPr>
          <w:p w14:paraId="23AC72B5">
            <w:pPr>
              <w:spacing w:before="163"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19BDB79A">
            <w:pPr>
              <w:spacing w:before="163"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525C0773">
            <w:pPr>
              <w:pStyle w:val="21"/>
              <w:rPr>
                <w:rFonts w:hint="eastAsia" w:ascii="宋体" w:hAnsi="宋体" w:eastAsia="宋体" w:cs="宋体"/>
                <w:color w:val="auto"/>
                <w:highlight w:val="none"/>
              </w:rPr>
            </w:pPr>
          </w:p>
        </w:tc>
      </w:tr>
      <w:tr w14:paraId="71E566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41065D67">
            <w:pPr>
              <w:spacing w:before="130" w:line="327" w:lineRule="auto"/>
              <w:ind w:left="115" w:right="25" w:firstLine="12"/>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（五）重量</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8"/>
                <w:sz w:val="24"/>
                <w:szCs w:val="24"/>
                <w:highlight w:val="none"/>
              </w:rPr>
              <w:t>1000kN及以上的大型结构整体顶升、</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平移、转体等施工工艺。</w:t>
            </w:r>
          </w:p>
        </w:tc>
        <w:tc>
          <w:tcPr>
            <w:tcW w:w="1294" w:type="dxa"/>
            <w:vAlign w:val="top"/>
          </w:tcPr>
          <w:p w14:paraId="2C9AAB19">
            <w:pPr>
              <w:pStyle w:val="21"/>
              <w:spacing w:line="296" w:lineRule="auto"/>
              <w:rPr>
                <w:rFonts w:hint="eastAsia" w:ascii="宋体" w:hAnsi="宋体" w:eastAsia="宋体" w:cs="宋体"/>
                <w:color w:val="auto"/>
                <w:highlight w:val="none"/>
              </w:rPr>
            </w:pPr>
          </w:p>
          <w:p w14:paraId="4876A57F">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576200BC">
            <w:pPr>
              <w:pStyle w:val="21"/>
              <w:spacing w:line="296" w:lineRule="auto"/>
              <w:rPr>
                <w:rFonts w:hint="eastAsia" w:ascii="宋体" w:hAnsi="宋体" w:eastAsia="宋体" w:cs="宋体"/>
                <w:color w:val="auto"/>
                <w:highlight w:val="none"/>
              </w:rPr>
            </w:pPr>
          </w:p>
          <w:p w14:paraId="7AB7C83F">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1E4D7469">
            <w:pPr>
              <w:pStyle w:val="21"/>
              <w:rPr>
                <w:rFonts w:hint="eastAsia" w:ascii="宋体" w:hAnsi="宋体" w:eastAsia="宋体" w:cs="宋体"/>
                <w:color w:val="auto"/>
                <w:highlight w:val="none"/>
              </w:rPr>
            </w:pPr>
          </w:p>
        </w:tc>
      </w:tr>
      <w:tr w14:paraId="6ACD16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62AABE9E">
            <w:pPr>
              <w:spacing w:before="129" w:line="346" w:lineRule="auto"/>
              <w:ind w:left="117" w:right="168" w:firstLine="10"/>
              <w:jc w:val="both"/>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（六）采用新技术、新工艺、新材料、新设备</w:t>
            </w:r>
            <w:r>
              <w:rPr>
                <w:rFonts w:hint="eastAsia" w:ascii="宋体" w:hAnsi="宋体" w:eastAsia="宋体" w:cs="宋体"/>
                <w:color w:val="auto"/>
                <w:spacing w:val="18"/>
                <w:sz w:val="24"/>
                <w:szCs w:val="24"/>
                <w:highlight w:val="none"/>
              </w:rPr>
              <w:t xml:space="preserve"> </w:t>
            </w:r>
            <w:r>
              <w:rPr>
                <w:rFonts w:hint="eastAsia" w:ascii="宋体" w:hAnsi="宋体" w:eastAsia="宋体" w:cs="宋体"/>
                <w:color w:val="auto"/>
                <w:spacing w:val="-1"/>
                <w:sz w:val="24"/>
                <w:szCs w:val="24"/>
                <w:highlight w:val="none"/>
              </w:rPr>
              <w:t>可能影响工程施工安全，尚无国家、行业及地</w:t>
            </w:r>
            <w:r>
              <w:rPr>
                <w:rFonts w:hint="eastAsia" w:ascii="宋体" w:hAnsi="宋体" w:eastAsia="宋体" w:cs="宋体"/>
                <w:color w:val="auto"/>
                <w:spacing w:val="8"/>
                <w:sz w:val="24"/>
                <w:szCs w:val="24"/>
                <w:highlight w:val="none"/>
              </w:rPr>
              <w:t xml:space="preserve"> </w:t>
            </w:r>
            <w:r>
              <w:rPr>
                <w:rFonts w:hint="eastAsia" w:ascii="宋体" w:hAnsi="宋体" w:eastAsia="宋体" w:cs="宋体"/>
                <w:color w:val="auto"/>
                <w:spacing w:val="-1"/>
                <w:sz w:val="24"/>
                <w:szCs w:val="24"/>
                <w:highlight w:val="none"/>
              </w:rPr>
              <w:t>方技术标准的分部分项工程。</w:t>
            </w:r>
          </w:p>
        </w:tc>
        <w:tc>
          <w:tcPr>
            <w:tcW w:w="1294" w:type="dxa"/>
            <w:vAlign w:val="top"/>
          </w:tcPr>
          <w:p w14:paraId="2B72A05D">
            <w:pPr>
              <w:pStyle w:val="21"/>
              <w:spacing w:line="272" w:lineRule="auto"/>
              <w:rPr>
                <w:rFonts w:hint="eastAsia" w:ascii="宋体" w:hAnsi="宋体" w:eastAsia="宋体" w:cs="宋体"/>
                <w:color w:val="auto"/>
                <w:highlight w:val="none"/>
              </w:rPr>
            </w:pPr>
          </w:p>
          <w:p w14:paraId="5116E607">
            <w:pPr>
              <w:pStyle w:val="21"/>
              <w:spacing w:line="272" w:lineRule="auto"/>
              <w:rPr>
                <w:rFonts w:hint="eastAsia" w:ascii="宋体" w:hAnsi="宋体" w:eastAsia="宋体" w:cs="宋体"/>
                <w:color w:val="auto"/>
                <w:highlight w:val="none"/>
              </w:rPr>
            </w:pPr>
          </w:p>
          <w:p w14:paraId="1D92D5C4">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013E1CBC">
            <w:pPr>
              <w:pStyle w:val="21"/>
              <w:spacing w:line="272" w:lineRule="auto"/>
              <w:rPr>
                <w:rFonts w:hint="eastAsia" w:ascii="宋体" w:hAnsi="宋体" w:eastAsia="宋体" w:cs="宋体"/>
                <w:color w:val="auto"/>
                <w:highlight w:val="none"/>
              </w:rPr>
            </w:pPr>
          </w:p>
          <w:p w14:paraId="6170A90B">
            <w:pPr>
              <w:pStyle w:val="21"/>
              <w:spacing w:line="272" w:lineRule="auto"/>
              <w:rPr>
                <w:rFonts w:hint="eastAsia" w:ascii="宋体" w:hAnsi="宋体" w:eastAsia="宋体" w:cs="宋体"/>
                <w:color w:val="auto"/>
                <w:highlight w:val="none"/>
              </w:rPr>
            </w:pPr>
          </w:p>
          <w:p w14:paraId="154F4BC5">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1DE1D241">
            <w:pPr>
              <w:pStyle w:val="21"/>
              <w:rPr>
                <w:rFonts w:hint="eastAsia" w:ascii="宋体" w:hAnsi="宋体" w:eastAsia="宋体" w:cs="宋体"/>
                <w:color w:val="auto"/>
                <w:highlight w:val="none"/>
              </w:rPr>
            </w:pPr>
          </w:p>
        </w:tc>
      </w:tr>
    </w:tbl>
    <w:p w14:paraId="6E4A0502">
      <w:pPr>
        <w:pStyle w:val="5"/>
        <w:spacing w:line="288" w:lineRule="auto"/>
        <w:rPr>
          <w:rFonts w:hint="eastAsia" w:ascii="宋体" w:hAnsi="宋体" w:eastAsia="宋体" w:cs="宋体"/>
          <w:color w:val="auto"/>
          <w:highlight w:val="none"/>
        </w:rPr>
      </w:pPr>
    </w:p>
    <w:p w14:paraId="75FD8B74">
      <w:pPr>
        <w:pStyle w:val="5"/>
        <w:spacing w:line="288" w:lineRule="auto"/>
        <w:rPr>
          <w:rFonts w:hint="eastAsia" w:ascii="宋体" w:hAnsi="宋体" w:eastAsia="宋体" w:cs="宋体"/>
          <w:color w:val="auto"/>
          <w:highlight w:val="none"/>
        </w:rPr>
      </w:pPr>
    </w:p>
    <w:p w14:paraId="3445358B">
      <w:pPr>
        <w:spacing w:before="21" w:line="376" w:lineRule="exact"/>
        <w:ind w:firstLine="520" w:firstLineChars="200"/>
        <w:rPr>
          <w:rFonts w:hint="eastAsia" w:ascii="宋体" w:hAnsi="宋体" w:eastAsia="宋体" w:cs="宋体"/>
          <w:color w:val="auto"/>
          <w:spacing w:val="9"/>
          <w:sz w:val="24"/>
          <w:szCs w:val="24"/>
          <w:highlight w:val="none"/>
          <w:lang w:eastAsia="zh-CN"/>
        </w:rPr>
      </w:pPr>
      <w:r>
        <w:rPr>
          <w:rFonts w:hint="eastAsia" w:ascii="宋体" w:hAnsi="宋体" w:eastAsia="宋体" w:cs="宋体"/>
          <w:color w:val="auto"/>
          <w:spacing w:val="10"/>
          <w:sz w:val="24"/>
          <w:szCs w:val="24"/>
          <w:highlight w:val="none"/>
        </w:rPr>
        <w:t>备注：1.根据《危险性较大的分部分项工程安全管理</w:t>
      </w:r>
      <w:r>
        <w:rPr>
          <w:rFonts w:hint="eastAsia" w:ascii="宋体" w:hAnsi="宋体" w:eastAsia="宋体" w:cs="宋体"/>
          <w:color w:val="auto"/>
          <w:spacing w:val="9"/>
          <w:sz w:val="24"/>
          <w:szCs w:val="24"/>
          <w:highlight w:val="none"/>
        </w:rPr>
        <w:t>规定》，该《危险性较大的分部分项工程清单及超</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9"/>
          <w:sz w:val="24"/>
          <w:szCs w:val="24"/>
          <w:highlight w:val="none"/>
        </w:rPr>
        <w:t>过一定规模的危险性较大的分部分项工程清单》</w:t>
      </w:r>
      <w:r>
        <w:rPr>
          <w:rFonts w:hint="eastAsia" w:ascii="宋体" w:hAnsi="宋体" w:eastAsia="宋体" w:cs="宋体"/>
          <w:color w:val="auto"/>
          <w:spacing w:val="9"/>
          <w:sz w:val="24"/>
          <w:szCs w:val="24"/>
          <w:highlight w:val="none"/>
          <w:lang w:eastAsia="zh-CN"/>
        </w:rPr>
        <w:t>应由建设单位组织勘察、设计等单位在招标文件中“勾选（对应项打“√”标识”危险性较大的分部分项工程。</w:t>
      </w:r>
    </w:p>
    <w:p w14:paraId="21F57ACA">
      <w:pPr>
        <w:spacing w:before="21" w:line="376" w:lineRule="exact"/>
        <w:ind w:firstLine="512"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2.该《危险性较大的分部分项工程清单及超过一定规模的危险性较</w:t>
      </w:r>
      <w:r>
        <w:rPr>
          <w:rFonts w:hint="eastAsia" w:ascii="宋体" w:hAnsi="宋体" w:eastAsia="宋体" w:cs="宋体"/>
          <w:color w:val="auto"/>
          <w:spacing w:val="7"/>
          <w:sz w:val="24"/>
          <w:szCs w:val="24"/>
          <w:highlight w:val="none"/>
        </w:rPr>
        <w:t>大的分部分项工程清单》在办理</w:t>
      </w:r>
      <w:r>
        <w:rPr>
          <w:rFonts w:hint="eastAsia" w:ascii="宋体" w:hAnsi="宋体" w:eastAsia="宋体" w:cs="宋体"/>
          <w:color w:val="auto"/>
          <w:spacing w:val="10"/>
          <w:sz w:val="24"/>
          <w:szCs w:val="24"/>
          <w:highlight w:val="none"/>
        </w:rPr>
        <w:t>建设项目施工许可时必须提供，且各地建设行政主管部门可按照《广东省建设工</w:t>
      </w:r>
      <w:r>
        <w:rPr>
          <w:rFonts w:hint="eastAsia" w:ascii="宋体" w:hAnsi="宋体" w:eastAsia="宋体" w:cs="宋体"/>
          <w:color w:val="auto"/>
          <w:spacing w:val="9"/>
          <w:sz w:val="24"/>
          <w:szCs w:val="24"/>
          <w:highlight w:val="none"/>
        </w:rPr>
        <w:t>程项目招标中标后监督</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8"/>
          <w:sz w:val="24"/>
          <w:szCs w:val="24"/>
          <w:highlight w:val="none"/>
        </w:rPr>
        <w:t>检查办法》相关规定开展检查。</w:t>
      </w:r>
    </w:p>
    <w:p w14:paraId="7A1DC17D">
      <w:pPr>
        <w:spacing w:before="28" w:line="228" w:lineRule="auto"/>
        <w:ind w:left="553" w:leftChars="244" w:hanging="41" w:hangingChars="16"/>
        <w:rPr>
          <w:rFonts w:hint="eastAsia" w:ascii="宋体" w:hAnsi="宋体" w:eastAsia="宋体" w:cs="宋体"/>
          <w:color w:val="auto"/>
          <w:spacing w:val="8"/>
          <w:sz w:val="24"/>
          <w:szCs w:val="24"/>
          <w:highlight w:val="none"/>
          <w:lang w:eastAsia="zh-CN"/>
        </w:rPr>
      </w:pPr>
      <w:r>
        <w:rPr>
          <w:rFonts w:hint="eastAsia" w:ascii="宋体" w:hAnsi="宋体" w:eastAsia="宋体" w:cs="宋体"/>
          <w:color w:val="auto"/>
          <w:spacing w:val="9"/>
          <w:sz w:val="24"/>
          <w:szCs w:val="24"/>
          <w:highlight w:val="none"/>
        </w:rPr>
        <w:t>3.如果需要（如需要通过计算编制专项方案，或者需要专家论证</w:t>
      </w:r>
      <w:r>
        <w:rPr>
          <w:rFonts w:hint="eastAsia" w:ascii="宋体" w:hAnsi="宋体" w:eastAsia="宋体" w:cs="宋体"/>
          <w:color w:val="auto"/>
          <w:spacing w:val="15"/>
          <w:sz w:val="24"/>
          <w:szCs w:val="24"/>
          <w:highlight w:val="none"/>
        </w:rPr>
        <w:t>），</w:t>
      </w:r>
      <w:r>
        <w:rPr>
          <w:rFonts w:hint="eastAsia" w:ascii="宋体" w:hAnsi="宋体" w:eastAsia="宋体" w:cs="宋体"/>
          <w:color w:val="auto"/>
          <w:spacing w:val="9"/>
          <w:sz w:val="24"/>
          <w:szCs w:val="24"/>
          <w:highlight w:val="none"/>
        </w:rPr>
        <w:t>可中</w:t>
      </w:r>
      <w:r>
        <w:rPr>
          <w:rFonts w:hint="eastAsia" w:ascii="宋体" w:hAnsi="宋体" w:eastAsia="宋体" w:cs="宋体"/>
          <w:color w:val="auto"/>
          <w:spacing w:val="8"/>
          <w:sz w:val="24"/>
          <w:szCs w:val="24"/>
          <w:highlight w:val="none"/>
        </w:rPr>
        <w:t>标后提供</w:t>
      </w:r>
      <w:r>
        <w:rPr>
          <w:rFonts w:hint="eastAsia" w:ascii="宋体" w:hAnsi="宋体" w:eastAsia="宋体" w:cs="宋体"/>
          <w:color w:val="auto"/>
          <w:spacing w:val="8"/>
          <w:sz w:val="24"/>
          <w:szCs w:val="24"/>
          <w:highlight w:val="none"/>
          <w:lang w:eastAsia="zh-CN"/>
        </w:rPr>
        <w:t>详细版。</w:t>
      </w:r>
    </w:p>
    <w:p w14:paraId="07D02C66">
      <w:pPr>
        <w:rPr>
          <w:color w:val="auto"/>
          <w:highlight w:val="none"/>
        </w:rPr>
      </w:pPr>
    </w:p>
    <w:p w14:paraId="086DFF7E">
      <w:pPr>
        <w:pStyle w:val="13"/>
        <w:rPr>
          <w:rFonts w:hint="eastAsia" w:ascii="宋体" w:hAnsi="宋体" w:eastAsia="宋体" w:cs="宋体"/>
          <w:b/>
          <w:bCs/>
          <w:color w:val="auto"/>
          <w:spacing w:val="-4"/>
          <w:sz w:val="24"/>
          <w:szCs w:val="24"/>
          <w:highlight w:val="none"/>
        </w:rPr>
      </w:pPr>
    </w:p>
    <w:p w14:paraId="4D9F0099">
      <w:pPr>
        <w:pStyle w:val="13"/>
        <w:rPr>
          <w:rFonts w:hint="eastAsia" w:ascii="宋体" w:hAnsi="宋体" w:eastAsia="宋体" w:cs="宋体"/>
          <w:b/>
          <w:bCs/>
          <w:color w:val="auto"/>
          <w:spacing w:val="-4"/>
          <w:sz w:val="24"/>
          <w:szCs w:val="24"/>
          <w:highlight w:val="none"/>
        </w:rPr>
      </w:pPr>
    </w:p>
    <w:p w14:paraId="1872DDAC">
      <w:pPr>
        <w:pStyle w:val="13"/>
        <w:rPr>
          <w:rFonts w:hint="eastAsia" w:ascii="宋体" w:hAnsi="宋体" w:eastAsia="宋体" w:cs="宋体"/>
          <w:b/>
          <w:bCs/>
          <w:color w:val="auto"/>
          <w:spacing w:val="-4"/>
          <w:sz w:val="24"/>
          <w:szCs w:val="24"/>
          <w:highlight w:val="none"/>
        </w:rPr>
      </w:pPr>
    </w:p>
    <w:p w14:paraId="102A38AF">
      <w:pPr>
        <w:pStyle w:val="13"/>
        <w:rPr>
          <w:rFonts w:hint="eastAsia" w:ascii="宋体" w:hAnsi="宋体" w:eastAsia="宋体" w:cs="宋体"/>
          <w:b/>
          <w:bCs/>
          <w:color w:val="auto"/>
          <w:spacing w:val="-4"/>
          <w:sz w:val="24"/>
          <w:szCs w:val="24"/>
          <w:highlight w:val="none"/>
        </w:rPr>
      </w:pPr>
    </w:p>
    <w:p w14:paraId="2E1BA95E">
      <w:pPr>
        <w:pStyle w:val="13"/>
        <w:rPr>
          <w:rFonts w:hint="eastAsia" w:ascii="宋体" w:hAnsi="宋体" w:eastAsia="宋体" w:cs="宋体"/>
          <w:b/>
          <w:bCs/>
          <w:color w:val="auto"/>
          <w:spacing w:val="-4"/>
          <w:sz w:val="24"/>
          <w:szCs w:val="24"/>
          <w:highlight w:val="none"/>
        </w:rPr>
      </w:pPr>
    </w:p>
    <w:p w14:paraId="738EC21D">
      <w:pPr>
        <w:pStyle w:val="13"/>
        <w:ind w:left="0" w:leftChars="0" w:firstLine="0" w:firstLineChars="0"/>
        <w:rPr>
          <w:rFonts w:hint="eastAsia" w:ascii="宋体" w:hAnsi="宋体" w:eastAsia="宋体" w:cs="宋体"/>
          <w:b/>
          <w:bCs/>
          <w:color w:val="auto"/>
          <w:spacing w:val="-4"/>
          <w:sz w:val="24"/>
          <w:szCs w:val="24"/>
          <w:highlight w:val="none"/>
        </w:rPr>
      </w:pPr>
    </w:p>
    <w:p w14:paraId="5A49A582">
      <w:pPr>
        <w:spacing w:before="78" w:line="220" w:lineRule="auto"/>
        <w:jc w:val="left"/>
        <w:outlineLvl w:val="9"/>
        <w:rPr>
          <w:rFonts w:hint="eastAsia" w:ascii="宋体" w:hAnsi="宋体" w:eastAsia="宋体" w:cs="宋体"/>
          <w:b/>
          <w:bCs/>
          <w:color w:val="auto"/>
          <w:spacing w:val="-4"/>
          <w:sz w:val="24"/>
          <w:szCs w:val="24"/>
          <w:highlight w:val="none"/>
        </w:rPr>
      </w:pPr>
    </w:p>
    <w:p w14:paraId="6BEB6D14">
      <w:pPr>
        <w:rPr>
          <w:rFonts w:hint="eastAsia" w:ascii="宋体" w:hAnsi="宋体" w:eastAsia="宋体" w:cs="宋体"/>
          <w:b/>
          <w:bCs/>
          <w:color w:val="auto"/>
          <w:spacing w:val="-4"/>
          <w:sz w:val="24"/>
          <w:szCs w:val="24"/>
          <w:highlight w:val="none"/>
        </w:rPr>
      </w:pPr>
      <w:r>
        <w:rPr>
          <w:rFonts w:hint="eastAsia" w:ascii="宋体" w:hAnsi="宋体" w:eastAsia="宋体" w:cs="宋体"/>
          <w:b/>
          <w:bCs/>
          <w:color w:val="auto"/>
          <w:spacing w:val="-4"/>
          <w:sz w:val="24"/>
          <w:szCs w:val="24"/>
          <w:highlight w:val="none"/>
        </w:rPr>
        <w:br w:type="page"/>
      </w:r>
    </w:p>
    <w:p w14:paraId="246AA64C">
      <w:pPr>
        <w:spacing w:before="78" w:line="220" w:lineRule="auto"/>
        <w:jc w:val="both"/>
        <w:outlineLvl w:val="2"/>
        <w:rPr>
          <w:rFonts w:hint="default" w:ascii="宋体" w:hAnsi="宋体" w:eastAsia="宋体" w:cs="宋体"/>
          <w:b/>
          <w:bCs/>
          <w:color w:val="auto"/>
          <w:spacing w:val="-4"/>
          <w:sz w:val="24"/>
          <w:szCs w:val="24"/>
          <w:highlight w:val="none"/>
          <w:lang w:val="en-US" w:eastAsia="zh-CN"/>
        </w:rPr>
      </w:pPr>
      <w:bookmarkStart w:id="271" w:name="_Toc738"/>
      <w:r>
        <w:rPr>
          <w:rFonts w:hint="eastAsia" w:ascii="宋体" w:hAnsi="宋体" w:eastAsia="宋体" w:cs="宋体"/>
          <w:b/>
          <w:bCs/>
          <w:color w:val="auto"/>
          <w:spacing w:val="-4"/>
          <w:sz w:val="24"/>
          <w:szCs w:val="24"/>
          <w:highlight w:val="none"/>
        </w:rPr>
        <w:t>格式十四</w:t>
      </w:r>
      <w:r>
        <w:rPr>
          <w:rFonts w:hint="eastAsia" w:ascii="宋体" w:hAnsi="宋体" w:eastAsia="宋体" w:cs="宋体"/>
          <w:b/>
          <w:bCs/>
          <w:color w:val="auto"/>
          <w:spacing w:val="-4"/>
          <w:sz w:val="24"/>
          <w:szCs w:val="24"/>
          <w:highlight w:val="none"/>
          <w:lang w:val="en-US" w:eastAsia="zh-CN"/>
        </w:rPr>
        <w:t xml:space="preserve">  </w:t>
      </w:r>
      <w:r>
        <w:rPr>
          <w:rFonts w:hint="eastAsia" w:ascii="宋体" w:hAnsi="宋体" w:eastAsia="宋体" w:cs="宋体"/>
          <w:b/>
          <w:bCs/>
          <w:color w:val="auto"/>
          <w:spacing w:val="4"/>
          <w:position w:val="3"/>
          <w:sz w:val="21"/>
          <w:szCs w:val="21"/>
          <w:highlight w:val="none"/>
        </w:rPr>
        <w:t>投标保证金信用承诺函</w:t>
      </w:r>
      <w:bookmarkEnd w:id="271"/>
    </w:p>
    <w:p w14:paraId="4FA8B08B">
      <w:pPr>
        <w:spacing w:before="140" w:line="604" w:lineRule="exact"/>
        <w:jc w:val="center"/>
        <w:rPr>
          <w:rFonts w:hint="eastAsia" w:ascii="宋体" w:hAnsi="宋体" w:eastAsia="宋体" w:cs="宋体"/>
          <w:color w:val="auto"/>
          <w:sz w:val="28"/>
          <w:szCs w:val="28"/>
          <w:highlight w:val="none"/>
        </w:rPr>
      </w:pPr>
      <w:r>
        <w:rPr>
          <w:rFonts w:hint="eastAsia" w:ascii="宋体" w:hAnsi="宋体" w:eastAsia="宋体" w:cs="宋体"/>
          <w:b/>
          <w:bCs/>
          <w:color w:val="auto"/>
          <w:spacing w:val="4"/>
          <w:position w:val="3"/>
          <w:sz w:val="28"/>
          <w:szCs w:val="28"/>
          <w:highlight w:val="none"/>
        </w:rPr>
        <w:t>投标保证金信用承诺函</w:t>
      </w:r>
    </w:p>
    <w:p w14:paraId="551571E0">
      <w:pPr>
        <w:pStyle w:val="5"/>
        <w:spacing w:line="408" w:lineRule="auto"/>
        <w:rPr>
          <w:rFonts w:hint="eastAsia" w:ascii="宋体" w:hAnsi="宋体" w:eastAsia="宋体" w:cs="宋体"/>
          <w:color w:val="auto"/>
          <w:highlight w:val="none"/>
        </w:rPr>
      </w:pPr>
    </w:p>
    <w:p w14:paraId="234CE695">
      <w:pPr>
        <w:spacing w:before="101" w:line="257" w:lineRule="auto"/>
        <w:ind w:left="3" w:firstLine="965"/>
        <w:jc w:val="both"/>
        <w:rPr>
          <w:rFonts w:hint="eastAsia" w:ascii="宋体" w:hAnsi="宋体" w:eastAsia="宋体" w:cs="宋体"/>
          <w:color w:val="auto"/>
          <w:sz w:val="24"/>
          <w:szCs w:val="24"/>
          <w:highlight w:val="none"/>
        </w:rPr>
      </w:pPr>
      <w:r>
        <w:rPr>
          <w:rFonts w:hint="eastAsia" w:ascii="宋体" w:hAnsi="宋体" w:eastAsia="宋体" w:cs="宋体"/>
          <w:b/>
          <w:bCs/>
          <w:color w:val="auto"/>
          <w:spacing w:val="7"/>
          <w:sz w:val="24"/>
          <w:szCs w:val="24"/>
          <w:highlight w:val="none"/>
        </w:rPr>
        <w:t>一、</w:t>
      </w:r>
      <w:r>
        <w:rPr>
          <w:rFonts w:hint="eastAsia" w:ascii="宋体" w:hAnsi="宋体" w:eastAsia="宋体" w:cs="宋体"/>
          <w:color w:val="auto"/>
          <w:spacing w:val="7"/>
          <w:sz w:val="24"/>
          <w:szCs w:val="24"/>
          <w:highlight w:val="none"/>
        </w:rPr>
        <w:t>我单位参加</w:t>
      </w:r>
      <w:r>
        <w:rPr>
          <w:rFonts w:hint="eastAsia" w:ascii="宋体" w:hAnsi="宋体" w:eastAsia="宋体" w:cs="宋体"/>
          <w:color w:val="auto"/>
          <w:spacing w:val="7"/>
          <w:sz w:val="24"/>
          <w:szCs w:val="24"/>
          <w:highlight w:val="none"/>
          <w:u w:val="single"/>
        </w:rPr>
        <w:t xml:space="preserve">  （工程项目名称）  </w:t>
      </w:r>
      <w:r>
        <w:rPr>
          <w:rFonts w:hint="eastAsia" w:ascii="宋体" w:hAnsi="宋体" w:eastAsia="宋体" w:cs="宋体"/>
          <w:color w:val="auto"/>
          <w:spacing w:val="-116"/>
          <w:sz w:val="24"/>
          <w:szCs w:val="24"/>
          <w:highlight w:val="none"/>
        </w:rPr>
        <w:t xml:space="preserve"> </w:t>
      </w:r>
      <w:r>
        <w:rPr>
          <w:rFonts w:hint="eastAsia" w:ascii="宋体" w:hAnsi="宋体" w:eastAsia="宋体" w:cs="宋体"/>
          <w:color w:val="auto"/>
          <w:spacing w:val="7"/>
          <w:sz w:val="24"/>
          <w:szCs w:val="24"/>
          <w:highlight w:val="none"/>
        </w:rPr>
        <w:t>的投标活动，</w:t>
      </w:r>
      <w:r>
        <w:rPr>
          <w:rFonts w:hint="eastAsia" w:ascii="宋体" w:hAnsi="宋体" w:eastAsia="宋体" w:cs="宋体"/>
          <w:color w:val="auto"/>
          <w:spacing w:val="6"/>
          <w:sz w:val="24"/>
          <w:szCs w:val="24"/>
          <w:highlight w:val="none"/>
        </w:rPr>
        <w:t>现承</w:t>
      </w:r>
      <w:r>
        <w:rPr>
          <w:rFonts w:hint="eastAsia" w:ascii="宋体" w:hAnsi="宋体" w:eastAsia="宋体" w:cs="宋体"/>
          <w:color w:val="auto"/>
          <w:spacing w:val="9"/>
          <w:sz w:val="24"/>
          <w:szCs w:val="24"/>
          <w:highlight w:val="none"/>
        </w:rPr>
        <w:t>诺：将严格按照法律法规规定参与交易活动，按照招标文件要求</w:t>
      </w:r>
      <w:r>
        <w:rPr>
          <w:rFonts w:hint="eastAsia" w:ascii="宋体" w:hAnsi="宋体" w:eastAsia="宋体" w:cs="宋体"/>
          <w:color w:val="auto"/>
          <w:spacing w:val="13"/>
          <w:sz w:val="24"/>
          <w:szCs w:val="24"/>
          <w:highlight w:val="none"/>
        </w:rPr>
        <w:t xml:space="preserve"> </w:t>
      </w:r>
      <w:r>
        <w:rPr>
          <w:rFonts w:hint="eastAsia" w:ascii="宋体" w:hAnsi="宋体" w:eastAsia="宋体" w:cs="宋体"/>
          <w:color w:val="auto"/>
          <w:spacing w:val="9"/>
          <w:sz w:val="24"/>
          <w:szCs w:val="24"/>
          <w:highlight w:val="none"/>
        </w:rPr>
        <w:t>依法履行投标人义务；我方若出现违反《中华人民共和国招标投</w:t>
      </w:r>
      <w:r>
        <w:rPr>
          <w:rFonts w:hint="eastAsia" w:ascii="宋体" w:hAnsi="宋体" w:eastAsia="宋体" w:cs="宋体"/>
          <w:color w:val="auto"/>
          <w:spacing w:val="13"/>
          <w:sz w:val="24"/>
          <w:szCs w:val="24"/>
          <w:highlight w:val="none"/>
        </w:rPr>
        <w:t xml:space="preserve"> </w:t>
      </w:r>
      <w:r>
        <w:rPr>
          <w:rFonts w:hint="eastAsia" w:ascii="宋体" w:hAnsi="宋体" w:eastAsia="宋体" w:cs="宋体"/>
          <w:color w:val="auto"/>
          <w:spacing w:val="9"/>
          <w:sz w:val="24"/>
          <w:szCs w:val="24"/>
          <w:highlight w:val="none"/>
        </w:rPr>
        <w:t>标法》、《中华人民共和国招标投标法实施条例》、《电子招标</w:t>
      </w:r>
      <w:r>
        <w:rPr>
          <w:rFonts w:hint="eastAsia" w:ascii="宋体" w:hAnsi="宋体" w:eastAsia="宋体" w:cs="宋体"/>
          <w:color w:val="auto"/>
          <w:spacing w:val="13"/>
          <w:sz w:val="24"/>
          <w:szCs w:val="24"/>
          <w:highlight w:val="none"/>
        </w:rPr>
        <w:t xml:space="preserve"> </w:t>
      </w:r>
      <w:r>
        <w:rPr>
          <w:rFonts w:hint="eastAsia" w:ascii="宋体" w:hAnsi="宋体" w:eastAsia="宋体" w:cs="宋体"/>
          <w:color w:val="auto"/>
          <w:spacing w:val="9"/>
          <w:sz w:val="24"/>
          <w:szCs w:val="24"/>
          <w:highlight w:val="none"/>
        </w:rPr>
        <w:t>投标办法》等有关法律法规的行为，将于投标有效期内全额付清</w:t>
      </w:r>
      <w:r>
        <w:rPr>
          <w:rFonts w:hint="eastAsia" w:ascii="宋体" w:hAnsi="宋体" w:eastAsia="宋体" w:cs="宋体"/>
          <w:color w:val="auto"/>
          <w:spacing w:val="13"/>
          <w:sz w:val="24"/>
          <w:szCs w:val="24"/>
          <w:highlight w:val="none"/>
        </w:rPr>
        <w:t xml:space="preserve"> </w:t>
      </w:r>
      <w:r>
        <w:rPr>
          <w:rFonts w:hint="eastAsia" w:ascii="宋体" w:hAnsi="宋体" w:eastAsia="宋体" w:cs="宋体"/>
          <w:color w:val="auto"/>
          <w:spacing w:val="7"/>
          <w:sz w:val="24"/>
          <w:szCs w:val="24"/>
          <w:highlight w:val="none"/>
        </w:rPr>
        <w:t>招标文件规定的投标保证金</w:t>
      </w:r>
      <w:r>
        <w:rPr>
          <w:rFonts w:hint="eastAsia" w:ascii="宋体" w:hAnsi="宋体" w:eastAsia="宋体" w:cs="宋体"/>
          <w:color w:val="auto"/>
          <w:spacing w:val="-153"/>
          <w:sz w:val="24"/>
          <w:szCs w:val="24"/>
          <w:highlight w:val="none"/>
        </w:rPr>
        <w:t xml:space="preserve"> </w:t>
      </w:r>
      <w:r>
        <w:rPr>
          <w:rFonts w:hint="eastAsia" w:ascii="宋体" w:hAnsi="宋体" w:eastAsia="宋体" w:cs="宋体"/>
          <w:color w:val="auto"/>
          <w:spacing w:val="5"/>
          <w:sz w:val="24"/>
          <w:szCs w:val="24"/>
          <w:highlight w:val="none"/>
          <w:u w:val="single"/>
        </w:rPr>
        <w:t xml:space="preserve">     </w:t>
      </w:r>
      <w:r>
        <w:rPr>
          <w:rFonts w:hint="eastAsia" w:ascii="宋体" w:hAnsi="宋体" w:eastAsia="宋体" w:cs="宋体"/>
          <w:color w:val="auto"/>
          <w:spacing w:val="-138"/>
          <w:sz w:val="24"/>
          <w:szCs w:val="24"/>
          <w:highlight w:val="none"/>
        </w:rPr>
        <w:t xml:space="preserve"> </w:t>
      </w:r>
      <w:r>
        <w:rPr>
          <w:rFonts w:hint="eastAsia" w:ascii="宋体" w:hAnsi="宋体" w:eastAsia="宋体" w:cs="宋体"/>
          <w:color w:val="auto"/>
          <w:spacing w:val="7"/>
          <w:sz w:val="24"/>
          <w:szCs w:val="24"/>
          <w:highlight w:val="none"/>
        </w:rPr>
        <w:t>元。</w:t>
      </w:r>
    </w:p>
    <w:p w14:paraId="67174F63">
      <w:pPr>
        <w:spacing w:before="48" w:line="252" w:lineRule="auto"/>
        <w:ind w:left="1" w:firstLine="647"/>
        <w:jc w:val="both"/>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二、至投标文件提交当天，本公司无严重不良信用记录或存在曾作出虚假承诺的情形，且不属于韶关市建筑市场信用管理平</w:t>
      </w:r>
      <w:r>
        <w:rPr>
          <w:rFonts w:hint="eastAsia" w:ascii="宋体" w:hAnsi="宋体" w:eastAsia="宋体" w:cs="宋体"/>
          <w:color w:val="auto"/>
          <w:spacing w:val="14"/>
          <w:sz w:val="24"/>
          <w:szCs w:val="24"/>
          <w:highlight w:val="none"/>
        </w:rPr>
        <w:t xml:space="preserve"> </w:t>
      </w:r>
      <w:r>
        <w:rPr>
          <w:rFonts w:hint="eastAsia" w:ascii="宋体" w:hAnsi="宋体" w:eastAsia="宋体" w:cs="宋体"/>
          <w:color w:val="auto"/>
          <w:spacing w:val="5"/>
          <w:sz w:val="24"/>
          <w:szCs w:val="24"/>
          <w:highlight w:val="none"/>
        </w:rPr>
        <w:t>台公布的信用等级为</w:t>
      </w:r>
      <w:r>
        <w:rPr>
          <w:rFonts w:hint="eastAsia" w:ascii="宋体" w:hAnsi="宋体" w:eastAsia="宋体" w:cs="宋体"/>
          <w:color w:val="auto"/>
          <w:spacing w:val="-62"/>
          <w:sz w:val="24"/>
          <w:szCs w:val="24"/>
          <w:highlight w:val="none"/>
        </w:rPr>
        <w:t xml:space="preserve"> </w:t>
      </w:r>
      <w:r>
        <w:rPr>
          <w:rFonts w:hint="eastAsia" w:ascii="宋体" w:hAnsi="宋体" w:eastAsia="宋体" w:cs="宋体"/>
          <w:color w:val="auto"/>
          <w:spacing w:val="5"/>
          <w:sz w:val="24"/>
          <w:szCs w:val="24"/>
          <w:highlight w:val="none"/>
        </w:rPr>
        <w:t>B</w:t>
      </w:r>
      <w:r>
        <w:rPr>
          <w:rFonts w:hint="eastAsia" w:ascii="宋体" w:hAnsi="宋体" w:eastAsia="宋体" w:cs="宋体"/>
          <w:color w:val="auto"/>
          <w:spacing w:val="-57"/>
          <w:sz w:val="24"/>
          <w:szCs w:val="24"/>
          <w:highlight w:val="none"/>
        </w:rPr>
        <w:t xml:space="preserve"> </w:t>
      </w:r>
      <w:r>
        <w:rPr>
          <w:rFonts w:hint="eastAsia" w:ascii="宋体" w:hAnsi="宋体" w:eastAsia="宋体" w:cs="宋体"/>
          <w:color w:val="auto"/>
          <w:spacing w:val="5"/>
          <w:sz w:val="24"/>
          <w:szCs w:val="24"/>
          <w:highlight w:val="none"/>
        </w:rPr>
        <w:t>级、C</w:t>
      </w:r>
      <w:r>
        <w:rPr>
          <w:rFonts w:hint="eastAsia" w:ascii="宋体" w:hAnsi="宋体" w:eastAsia="宋体" w:cs="宋体"/>
          <w:color w:val="auto"/>
          <w:spacing w:val="-57"/>
          <w:sz w:val="24"/>
          <w:szCs w:val="24"/>
          <w:highlight w:val="none"/>
        </w:rPr>
        <w:t xml:space="preserve"> </w:t>
      </w:r>
      <w:r>
        <w:rPr>
          <w:rFonts w:hint="eastAsia" w:ascii="宋体" w:hAnsi="宋体" w:eastAsia="宋体" w:cs="宋体"/>
          <w:color w:val="auto"/>
          <w:spacing w:val="5"/>
          <w:sz w:val="24"/>
          <w:szCs w:val="24"/>
          <w:highlight w:val="none"/>
        </w:rPr>
        <w:t>级、D</w:t>
      </w:r>
      <w:r>
        <w:rPr>
          <w:rFonts w:hint="eastAsia" w:ascii="宋体" w:hAnsi="宋体" w:eastAsia="宋体" w:cs="宋体"/>
          <w:color w:val="auto"/>
          <w:spacing w:val="-57"/>
          <w:sz w:val="24"/>
          <w:szCs w:val="24"/>
          <w:highlight w:val="none"/>
        </w:rPr>
        <w:t xml:space="preserve"> </w:t>
      </w:r>
      <w:r>
        <w:rPr>
          <w:rFonts w:hint="eastAsia" w:ascii="宋体" w:hAnsi="宋体" w:eastAsia="宋体" w:cs="宋体"/>
          <w:color w:val="auto"/>
          <w:spacing w:val="5"/>
          <w:sz w:val="24"/>
          <w:szCs w:val="24"/>
          <w:highlight w:val="none"/>
        </w:rPr>
        <w:t>级的企业。</w:t>
      </w:r>
    </w:p>
    <w:p w14:paraId="3EE8C656">
      <w:pPr>
        <w:spacing w:before="52" w:line="247" w:lineRule="auto"/>
        <w:ind w:left="6" w:right="2" w:firstLine="638"/>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本企业对以上承诺和声明负责。如有虚假，愿接受行政主管</w:t>
      </w:r>
      <w:r>
        <w:rPr>
          <w:rFonts w:hint="eastAsia" w:ascii="宋体" w:hAnsi="宋体" w:eastAsia="宋体" w:cs="宋体"/>
          <w:color w:val="auto"/>
          <w:spacing w:val="8"/>
          <w:sz w:val="24"/>
          <w:szCs w:val="24"/>
          <w:highlight w:val="none"/>
        </w:rPr>
        <w:t>部门作出的处罚，并承担以下后果：</w:t>
      </w:r>
    </w:p>
    <w:p w14:paraId="3B20EF63">
      <w:pPr>
        <w:spacing w:before="48" w:line="225" w:lineRule="auto"/>
        <w:ind w:left="656"/>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（一）取消本单位在本项目中的投标资格或中标资格；</w:t>
      </w:r>
    </w:p>
    <w:p w14:paraId="01EB796C">
      <w:pPr>
        <w:spacing w:before="64" w:line="225" w:lineRule="auto"/>
        <w:ind w:left="656"/>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（二）将本单位不良行为纳入信用信息管理系统；</w:t>
      </w:r>
    </w:p>
    <w:p w14:paraId="170D400C">
      <w:pPr>
        <w:spacing w:before="60" w:line="244" w:lineRule="auto"/>
        <w:ind w:left="41" w:right="2" w:firstLine="615"/>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（三）主动在产生不良行为所在的各县（市、区）行</w:t>
      </w:r>
      <w:r>
        <w:rPr>
          <w:rFonts w:hint="eastAsia" w:ascii="宋体" w:hAnsi="宋体" w:eastAsia="宋体" w:cs="宋体"/>
          <w:color w:val="auto"/>
          <w:spacing w:val="8"/>
          <w:sz w:val="24"/>
          <w:szCs w:val="24"/>
          <w:highlight w:val="none"/>
        </w:rPr>
        <w:t>政区域</w:t>
      </w:r>
      <w:r>
        <w:rPr>
          <w:rFonts w:hint="eastAsia" w:ascii="宋体" w:hAnsi="宋体" w:eastAsia="宋体" w:cs="宋体"/>
          <w:color w:val="auto"/>
          <w:spacing w:val="6"/>
          <w:sz w:val="24"/>
          <w:szCs w:val="24"/>
          <w:highlight w:val="none"/>
        </w:rPr>
        <w:t>内不参加房建市政工程项目的投标活动一年；</w:t>
      </w:r>
    </w:p>
    <w:p w14:paraId="095339FF">
      <w:pPr>
        <w:spacing w:before="63" w:line="225" w:lineRule="auto"/>
        <w:ind w:left="656"/>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（四）应付的赔偿责任和相应法律责任。</w:t>
      </w:r>
    </w:p>
    <w:p w14:paraId="324F4DDC">
      <w:pPr>
        <w:pStyle w:val="5"/>
        <w:spacing w:line="329" w:lineRule="auto"/>
        <w:rPr>
          <w:rFonts w:hint="eastAsia" w:ascii="宋体" w:hAnsi="宋体" w:eastAsia="宋体" w:cs="宋体"/>
          <w:color w:val="auto"/>
          <w:sz w:val="24"/>
          <w:szCs w:val="24"/>
          <w:highlight w:val="none"/>
        </w:rPr>
      </w:pPr>
    </w:p>
    <w:p w14:paraId="3A9404A8">
      <w:pPr>
        <w:spacing w:before="102" w:line="225" w:lineRule="auto"/>
        <w:ind w:left="845"/>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单位名称（公章</w:t>
      </w:r>
      <w:r>
        <w:rPr>
          <w:rFonts w:hint="eastAsia" w:ascii="宋体" w:hAnsi="宋体" w:eastAsia="宋体" w:cs="宋体"/>
          <w:color w:val="auto"/>
          <w:spacing w:val="1"/>
          <w:sz w:val="24"/>
          <w:szCs w:val="24"/>
          <w:highlight w:val="none"/>
        </w:rPr>
        <w:t>）：</w:t>
      </w:r>
    </w:p>
    <w:p w14:paraId="68F0A46E">
      <w:pPr>
        <w:pStyle w:val="5"/>
        <w:spacing w:line="457" w:lineRule="auto"/>
        <w:rPr>
          <w:rFonts w:hint="eastAsia" w:ascii="宋体" w:hAnsi="宋体" w:eastAsia="宋体" w:cs="宋体"/>
          <w:color w:val="auto"/>
          <w:sz w:val="24"/>
          <w:szCs w:val="24"/>
          <w:highlight w:val="none"/>
        </w:rPr>
      </w:pPr>
    </w:p>
    <w:p w14:paraId="1043625C">
      <w:pPr>
        <w:spacing w:before="100" w:line="225" w:lineRule="auto"/>
        <w:ind w:left="850"/>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统一社会信用代码：</w:t>
      </w:r>
    </w:p>
    <w:p w14:paraId="2556479A">
      <w:pPr>
        <w:pStyle w:val="5"/>
        <w:spacing w:line="457" w:lineRule="auto"/>
        <w:rPr>
          <w:rFonts w:hint="eastAsia" w:ascii="宋体" w:hAnsi="宋体" w:eastAsia="宋体" w:cs="宋体"/>
          <w:color w:val="auto"/>
          <w:sz w:val="24"/>
          <w:szCs w:val="24"/>
          <w:highlight w:val="none"/>
        </w:rPr>
      </w:pPr>
    </w:p>
    <w:p w14:paraId="28E89218">
      <w:pPr>
        <w:spacing w:before="102" w:line="543" w:lineRule="auto"/>
        <w:ind w:left="844" w:right="5000"/>
        <w:rPr>
          <w:rFonts w:hint="eastAsia" w:ascii="宋体" w:hAnsi="宋体" w:eastAsia="宋体" w:cs="宋体"/>
          <w:color w:val="auto"/>
          <w:spacing w:val="-29"/>
          <w:sz w:val="24"/>
          <w:szCs w:val="24"/>
          <w:highlight w:val="none"/>
        </w:rPr>
      </w:pPr>
      <w:r>
        <w:rPr>
          <w:rFonts w:hint="eastAsia" w:ascii="宋体" w:hAnsi="宋体" w:eastAsia="宋体" w:cs="宋体"/>
          <w:color w:val="auto"/>
          <w:spacing w:val="8"/>
          <w:sz w:val="24"/>
          <w:szCs w:val="24"/>
          <w:highlight w:val="none"/>
        </w:rPr>
        <w:t>法定代表人（签字</w:t>
      </w:r>
      <w:r>
        <w:rPr>
          <w:rFonts w:hint="eastAsia" w:ascii="宋体" w:hAnsi="宋体" w:eastAsia="宋体" w:cs="宋体"/>
          <w:color w:val="auto"/>
          <w:spacing w:val="-29"/>
          <w:sz w:val="24"/>
          <w:szCs w:val="24"/>
          <w:highlight w:val="none"/>
        </w:rPr>
        <w:t>）：</w:t>
      </w:r>
    </w:p>
    <w:p w14:paraId="33A3CBAF">
      <w:pPr>
        <w:spacing w:before="102" w:line="543" w:lineRule="auto"/>
        <w:ind w:left="844" w:right="50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6"/>
          <w:sz w:val="24"/>
          <w:szCs w:val="24"/>
          <w:highlight w:val="none"/>
        </w:rPr>
        <w:t>年</w:t>
      </w:r>
      <w:r>
        <w:rPr>
          <w:rFonts w:hint="eastAsia" w:ascii="宋体" w:hAnsi="宋体" w:eastAsia="宋体" w:cs="宋体"/>
          <w:color w:val="auto"/>
          <w:spacing w:val="12"/>
          <w:sz w:val="24"/>
          <w:szCs w:val="24"/>
          <w:highlight w:val="none"/>
        </w:rPr>
        <w:t xml:space="preserve">   </w:t>
      </w:r>
      <w:r>
        <w:rPr>
          <w:rFonts w:hint="eastAsia" w:ascii="宋体" w:hAnsi="宋体" w:eastAsia="宋体" w:cs="宋体"/>
          <w:color w:val="auto"/>
          <w:spacing w:val="-6"/>
          <w:sz w:val="24"/>
          <w:szCs w:val="24"/>
          <w:highlight w:val="none"/>
        </w:rPr>
        <w:t>月</w:t>
      </w:r>
      <w:r>
        <w:rPr>
          <w:rFonts w:hint="eastAsia" w:ascii="宋体" w:hAnsi="宋体" w:eastAsia="宋体" w:cs="宋体"/>
          <w:color w:val="auto"/>
          <w:spacing w:val="39"/>
          <w:sz w:val="24"/>
          <w:szCs w:val="24"/>
          <w:highlight w:val="none"/>
        </w:rPr>
        <w:t xml:space="preserve"> </w:t>
      </w:r>
      <w:r>
        <w:rPr>
          <w:rFonts w:hint="eastAsia" w:ascii="宋体" w:hAnsi="宋体" w:eastAsia="宋体" w:cs="宋体"/>
          <w:color w:val="auto"/>
          <w:spacing w:val="39"/>
          <w:sz w:val="24"/>
          <w:szCs w:val="24"/>
          <w:highlight w:val="none"/>
          <w:lang w:val="en-US" w:eastAsia="zh-CN"/>
        </w:rPr>
        <w:t xml:space="preserve">  </w:t>
      </w:r>
      <w:r>
        <w:rPr>
          <w:rFonts w:hint="eastAsia" w:ascii="宋体" w:hAnsi="宋体" w:eastAsia="宋体" w:cs="宋体"/>
          <w:color w:val="auto"/>
          <w:spacing w:val="-6"/>
          <w:sz w:val="24"/>
          <w:szCs w:val="24"/>
          <w:highlight w:val="none"/>
        </w:rPr>
        <w:t>日</w:t>
      </w:r>
    </w:p>
    <w:p w14:paraId="2B287F98">
      <w:pPr>
        <w:pStyle w:val="13"/>
        <w:rPr>
          <w:rFonts w:hint="eastAsia" w:ascii="宋体" w:hAnsi="宋体" w:eastAsia="宋体" w:cs="宋体"/>
          <w:color w:val="auto"/>
          <w:highlight w:val="none"/>
        </w:rPr>
      </w:pPr>
    </w:p>
    <w:p w14:paraId="3CFA9197">
      <w:pPr>
        <w:pStyle w:val="13"/>
        <w:rPr>
          <w:rFonts w:hint="eastAsia" w:ascii="宋体" w:hAnsi="宋体" w:eastAsia="宋体" w:cs="宋体"/>
          <w:color w:val="auto"/>
          <w:spacing w:val="8"/>
          <w:sz w:val="24"/>
          <w:szCs w:val="24"/>
          <w:highlight w:val="none"/>
          <w:lang w:eastAsia="zh-CN"/>
        </w:rPr>
        <w:sectPr>
          <w:footerReference r:id="rId24"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6906ADF0">
      <w:pPr>
        <w:spacing w:before="78" w:line="220" w:lineRule="auto"/>
        <w:outlineLvl w:val="2"/>
        <w:rPr>
          <w:rFonts w:hint="eastAsia" w:ascii="宋体" w:hAnsi="宋体" w:eastAsia="宋体" w:cs="宋体"/>
          <w:b/>
          <w:bCs/>
          <w:color w:val="auto"/>
          <w:spacing w:val="-4"/>
          <w:sz w:val="24"/>
          <w:szCs w:val="24"/>
          <w:highlight w:val="none"/>
        </w:rPr>
      </w:pPr>
      <w:bookmarkStart w:id="272" w:name="_Toc9960"/>
      <w:r>
        <w:rPr>
          <w:rFonts w:hint="eastAsia" w:ascii="宋体" w:hAnsi="宋体" w:eastAsia="宋体" w:cs="宋体"/>
          <w:b/>
          <w:bCs/>
          <w:color w:val="auto"/>
          <w:spacing w:val="-4"/>
          <w:sz w:val="24"/>
          <w:szCs w:val="24"/>
          <w:highlight w:val="none"/>
        </w:rPr>
        <w:t>格式十</w:t>
      </w:r>
      <w:r>
        <w:rPr>
          <w:rFonts w:hint="eastAsia" w:ascii="宋体" w:hAnsi="宋体" w:eastAsia="宋体" w:cs="宋体"/>
          <w:b/>
          <w:bCs/>
          <w:color w:val="auto"/>
          <w:spacing w:val="-4"/>
          <w:sz w:val="24"/>
          <w:szCs w:val="24"/>
          <w:highlight w:val="none"/>
          <w:lang w:eastAsia="zh-CN"/>
        </w:rPr>
        <w:t>五</w:t>
      </w:r>
      <w:r>
        <w:rPr>
          <w:rFonts w:hint="eastAsia" w:ascii="宋体" w:hAnsi="宋体" w:eastAsia="宋体" w:cs="宋体"/>
          <w:b/>
          <w:bCs/>
          <w:color w:val="auto"/>
          <w:spacing w:val="-4"/>
          <w:sz w:val="24"/>
          <w:szCs w:val="24"/>
          <w:highlight w:val="none"/>
        </w:rPr>
        <w:t xml:space="preserve">  原件一览表</w:t>
      </w:r>
      <w:bookmarkEnd w:id="272"/>
    </w:p>
    <w:tbl>
      <w:tblPr>
        <w:tblStyle w:val="14"/>
        <w:tblW w:w="9440" w:type="dxa"/>
        <w:tblInd w:w="12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8"/>
        <w:gridCol w:w="1896"/>
        <w:gridCol w:w="1725"/>
        <w:gridCol w:w="964"/>
        <w:gridCol w:w="719"/>
        <w:gridCol w:w="780"/>
        <w:gridCol w:w="991"/>
        <w:gridCol w:w="1637"/>
      </w:tblGrid>
      <w:tr w14:paraId="318045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9440" w:type="dxa"/>
            <w:gridSpan w:val="8"/>
            <w:vAlign w:val="top"/>
          </w:tcPr>
          <w:p w14:paraId="24FB1F09">
            <w:pPr>
              <w:spacing w:before="132" w:line="220" w:lineRule="auto"/>
              <w:ind w:left="3965"/>
              <w:rPr>
                <w:rFonts w:hint="eastAsia" w:ascii="宋体" w:hAnsi="宋体" w:eastAsia="宋体" w:cs="宋体"/>
                <w:color w:val="auto"/>
                <w:sz w:val="24"/>
                <w:szCs w:val="24"/>
                <w:highlight w:val="none"/>
              </w:rPr>
            </w:pPr>
            <w:r>
              <w:rPr>
                <w:rFonts w:hint="eastAsia" w:ascii="宋体" w:hAnsi="宋体" w:eastAsia="宋体" w:cs="宋体"/>
                <w:b/>
                <w:bCs/>
                <w:color w:val="auto"/>
                <w:spacing w:val="-5"/>
                <w:sz w:val="24"/>
                <w:szCs w:val="24"/>
                <w:highlight w:val="none"/>
              </w:rPr>
              <w:t>原件一览表</w:t>
            </w:r>
          </w:p>
        </w:tc>
      </w:tr>
      <w:tr w14:paraId="2057FD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2624" w:type="dxa"/>
            <w:gridSpan w:val="2"/>
            <w:vAlign w:val="top"/>
          </w:tcPr>
          <w:p w14:paraId="59447AA3">
            <w:pPr>
              <w:pStyle w:val="21"/>
              <w:spacing w:line="253" w:lineRule="auto"/>
              <w:rPr>
                <w:rFonts w:hint="eastAsia" w:ascii="宋体" w:hAnsi="宋体" w:eastAsia="宋体" w:cs="宋体"/>
                <w:color w:val="auto"/>
                <w:sz w:val="24"/>
                <w:szCs w:val="24"/>
                <w:highlight w:val="none"/>
              </w:rPr>
            </w:pPr>
          </w:p>
          <w:p w14:paraId="0CEAB9EA">
            <w:pPr>
              <w:spacing w:before="62" w:line="230" w:lineRule="auto"/>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工程名称</w:t>
            </w:r>
          </w:p>
        </w:tc>
        <w:tc>
          <w:tcPr>
            <w:tcW w:w="6816" w:type="dxa"/>
            <w:gridSpan w:val="6"/>
            <w:vAlign w:val="top"/>
          </w:tcPr>
          <w:p w14:paraId="3FF8FF0B">
            <w:pPr>
              <w:pStyle w:val="21"/>
              <w:rPr>
                <w:rFonts w:hint="eastAsia" w:ascii="宋体" w:hAnsi="宋体" w:eastAsia="宋体" w:cs="宋体"/>
                <w:color w:val="auto"/>
                <w:sz w:val="24"/>
                <w:szCs w:val="24"/>
                <w:highlight w:val="none"/>
              </w:rPr>
            </w:pPr>
          </w:p>
        </w:tc>
      </w:tr>
      <w:tr w14:paraId="5DC6A5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0" w:hRule="atLeast"/>
        </w:trPr>
        <w:tc>
          <w:tcPr>
            <w:tcW w:w="2624" w:type="dxa"/>
            <w:gridSpan w:val="2"/>
            <w:vAlign w:val="top"/>
          </w:tcPr>
          <w:p w14:paraId="26176662">
            <w:pPr>
              <w:spacing w:before="150" w:line="230" w:lineRule="auto"/>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投标人名称</w:t>
            </w:r>
            <w:r>
              <w:rPr>
                <w:rFonts w:hint="eastAsia" w:ascii="宋体" w:hAnsi="宋体" w:eastAsia="宋体" w:cs="宋体"/>
                <w:color w:val="auto"/>
                <w:spacing w:val="5"/>
                <w:sz w:val="24"/>
                <w:szCs w:val="24"/>
                <w:highlight w:val="none"/>
              </w:rPr>
              <w:t>(请务必填写单位全称)</w:t>
            </w:r>
          </w:p>
        </w:tc>
        <w:tc>
          <w:tcPr>
            <w:tcW w:w="6816" w:type="dxa"/>
            <w:gridSpan w:val="6"/>
            <w:vAlign w:val="top"/>
          </w:tcPr>
          <w:p w14:paraId="668497E6">
            <w:pPr>
              <w:pStyle w:val="21"/>
              <w:rPr>
                <w:rFonts w:hint="eastAsia" w:ascii="宋体" w:hAnsi="宋体" w:eastAsia="宋体" w:cs="宋体"/>
                <w:color w:val="auto"/>
                <w:sz w:val="24"/>
                <w:szCs w:val="24"/>
                <w:highlight w:val="none"/>
              </w:rPr>
            </w:pPr>
          </w:p>
        </w:tc>
      </w:tr>
      <w:tr w14:paraId="0FA602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2624" w:type="dxa"/>
            <w:gridSpan w:val="2"/>
            <w:vAlign w:val="top"/>
          </w:tcPr>
          <w:p w14:paraId="6FE90DC5">
            <w:pPr>
              <w:spacing w:before="151"/>
              <w:ind w:right="149"/>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投标人法定代表人或其委托代理人签名</w:t>
            </w:r>
          </w:p>
        </w:tc>
        <w:tc>
          <w:tcPr>
            <w:tcW w:w="2689" w:type="dxa"/>
            <w:gridSpan w:val="2"/>
            <w:vAlign w:val="top"/>
          </w:tcPr>
          <w:p w14:paraId="000B4605">
            <w:pPr>
              <w:pStyle w:val="21"/>
              <w:rPr>
                <w:rFonts w:hint="eastAsia" w:ascii="宋体" w:hAnsi="宋体" w:eastAsia="宋体" w:cs="宋体"/>
                <w:color w:val="auto"/>
                <w:sz w:val="24"/>
                <w:szCs w:val="24"/>
                <w:highlight w:val="none"/>
              </w:rPr>
            </w:pPr>
          </w:p>
        </w:tc>
        <w:tc>
          <w:tcPr>
            <w:tcW w:w="1499" w:type="dxa"/>
            <w:gridSpan w:val="2"/>
            <w:vAlign w:val="top"/>
          </w:tcPr>
          <w:p w14:paraId="3D60D1A8">
            <w:pPr>
              <w:spacing w:before="151" w:line="312" w:lineRule="auto"/>
              <w:ind w:right="175"/>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手机</w:t>
            </w:r>
            <w:r>
              <w:rPr>
                <w:rFonts w:hint="eastAsia" w:ascii="宋体" w:hAnsi="宋体" w:eastAsia="宋体" w:cs="宋体"/>
                <w:color w:val="auto"/>
                <w:spacing w:val="2"/>
                <w:sz w:val="24"/>
                <w:szCs w:val="24"/>
                <w:highlight w:val="none"/>
              </w:rPr>
              <w:t>号码</w:t>
            </w:r>
          </w:p>
        </w:tc>
        <w:tc>
          <w:tcPr>
            <w:tcW w:w="2628" w:type="dxa"/>
            <w:gridSpan w:val="2"/>
            <w:vAlign w:val="top"/>
          </w:tcPr>
          <w:p w14:paraId="7B412076">
            <w:pPr>
              <w:pStyle w:val="21"/>
              <w:rPr>
                <w:rFonts w:hint="eastAsia" w:ascii="宋体" w:hAnsi="宋体" w:eastAsia="宋体" w:cs="宋体"/>
                <w:color w:val="auto"/>
                <w:sz w:val="24"/>
                <w:szCs w:val="24"/>
                <w:highlight w:val="none"/>
              </w:rPr>
            </w:pPr>
          </w:p>
        </w:tc>
      </w:tr>
      <w:tr w14:paraId="17484C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7" w:hRule="atLeast"/>
        </w:trPr>
        <w:tc>
          <w:tcPr>
            <w:tcW w:w="9440" w:type="dxa"/>
            <w:gridSpan w:val="8"/>
            <w:vAlign w:val="top"/>
          </w:tcPr>
          <w:p w14:paraId="567918AA">
            <w:pPr>
              <w:spacing w:before="62" w:line="228" w:lineRule="auto"/>
              <w:ind w:left="3361"/>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递交的证明材料原件如下：</w:t>
            </w:r>
          </w:p>
        </w:tc>
      </w:tr>
      <w:tr w14:paraId="1F0A61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7" w:hRule="atLeast"/>
        </w:trPr>
        <w:tc>
          <w:tcPr>
            <w:tcW w:w="728" w:type="dxa"/>
            <w:vAlign w:val="top"/>
          </w:tcPr>
          <w:p w14:paraId="21E26167">
            <w:pPr>
              <w:pStyle w:val="21"/>
              <w:spacing w:line="257" w:lineRule="auto"/>
              <w:rPr>
                <w:rFonts w:hint="eastAsia" w:ascii="宋体" w:hAnsi="宋体" w:eastAsia="宋体" w:cs="宋体"/>
                <w:color w:val="auto"/>
                <w:sz w:val="24"/>
                <w:szCs w:val="24"/>
                <w:highlight w:val="none"/>
              </w:rPr>
            </w:pPr>
          </w:p>
          <w:p w14:paraId="0EC21191">
            <w:pPr>
              <w:spacing w:before="62" w:line="230" w:lineRule="auto"/>
              <w:ind w:left="155"/>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序号</w:t>
            </w:r>
          </w:p>
        </w:tc>
        <w:tc>
          <w:tcPr>
            <w:tcW w:w="5304" w:type="dxa"/>
            <w:gridSpan w:val="4"/>
            <w:vAlign w:val="top"/>
          </w:tcPr>
          <w:p w14:paraId="76A61080">
            <w:pPr>
              <w:pStyle w:val="21"/>
              <w:spacing w:line="257" w:lineRule="auto"/>
              <w:rPr>
                <w:rFonts w:hint="eastAsia" w:ascii="宋体" w:hAnsi="宋体" w:eastAsia="宋体" w:cs="宋体"/>
                <w:color w:val="auto"/>
                <w:sz w:val="24"/>
                <w:szCs w:val="24"/>
                <w:highlight w:val="none"/>
              </w:rPr>
            </w:pPr>
          </w:p>
          <w:p w14:paraId="1A81F5E2">
            <w:pPr>
              <w:spacing w:before="61" w:line="228" w:lineRule="auto"/>
              <w:ind w:left="1765"/>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证明材料原件名称</w:t>
            </w:r>
          </w:p>
        </w:tc>
        <w:tc>
          <w:tcPr>
            <w:tcW w:w="1771" w:type="dxa"/>
            <w:gridSpan w:val="2"/>
            <w:vAlign w:val="top"/>
          </w:tcPr>
          <w:p w14:paraId="0177F328">
            <w:pPr>
              <w:pStyle w:val="21"/>
              <w:spacing w:line="256" w:lineRule="auto"/>
              <w:rPr>
                <w:rFonts w:hint="eastAsia" w:ascii="宋体" w:hAnsi="宋体" w:eastAsia="宋体" w:cs="宋体"/>
                <w:color w:val="auto"/>
                <w:sz w:val="24"/>
                <w:szCs w:val="24"/>
                <w:highlight w:val="none"/>
              </w:rPr>
            </w:pPr>
          </w:p>
          <w:p w14:paraId="456665A1">
            <w:pPr>
              <w:spacing w:before="62" w:line="230" w:lineRule="auto"/>
              <w:ind w:left="664"/>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单位</w:t>
            </w:r>
          </w:p>
        </w:tc>
        <w:tc>
          <w:tcPr>
            <w:tcW w:w="1637" w:type="dxa"/>
            <w:vAlign w:val="top"/>
          </w:tcPr>
          <w:p w14:paraId="41F7CEAC">
            <w:pPr>
              <w:pStyle w:val="21"/>
              <w:spacing w:line="256" w:lineRule="auto"/>
              <w:rPr>
                <w:rFonts w:hint="eastAsia" w:ascii="宋体" w:hAnsi="宋体" w:eastAsia="宋体" w:cs="宋体"/>
                <w:color w:val="auto"/>
                <w:sz w:val="24"/>
                <w:szCs w:val="24"/>
                <w:highlight w:val="none"/>
              </w:rPr>
            </w:pPr>
          </w:p>
          <w:p w14:paraId="09C47EB1">
            <w:pPr>
              <w:spacing w:before="62" w:line="229" w:lineRule="auto"/>
              <w:ind w:left="592"/>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数量</w:t>
            </w:r>
          </w:p>
        </w:tc>
      </w:tr>
      <w:tr w14:paraId="46502B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728" w:type="dxa"/>
            <w:vAlign w:val="top"/>
          </w:tcPr>
          <w:p w14:paraId="6FF8B91C">
            <w:pPr>
              <w:spacing w:before="287" w:line="184" w:lineRule="auto"/>
              <w:ind w:left="31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5304" w:type="dxa"/>
            <w:gridSpan w:val="4"/>
            <w:vAlign w:val="top"/>
          </w:tcPr>
          <w:p w14:paraId="28B25A0D">
            <w:pPr>
              <w:pStyle w:val="21"/>
              <w:rPr>
                <w:rFonts w:hint="eastAsia" w:ascii="宋体" w:hAnsi="宋体" w:eastAsia="宋体" w:cs="宋体"/>
                <w:color w:val="auto"/>
                <w:sz w:val="24"/>
                <w:szCs w:val="24"/>
                <w:highlight w:val="none"/>
              </w:rPr>
            </w:pPr>
          </w:p>
        </w:tc>
        <w:tc>
          <w:tcPr>
            <w:tcW w:w="1771" w:type="dxa"/>
            <w:gridSpan w:val="2"/>
            <w:vAlign w:val="top"/>
          </w:tcPr>
          <w:p w14:paraId="4F42E60F">
            <w:pPr>
              <w:pStyle w:val="21"/>
              <w:rPr>
                <w:rFonts w:hint="eastAsia" w:ascii="宋体" w:hAnsi="宋体" w:eastAsia="宋体" w:cs="宋体"/>
                <w:color w:val="auto"/>
                <w:sz w:val="24"/>
                <w:szCs w:val="24"/>
                <w:highlight w:val="none"/>
              </w:rPr>
            </w:pPr>
          </w:p>
        </w:tc>
        <w:tc>
          <w:tcPr>
            <w:tcW w:w="1637" w:type="dxa"/>
            <w:vAlign w:val="top"/>
          </w:tcPr>
          <w:p w14:paraId="3C09D08F">
            <w:pPr>
              <w:pStyle w:val="21"/>
              <w:rPr>
                <w:rFonts w:hint="eastAsia" w:ascii="宋体" w:hAnsi="宋体" w:eastAsia="宋体" w:cs="宋体"/>
                <w:color w:val="auto"/>
                <w:sz w:val="24"/>
                <w:szCs w:val="24"/>
                <w:highlight w:val="none"/>
              </w:rPr>
            </w:pPr>
          </w:p>
        </w:tc>
      </w:tr>
      <w:tr w14:paraId="12E321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728" w:type="dxa"/>
            <w:vAlign w:val="top"/>
          </w:tcPr>
          <w:p w14:paraId="5B0FF1CC">
            <w:pPr>
              <w:spacing w:before="288" w:line="183" w:lineRule="auto"/>
              <w:ind w:left="30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5304" w:type="dxa"/>
            <w:gridSpan w:val="4"/>
            <w:vAlign w:val="top"/>
          </w:tcPr>
          <w:p w14:paraId="0D3F050A">
            <w:pPr>
              <w:pStyle w:val="21"/>
              <w:rPr>
                <w:rFonts w:hint="eastAsia" w:ascii="宋体" w:hAnsi="宋体" w:eastAsia="宋体" w:cs="宋体"/>
                <w:color w:val="auto"/>
                <w:sz w:val="24"/>
                <w:szCs w:val="24"/>
                <w:highlight w:val="none"/>
              </w:rPr>
            </w:pPr>
          </w:p>
        </w:tc>
        <w:tc>
          <w:tcPr>
            <w:tcW w:w="1771" w:type="dxa"/>
            <w:gridSpan w:val="2"/>
            <w:vAlign w:val="top"/>
          </w:tcPr>
          <w:p w14:paraId="745FD79F">
            <w:pPr>
              <w:pStyle w:val="21"/>
              <w:rPr>
                <w:rFonts w:hint="eastAsia" w:ascii="宋体" w:hAnsi="宋体" w:eastAsia="宋体" w:cs="宋体"/>
                <w:color w:val="auto"/>
                <w:sz w:val="24"/>
                <w:szCs w:val="24"/>
                <w:highlight w:val="none"/>
              </w:rPr>
            </w:pPr>
          </w:p>
        </w:tc>
        <w:tc>
          <w:tcPr>
            <w:tcW w:w="1637" w:type="dxa"/>
            <w:vAlign w:val="top"/>
          </w:tcPr>
          <w:p w14:paraId="2EFE754E">
            <w:pPr>
              <w:pStyle w:val="21"/>
              <w:rPr>
                <w:rFonts w:hint="eastAsia" w:ascii="宋体" w:hAnsi="宋体" w:eastAsia="宋体" w:cs="宋体"/>
                <w:color w:val="auto"/>
                <w:sz w:val="24"/>
                <w:szCs w:val="24"/>
                <w:highlight w:val="none"/>
              </w:rPr>
            </w:pPr>
          </w:p>
        </w:tc>
      </w:tr>
      <w:tr w14:paraId="5A6E48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728" w:type="dxa"/>
            <w:vAlign w:val="top"/>
          </w:tcPr>
          <w:p w14:paraId="3DF57AC7">
            <w:pPr>
              <w:spacing w:before="287" w:line="183" w:lineRule="auto"/>
              <w:ind w:left="304"/>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5304" w:type="dxa"/>
            <w:gridSpan w:val="4"/>
            <w:vAlign w:val="top"/>
          </w:tcPr>
          <w:p w14:paraId="54C3FBF3">
            <w:pPr>
              <w:pStyle w:val="21"/>
              <w:rPr>
                <w:rFonts w:hint="eastAsia" w:ascii="宋体" w:hAnsi="宋体" w:eastAsia="宋体" w:cs="宋体"/>
                <w:color w:val="auto"/>
                <w:sz w:val="24"/>
                <w:szCs w:val="24"/>
                <w:highlight w:val="none"/>
              </w:rPr>
            </w:pPr>
          </w:p>
        </w:tc>
        <w:tc>
          <w:tcPr>
            <w:tcW w:w="1771" w:type="dxa"/>
            <w:gridSpan w:val="2"/>
            <w:vAlign w:val="top"/>
          </w:tcPr>
          <w:p w14:paraId="40E0E057">
            <w:pPr>
              <w:pStyle w:val="21"/>
              <w:rPr>
                <w:rFonts w:hint="eastAsia" w:ascii="宋体" w:hAnsi="宋体" w:eastAsia="宋体" w:cs="宋体"/>
                <w:color w:val="auto"/>
                <w:sz w:val="24"/>
                <w:szCs w:val="24"/>
                <w:highlight w:val="none"/>
              </w:rPr>
            </w:pPr>
          </w:p>
        </w:tc>
        <w:tc>
          <w:tcPr>
            <w:tcW w:w="1637" w:type="dxa"/>
            <w:vAlign w:val="top"/>
          </w:tcPr>
          <w:p w14:paraId="28B42581">
            <w:pPr>
              <w:pStyle w:val="21"/>
              <w:rPr>
                <w:rFonts w:hint="eastAsia" w:ascii="宋体" w:hAnsi="宋体" w:eastAsia="宋体" w:cs="宋体"/>
                <w:color w:val="auto"/>
                <w:sz w:val="24"/>
                <w:szCs w:val="24"/>
                <w:highlight w:val="none"/>
              </w:rPr>
            </w:pPr>
          </w:p>
        </w:tc>
      </w:tr>
      <w:tr w14:paraId="582BAE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728" w:type="dxa"/>
            <w:vAlign w:val="top"/>
          </w:tcPr>
          <w:p w14:paraId="3C0A2F9F">
            <w:pPr>
              <w:pStyle w:val="21"/>
              <w:spacing w:line="348" w:lineRule="auto"/>
              <w:rPr>
                <w:rFonts w:hint="eastAsia" w:ascii="宋体" w:hAnsi="宋体" w:eastAsia="宋体" w:cs="宋体"/>
                <w:color w:val="auto"/>
                <w:sz w:val="24"/>
                <w:szCs w:val="24"/>
                <w:highlight w:val="none"/>
              </w:rPr>
            </w:pPr>
          </w:p>
          <w:p w14:paraId="4F527954">
            <w:pPr>
              <w:spacing w:before="78" w:line="99" w:lineRule="exact"/>
              <w:ind w:left="186"/>
              <w:rPr>
                <w:rFonts w:hint="eastAsia" w:ascii="宋体" w:hAnsi="宋体" w:eastAsia="宋体" w:cs="宋体"/>
                <w:color w:val="auto"/>
                <w:sz w:val="24"/>
                <w:szCs w:val="24"/>
                <w:highlight w:val="none"/>
              </w:rPr>
            </w:pPr>
            <w:r>
              <w:rPr>
                <w:rFonts w:hint="eastAsia" w:ascii="宋体" w:hAnsi="宋体" w:eastAsia="宋体" w:cs="宋体"/>
                <w:color w:val="auto"/>
                <w:position w:val="1"/>
                <w:sz w:val="24"/>
                <w:szCs w:val="24"/>
                <w:highlight w:val="none"/>
              </w:rPr>
              <w:t>...</w:t>
            </w:r>
          </w:p>
        </w:tc>
        <w:tc>
          <w:tcPr>
            <w:tcW w:w="5304" w:type="dxa"/>
            <w:gridSpan w:val="4"/>
            <w:vAlign w:val="top"/>
          </w:tcPr>
          <w:p w14:paraId="47EB6644">
            <w:pPr>
              <w:pStyle w:val="21"/>
              <w:rPr>
                <w:rFonts w:hint="eastAsia" w:ascii="宋体" w:hAnsi="宋体" w:eastAsia="宋体" w:cs="宋体"/>
                <w:color w:val="auto"/>
                <w:sz w:val="24"/>
                <w:szCs w:val="24"/>
                <w:highlight w:val="none"/>
              </w:rPr>
            </w:pPr>
          </w:p>
        </w:tc>
        <w:tc>
          <w:tcPr>
            <w:tcW w:w="1771" w:type="dxa"/>
            <w:gridSpan w:val="2"/>
            <w:vAlign w:val="top"/>
          </w:tcPr>
          <w:p w14:paraId="6D54D719">
            <w:pPr>
              <w:pStyle w:val="21"/>
              <w:rPr>
                <w:rFonts w:hint="eastAsia" w:ascii="宋体" w:hAnsi="宋体" w:eastAsia="宋体" w:cs="宋体"/>
                <w:color w:val="auto"/>
                <w:sz w:val="24"/>
                <w:szCs w:val="24"/>
                <w:highlight w:val="none"/>
              </w:rPr>
            </w:pPr>
          </w:p>
        </w:tc>
        <w:tc>
          <w:tcPr>
            <w:tcW w:w="1637" w:type="dxa"/>
            <w:vAlign w:val="top"/>
          </w:tcPr>
          <w:p w14:paraId="75E6A05C">
            <w:pPr>
              <w:pStyle w:val="21"/>
              <w:rPr>
                <w:rFonts w:hint="eastAsia" w:ascii="宋体" w:hAnsi="宋体" w:eastAsia="宋体" w:cs="宋体"/>
                <w:color w:val="auto"/>
                <w:sz w:val="24"/>
                <w:szCs w:val="24"/>
                <w:highlight w:val="none"/>
              </w:rPr>
            </w:pPr>
          </w:p>
        </w:tc>
      </w:tr>
      <w:tr w14:paraId="3E5430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97" w:hRule="atLeast"/>
        </w:trPr>
        <w:tc>
          <w:tcPr>
            <w:tcW w:w="728" w:type="dxa"/>
            <w:vAlign w:val="top"/>
          </w:tcPr>
          <w:p w14:paraId="6D36533C">
            <w:pPr>
              <w:pStyle w:val="21"/>
              <w:spacing w:line="274" w:lineRule="auto"/>
              <w:rPr>
                <w:rFonts w:hint="eastAsia" w:ascii="宋体" w:hAnsi="宋体" w:eastAsia="宋体" w:cs="宋体"/>
                <w:color w:val="auto"/>
                <w:sz w:val="24"/>
                <w:szCs w:val="24"/>
                <w:highlight w:val="none"/>
              </w:rPr>
            </w:pPr>
          </w:p>
          <w:p w14:paraId="198C1B4E">
            <w:pPr>
              <w:pStyle w:val="21"/>
              <w:spacing w:line="275" w:lineRule="auto"/>
              <w:rPr>
                <w:rFonts w:hint="eastAsia" w:ascii="宋体" w:hAnsi="宋体" w:eastAsia="宋体" w:cs="宋体"/>
                <w:color w:val="auto"/>
                <w:sz w:val="24"/>
                <w:szCs w:val="24"/>
                <w:highlight w:val="none"/>
              </w:rPr>
            </w:pPr>
          </w:p>
          <w:p w14:paraId="161C02DA">
            <w:pPr>
              <w:pStyle w:val="21"/>
              <w:spacing w:line="275" w:lineRule="auto"/>
              <w:rPr>
                <w:rFonts w:hint="eastAsia" w:ascii="宋体" w:hAnsi="宋体" w:eastAsia="宋体" w:cs="宋体"/>
                <w:color w:val="auto"/>
                <w:sz w:val="24"/>
                <w:szCs w:val="24"/>
                <w:highlight w:val="none"/>
              </w:rPr>
            </w:pPr>
          </w:p>
          <w:p w14:paraId="57AB557F">
            <w:pPr>
              <w:spacing w:before="62" w:line="233" w:lineRule="auto"/>
              <w:ind w:left="29"/>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注意：</w:t>
            </w:r>
          </w:p>
        </w:tc>
        <w:tc>
          <w:tcPr>
            <w:tcW w:w="8712" w:type="dxa"/>
            <w:gridSpan w:val="7"/>
            <w:vAlign w:val="top"/>
          </w:tcPr>
          <w:p w14:paraId="57B0800F">
            <w:pPr>
              <w:spacing w:before="148"/>
              <w:ind w:left="111" w:right="107" w:firstLine="483"/>
              <w:jc w:val="both"/>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该表一式两份，两份表格投标人均需如实填写各项内容，两份表格的填写内容应一致。一</w:t>
            </w:r>
            <w:r>
              <w:rPr>
                <w:rFonts w:hint="eastAsia" w:ascii="宋体" w:hAnsi="宋体" w:eastAsia="宋体" w:cs="宋体"/>
                <w:color w:val="auto"/>
                <w:spacing w:val="9"/>
                <w:sz w:val="24"/>
                <w:szCs w:val="24"/>
                <w:highlight w:val="none"/>
              </w:rPr>
              <w:t>份贴于装纳原件的文件袋（箱</w:t>
            </w:r>
            <w:r>
              <w:rPr>
                <w:rFonts w:hint="eastAsia" w:ascii="宋体" w:hAnsi="宋体" w:eastAsia="宋体" w:cs="宋体"/>
                <w:color w:val="auto"/>
                <w:spacing w:val="20"/>
                <w:sz w:val="24"/>
                <w:szCs w:val="24"/>
                <w:highlight w:val="none"/>
              </w:rPr>
              <w:t>），</w:t>
            </w:r>
            <w:r>
              <w:rPr>
                <w:rFonts w:hint="eastAsia" w:ascii="宋体" w:hAnsi="宋体" w:eastAsia="宋体" w:cs="宋体"/>
                <w:color w:val="auto"/>
                <w:spacing w:val="9"/>
                <w:sz w:val="24"/>
                <w:szCs w:val="24"/>
                <w:highlight w:val="none"/>
              </w:rPr>
              <w:t>一份在递交文件袋（箱）时由招标代理机构、投标人签字后交招标代理机构。招标代理机构仅代签收装纳原件的文件袋（箱</w:t>
            </w:r>
            <w:r>
              <w:rPr>
                <w:rFonts w:hint="eastAsia" w:ascii="宋体" w:hAnsi="宋体" w:eastAsia="宋体" w:cs="宋体"/>
                <w:color w:val="auto"/>
                <w:spacing w:val="19"/>
                <w:sz w:val="24"/>
                <w:szCs w:val="24"/>
                <w:highlight w:val="none"/>
              </w:rPr>
              <w:t>），</w:t>
            </w:r>
            <w:r>
              <w:rPr>
                <w:rFonts w:hint="eastAsia" w:ascii="宋体" w:hAnsi="宋体" w:eastAsia="宋体" w:cs="宋体"/>
                <w:color w:val="auto"/>
                <w:spacing w:val="9"/>
                <w:sz w:val="24"/>
                <w:szCs w:val="24"/>
                <w:highlight w:val="none"/>
              </w:rPr>
              <w:t>而不对文件袋（箱）中资</w:t>
            </w:r>
            <w:r>
              <w:rPr>
                <w:rFonts w:hint="eastAsia" w:ascii="宋体" w:hAnsi="宋体" w:eastAsia="宋体" w:cs="宋体"/>
                <w:color w:val="auto"/>
                <w:spacing w:val="5"/>
                <w:sz w:val="24"/>
                <w:szCs w:val="24"/>
                <w:highlight w:val="none"/>
              </w:rPr>
              <w:t>料的数量、</w:t>
            </w:r>
            <w:r>
              <w:rPr>
                <w:rFonts w:hint="eastAsia" w:ascii="宋体" w:hAnsi="宋体" w:eastAsia="宋体" w:cs="宋体"/>
                <w:color w:val="auto"/>
                <w:spacing w:val="-45"/>
                <w:sz w:val="24"/>
                <w:szCs w:val="24"/>
                <w:highlight w:val="none"/>
              </w:rPr>
              <w:t xml:space="preserve"> </w:t>
            </w:r>
            <w:r>
              <w:rPr>
                <w:rFonts w:hint="eastAsia" w:ascii="宋体" w:hAnsi="宋体" w:eastAsia="宋体" w:cs="宋体"/>
                <w:color w:val="auto"/>
                <w:spacing w:val="5"/>
                <w:sz w:val="24"/>
                <w:szCs w:val="24"/>
                <w:highlight w:val="none"/>
              </w:rPr>
              <w:t>内容及真实性负责。</w:t>
            </w:r>
          </w:p>
        </w:tc>
      </w:tr>
      <w:tr w14:paraId="016EDA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6" w:hRule="atLeast"/>
        </w:trPr>
        <w:tc>
          <w:tcPr>
            <w:tcW w:w="2624" w:type="dxa"/>
            <w:gridSpan w:val="2"/>
            <w:vAlign w:val="top"/>
          </w:tcPr>
          <w:p w14:paraId="0440D7A1">
            <w:pPr>
              <w:pStyle w:val="21"/>
              <w:spacing w:line="240" w:lineRule="auto"/>
              <w:rPr>
                <w:rFonts w:hint="eastAsia" w:ascii="宋体" w:hAnsi="宋体" w:eastAsia="宋体" w:cs="宋体"/>
                <w:color w:val="auto"/>
                <w:sz w:val="24"/>
                <w:szCs w:val="24"/>
                <w:highlight w:val="none"/>
              </w:rPr>
            </w:pPr>
          </w:p>
          <w:p w14:paraId="107CC9BB">
            <w:pPr>
              <w:spacing w:before="61" w:line="240" w:lineRule="auto"/>
              <w:ind w:left="760" w:right="153" w:hanging="600"/>
              <w:rPr>
                <w:rFonts w:hint="eastAsia" w:ascii="宋体" w:hAnsi="宋体" w:eastAsia="宋体" w:cs="宋体"/>
                <w:color w:val="auto"/>
                <w:spacing w:val="8"/>
                <w:sz w:val="24"/>
                <w:szCs w:val="24"/>
                <w:highlight w:val="none"/>
              </w:rPr>
            </w:pPr>
            <w:r>
              <w:rPr>
                <w:rFonts w:hint="eastAsia" w:ascii="宋体" w:hAnsi="宋体" w:eastAsia="宋体" w:cs="宋体"/>
                <w:color w:val="auto"/>
                <w:spacing w:val="8"/>
                <w:sz w:val="24"/>
                <w:szCs w:val="24"/>
                <w:highlight w:val="none"/>
              </w:rPr>
              <w:t>接收原件经办人</w:t>
            </w:r>
          </w:p>
          <w:p w14:paraId="6D1AB722">
            <w:pPr>
              <w:spacing w:before="61" w:line="240" w:lineRule="auto"/>
              <w:ind w:left="760" w:right="153" w:hanging="600"/>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(招标</w:t>
            </w:r>
            <w:r>
              <w:rPr>
                <w:rFonts w:hint="eastAsia" w:ascii="宋体" w:hAnsi="宋体" w:eastAsia="宋体" w:cs="宋体"/>
                <w:color w:val="auto"/>
                <w:spacing w:val="3"/>
                <w:sz w:val="24"/>
                <w:szCs w:val="24"/>
                <w:highlight w:val="none"/>
              </w:rPr>
              <w:t>代理)：</w:t>
            </w:r>
          </w:p>
        </w:tc>
        <w:tc>
          <w:tcPr>
            <w:tcW w:w="1725" w:type="dxa"/>
            <w:vAlign w:val="top"/>
          </w:tcPr>
          <w:p w14:paraId="396C35BA">
            <w:pPr>
              <w:pStyle w:val="21"/>
              <w:rPr>
                <w:rFonts w:hint="eastAsia" w:ascii="宋体" w:hAnsi="宋体" w:eastAsia="宋体" w:cs="宋体"/>
                <w:color w:val="auto"/>
                <w:sz w:val="24"/>
                <w:szCs w:val="24"/>
                <w:highlight w:val="none"/>
              </w:rPr>
            </w:pPr>
          </w:p>
        </w:tc>
        <w:tc>
          <w:tcPr>
            <w:tcW w:w="1683" w:type="dxa"/>
            <w:gridSpan w:val="2"/>
            <w:vAlign w:val="top"/>
          </w:tcPr>
          <w:p w14:paraId="5328A3CB">
            <w:pPr>
              <w:pStyle w:val="21"/>
              <w:spacing w:line="288" w:lineRule="auto"/>
              <w:rPr>
                <w:rFonts w:hint="eastAsia" w:ascii="宋体" w:hAnsi="宋体" w:eastAsia="宋体" w:cs="宋体"/>
                <w:color w:val="auto"/>
                <w:sz w:val="24"/>
                <w:szCs w:val="24"/>
                <w:highlight w:val="none"/>
              </w:rPr>
            </w:pPr>
          </w:p>
          <w:p w14:paraId="0C2B5A86">
            <w:pPr>
              <w:pStyle w:val="21"/>
              <w:spacing w:line="289" w:lineRule="auto"/>
              <w:rPr>
                <w:rFonts w:hint="eastAsia" w:ascii="宋体" w:hAnsi="宋体" w:eastAsia="宋体" w:cs="宋体"/>
                <w:color w:val="auto"/>
                <w:sz w:val="24"/>
                <w:szCs w:val="24"/>
                <w:highlight w:val="none"/>
              </w:rPr>
            </w:pPr>
          </w:p>
          <w:p w14:paraId="06A559B5">
            <w:pPr>
              <w:spacing w:before="62" w:line="229" w:lineRule="auto"/>
              <w:ind w:left="315"/>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接收时间：</w:t>
            </w:r>
          </w:p>
        </w:tc>
        <w:tc>
          <w:tcPr>
            <w:tcW w:w="3408" w:type="dxa"/>
            <w:gridSpan w:val="3"/>
            <w:vAlign w:val="top"/>
          </w:tcPr>
          <w:p w14:paraId="655901F3">
            <w:pPr>
              <w:pStyle w:val="21"/>
              <w:spacing w:line="288" w:lineRule="auto"/>
              <w:rPr>
                <w:rFonts w:hint="eastAsia" w:ascii="宋体" w:hAnsi="宋体" w:eastAsia="宋体" w:cs="宋体"/>
                <w:color w:val="auto"/>
                <w:sz w:val="24"/>
                <w:szCs w:val="24"/>
                <w:highlight w:val="none"/>
              </w:rPr>
            </w:pPr>
          </w:p>
          <w:p w14:paraId="0F1E1751">
            <w:pPr>
              <w:pStyle w:val="21"/>
              <w:spacing w:line="289" w:lineRule="auto"/>
              <w:rPr>
                <w:rFonts w:hint="eastAsia" w:ascii="宋体" w:hAnsi="宋体" w:eastAsia="宋体" w:cs="宋体"/>
                <w:color w:val="auto"/>
                <w:sz w:val="24"/>
                <w:szCs w:val="24"/>
                <w:highlight w:val="none"/>
              </w:rPr>
            </w:pPr>
          </w:p>
          <w:p w14:paraId="3ABE9DD0">
            <w:pPr>
              <w:spacing w:before="62" w:line="229" w:lineRule="auto"/>
              <w:ind w:firstLine="444"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年</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9"/>
                <w:sz w:val="24"/>
                <w:szCs w:val="24"/>
                <w:highlight w:val="none"/>
              </w:rPr>
              <w:t>月</w:t>
            </w:r>
            <w:r>
              <w:rPr>
                <w:rFonts w:hint="eastAsia" w:ascii="宋体" w:hAnsi="宋体" w:eastAsia="宋体" w:cs="宋体"/>
                <w:color w:val="auto"/>
                <w:spacing w:val="19"/>
                <w:sz w:val="24"/>
                <w:szCs w:val="24"/>
                <w:highlight w:val="none"/>
              </w:rPr>
              <w:t xml:space="preserve">   </w:t>
            </w:r>
            <w:r>
              <w:rPr>
                <w:rFonts w:hint="eastAsia" w:ascii="宋体" w:hAnsi="宋体" w:eastAsia="宋体" w:cs="宋体"/>
                <w:color w:val="auto"/>
                <w:spacing w:val="-9"/>
                <w:sz w:val="24"/>
                <w:szCs w:val="24"/>
                <w:highlight w:val="none"/>
              </w:rPr>
              <w:t>日</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9"/>
                <w:sz w:val="24"/>
                <w:szCs w:val="24"/>
                <w:highlight w:val="none"/>
              </w:rPr>
              <w:t>时</w:t>
            </w:r>
            <w:r>
              <w:rPr>
                <w:rFonts w:hint="eastAsia" w:ascii="宋体" w:hAnsi="宋体" w:eastAsia="宋体" w:cs="宋体"/>
                <w:color w:val="auto"/>
                <w:spacing w:val="12"/>
                <w:sz w:val="24"/>
                <w:szCs w:val="24"/>
                <w:highlight w:val="none"/>
              </w:rPr>
              <w:t xml:space="preserve">  </w:t>
            </w:r>
            <w:r>
              <w:rPr>
                <w:rFonts w:hint="eastAsia" w:ascii="宋体" w:hAnsi="宋体" w:eastAsia="宋体" w:cs="宋体"/>
                <w:color w:val="auto"/>
                <w:spacing w:val="-9"/>
                <w:sz w:val="24"/>
                <w:szCs w:val="24"/>
                <w:highlight w:val="none"/>
              </w:rPr>
              <w:t>分</w:t>
            </w:r>
          </w:p>
        </w:tc>
      </w:tr>
      <w:tr w14:paraId="765347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4" w:hRule="atLeast"/>
        </w:trPr>
        <w:tc>
          <w:tcPr>
            <w:tcW w:w="2624" w:type="dxa"/>
            <w:gridSpan w:val="2"/>
            <w:vAlign w:val="top"/>
          </w:tcPr>
          <w:p w14:paraId="453382FD">
            <w:pPr>
              <w:spacing w:before="155" w:line="240" w:lineRule="auto"/>
              <w:ind w:left="861" w:right="153" w:hanging="699"/>
              <w:rPr>
                <w:rFonts w:hint="eastAsia" w:ascii="宋体" w:hAnsi="宋体" w:eastAsia="宋体" w:cs="宋体"/>
                <w:color w:val="auto"/>
                <w:spacing w:val="8"/>
                <w:sz w:val="24"/>
                <w:szCs w:val="24"/>
                <w:highlight w:val="none"/>
              </w:rPr>
            </w:pPr>
            <w:r>
              <w:rPr>
                <w:rFonts w:hint="eastAsia" w:ascii="宋体" w:hAnsi="宋体" w:eastAsia="宋体" w:cs="宋体"/>
                <w:color w:val="auto"/>
                <w:spacing w:val="8"/>
                <w:sz w:val="24"/>
                <w:szCs w:val="24"/>
                <w:highlight w:val="none"/>
              </w:rPr>
              <w:t>退还原件接收人</w:t>
            </w:r>
          </w:p>
          <w:p w14:paraId="4CBD4052">
            <w:pPr>
              <w:spacing w:before="155" w:line="240" w:lineRule="auto"/>
              <w:ind w:left="861" w:right="153" w:hanging="699"/>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(投标</w:t>
            </w:r>
            <w:r>
              <w:rPr>
                <w:rFonts w:hint="eastAsia" w:ascii="宋体" w:hAnsi="宋体" w:eastAsia="宋体" w:cs="宋体"/>
                <w:color w:val="auto"/>
                <w:spacing w:val="2"/>
                <w:sz w:val="24"/>
                <w:szCs w:val="24"/>
                <w:highlight w:val="none"/>
              </w:rPr>
              <w:t>人)：</w:t>
            </w:r>
          </w:p>
        </w:tc>
        <w:tc>
          <w:tcPr>
            <w:tcW w:w="1725" w:type="dxa"/>
            <w:vAlign w:val="top"/>
          </w:tcPr>
          <w:p w14:paraId="2C206521">
            <w:pPr>
              <w:pStyle w:val="21"/>
              <w:rPr>
                <w:rFonts w:hint="eastAsia" w:ascii="宋体" w:hAnsi="宋体" w:eastAsia="宋体" w:cs="宋体"/>
                <w:color w:val="auto"/>
                <w:sz w:val="24"/>
                <w:szCs w:val="24"/>
                <w:highlight w:val="none"/>
              </w:rPr>
            </w:pPr>
          </w:p>
        </w:tc>
        <w:tc>
          <w:tcPr>
            <w:tcW w:w="1683" w:type="dxa"/>
            <w:gridSpan w:val="2"/>
            <w:vAlign w:val="top"/>
          </w:tcPr>
          <w:p w14:paraId="7AC1377A">
            <w:pPr>
              <w:pStyle w:val="21"/>
              <w:spacing w:line="336" w:lineRule="auto"/>
              <w:rPr>
                <w:rFonts w:hint="eastAsia" w:ascii="宋体" w:hAnsi="宋体" w:eastAsia="宋体" w:cs="宋体"/>
                <w:color w:val="auto"/>
                <w:sz w:val="24"/>
                <w:szCs w:val="24"/>
                <w:highlight w:val="none"/>
              </w:rPr>
            </w:pPr>
          </w:p>
          <w:p w14:paraId="1E023FA8">
            <w:pPr>
              <w:spacing w:before="61" w:line="231" w:lineRule="auto"/>
              <w:ind w:left="317"/>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退还时间：</w:t>
            </w:r>
          </w:p>
        </w:tc>
        <w:tc>
          <w:tcPr>
            <w:tcW w:w="3408" w:type="dxa"/>
            <w:gridSpan w:val="3"/>
            <w:vAlign w:val="top"/>
          </w:tcPr>
          <w:p w14:paraId="209D4A82">
            <w:pPr>
              <w:pStyle w:val="21"/>
              <w:spacing w:line="335" w:lineRule="auto"/>
              <w:rPr>
                <w:rFonts w:hint="eastAsia" w:ascii="宋体" w:hAnsi="宋体" w:eastAsia="宋体" w:cs="宋体"/>
                <w:color w:val="auto"/>
                <w:sz w:val="24"/>
                <w:szCs w:val="24"/>
                <w:highlight w:val="none"/>
              </w:rPr>
            </w:pPr>
          </w:p>
          <w:p w14:paraId="459BFBAC">
            <w:pPr>
              <w:spacing w:before="62" w:line="229" w:lineRule="auto"/>
              <w:ind w:firstLine="444"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年</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9"/>
                <w:sz w:val="24"/>
                <w:szCs w:val="24"/>
                <w:highlight w:val="none"/>
              </w:rPr>
              <w:t>月</w:t>
            </w:r>
            <w:r>
              <w:rPr>
                <w:rFonts w:hint="eastAsia" w:ascii="宋体" w:hAnsi="宋体" w:eastAsia="宋体" w:cs="宋体"/>
                <w:color w:val="auto"/>
                <w:spacing w:val="19"/>
                <w:sz w:val="24"/>
                <w:szCs w:val="24"/>
                <w:highlight w:val="none"/>
              </w:rPr>
              <w:t xml:space="preserve">   </w:t>
            </w:r>
            <w:r>
              <w:rPr>
                <w:rFonts w:hint="eastAsia" w:ascii="宋体" w:hAnsi="宋体" w:eastAsia="宋体" w:cs="宋体"/>
                <w:color w:val="auto"/>
                <w:spacing w:val="-9"/>
                <w:sz w:val="24"/>
                <w:szCs w:val="24"/>
                <w:highlight w:val="none"/>
              </w:rPr>
              <w:t>日</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9"/>
                <w:sz w:val="24"/>
                <w:szCs w:val="24"/>
                <w:highlight w:val="none"/>
              </w:rPr>
              <w:t>时</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9"/>
                <w:sz w:val="24"/>
                <w:szCs w:val="24"/>
                <w:highlight w:val="none"/>
              </w:rPr>
              <w:t>分</w:t>
            </w:r>
          </w:p>
        </w:tc>
      </w:tr>
    </w:tbl>
    <w:p w14:paraId="5303C8CD">
      <w:pPr>
        <w:rPr>
          <w:rFonts w:hint="eastAsia" w:ascii="宋体" w:hAnsi="宋体" w:eastAsia="宋体" w:cs="宋体"/>
          <w:b/>
          <w:bCs/>
          <w:color w:val="auto"/>
          <w:spacing w:val="-3"/>
          <w:sz w:val="24"/>
          <w:szCs w:val="24"/>
          <w:highlight w:val="none"/>
        </w:rPr>
      </w:pPr>
      <w:bookmarkStart w:id="273" w:name="bookmark107"/>
      <w:bookmarkEnd w:id="273"/>
      <w:r>
        <w:rPr>
          <w:rFonts w:hint="eastAsia" w:ascii="宋体" w:hAnsi="宋体" w:eastAsia="宋体" w:cs="宋体"/>
          <w:b/>
          <w:bCs/>
          <w:color w:val="auto"/>
          <w:spacing w:val="-3"/>
          <w:sz w:val="24"/>
          <w:szCs w:val="24"/>
          <w:highlight w:val="none"/>
        </w:rPr>
        <w:br w:type="page"/>
      </w:r>
    </w:p>
    <w:p w14:paraId="03CDC3FA">
      <w:pPr>
        <w:keepNext w:val="0"/>
        <w:keepLines w:val="0"/>
        <w:pageBreakBefore w:val="0"/>
        <w:widowControl w:val="0"/>
        <w:kinsoku/>
        <w:wordWrap/>
        <w:overflowPunct/>
        <w:topLinePunct w:val="0"/>
        <w:autoSpaceDE/>
        <w:autoSpaceDN/>
        <w:bidi w:val="0"/>
        <w:adjustRightInd/>
        <w:snapToGrid/>
        <w:spacing w:line="380" w:lineRule="exact"/>
        <w:jc w:val="left"/>
        <w:textAlignment w:val="auto"/>
        <w:outlineLvl w:val="1"/>
        <w:rPr>
          <w:rFonts w:hint="eastAsia" w:ascii="宋体" w:hAnsi="宋体" w:eastAsia="宋体" w:cs="宋体"/>
          <w:b/>
          <w:bCs w:val="0"/>
          <w:color w:val="auto"/>
          <w:highlight w:val="none"/>
          <w:lang w:val="en-US" w:eastAsia="zh-CN"/>
        </w:rPr>
      </w:pPr>
      <w:bookmarkStart w:id="274" w:name="_Toc3970"/>
      <w:bookmarkStart w:id="275" w:name="_Toc7940"/>
      <w:r>
        <w:rPr>
          <w:rStyle w:val="20"/>
          <w:rFonts w:hint="eastAsia" w:ascii="Times New Roman" w:hAnsi="宋体" w:eastAsia="宋体" w:cs="Times New Roman"/>
          <w:b/>
          <w:bCs/>
          <w:color w:val="auto"/>
          <w:kern w:val="0"/>
          <w:sz w:val="21"/>
          <w:szCs w:val="21"/>
          <w:highlight w:val="none"/>
          <w:lang w:val="en-US" w:eastAsia="zh-CN" w:bidi="ar-SA"/>
        </w:rPr>
        <w:t>格式十六 助力项目承诺书</w:t>
      </w:r>
      <w:bookmarkEnd w:id="274"/>
      <w:bookmarkEnd w:id="275"/>
    </w:p>
    <w:p w14:paraId="2E72D9BA">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助力项目承诺书</w:t>
      </w:r>
    </w:p>
    <w:p w14:paraId="779F35DF">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eastAsia="宋体" w:cs="宋体"/>
          <w:color w:val="auto"/>
          <w:sz w:val="24"/>
          <w:szCs w:val="24"/>
          <w:highlight w:val="none"/>
        </w:rPr>
      </w:pPr>
    </w:p>
    <w:p w14:paraId="7FFEEAF0">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致招标人：</w:t>
      </w:r>
      <w:r>
        <w:rPr>
          <w:rFonts w:hint="eastAsia" w:ascii="宋体" w:hAnsi="宋体" w:eastAsia="宋体" w:cs="宋体"/>
          <w:color w:val="auto"/>
          <w:sz w:val="21"/>
          <w:szCs w:val="21"/>
          <w:highlight w:val="none"/>
          <w:u w:val="single"/>
        </w:rPr>
        <w:t xml:space="preserve">                      </w:t>
      </w:r>
    </w:p>
    <w:p w14:paraId="237769D0">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b w:val="0"/>
          <w:bCs w:val="0"/>
          <w:i w:val="0"/>
          <w:iCs w:val="0"/>
          <w:color w:val="auto"/>
          <w:kern w:val="2"/>
          <w:sz w:val="21"/>
          <w:szCs w:val="21"/>
          <w:highlight w:val="none"/>
          <w:vertAlign w:val="baseline"/>
          <w:lang w:val="en-US" w:eastAsia="zh-CN" w:bidi="ar-SA"/>
        </w:rPr>
        <w:t>为落实省委、省政府关于实施“百县千镇万村高质量发展工程”（以下简称“百千</w:t>
      </w:r>
      <w:r>
        <w:rPr>
          <w:rFonts w:hint="eastAsia" w:ascii="宋体" w:hAnsi="宋体" w:eastAsia="宋体" w:cs="宋体"/>
          <w:color w:val="auto"/>
          <w:sz w:val="21"/>
          <w:szCs w:val="21"/>
          <w:highlight w:val="none"/>
          <w:u w:val="none"/>
          <w:lang w:val="en-US" w:eastAsia="zh-CN"/>
        </w:rPr>
        <w:t>万工程”）工作部署以及</w:t>
      </w:r>
      <w:r>
        <w:rPr>
          <w:rFonts w:hint="eastAsia" w:ascii="宋体" w:hAnsi="宋体" w:eastAsia="宋体" w:cs="宋体"/>
          <w:b w:val="0"/>
          <w:bCs w:val="0"/>
          <w:i w:val="0"/>
          <w:iCs w:val="0"/>
          <w:color w:val="auto"/>
          <w:kern w:val="2"/>
          <w:sz w:val="21"/>
          <w:szCs w:val="21"/>
          <w:highlight w:val="none"/>
          <w:vertAlign w:val="baseline"/>
          <w:lang w:val="en-US" w:eastAsia="zh-CN" w:bidi="ar-SA"/>
        </w:rPr>
        <w:t>省“百千万工程”指挥部关于建筑业企业“微利＋公益”参与“百千万工程”建设方式和《广东省“百县千镇万村高质量发展工程”指挥部城镇建设专班办公室印发关于推动建筑业央企助力“百千万工程”工作指引的通知》（粤城镇建设</w:t>
      </w:r>
      <w:r>
        <w:rPr>
          <w:rFonts w:hint="eastAsia" w:ascii="宋体" w:hAnsi="宋体" w:eastAsia="宋体" w:cs="宋体"/>
          <w:b w:val="0"/>
          <w:bCs w:val="0"/>
          <w:i w:val="0"/>
          <w:iCs w:val="0"/>
          <w:color w:val="auto"/>
          <w:kern w:val="0"/>
          <w:sz w:val="21"/>
          <w:szCs w:val="21"/>
          <w:highlight w:val="none"/>
          <w:vertAlign w:val="baseline"/>
          <w:lang w:val="en-US" w:eastAsia="zh-CN" w:bidi="ar-SA"/>
        </w:rPr>
        <w:t>〔2024〕11号</w:t>
      </w:r>
      <w:r>
        <w:rPr>
          <w:rFonts w:hint="eastAsia" w:ascii="宋体" w:hAnsi="宋体" w:eastAsia="宋体" w:cs="宋体"/>
          <w:b w:val="0"/>
          <w:bCs w:val="0"/>
          <w:i w:val="0"/>
          <w:iCs w:val="0"/>
          <w:color w:val="auto"/>
          <w:kern w:val="2"/>
          <w:sz w:val="21"/>
          <w:szCs w:val="21"/>
          <w:highlight w:val="none"/>
          <w:vertAlign w:val="baseline"/>
          <w:lang w:val="en-US" w:eastAsia="zh-CN" w:bidi="ar-SA"/>
        </w:rPr>
        <w:t>）等工作要求，我公司将按要求完成中标项目的同时，自愿利用</w:t>
      </w:r>
      <w:r>
        <w:rPr>
          <w:rFonts w:hint="eastAsia" w:ascii="宋体" w:hAnsi="宋体" w:eastAsia="宋体" w:cs="宋体"/>
          <w:color w:val="auto"/>
          <w:sz w:val="21"/>
          <w:szCs w:val="21"/>
          <w:highlight w:val="none"/>
          <w:lang w:val="en-US" w:eastAsia="zh-CN"/>
        </w:rPr>
        <w:t>本企业的合理利润，积极做好</w:t>
      </w:r>
      <w:r>
        <w:rPr>
          <w:rFonts w:hint="eastAsia" w:ascii="宋体" w:hAnsi="宋体" w:eastAsia="宋体" w:cs="宋体"/>
          <w:color w:val="auto"/>
          <w:sz w:val="21"/>
          <w:szCs w:val="21"/>
          <w:highlight w:val="none"/>
          <w:u w:val="none"/>
          <w:lang w:val="en-US" w:eastAsia="zh-CN"/>
        </w:rPr>
        <w:t>助力项目建设，就此</w:t>
      </w:r>
      <w:r>
        <w:rPr>
          <w:rFonts w:hint="eastAsia" w:ascii="宋体" w:hAnsi="宋体" w:eastAsia="宋体" w:cs="宋体"/>
          <w:color w:val="auto"/>
          <w:sz w:val="21"/>
          <w:szCs w:val="21"/>
          <w:highlight w:val="none"/>
        </w:rPr>
        <w:t>我方承诺如下：</w:t>
      </w:r>
    </w:p>
    <w:p w14:paraId="160D487A">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outlineLvl w:val="9"/>
        <w:rPr>
          <w:rFonts w:hint="eastAsia" w:ascii="宋体" w:hAnsi="宋体" w:eastAsia="宋体" w:cs="宋体"/>
          <w:color w:val="auto"/>
          <w:sz w:val="21"/>
          <w:szCs w:val="21"/>
          <w:highlight w:val="none"/>
          <w:u w:val="none"/>
          <w:lang w:val="en-US" w:eastAsia="zh-CN"/>
        </w:rPr>
      </w:pPr>
      <w:r>
        <w:rPr>
          <w:rFonts w:hint="eastAsia" w:ascii="宋体" w:hAnsi="宋体" w:eastAsia="宋体" w:cs="宋体"/>
          <w:b w:val="0"/>
          <w:bCs w:val="0"/>
          <w:color w:val="auto"/>
          <w:sz w:val="21"/>
          <w:szCs w:val="21"/>
          <w:highlight w:val="none"/>
          <w:lang w:val="en-US" w:eastAsia="zh-CN"/>
        </w:rPr>
        <w:t>1、</w:t>
      </w:r>
      <w:r>
        <w:rPr>
          <w:rFonts w:hint="eastAsia" w:ascii="宋体" w:hAnsi="宋体" w:eastAsia="宋体" w:cs="宋体"/>
          <w:color w:val="auto"/>
          <w:sz w:val="21"/>
          <w:szCs w:val="21"/>
          <w:highlight w:val="none"/>
        </w:rPr>
        <w:t>我方愿以</w:t>
      </w:r>
      <w:r>
        <w:rPr>
          <w:rFonts w:hint="eastAsia" w:ascii="宋体" w:hAnsi="宋体" w:eastAsia="宋体" w:cs="宋体"/>
          <w:b w:val="0"/>
          <w:bCs w:val="0"/>
          <w:i w:val="0"/>
          <w:iCs w:val="0"/>
          <w:color w:val="auto"/>
          <w:kern w:val="2"/>
          <w:sz w:val="21"/>
          <w:szCs w:val="21"/>
          <w:highlight w:val="none"/>
          <w:vertAlign w:val="baseline"/>
          <w:lang w:val="en-US" w:eastAsia="zh-CN" w:bidi="ar-SA"/>
        </w:rPr>
        <w:t>本项</w:t>
      </w:r>
      <w:r>
        <w:rPr>
          <w:rFonts w:hint="eastAsia" w:ascii="宋体" w:hAnsi="宋体" w:eastAsia="宋体" w:cs="宋体"/>
          <w:color w:val="auto"/>
          <w:sz w:val="21"/>
          <w:szCs w:val="21"/>
          <w:highlight w:val="none"/>
          <w:u w:val="none"/>
          <w:lang w:val="en-US" w:eastAsia="zh-CN"/>
        </w:rPr>
        <w:t>目施工最高投标限价</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%的资金，用于助力“百千万工程”中的公益性项目建设，具体实施助力项目从各级“百千万工程”指挥部提供的项目建设清单（项目库）中选取。</w:t>
      </w:r>
    </w:p>
    <w:p w14:paraId="6D4BD435">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outlineLvl w:val="9"/>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2、如我方中标，承诺完成助力项目建设所用的资金是本企业的自有资金，不使用中标项目内的资金作为助力项目建设资金。</w:t>
      </w:r>
    </w:p>
    <w:p w14:paraId="5F5CD34F">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outlineLvl w:val="9"/>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3、如我方中标，在中标项目发出中标通知书之日起至签订中标项目承包合同前，我方将按要求与助力项目业主单位按招标文件要求签订助力协议书，确定具体助力项目、投资额度、工期进度和质量标准等内容（含折算助力项目投资金额中的预扣减或扣减额处理办法）。</w:t>
      </w:r>
    </w:p>
    <w:p w14:paraId="7593AE19">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outlineLvl w:val="9"/>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4、如我方中标，我方将按照协议书要求做好助力项目建设工作，按时保质保量完成“百千万工程”助力任务并移交整个工程，确保助力项目质量达到合格标准，并承诺本工程的保修期按有关规定及双方签署的协议要求执行。同时，按规定做好助力项目结算工作。</w:t>
      </w:r>
    </w:p>
    <w:p w14:paraId="3C429EAE">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outlineLvl w:val="9"/>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5、如我方中标，将严格履行助力协议。招标人或助力项目业主单位发现我方有未按协议书履行投标助力承诺行为的，愿接受有关部门对我方进行诚信扣分及将有关失信行为上传信用广东和信用中国等诚信平台；对于有严重违反投标承诺，影响助力项目建设质量、进度或损害公共利益的，我方将接受依法依规作出的处理。</w:t>
      </w:r>
    </w:p>
    <w:p w14:paraId="0837154E">
      <w:pPr>
        <w:pStyle w:val="5"/>
        <w:keepNext w:val="0"/>
        <w:keepLines w:val="0"/>
        <w:pageBreakBefore w:val="0"/>
        <w:widowControl w:val="0"/>
        <w:kinsoku/>
        <w:wordWrap/>
        <w:overflowPunct/>
        <w:topLinePunct w:val="0"/>
        <w:autoSpaceDE/>
        <w:autoSpaceDN/>
        <w:bidi w:val="0"/>
        <w:adjustRightInd/>
        <w:snapToGrid/>
        <w:spacing w:after="0" w:afterLines="0" w:line="360" w:lineRule="exact"/>
        <w:ind w:left="0" w:leftChars="0" w:right="0" w:rightChars="0" w:firstLine="420" w:firstLineChars="200"/>
        <w:jc w:val="both"/>
        <w:textAlignment w:val="auto"/>
        <w:outlineLvl w:val="9"/>
        <w:rPr>
          <w:rFonts w:hint="eastAsia" w:ascii="宋体" w:hAnsi="宋体" w:eastAsia="宋体" w:cs="宋体"/>
          <w:color w:val="auto"/>
          <w:sz w:val="21"/>
          <w:szCs w:val="21"/>
          <w:highlight w:val="none"/>
        </w:rPr>
      </w:pPr>
      <w:r>
        <w:rPr>
          <w:rFonts w:hint="eastAsia" w:ascii="宋体" w:hAnsi="宋体" w:eastAsia="宋体" w:cs="宋体"/>
          <w:b w:val="0"/>
          <w:bCs w:val="0"/>
          <w:color w:val="auto"/>
          <w:sz w:val="21"/>
          <w:szCs w:val="21"/>
          <w:highlight w:val="none"/>
          <w:lang w:val="en-US" w:eastAsia="zh-CN"/>
        </w:rPr>
        <w:t>6、</w:t>
      </w:r>
      <w:r>
        <w:rPr>
          <w:rFonts w:hint="eastAsia" w:ascii="宋体" w:hAnsi="宋体" w:eastAsia="宋体" w:cs="宋体"/>
          <w:color w:val="auto"/>
          <w:sz w:val="21"/>
          <w:szCs w:val="21"/>
          <w:highlight w:val="none"/>
        </w:rPr>
        <w:t>我方同意在投标人须知规定的投标有效期内严格遵守本企业投标文件的各项承诺，如有违约，愿承担相应违约责任。</w:t>
      </w:r>
    </w:p>
    <w:p w14:paraId="7F0EB558">
      <w:pPr>
        <w:pStyle w:val="5"/>
        <w:keepNext w:val="0"/>
        <w:keepLines w:val="0"/>
        <w:pageBreakBefore w:val="0"/>
        <w:widowControl w:val="0"/>
        <w:kinsoku/>
        <w:wordWrap/>
        <w:overflowPunct/>
        <w:topLinePunct w:val="0"/>
        <w:autoSpaceDE/>
        <w:autoSpaceDN/>
        <w:bidi w:val="0"/>
        <w:adjustRightInd/>
        <w:snapToGrid/>
        <w:spacing w:after="0" w:afterLines="0" w:line="360" w:lineRule="exact"/>
        <w:ind w:left="0" w:leftChars="0" w:right="0" w:rightChars="0" w:firstLine="420" w:firstLineChars="200"/>
        <w:jc w:val="both"/>
        <w:textAlignment w:val="auto"/>
        <w:outlineLvl w:val="9"/>
        <w:rPr>
          <w:rFonts w:hint="eastAsia" w:ascii="宋体" w:hAnsi="宋体" w:eastAsia="宋体" w:cs="宋体"/>
          <w:color w:val="auto"/>
          <w:sz w:val="21"/>
          <w:szCs w:val="21"/>
          <w:highlight w:val="none"/>
        </w:rPr>
      </w:pPr>
    </w:p>
    <w:p w14:paraId="34D07D34">
      <w:pPr>
        <w:pStyle w:val="5"/>
        <w:keepNext w:val="0"/>
        <w:keepLines w:val="0"/>
        <w:pageBreakBefore w:val="0"/>
        <w:widowControl w:val="0"/>
        <w:kinsoku/>
        <w:wordWrap/>
        <w:overflowPunct/>
        <w:topLinePunct w:val="0"/>
        <w:autoSpaceDE/>
        <w:autoSpaceDN/>
        <w:bidi w:val="0"/>
        <w:adjustRightInd/>
        <w:snapToGrid/>
        <w:spacing w:after="0" w:afterLines="0" w:line="360" w:lineRule="exact"/>
        <w:ind w:left="0" w:leftChars="0" w:right="0" w:rightChars="0" w:firstLine="420" w:firstLineChars="200"/>
        <w:jc w:val="both"/>
        <w:textAlignment w:val="auto"/>
        <w:outlineLvl w:val="9"/>
        <w:rPr>
          <w:rFonts w:hint="eastAsia" w:ascii="宋体" w:hAnsi="宋体" w:eastAsia="宋体" w:cs="宋体"/>
          <w:color w:val="auto"/>
          <w:sz w:val="21"/>
          <w:szCs w:val="21"/>
          <w:highlight w:val="none"/>
        </w:rPr>
      </w:pPr>
    </w:p>
    <w:p w14:paraId="2FBF64BD">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投标人</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(盖电子印章）</w:t>
      </w:r>
    </w:p>
    <w:p w14:paraId="67F748BA">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ascii="宋体" w:hAnsi="宋体" w:eastAsia="宋体" w:cs="宋体"/>
          <w:color w:val="auto"/>
          <w:sz w:val="21"/>
          <w:szCs w:val="21"/>
          <w:highlight w:val="none"/>
        </w:rPr>
      </w:pPr>
    </w:p>
    <w:p w14:paraId="1B3E4D68">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法定代表人：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（电子签名</w:t>
      </w:r>
      <w:r>
        <w:rPr>
          <w:rFonts w:hint="eastAsia" w:ascii="宋体" w:hAnsi="宋体" w:eastAsia="宋体" w:cs="宋体"/>
          <w:color w:val="auto"/>
          <w:sz w:val="21"/>
          <w:szCs w:val="21"/>
          <w:highlight w:val="none"/>
          <w:lang w:eastAsia="zh-CN"/>
        </w:rPr>
        <w:t>或</w:t>
      </w:r>
      <w:r>
        <w:rPr>
          <w:rFonts w:hint="eastAsia" w:ascii="宋体" w:hAnsi="宋体" w:eastAsia="宋体" w:cs="宋体"/>
          <w:color w:val="auto"/>
          <w:sz w:val="21"/>
          <w:szCs w:val="21"/>
          <w:highlight w:val="none"/>
          <w:lang w:val="en-US" w:eastAsia="zh-CN"/>
        </w:rPr>
        <w:t>签字</w:t>
      </w:r>
      <w:r>
        <w:rPr>
          <w:rFonts w:hint="eastAsia" w:ascii="宋体" w:hAnsi="宋体" w:eastAsia="宋体" w:cs="宋体"/>
          <w:color w:val="auto"/>
          <w:sz w:val="21"/>
          <w:szCs w:val="21"/>
          <w:highlight w:val="none"/>
        </w:rPr>
        <w:t>）</w:t>
      </w:r>
    </w:p>
    <w:p w14:paraId="5D838725">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ascii="宋体" w:hAnsi="宋体" w:eastAsia="宋体" w:cs="宋体"/>
          <w:color w:val="auto"/>
          <w:sz w:val="21"/>
          <w:szCs w:val="21"/>
          <w:highlight w:val="none"/>
        </w:rPr>
      </w:pPr>
    </w:p>
    <w:p w14:paraId="5272D2C1">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日期：</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w:t>
      </w:r>
    </w:p>
    <w:p w14:paraId="3074528A">
      <w:pPr>
        <w:keepNext w:val="0"/>
        <w:keepLines w:val="0"/>
        <w:pageBreakBefore w:val="0"/>
        <w:widowControl w:val="0"/>
        <w:kinsoku/>
        <w:wordWrap/>
        <w:overflowPunct/>
        <w:topLinePunct w:val="0"/>
        <w:autoSpaceDE/>
        <w:autoSpaceDN/>
        <w:bidi w:val="0"/>
        <w:adjustRightInd/>
        <w:snapToGrid/>
        <w:spacing w:line="300" w:lineRule="exact"/>
        <w:textAlignment w:val="auto"/>
        <w:outlineLvl w:val="9"/>
        <w:rPr>
          <w:rFonts w:hint="eastAsia" w:ascii="宋体" w:hAnsi="宋体" w:eastAsia="宋体" w:cs="宋体"/>
          <w:color w:val="auto"/>
          <w:sz w:val="21"/>
          <w:szCs w:val="21"/>
          <w:highlight w:val="none"/>
          <w:lang w:eastAsia="zh-CN"/>
        </w:rPr>
      </w:pPr>
    </w:p>
    <w:p w14:paraId="2BF39472">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注：上述承诺书中的</w:t>
      </w:r>
      <w:r>
        <w:rPr>
          <w:rFonts w:hint="eastAsia" w:ascii="宋体" w:hAnsi="宋体" w:eastAsia="宋体" w:cs="宋体"/>
          <w:b w:val="0"/>
          <w:bCs w:val="0"/>
          <w:i w:val="0"/>
          <w:iCs w:val="0"/>
          <w:color w:val="auto"/>
          <w:kern w:val="2"/>
          <w:sz w:val="21"/>
          <w:szCs w:val="21"/>
          <w:highlight w:val="none"/>
          <w:u w:val="none" w:color="auto"/>
          <w:vertAlign w:val="baseline"/>
          <w:lang w:val="en-US" w:eastAsia="zh-CN" w:bidi="ar-SA"/>
        </w:rPr>
        <w:t>企业社会贡献下浮率要使用阿拉伯数字填报，不得填报负值，企业社会贡献下浮率没有填报任何数字或填报负值的按无企业社会贡献处理，但不作无效投标处理。</w:t>
      </w:r>
    </w:p>
    <w:p w14:paraId="56BC3E48">
      <w:pPr>
        <w:pStyle w:val="39"/>
        <w:ind w:left="0" w:leftChars="0" w:firstLine="0" w:firstLineChars="0"/>
        <w:rPr>
          <w:rStyle w:val="43"/>
          <w:rFonts w:hint="eastAsia" w:ascii="宋体" w:hAnsi="宋体" w:eastAsia="宋体" w:cs="宋体"/>
          <w:bCs/>
          <w:color w:val="auto"/>
          <w:kern w:val="2"/>
          <w:sz w:val="21"/>
          <w:szCs w:val="21"/>
          <w:highlight w:val="none"/>
        </w:rPr>
      </w:pPr>
    </w:p>
    <w:p w14:paraId="09B15C70">
      <w:pPr>
        <w:pStyle w:val="45"/>
        <w:snapToGrid w:val="0"/>
        <w:spacing w:line="440" w:lineRule="exact"/>
        <w:outlineLvl w:val="1"/>
        <w:rPr>
          <w:rStyle w:val="20"/>
          <w:rFonts w:hint="eastAsia" w:ascii="Times New Roman" w:hAnsi="宋体" w:eastAsia="宋体" w:cs="Times New Roman"/>
          <w:b/>
          <w:bCs/>
          <w:color w:val="auto"/>
          <w:sz w:val="21"/>
          <w:szCs w:val="21"/>
          <w:highlight w:val="none"/>
          <w:lang w:val="en-US" w:eastAsia="zh-CN"/>
        </w:rPr>
      </w:pPr>
      <w:r>
        <w:rPr>
          <w:rStyle w:val="43"/>
          <w:rFonts w:hint="eastAsia" w:ascii="宋体" w:hAnsi="宋体" w:eastAsia="宋体" w:cs="宋体"/>
          <w:bCs/>
          <w:color w:val="auto"/>
          <w:kern w:val="2"/>
          <w:sz w:val="21"/>
          <w:szCs w:val="21"/>
          <w:highlight w:val="none"/>
        </w:rPr>
        <w:br w:type="page"/>
      </w:r>
      <w:bookmarkStart w:id="276" w:name="_Toc26911"/>
      <w:bookmarkStart w:id="277" w:name="_Toc26323"/>
      <w:r>
        <w:rPr>
          <w:rStyle w:val="20"/>
          <w:rFonts w:hint="eastAsia" w:ascii="Times New Roman" w:hAnsi="宋体" w:eastAsia="宋体" w:cs="Times New Roman"/>
          <w:b/>
          <w:bCs/>
          <w:color w:val="auto"/>
          <w:sz w:val="21"/>
          <w:szCs w:val="21"/>
          <w:highlight w:val="none"/>
          <w:lang w:eastAsia="zh-CN"/>
        </w:rPr>
        <w:t>格式十</w:t>
      </w:r>
      <w:r>
        <w:rPr>
          <w:rStyle w:val="20"/>
          <w:rFonts w:hint="eastAsia" w:ascii="Times New Roman" w:hAnsi="宋体" w:cs="Times New Roman"/>
          <w:b/>
          <w:bCs/>
          <w:color w:val="auto"/>
          <w:sz w:val="21"/>
          <w:szCs w:val="21"/>
          <w:highlight w:val="none"/>
          <w:lang w:val="en-US" w:eastAsia="zh-CN"/>
        </w:rPr>
        <w:t xml:space="preserve">七  </w:t>
      </w:r>
      <w:r>
        <w:rPr>
          <w:rStyle w:val="20"/>
          <w:rFonts w:hint="eastAsia" w:ascii="Times New Roman" w:hAnsi="宋体" w:eastAsia="宋体" w:cs="Times New Roman"/>
          <w:b/>
          <w:bCs/>
          <w:color w:val="auto"/>
          <w:sz w:val="21"/>
          <w:szCs w:val="21"/>
          <w:highlight w:val="none"/>
          <w:lang w:val="en-US" w:eastAsia="zh-CN"/>
        </w:rPr>
        <w:t>定标因素评审资料</w:t>
      </w:r>
      <w:bookmarkEnd w:id="276"/>
      <w:bookmarkEnd w:id="277"/>
    </w:p>
    <w:p w14:paraId="1FBABC69">
      <w:pPr>
        <w:spacing w:line="500" w:lineRule="exact"/>
        <w:jc w:val="center"/>
        <w:rPr>
          <w:rFonts w:hint="eastAsia" w:ascii="宋体" w:hAnsi="宋体" w:eastAsia="宋体" w:cs="宋体"/>
          <w:b/>
          <w:bCs/>
          <w:color w:val="auto"/>
          <w:sz w:val="30"/>
          <w:szCs w:val="30"/>
          <w:highlight w:val="none"/>
        </w:rPr>
      </w:pPr>
      <w:r>
        <w:rPr>
          <w:rFonts w:hint="eastAsia" w:ascii="宋体" w:hAnsi="宋体" w:eastAsia="宋体" w:cs="宋体"/>
          <w:b/>
          <w:bCs/>
          <w:color w:val="auto"/>
          <w:sz w:val="24"/>
          <w:szCs w:val="24"/>
          <w:highlight w:val="none"/>
          <w:lang w:eastAsia="zh-CN"/>
        </w:rPr>
        <w:t>定标因素评审资料</w:t>
      </w:r>
    </w:p>
    <w:p w14:paraId="6109F8B3">
      <w:pPr>
        <w:jc w:val="left"/>
        <w:rPr>
          <w:rFonts w:hint="eastAsia" w:ascii="宋体" w:hAnsi="宋体" w:eastAsia="宋体" w:cs="宋体"/>
          <w:color w:val="auto"/>
          <w:sz w:val="24"/>
          <w:highlight w:val="none"/>
          <w:lang w:eastAsia="zh-CN"/>
        </w:rPr>
      </w:pPr>
    </w:p>
    <w:p w14:paraId="53BC4F7B">
      <w:pPr>
        <w:pStyle w:val="39"/>
        <w:ind w:left="0" w:leftChars="0" w:firstLine="0" w:firstLineChars="0"/>
        <w:rPr>
          <w:rStyle w:val="43"/>
          <w:rFonts w:hint="eastAsia" w:ascii="宋体" w:hAnsi="宋体" w:eastAsia="宋体" w:cs="宋体"/>
          <w:b/>
          <w:bCs/>
          <w:color w:val="auto"/>
          <w:kern w:val="2"/>
          <w:sz w:val="24"/>
          <w:szCs w:val="24"/>
          <w:highlight w:val="none"/>
        </w:rPr>
      </w:pPr>
      <w:r>
        <w:rPr>
          <w:rFonts w:hint="eastAsia" w:ascii="宋体" w:hAnsi="宋体" w:eastAsia="宋体" w:cs="宋体"/>
          <w:b/>
          <w:bCs/>
          <w:color w:val="auto"/>
          <w:sz w:val="24"/>
          <w:szCs w:val="24"/>
          <w:highlight w:val="none"/>
          <w:lang w:val="en-US" w:eastAsia="zh-CN"/>
        </w:rPr>
        <w:t>投标人根据“</w:t>
      </w:r>
      <w:r>
        <w:rPr>
          <w:rFonts w:hint="eastAsia" w:ascii="宋体" w:hAnsi="宋体" w:eastAsia="宋体" w:cs="宋体"/>
          <w:b/>
          <w:bCs/>
          <w:color w:val="auto"/>
          <w:sz w:val="24"/>
          <w:szCs w:val="24"/>
          <w:highlight w:val="none"/>
        </w:rPr>
        <w:t>第</w:t>
      </w:r>
      <w:r>
        <w:rPr>
          <w:rFonts w:hint="eastAsia" w:ascii="宋体" w:hAnsi="宋体" w:eastAsia="宋体" w:cs="宋体"/>
          <w:b/>
          <w:bCs/>
          <w:color w:val="auto"/>
          <w:sz w:val="24"/>
          <w:szCs w:val="24"/>
          <w:highlight w:val="none"/>
          <w:lang w:val="en-US" w:eastAsia="zh-CN"/>
        </w:rPr>
        <w:t>一</w:t>
      </w:r>
      <w:r>
        <w:rPr>
          <w:rFonts w:hint="eastAsia" w:ascii="宋体" w:hAnsi="宋体" w:eastAsia="宋体" w:cs="宋体"/>
          <w:b/>
          <w:bCs/>
          <w:color w:val="auto"/>
          <w:sz w:val="24"/>
          <w:szCs w:val="24"/>
          <w:highlight w:val="none"/>
        </w:rPr>
        <w:t>章 第</w:t>
      </w:r>
      <w:r>
        <w:rPr>
          <w:rFonts w:hint="eastAsia" w:ascii="宋体" w:hAnsi="宋体" w:eastAsia="宋体" w:cs="宋体"/>
          <w:b/>
          <w:bCs/>
          <w:color w:val="auto"/>
          <w:sz w:val="24"/>
          <w:szCs w:val="24"/>
          <w:highlight w:val="none"/>
          <w:lang w:val="en-US" w:eastAsia="zh-CN"/>
        </w:rPr>
        <w:t>五</w:t>
      </w:r>
      <w:r>
        <w:rPr>
          <w:rFonts w:hint="eastAsia" w:ascii="宋体" w:hAnsi="宋体" w:eastAsia="宋体" w:cs="宋体"/>
          <w:b/>
          <w:bCs/>
          <w:color w:val="auto"/>
          <w:sz w:val="24"/>
          <w:szCs w:val="24"/>
          <w:highlight w:val="none"/>
        </w:rPr>
        <w:t>节 定标</w:t>
      </w:r>
      <w:r>
        <w:rPr>
          <w:rFonts w:hint="eastAsia" w:ascii="宋体" w:hAnsi="宋体" w:eastAsia="宋体" w:cs="宋体"/>
          <w:b/>
          <w:bCs/>
          <w:color w:val="auto"/>
          <w:sz w:val="24"/>
          <w:szCs w:val="24"/>
          <w:highlight w:val="none"/>
          <w:lang w:eastAsia="zh-CN"/>
        </w:rPr>
        <w:t>规定</w:t>
      </w:r>
      <w:r>
        <w:rPr>
          <w:rFonts w:hint="eastAsia" w:ascii="宋体" w:hAnsi="宋体" w:eastAsia="宋体" w:cs="宋体"/>
          <w:b/>
          <w:bCs/>
          <w:color w:val="auto"/>
          <w:sz w:val="24"/>
          <w:szCs w:val="24"/>
          <w:highlight w:val="none"/>
          <w:lang w:val="en-US" w:eastAsia="zh-CN"/>
        </w:rPr>
        <w:t>及细则”载明的</w:t>
      </w:r>
      <w:r>
        <w:rPr>
          <w:rFonts w:hint="eastAsia" w:ascii="宋体" w:hAnsi="宋体" w:eastAsia="宋体" w:cs="宋体"/>
          <w:b/>
          <w:bCs/>
          <w:color w:val="auto"/>
          <w:sz w:val="24"/>
          <w:szCs w:val="24"/>
          <w:highlight w:val="none"/>
          <w:lang w:eastAsia="zh-CN"/>
        </w:rPr>
        <w:t>定标因素，</w:t>
      </w:r>
      <w:r>
        <w:rPr>
          <w:rFonts w:hint="eastAsia" w:ascii="宋体" w:hAnsi="宋体" w:eastAsia="宋体" w:cs="宋体"/>
          <w:b/>
          <w:bCs/>
          <w:color w:val="auto"/>
          <w:sz w:val="24"/>
          <w:szCs w:val="24"/>
          <w:highlight w:val="none"/>
          <w:lang w:val="en-US" w:eastAsia="zh-CN"/>
        </w:rPr>
        <w:t>提交</w:t>
      </w:r>
      <w:r>
        <w:rPr>
          <w:rFonts w:hint="eastAsia" w:ascii="宋体" w:hAnsi="宋体" w:eastAsia="宋体" w:cs="宋体"/>
          <w:b/>
          <w:bCs/>
          <w:color w:val="auto"/>
          <w:sz w:val="24"/>
          <w:szCs w:val="24"/>
          <w:highlight w:val="none"/>
          <w:lang w:eastAsia="zh-CN"/>
        </w:rPr>
        <w:t>评审资料。</w:t>
      </w:r>
    </w:p>
    <w:p w14:paraId="14C25B53">
      <w:pPr>
        <w:spacing w:before="78" w:line="219" w:lineRule="auto"/>
        <w:jc w:val="center"/>
        <w:outlineLvl w:val="1"/>
        <w:rPr>
          <w:rFonts w:hint="eastAsia" w:ascii="宋体" w:hAnsi="宋体" w:eastAsia="宋体" w:cs="宋体"/>
          <w:b/>
          <w:bCs/>
          <w:color w:val="auto"/>
          <w:spacing w:val="-3"/>
          <w:sz w:val="24"/>
          <w:szCs w:val="24"/>
          <w:highlight w:val="none"/>
        </w:rPr>
      </w:pPr>
    </w:p>
    <w:p w14:paraId="7A6AD313">
      <w:pPr>
        <w:spacing w:before="78" w:line="219" w:lineRule="auto"/>
        <w:jc w:val="center"/>
        <w:outlineLvl w:val="1"/>
        <w:rPr>
          <w:rFonts w:hint="eastAsia" w:ascii="宋体" w:hAnsi="宋体" w:eastAsia="宋体" w:cs="宋体"/>
          <w:b/>
          <w:bCs/>
          <w:color w:val="auto"/>
          <w:spacing w:val="-3"/>
          <w:sz w:val="24"/>
          <w:szCs w:val="24"/>
          <w:highlight w:val="none"/>
        </w:rPr>
      </w:pPr>
    </w:p>
    <w:p w14:paraId="2495B873">
      <w:pPr>
        <w:spacing w:before="78" w:line="219" w:lineRule="auto"/>
        <w:jc w:val="center"/>
        <w:outlineLvl w:val="1"/>
        <w:rPr>
          <w:rFonts w:hint="eastAsia" w:ascii="宋体" w:hAnsi="宋体" w:eastAsia="宋体" w:cs="宋体"/>
          <w:b/>
          <w:bCs/>
          <w:color w:val="auto"/>
          <w:spacing w:val="-3"/>
          <w:sz w:val="24"/>
          <w:szCs w:val="24"/>
          <w:highlight w:val="none"/>
        </w:rPr>
      </w:pPr>
    </w:p>
    <w:p w14:paraId="7F14BE6C">
      <w:pPr>
        <w:spacing w:before="78" w:line="219" w:lineRule="auto"/>
        <w:jc w:val="center"/>
        <w:outlineLvl w:val="1"/>
        <w:rPr>
          <w:rFonts w:hint="eastAsia" w:ascii="宋体" w:hAnsi="宋体" w:eastAsia="宋体" w:cs="宋体"/>
          <w:b/>
          <w:bCs/>
          <w:color w:val="auto"/>
          <w:spacing w:val="-3"/>
          <w:sz w:val="24"/>
          <w:szCs w:val="24"/>
          <w:highlight w:val="none"/>
        </w:rPr>
      </w:pPr>
    </w:p>
    <w:p w14:paraId="48FF3C2F">
      <w:pPr>
        <w:spacing w:before="78" w:line="219" w:lineRule="auto"/>
        <w:jc w:val="center"/>
        <w:outlineLvl w:val="1"/>
        <w:rPr>
          <w:rFonts w:hint="eastAsia" w:ascii="宋体" w:hAnsi="宋体" w:eastAsia="宋体" w:cs="宋体"/>
          <w:b/>
          <w:bCs/>
          <w:color w:val="auto"/>
          <w:spacing w:val="-3"/>
          <w:sz w:val="24"/>
          <w:szCs w:val="24"/>
          <w:highlight w:val="none"/>
        </w:rPr>
      </w:pPr>
    </w:p>
    <w:p w14:paraId="2290D916">
      <w:pPr>
        <w:spacing w:before="78" w:line="219" w:lineRule="auto"/>
        <w:jc w:val="center"/>
        <w:outlineLvl w:val="1"/>
        <w:rPr>
          <w:rFonts w:hint="eastAsia" w:ascii="宋体" w:hAnsi="宋体" w:eastAsia="宋体" w:cs="宋体"/>
          <w:b/>
          <w:bCs/>
          <w:color w:val="auto"/>
          <w:spacing w:val="-3"/>
          <w:sz w:val="24"/>
          <w:szCs w:val="24"/>
          <w:highlight w:val="none"/>
        </w:rPr>
      </w:pPr>
    </w:p>
    <w:p w14:paraId="391FCD36">
      <w:pPr>
        <w:spacing w:before="78" w:line="219" w:lineRule="auto"/>
        <w:jc w:val="center"/>
        <w:outlineLvl w:val="1"/>
        <w:rPr>
          <w:rFonts w:hint="eastAsia" w:ascii="宋体" w:hAnsi="宋体" w:eastAsia="宋体" w:cs="宋体"/>
          <w:b/>
          <w:bCs/>
          <w:color w:val="auto"/>
          <w:spacing w:val="-3"/>
          <w:sz w:val="24"/>
          <w:szCs w:val="24"/>
          <w:highlight w:val="none"/>
        </w:rPr>
      </w:pPr>
    </w:p>
    <w:p w14:paraId="3C6BB66F">
      <w:pPr>
        <w:spacing w:before="78" w:line="219" w:lineRule="auto"/>
        <w:jc w:val="center"/>
        <w:outlineLvl w:val="1"/>
        <w:rPr>
          <w:rFonts w:hint="eastAsia" w:ascii="宋体" w:hAnsi="宋体" w:eastAsia="宋体" w:cs="宋体"/>
          <w:b/>
          <w:bCs/>
          <w:color w:val="auto"/>
          <w:spacing w:val="-3"/>
          <w:sz w:val="24"/>
          <w:szCs w:val="24"/>
          <w:highlight w:val="none"/>
        </w:rPr>
      </w:pPr>
    </w:p>
    <w:p w14:paraId="2E4A244E">
      <w:pPr>
        <w:spacing w:before="78" w:line="219" w:lineRule="auto"/>
        <w:jc w:val="center"/>
        <w:outlineLvl w:val="1"/>
        <w:rPr>
          <w:rFonts w:hint="eastAsia" w:ascii="宋体" w:hAnsi="宋体" w:eastAsia="宋体" w:cs="宋体"/>
          <w:b/>
          <w:bCs/>
          <w:color w:val="auto"/>
          <w:spacing w:val="-3"/>
          <w:sz w:val="24"/>
          <w:szCs w:val="24"/>
          <w:highlight w:val="none"/>
        </w:rPr>
      </w:pPr>
    </w:p>
    <w:p w14:paraId="765F7C6C">
      <w:pPr>
        <w:spacing w:before="78" w:line="219" w:lineRule="auto"/>
        <w:jc w:val="center"/>
        <w:outlineLvl w:val="1"/>
        <w:rPr>
          <w:rFonts w:hint="eastAsia" w:ascii="宋体" w:hAnsi="宋体" w:eastAsia="宋体" w:cs="宋体"/>
          <w:b/>
          <w:bCs/>
          <w:color w:val="auto"/>
          <w:spacing w:val="-3"/>
          <w:sz w:val="24"/>
          <w:szCs w:val="24"/>
          <w:highlight w:val="none"/>
        </w:rPr>
      </w:pPr>
    </w:p>
    <w:p w14:paraId="23EB9E71">
      <w:pPr>
        <w:spacing w:before="78" w:line="219" w:lineRule="auto"/>
        <w:jc w:val="center"/>
        <w:outlineLvl w:val="1"/>
        <w:rPr>
          <w:rFonts w:hint="eastAsia" w:ascii="宋体" w:hAnsi="宋体" w:eastAsia="宋体" w:cs="宋体"/>
          <w:b/>
          <w:bCs/>
          <w:color w:val="auto"/>
          <w:spacing w:val="-3"/>
          <w:sz w:val="24"/>
          <w:szCs w:val="24"/>
          <w:highlight w:val="none"/>
        </w:rPr>
      </w:pPr>
    </w:p>
    <w:p w14:paraId="15AA33D0">
      <w:pPr>
        <w:spacing w:before="78" w:line="219" w:lineRule="auto"/>
        <w:jc w:val="center"/>
        <w:outlineLvl w:val="1"/>
        <w:rPr>
          <w:rFonts w:hint="eastAsia" w:ascii="宋体" w:hAnsi="宋体" w:eastAsia="宋体" w:cs="宋体"/>
          <w:b/>
          <w:bCs/>
          <w:color w:val="auto"/>
          <w:spacing w:val="-3"/>
          <w:sz w:val="24"/>
          <w:szCs w:val="24"/>
          <w:highlight w:val="none"/>
        </w:rPr>
      </w:pPr>
    </w:p>
    <w:p w14:paraId="7B279407">
      <w:pPr>
        <w:spacing w:before="78" w:line="219" w:lineRule="auto"/>
        <w:jc w:val="center"/>
        <w:outlineLvl w:val="1"/>
        <w:rPr>
          <w:rFonts w:hint="eastAsia" w:ascii="宋体" w:hAnsi="宋体" w:eastAsia="宋体" w:cs="宋体"/>
          <w:b/>
          <w:bCs/>
          <w:color w:val="auto"/>
          <w:spacing w:val="-3"/>
          <w:sz w:val="24"/>
          <w:szCs w:val="24"/>
          <w:highlight w:val="none"/>
        </w:rPr>
      </w:pPr>
    </w:p>
    <w:p w14:paraId="2574C13D">
      <w:pPr>
        <w:spacing w:before="78" w:line="219" w:lineRule="auto"/>
        <w:jc w:val="center"/>
        <w:outlineLvl w:val="1"/>
        <w:rPr>
          <w:rFonts w:hint="eastAsia" w:ascii="宋体" w:hAnsi="宋体" w:eastAsia="宋体" w:cs="宋体"/>
          <w:b/>
          <w:bCs/>
          <w:color w:val="auto"/>
          <w:spacing w:val="-3"/>
          <w:sz w:val="24"/>
          <w:szCs w:val="24"/>
          <w:highlight w:val="none"/>
        </w:rPr>
      </w:pPr>
    </w:p>
    <w:p w14:paraId="7BC7ADD0">
      <w:pPr>
        <w:spacing w:before="78" w:line="219" w:lineRule="auto"/>
        <w:jc w:val="center"/>
        <w:outlineLvl w:val="1"/>
        <w:rPr>
          <w:rFonts w:hint="eastAsia" w:ascii="宋体" w:hAnsi="宋体" w:eastAsia="宋体" w:cs="宋体"/>
          <w:b/>
          <w:bCs/>
          <w:color w:val="auto"/>
          <w:spacing w:val="-3"/>
          <w:sz w:val="24"/>
          <w:szCs w:val="24"/>
          <w:highlight w:val="none"/>
        </w:rPr>
      </w:pPr>
    </w:p>
    <w:p w14:paraId="2E2C18EC">
      <w:pPr>
        <w:spacing w:before="78" w:line="219" w:lineRule="auto"/>
        <w:jc w:val="center"/>
        <w:outlineLvl w:val="1"/>
        <w:rPr>
          <w:rFonts w:hint="eastAsia" w:ascii="宋体" w:hAnsi="宋体" w:eastAsia="宋体" w:cs="宋体"/>
          <w:b/>
          <w:bCs/>
          <w:color w:val="auto"/>
          <w:spacing w:val="-3"/>
          <w:sz w:val="24"/>
          <w:szCs w:val="24"/>
          <w:highlight w:val="none"/>
        </w:rPr>
      </w:pPr>
    </w:p>
    <w:p w14:paraId="4B756AD1">
      <w:pPr>
        <w:spacing w:before="78" w:line="219" w:lineRule="auto"/>
        <w:jc w:val="center"/>
        <w:outlineLvl w:val="1"/>
        <w:rPr>
          <w:rFonts w:hint="eastAsia" w:ascii="宋体" w:hAnsi="宋体" w:eastAsia="宋体" w:cs="宋体"/>
          <w:b/>
          <w:bCs/>
          <w:color w:val="auto"/>
          <w:spacing w:val="-3"/>
          <w:sz w:val="24"/>
          <w:szCs w:val="24"/>
          <w:highlight w:val="none"/>
        </w:rPr>
      </w:pPr>
    </w:p>
    <w:p w14:paraId="053E6982">
      <w:pPr>
        <w:spacing w:before="78" w:line="219" w:lineRule="auto"/>
        <w:jc w:val="center"/>
        <w:outlineLvl w:val="1"/>
        <w:rPr>
          <w:rFonts w:hint="eastAsia" w:ascii="宋体" w:hAnsi="宋体" w:eastAsia="宋体" w:cs="宋体"/>
          <w:b/>
          <w:bCs/>
          <w:color w:val="auto"/>
          <w:spacing w:val="-3"/>
          <w:sz w:val="24"/>
          <w:szCs w:val="24"/>
          <w:highlight w:val="none"/>
        </w:rPr>
      </w:pPr>
    </w:p>
    <w:p w14:paraId="7870DAE2">
      <w:pPr>
        <w:spacing w:before="78" w:line="219" w:lineRule="auto"/>
        <w:jc w:val="center"/>
        <w:outlineLvl w:val="1"/>
        <w:rPr>
          <w:rFonts w:hint="eastAsia" w:ascii="宋体" w:hAnsi="宋体" w:eastAsia="宋体" w:cs="宋体"/>
          <w:b/>
          <w:bCs/>
          <w:color w:val="auto"/>
          <w:spacing w:val="-3"/>
          <w:sz w:val="24"/>
          <w:szCs w:val="24"/>
          <w:highlight w:val="none"/>
        </w:rPr>
      </w:pPr>
    </w:p>
    <w:p w14:paraId="4F14D8C4">
      <w:pPr>
        <w:spacing w:before="78" w:line="219" w:lineRule="auto"/>
        <w:jc w:val="center"/>
        <w:outlineLvl w:val="1"/>
        <w:rPr>
          <w:rFonts w:hint="eastAsia" w:ascii="宋体" w:hAnsi="宋体" w:eastAsia="宋体" w:cs="宋体"/>
          <w:b/>
          <w:bCs/>
          <w:color w:val="auto"/>
          <w:spacing w:val="-3"/>
          <w:sz w:val="24"/>
          <w:szCs w:val="24"/>
          <w:highlight w:val="none"/>
        </w:rPr>
      </w:pPr>
    </w:p>
    <w:p w14:paraId="35A8BC8A">
      <w:pPr>
        <w:spacing w:before="78" w:line="219" w:lineRule="auto"/>
        <w:jc w:val="center"/>
        <w:outlineLvl w:val="1"/>
        <w:rPr>
          <w:rFonts w:hint="eastAsia" w:ascii="宋体" w:hAnsi="宋体" w:eastAsia="宋体" w:cs="宋体"/>
          <w:b/>
          <w:bCs/>
          <w:color w:val="auto"/>
          <w:spacing w:val="-3"/>
          <w:sz w:val="24"/>
          <w:szCs w:val="24"/>
          <w:highlight w:val="none"/>
        </w:rPr>
      </w:pPr>
    </w:p>
    <w:p w14:paraId="27FBC262">
      <w:pPr>
        <w:spacing w:before="78" w:line="219" w:lineRule="auto"/>
        <w:jc w:val="center"/>
        <w:outlineLvl w:val="1"/>
        <w:rPr>
          <w:rFonts w:hint="eastAsia" w:ascii="宋体" w:hAnsi="宋体" w:eastAsia="宋体" w:cs="宋体"/>
          <w:b/>
          <w:bCs/>
          <w:color w:val="auto"/>
          <w:spacing w:val="-3"/>
          <w:sz w:val="24"/>
          <w:szCs w:val="24"/>
          <w:highlight w:val="none"/>
        </w:rPr>
      </w:pPr>
    </w:p>
    <w:p w14:paraId="6CBE51BC">
      <w:pPr>
        <w:spacing w:before="78" w:line="219" w:lineRule="auto"/>
        <w:jc w:val="center"/>
        <w:outlineLvl w:val="1"/>
        <w:rPr>
          <w:rFonts w:hint="eastAsia" w:ascii="宋体" w:hAnsi="宋体" w:eastAsia="宋体" w:cs="宋体"/>
          <w:b/>
          <w:bCs/>
          <w:color w:val="auto"/>
          <w:spacing w:val="-3"/>
          <w:sz w:val="24"/>
          <w:szCs w:val="24"/>
          <w:highlight w:val="none"/>
        </w:rPr>
      </w:pPr>
    </w:p>
    <w:p w14:paraId="360EE02A">
      <w:pPr>
        <w:spacing w:before="78" w:line="219" w:lineRule="auto"/>
        <w:jc w:val="center"/>
        <w:outlineLvl w:val="1"/>
        <w:rPr>
          <w:rFonts w:hint="eastAsia" w:ascii="宋体" w:hAnsi="宋体" w:eastAsia="宋体" w:cs="宋体"/>
          <w:b/>
          <w:bCs/>
          <w:color w:val="auto"/>
          <w:spacing w:val="-3"/>
          <w:sz w:val="24"/>
          <w:szCs w:val="24"/>
          <w:highlight w:val="none"/>
        </w:rPr>
      </w:pPr>
    </w:p>
    <w:p w14:paraId="76926CBB">
      <w:pPr>
        <w:spacing w:before="78" w:line="219" w:lineRule="auto"/>
        <w:jc w:val="center"/>
        <w:outlineLvl w:val="1"/>
        <w:rPr>
          <w:rFonts w:hint="eastAsia" w:ascii="宋体" w:hAnsi="宋体" w:eastAsia="宋体" w:cs="宋体"/>
          <w:b/>
          <w:bCs/>
          <w:color w:val="auto"/>
          <w:spacing w:val="-3"/>
          <w:sz w:val="24"/>
          <w:szCs w:val="24"/>
          <w:highlight w:val="none"/>
        </w:rPr>
      </w:pPr>
    </w:p>
    <w:p w14:paraId="750F22B2">
      <w:pPr>
        <w:spacing w:before="78" w:line="219" w:lineRule="auto"/>
        <w:jc w:val="center"/>
        <w:outlineLvl w:val="1"/>
        <w:rPr>
          <w:rFonts w:hint="eastAsia" w:ascii="宋体" w:hAnsi="宋体" w:eastAsia="宋体" w:cs="宋体"/>
          <w:b/>
          <w:bCs/>
          <w:color w:val="auto"/>
          <w:spacing w:val="-3"/>
          <w:sz w:val="24"/>
          <w:szCs w:val="24"/>
          <w:highlight w:val="none"/>
        </w:rPr>
      </w:pPr>
    </w:p>
    <w:p w14:paraId="0E614BAE">
      <w:pPr>
        <w:spacing w:before="78" w:line="219" w:lineRule="auto"/>
        <w:jc w:val="center"/>
        <w:outlineLvl w:val="1"/>
        <w:rPr>
          <w:rFonts w:hint="eastAsia" w:ascii="宋体" w:hAnsi="宋体" w:eastAsia="宋体" w:cs="宋体"/>
          <w:b/>
          <w:bCs/>
          <w:color w:val="auto"/>
          <w:spacing w:val="-3"/>
          <w:sz w:val="24"/>
          <w:szCs w:val="24"/>
          <w:highlight w:val="none"/>
        </w:rPr>
      </w:pPr>
    </w:p>
    <w:p w14:paraId="657A2391">
      <w:pPr>
        <w:spacing w:before="78" w:line="219" w:lineRule="auto"/>
        <w:jc w:val="center"/>
        <w:outlineLvl w:val="1"/>
        <w:rPr>
          <w:rFonts w:hint="eastAsia" w:ascii="宋体" w:hAnsi="宋体" w:eastAsia="宋体" w:cs="宋体"/>
          <w:b/>
          <w:bCs/>
          <w:color w:val="auto"/>
          <w:spacing w:val="-3"/>
          <w:sz w:val="24"/>
          <w:szCs w:val="24"/>
          <w:highlight w:val="none"/>
        </w:rPr>
      </w:pPr>
    </w:p>
    <w:p w14:paraId="20392549">
      <w:pPr>
        <w:spacing w:before="78" w:line="219" w:lineRule="auto"/>
        <w:jc w:val="center"/>
        <w:outlineLvl w:val="1"/>
        <w:rPr>
          <w:rFonts w:hint="eastAsia" w:ascii="宋体" w:hAnsi="宋体" w:eastAsia="宋体" w:cs="宋体"/>
          <w:b/>
          <w:bCs/>
          <w:color w:val="auto"/>
          <w:spacing w:val="-3"/>
          <w:sz w:val="24"/>
          <w:szCs w:val="24"/>
          <w:highlight w:val="none"/>
        </w:rPr>
      </w:pPr>
    </w:p>
    <w:p w14:paraId="3E85AE23">
      <w:pPr>
        <w:spacing w:before="78" w:line="219" w:lineRule="auto"/>
        <w:jc w:val="center"/>
        <w:outlineLvl w:val="1"/>
        <w:rPr>
          <w:rFonts w:hint="eastAsia" w:ascii="宋体" w:hAnsi="宋体" w:eastAsia="宋体" w:cs="宋体"/>
          <w:b/>
          <w:bCs/>
          <w:color w:val="auto"/>
          <w:spacing w:val="-3"/>
          <w:sz w:val="24"/>
          <w:szCs w:val="24"/>
          <w:highlight w:val="none"/>
        </w:rPr>
      </w:pPr>
    </w:p>
    <w:p w14:paraId="3E68A076">
      <w:pPr>
        <w:spacing w:before="78" w:line="219" w:lineRule="auto"/>
        <w:jc w:val="center"/>
        <w:outlineLvl w:val="1"/>
        <w:rPr>
          <w:rFonts w:hint="eastAsia" w:ascii="宋体" w:hAnsi="宋体" w:eastAsia="宋体" w:cs="宋体"/>
          <w:b/>
          <w:bCs/>
          <w:color w:val="auto"/>
          <w:spacing w:val="-3"/>
          <w:sz w:val="24"/>
          <w:szCs w:val="24"/>
          <w:highlight w:val="none"/>
        </w:rPr>
      </w:pPr>
    </w:p>
    <w:p w14:paraId="6F5EA10B">
      <w:pPr>
        <w:spacing w:before="78" w:line="219" w:lineRule="auto"/>
        <w:jc w:val="center"/>
        <w:outlineLvl w:val="1"/>
        <w:rPr>
          <w:rFonts w:hint="eastAsia" w:ascii="宋体" w:hAnsi="宋体" w:eastAsia="宋体" w:cs="宋体"/>
          <w:b/>
          <w:bCs/>
          <w:color w:val="auto"/>
          <w:spacing w:val="-3"/>
          <w:sz w:val="24"/>
          <w:szCs w:val="24"/>
          <w:highlight w:val="none"/>
        </w:rPr>
      </w:pPr>
    </w:p>
    <w:p w14:paraId="0C629BAA">
      <w:pPr>
        <w:spacing w:before="78" w:line="219" w:lineRule="auto"/>
        <w:jc w:val="center"/>
        <w:outlineLvl w:val="1"/>
        <w:rPr>
          <w:rFonts w:hint="eastAsia" w:ascii="宋体" w:hAnsi="宋体" w:eastAsia="宋体" w:cs="宋体"/>
          <w:b/>
          <w:bCs/>
          <w:color w:val="auto"/>
          <w:spacing w:val="-3"/>
          <w:sz w:val="24"/>
          <w:szCs w:val="24"/>
          <w:highlight w:val="none"/>
        </w:rPr>
      </w:pPr>
    </w:p>
    <w:p w14:paraId="3C9DA96F">
      <w:pPr>
        <w:spacing w:before="78" w:line="219" w:lineRule="auto"/>
        <w:jc w:val="center"/>
        <w:outlineLvl w:val="1"/>
        <w:rPr>
          <w:rFonts w:hint="eastAsia" w:ascii="宋体" w:hAnsi="宋体" w:eastAsia="宋体" w:cs="宋体"/>
          <w:color w:val="auto"/>
          <w:highlight w:val="none"/>
        </w:rPr>
      </w:pPr>
      <w:bookmarkStart w:id="278" w:name="_Toc10482"/>
      <w:r>
        <w:rPr>
          <w:rFonts w:hint="eastAsia" w:ascii="宋体" w:hAnsi="宋体" w:eastAsia="宋体" w:cs="宋体"/>
          <w:b/>
          <w:bCs/>
          <w:color w:val="auto"/>
          <w:spacing w:val="-3"/>
          <w:sz w:val="24"/>
          <w:szCs w:val="24"/>
          <w:highlight w:val="none"/>
        </w:rPr>
        <w:t>第七章</w:t>
      </w:r>
      <w:r>
        <w:rPr>
          <w:rFonts w:hint="eastAsia" w:ascii="宋体" w:hAnsi="宋体" w:eastAsia="宋体" w:cs="宋体"/>
          <w:color w:val="auto"/>
          <w:spacing w:val="-3"/>
          <w:sz w:val="24"/>
          <w:szCs w:val="24"/>
          <w:highlight w:val="none"/>
        </w:rPr>
        <w:t xml:space="preserve"> </w:t>
      </w:r>
      <w:r>
        <w:rPr>
          <w:rFonts w:hint="eastAsia" w:ascii="宋体" w:hAnsi="宋体" w:eastAsia="宋体" w:cs="宋体"/>
          <w:b/>
          <w:bCs/>
          <w:color w:val="auto"/>
          <w:spacing w:val="-3"/>
          <w:sz w:val="24"/>
          <w:szCs w:val="24"/>
          <w:highlight w:val="none"/>
        </w:rPr>
        <w:t>建设工程施工合同</w:t>
      </w:r>
      <w:bookmarkEnd w:id="278"/>
    </w:p>
    <w:p w14:paraId="179363DD">
      <w:pPr>
        <w:pStyle w:val="5"/>
        <w:spacing w:line="257" w:lineRule="auto"/>
        <w:rPr>
          <w:rFonts w:hint="eastAsia" w:ascii="宋体" w:hAnsi="宋体" w:eastAsia="宋体" w:cs="宋体"/>
          <w:color w:val="auto"/>
          <w:highlight w:val="none"/>
        </w:rPr>
      </w:pPr>
    </w:p>
    <w:p w14:paraId="6DEC5D22">
      <w:pPr>
        <w:spacing w:before="78" w:line="324"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（略</w:t>
      </w:r>
      <w:r>
        <w:rPr>
          <w:rFonts w:hint="eastAsia" w:ascii="宋体" w:hAnsi="宋体" w:eastAsia="宋体" w:cs="宋体"/>
          <w:color w:val="auto"/>
          <w:spacing w:val="-10"/>
          <w:sz w:val="24"/>
          <w:szCs w:val="24"/>
          <w:highlight w:val="none"/>
        </w:rPr>
        <w:t>），</w:t>
      </w:r>
      <w:r>
        <w:rPr>
          <w:rFonts w:hint="eastAsia" w:ascii="宋体" w:hAnsi="宋体" w:eastAsia="宋体" w:cs="宋体"/>
          <w:color w:val="auto"/>
          <w:spacing w:val="-3"/>
          <w:sz w:val="24"/>
          <w:szCs w:val="24"/>
          <w:highlight w:val="none"/>
        </w:rPr>
        <w:t>按《广东省建设工程标准施工合同》（2009 年版）或《建设工程施工合同</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1"/>
          <w:sz w:val="24"/>
          <w:szCs w:val="24"/>
          <w:highlight w:val="none"/>
        </w:rPr>
        <w:t>（示范文本）》（GF—2017—0201）执行。</w:t>
      </w:r>
    </w:p>
    <w:p w14:paraId="4BB447BE">
      <w:pPr>
        <w:rPr>
          <w:rFonts w:hint="eastAsia" w:ascii="宋体" w:hAnsi="宋体" w:eastAsia="宋体" w:cs="宋体"/>
          <w:color w:val="auto"/>
          <w:highlight w:val="none"/>
        </w:rPr>
      </w:pPr>
    </w:p>
    <w:sectPr>
      <w:footerReference r:id="rId25"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panose1 w:val="020B0604020202020204"/>
    <w:charset w:val="86"/>
    <w:family w:val="auto"/>
    <w:pitch w:val="default"/>
    <w:sig w:usb0="FFFFFFFF" w:usb1="E9FFFFFF" w:usb2="0000003F" w:usb3="00000000" w:csb0="603F01FF" w:csb1="FFFF0000"/>
  </w:font>
  <w:font w:name="楷体_GB2312">
    <w:panose1 w:val="02010609030101010101"/>
    <w:charset w:val="86"/>
    <w:family w:val="modern"/>
    <w:pitch w:val="default"/>
    <w:sig w:usb0="00000001" w:usb1="080E0000" w:usb2="00000000" w:usb3="00000000" w:csb0="00040000" w:csb1="0000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5303BF">
    <w:pPr>
      <w:pStyle w:val="8"/>
    </w:pPr>
    <w:r>
      <w:rPr>
        <w:sz w:val="18"/>
      </w:rPr>
      <mc:AlternateContent>
        <mc:Choice Requires="wps">
          <w:drawing>
            <wp:anchor distT="0" distB="0" distL="114300" distR="114300" simplePos="0" relativeHeight="251680768" behindDoc="0" locked="0" layoutInCell="1" allowOverlap="1">
              <wp:simplePos x="0" y="0"/>
              <wp:positionH relativeFrom="margin">
                <wp:posOffset>3024505</wp:posOffset>
              </wp:positionH>
              <wp:positionV relativeFrom="paragraph">
                <wp:posOffset>-589280</wp:posOffset>
              </wp:positionV>
              <wp:extent cx="133350" cy="339725"/>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33350" cy="339725"/>
                      </a:xfrm>
                      <a:prstGeom prst="rect">
                        <a:avLst/>
                      </a:prstGeom>
                      <a:noFill/>
                      <a:ln>
                        <a:noFill/>
                      </a:ln>
                    </wps:spPr>
                    <wps:txbx>
                      <w:txbxContent>
                        <w:p w14:paraId="3C8990D1">
                          <w:pPr>
                            <w:pStyle w:val="8"/>
                          </w:pPr>
                          <w:r>
                            <w:fldChar w:fldCharType="begin"/>
                          </w:r>
                          <w:r>
                            <w:instrText xml:space="preserve"> PAGE  \* MERGEFORMAT </w:instrText>
                          </w:r>
                          <w:r>
                            <w:fldChar w:fldCharType="separate"/>
                          </w:r>
                          <w:r>
                            <w:t>1</w:t>
                          </w:r>
                          <w:r>
                            <w:fldChar w:fldCharType="end"/>
                          </w:r>
                        </w:p>
                      </w:txbxContent>
                    </wps:txbx>
                    <wps:bodyPr lIns="0" tIns="0" rIns="0" bIns="0" upright="0"/>
                  </wps:wsp>
                </a:graphicData>
              </a:graphic>
            </wp:anchor>
          </w:drawing>
        </mc:Choice>
        <mc:Fallback>
          <w:pict>
            <v:shape id="_x0000_s1026" o:spid="_x0000_s1026" o:spt="202" type="#_x0000_t202" style="position:absolute;left:0pt;margin-left:238.15pt;margin-top:-46.4pt;height:26.75pt;width:10.5pt;mso-position-horizontal-relative:margin;z-index:251680768;mso-width-relative:page;mso-height-relative:page;" filled="f" stroked="f" coordsize="21600,21600" o:gfxdata="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we/Q19kAAAALAQAADwAAAAAAAAABACAAAAAiAAAAZHJzL2Rvd25yZXYueG1sUEsB&#10;AhQAFAAAAAgAh07iQPACNNW7AQAAcwMAAA4AAAAAAAAAAQAgAAAAKAEAAGRycy9lMm9Eb2MueG1s&#10;UEsFBgAAAAAGAAYAWQEAAFUFAAAAAA==&#10;">
              <v:fill on="f" focussize="0,0"/>
              <v:stroke on="f"/>
              <v:imagedata o:title=""/>
              <o:lock v:ext="edit" aspectratio="f"/>
              <v:textbox inset="0mm,0mm,0mm,0mm">
                <w:txbxContent>
                  <w:p w14:paraId="3C8990D1">
                    <w:pPr>
                      <w:pStyle w:val="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6A5013">
    <w:pPr>
      <w:pStyle w:val="8"/>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E5E7166">
                          <w:pPr>
                            <w:pStyle w:val="8"/>
                          </w:pPr>
                          <w:r>
                            <w:fldChar w:fldCharType="begin"/>
                          </w:r>
                          <w:r>
                            <w:instrText xml:space="preserve"> PAGE  \* MERGEFORMAT </w:instrText>
                          </w:r>
                          <w:r>
                            <w:fldChar w:fldCharType="separate"/>
                          </w:r>
                          <w:r>
                            <w:t>83</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fnvsskBAACbAwAADgAAAGRycy9lMm9Eb2MueG1srVPNjtMwEL6vxDtY&#10;vlNnK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uAlvKHHc4sTPP3+cfz2eH74T&#10;9KFAfYAa8+4CZqbhvR8wefYDOjPvQUWbv8iIYBzlPV3klUMiIj9aLVerCkMCY/MF8dnT8xAhfZDe&#10;kmw0NOL8iqz8+AnSmDqn5GrO32pjygyN+8uBmNnDcu9jj9lKw26YCO18e0I+PY6+oQ43nRLz0aGy&#10;eUtmI87GbjYOIep9V9Yo14Pw7pCwidJbrjDCToVxZoXdtF95Kf68l6ynf2rz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d+e+yyQEAAJsDAAAOAAAAAAAAAAEAIAAAAB4BAABkcnMvZTJvRG9j&#10;LnhtbFBLBQYAAAAABgAGAFkBAABZBQAAAAA=&#10;">
              <v:fill on="f" focussize="0,0"/>
              <v:stroke on="f"/>
              <v:imagedata o:title=""/>
              <o:lock v:ext="edit" aspectratio="f"/>
              <v:textbox inset="0mm,0mm,0mm,0mm" style="mso-fit-shape-to-text:t;">
                <w:txbxContent>
                  <w:p w14:paraId="6E5E7166">
                    <w:pPr>
                      <w:pStyle w:val="8"/>
                    </w:pPr>
                    <w:r>
                      <w:fldChar w:fldCharType="begin"/>
                    </w:r>
                    <w:r>
                      <w:instrText xml:space="preserve"> PAGE  \* MERGEFORMAT </w:instrText>
                    </w:r>
                    <w:r>
                      <w:fldChar w:fldCharType="separate"/>
                    </w:r>
                    <w:r>
                      <w:t>83</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FE90E9">
    <w:pPr>
      <w:pStyle w:val="8"/>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BEFCB23">
                          <w:pPr>
                            <w:pStyle w:val="8"/>
                          </w:pPr>
                          <w:r>
                            <w:fldChar w:fldCharType="begin"/>
                          </w:r>
                          <w:r>
                            <w:instrText xml:space="preserve"> PAGE  \* MERGEFORMAT </w:instrText>
                          </w:r>
                          <w:r>
                            <w:fldChar w:fldCharType="separate"/>
                          </w:r>
                          <w:r>
                            <w:t>84</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3sYQ8g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uAkoieMWJ37+8f388/f51zeC&#10;PhSoD1Bj3mPAzDTc+AGTZz+gM/MeVLT5i4wIxhHrdJFXDomI/Gi1XK0qDAmMzRfEZ0/PQ4R0J70l&#10;2WhoxPkVWfnxHtKYOqfkas7famPKDI37y4GY2cNy72OP2UrDbpgI7Xx7Qj49jr6hDjedEvPRobLY&#10;X5qNOBu72TiEqPddWaNcD8KHQ8ImSm+5wgg7FcaZFXbTfuWleH4vWU//1OY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L97GEPIAQAAmwMAAA4AAAAAAAAAAQAgAAAAHgEAAGRycy9lMm9Eb2Mu&#10;eG1sUEsFBgAAAAAGAAYAWQEAAFgFAAAAAA==&#10;">
              <v:fill on="f" focussize="0,0"/>
              <v:stroke on="f"/>
              <v:imagedata o:title=""/>
              <o:lock v:ext="edit" aspectratio="f"/>
              <v:textbox inset="0mm,0mm,0mm,0mm" style="mso-fit-shape-to-text:t;">
                <w:txbxContent>
                  <w:p w14:paraId="6BEFCB23">
                    <w:pPr>
                      <w:pStyle w:val="8"/>
                    </w:pPr>
                    <w:r>
                      <w:fldChar w:fldCharType="begin"/>
                    </w:r>
                    <w:r>
                      <w:instrText xml:space="preserve"> PAGE  \* MERGEFORMAT </w:instrText>
                    </w:r>
                    <w:r>
                      <w:fldChar w:fldCharType="separate"/>
                    </w:r>
                    <w:r>
                      <w:t>84</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F73186">
    <w:pPr>
      <w:pStyle w:val="8"/>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5B5328D">
                          <w:pPr>
                            <w:pStyle w:val="8"/>
                          </w:pPr>
                          <w:r>
                            <w:fldChar w:fldCharType="begin"/>
                          </w:r>
                          <w:r>
                            <w:instrText xml:space="preserve"> PAGE  \* MERGEFORMAT </w:instrText>
                          </w:r>
                          <w:r>
                            <w:fldChar w:fldCharType="separate"/>
                          </w:r>
                          <w:r>
                            <w:t>85</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ZM0qcgBAACZAwAADgAAAGRycy9lMm9Eb2MueG1srVPNjtMwEL4j8Q6W&#10;79TZHlA3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zcYhRL3vyhLlehBuDwmbKL3lCiPsVBgnVthN25VX4vG9ZD38UZ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CWTNKnIAQAAmQMAAA4AAAAAAAAAAQAgAAAAHgEAAGRycy9lMm9Eb2Mu&#10;eG1sUEsFBgAAAAAGAAYAWQEAAFgFAAAAAA==&#10;">
              <v:fill on="f" focussize="0,0"/>
              <v:stroke on="f"/>
              <v:imagedata o:title=""/>
              <o:lock v:ext="edit" aspectratio="f"/>
              <v:textbox inset="0mm,0mm,0mm,0mm" style="mso-fit-shape-to-text:t;">
                <w:txbxContent>
                  <w:p w14:paraId="05B5328D">
                    <w:pPr>
                      <w:pStyle w:val="8"/>
                    </w:pPr>
                    <w:r>
                      <w:fldChar w:fldCharType="begin"/>
                    </w:r>
                    <w:r>
                      <w:instrText xml:space="preserve"> PAGE  \* MERGEFORMAT </w:instrText>
                    </w:r>
                    <w:r>
                      <w:fldChar w:fldCharType="separate"/>
                    </w:r>
                    <w:r>
                      <w:t>85</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379E83">
    <w:pPr>
      <w:pStyle w:val="8"/>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B8DD399">
                          <w:pPr>
                            <w:pStyle w:val="8"/>
                          </w:pPr>
                          <w:r>
                            <w:fldChar w:fldCharType="begin"/>
                          </w:r>
                          <w:r>
                            <w:instrText xml:space="preserve"> PAGE  \* MERGEFORMAT </w:instrText>
                          </w:r>
                          <w:r>
                            <w:fldChar w:fldCharType="separate"/>
                          </w:r>
                          <w:r>
                            <w:t>86</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I/3icgBAACb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teUOG5x4pcf3y8/f19+fSPo&#10;Q4GGAA3m3QfMTONbP+LaLH5AZ+Y9qmjzFxkRjKO856u8ckxE5Efrer2uMCQwtlwQnz08DxHSO+kt&#10;yUZLI86vyMpPHyBNqUtKrub8nTamzNC4vxyImT0s9z71mK007seZ0N53Z+Qz4Ohb6nDTKTHvHSqb&#10;t2Qx4mLsF+MYoj70ZY1yPQhvjgmbKL3lChPsXBhnVtjN+5WX4vG9ZD38U9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CSP94nIAQAAmwMAAA4AAAAAAAAAAQAgAAAAHgEAAGRycy9lMm9Eb2Mu&#10;eG1sUEsFBgAAAAAGAAYAWQEAAFgFAAAAAA==&#10;">
              <v:fill on="f" focussize="0,0"/>
              <v:stroke on="f"/>
              <v:imagedata o:title=""/>
              <o:lock v:ext="edit" aspectratio="f"/>
              <v:textbox inset="0mm,0mm,0mm,0mm" style="mso-fit-shape-to-text:t;">
                <w:txbxContent>
                  <w:p w14:paraId="7B8DD399">
                    <w:pPr>
                      <w:pStyle w:val="8"/>
                    </w:pPr>
                    <w:r>
                      <w:fldChar w:fldCharType="begin"/>
                    </w:r>
                    <w:r>
                      <w:instrText xml:space="preserve"> PAGE  \* MERGEFORMAT </w:instrText>
                    </w:r>
                    <w:r>
                      <w:fldChar w:fldCharType="separate"/>
                    </w:r>
                    <w:r>
                      <w:t>86</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110808">
    <w:pPr>
      <w:pStyle w:val="8"/>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1382479">
                          <w:pPr>
                            <w:pStyle w:val="8"/>
                          </w:pPr>
                          <w:r>
                            <w:fldChar w:fldCharType="begin"/>
                          </w:r>
                          <w:r>
                            <w:instrText xml:space="preserve"> PAGE  \* MERGEFORMAT </w:instrText>
                          </w:r>
                          <w:r>
                            <w:fldChar w:fldCharType="separate"/>
                          </w:r>
                          <w:r>
                            <w:t>89</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1fWDnscBAACZAwAADgAAAAAAAAABACAAAAAeAQAAZHJzL2Uyb0RvYy54&#10;bWxQSwUGAAAAAAYABgBZAQAAVwUAAAAA&#10;">
              <v:fill on="f" focussize="0,0"/>
              <v:stroke on="f"/>
              <v:imagedata o:title=""/>
              <o:lock v:ext="edit" aspectratio="f"/>
              <v:textbox inset="0mm,0mm,0mm,0mm" style="mso-fit-shape-to-text:t;">
                <w:txbxContent>
                  <w:p w14:paraId="41382479">
                    <w:pPr>
                      <w:pStyle w:val="8"/>
                    </w:pPr>
                    <w:r>
                      <w:fldChar w:fldCharType="begin"/>
                    </w:r>
                    <w:r>
                      <w:instrText xml:space="preserve"> PAGE  \* MERGEFORMAT </w:instrText>
                    </w:r>
                    <w:r>
                      <w:fldChar w:fldCharType="separate"/>
                    </w:r>
                    <w:r>
                      <w:t>89</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80FA81">
    <w:pPr>
      <w:pStyle w:val="8"/>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692879A">
                          <w:pPr>
                            <w:pStyle w:val="8"/>
                          </w:pPr>
                          <w:r>
                            <w:fldChar w:fldCharType="begin"/>
                          </w:r>
                          <w:r>
                            <w:instrText xml:space="preserve"> PAGE  \* MERGEFORMAT </w:instrText>
                          </w:r>
                          <w:r>
                            <w:fldChar w:fldCharType="separate"/>
                          </w:r>
                          <w:r>
                            <w:t>90</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PRNfsgBAACZAwAADgAAAGRycy9lMm9Eb2MueG1srVPNjtMwEL4j8Q6W&#10;79TZHtgq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zcYhRL3vyhLlehBuDwmbKL3lCiPsVBgnVthN25VX4vG9ZD38UZ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MT0TX7IAQAAmQMAAA4AAAAAAAAAAQAgAAAAHgEAAGRycy9lMm9Eb2Mu&#10;eG1sUEsFBgAAAAAGAAYAWQEAAFgFAAAAAA==&#10;">
              <v:fill on="f" focussize="0,0"/>
              <v:stroke on="f"/>
              <v:imagedata o:title=""/>
              <o:lock v:ext="edit" aspectratio="f"/>
              <v:textbox inset="0mm,0mm,0mm,0mm" style="mso-fit-shape-to-text:t;">
                <w:txbxContent>
                  <w:p w14:paraId="2692879A">
                    <w:pPr>
                      <w:pStyle w:val="8"/>
                    </w:pPr>
                    <w:r>
                      <w:fldChar w:fldCharType="begin"/>
                    </w:r>
                    <w:r>
                      <w:instrText xml:space="preserve"> PAGE  \* MERGEFORMAT </w:instrText>
                    </w:r>
                    <w:r>
                      <w:fldChar w:fldCharType="separate"/>
                    </w:r>
                    <w:r>
                      <w:t>90</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81A343">
    <w:pPr>
      <w:pStyle w:val="8"/>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BB21017">
                          <w:pPr>
                            <w:pStyle w:val="8"/>
                          </w:pPr>
                          <w:r>
                            <w:fldChar w:fldCharType="begin"/>
                          </w:r>
                          <w:r>
                            <w:instrText xml:space="preserve"> PAGE  \* MERGEFORMAT </w:instrText>
                          </w:r>
                          <w:r>
                            <w:fldChar w:fldCharType="separate"/>
                          </w:r>
                          <w:r>
                            <w:t>91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kjEckBAACZAwAADgAAAGRycy9lMm9Eb2MueG1srVPNjtMwEL4j8Q6W&#10;79TZSou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OSMRyQEAAJkDAAAOAAAAAAAAAAEAIAAAAB4BAABkcnMvZTJvRG9j&#10;LnhtbFBLBQYAAAAABgAGAFkBAABZBQAAAAA=&#10;">
              <v:fill on="f" focussize="0,0"/>
              <v:stroke on="f"/>
              <v:imagedata o:title=""/>
              <o:lock v:ext="edit" aspectratio="f"/>
              <v:textbox inset="0mm,0mm,0mm,0mm" style="mso-fit-shape-to-text:t;">
                <w:txbxContent>
                  <w:p w14:paraId="4BB21017">
                    <w:pPr>
                      <w:pStyle w:val="8"/>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FDCA71">
    <w:pPr>
      <w:pStyle w:val="8"/>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953BFF6">
                          <w:pPr>
                            <w:pStyle w:val="8"/>
                          </w:pPr>
                          <w:r>
                            <w:fldChar w:fldCharType="begin"/>
                          </w:r>
                          <w:r>
                            <w:instrText xml:space="preserve"> PAGE  \* MERGEFORMAT </w:instrText>
                          </w:r>
                          <w:r>
                            <w:fldChar w:fldCharType="separate"/>
                          </w:r>
                          <w:r>
                            <w:t>93</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G+QoMkBAACZ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Eb5CgyQEAAJkDAAAOAAAAAAAAAAEAIAAAAB4BAABkcnMvZTJvRG9j&#10;LnhtbFBLBQYAAAAABgAGAFkBAABZBQAAAAA=&#10;">
              <v:fill on="f" focussize="0,0"/>
              <v:stroke on="f"/>
              <v:imagedata o:title=""/>
              <o:lock v:ext="edit" aspectratio="f"/>
              <v:textbox inset="0mm,0mm,0mm,0mm" style="mso-fit-shape-to-text:t;">
                <w:txbxContent>
                  <w:p w14:paraId="3953BFF6">
                    <w:pPr>
                      <w:pStyle w:val="8"/>
                    </w:pPr>
                    <w:r>
                      <w:fldChar w:fldCharType="begin"/>
                    </w:r>
                    <w:r>
                      <w:instrText xml:space="preserve"> PAGE  \* MERGEFORMAT </w:instrText>
                    </w:r>
                    <w:r>
                      <w:fldChar w:fldCharType="separate"/>
                    </w:r>
                    <w:r>
                      <w:t>93</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DDDC36">
    <w:pPr>
      <w:pStyle w:val="8"/>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A12D34B">
                          <w:pPr>
                            <w:pStyle w:val="8"/>
                          </w:pPr>
                          <w:r>
                            <w:fldChar w:fldCharType="begin"/>
                          </w:r>
                          <w:r>
                            <w:instrText xml:space="preserve"> PAGE  \* MERGEFORMAT </w:instrText>
                          </w:r>
                          <w:r>
                            <w:fldChar w:fldCharType="separate"/>
                          </w:r>
                          <w:r>
                            <w:t>94</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14:paraId="5A12D34B">
                    <w:pPr>
                      <w:pStyle w:val="8"/>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25BB37">
    <w:pPr>
      <w:pStyle w:val="8"/>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7DDC229">
                          <w:pPr>
                            <w:pStyle w:val="8"/>
                          </w:pPr>
                          <w:r>
                            <w:fldChar w:fldCharType="begin"/>
                          </w:r>
                          <w:r>
                            <w:instrText xml:space="preserve"> PAGE  \* MERGEFORMAT </w:instrText>
                          </w:r>
                          <w:r>
                            <w:fldChar w:fldCharType="separate"/>
                          </w:r>
                          <w:r>
                            <w:t>102</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14:paraId="47DDC229">
                    <w:pPr>
                      <w:pStyle w:val="8"/>
                    </w:pPr>
                    <w:r>
                      <w:fldChar w:fldCharType="begin"/>
                    </w:r>
                    <w:r>
                      <w:instrText xml:space="preserve"> PAGE  \* MERGEFORMAT </w:instrText>
                    </w:r>
                    <w:r>
                      <w:fldChar w:fldCharType="separate"/>
                    </w:r>
                    <w:r>
                      <w:t>102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6D0199">
    <w:pPr>
      <w:spacing w:line="179" w:lineRule="auto"/>
      <w:ind w:left="4353"/>
      <w:rPr>
        <w:rFonts w:ascii="宋体" w:hAnsi="宋体" w:eastAsia="宋体" w:cs="宋体"/>
        <w:sz w:val="19"/>
        <w:szCs w:val="19"/>
      </w:rPr>
    </w:pPr>
    <w:r>
      <w:rPr>
        <w:sz w:val="19"/>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76448F3">
                          <w:pPr>
                            <w:pStyle w:val="8"/>
                          </w:pPr>
                          <w:r>
                            <w:fldChar w:fldCharType="begin"/>
                          </w:r>
                          <w:r>
                            <w:instrText xml:space="preserve"> PAGE  \* MERGEFORMAT </w:instrText>
                          </w:r>
                          <w:r>
                            <w:fldChar w:fldCharType="separate"/>
                          </w:r>
                          <w:r>
                            <w:t>5</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WErUcoBAACbAwAADgAAAGRycy9lMm9Eb2MueG1srVPNjtMwEL6vxDtY&#10;vlNni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X2zpMRxixM///xx/vV4fvhO&#10;0IcC9QFqzLsLmJmG937AtZn9gM7Me1DR5i8yIhhHeU8XeeWQiMiPVsvVqsKQwNh8QXz29DxESB+k&#10;tyQbDY04vyIrP36CNKbOKbma87famDJD4/5yIGb2sNz72GO20rAbJkI7356QT4+jb6jDTafEfHSo&#10;bN6S2YizsZuNQ4h635U1yvUgvDskbKL0liuMsFNhnFlhN+1XXoo/7yXr6Z/a/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nWErUcoBAACbAwAADgAAAAAAAAABACAAAAAeAQAAZHJzL2Uyb0Rv&#10;Yy54bWxQSwUGAAAAAAYABgBZAQAAWgUAAAAA&#10;">
              <v:fill on="f" focussize="0,0"/>
              <v:stroke on="f"/>
              <v:imagedata o:title=""/>
              <o:lock v:ext="edit" aspectratio="f"/>
              <v:textbox inset="0mm,0mm,0mm,0mm" style="mso-fit-shape-to-text:t;">
                <w:txbxContent>
                  <w:p w14:paraId="676448F3">
                    <w:pPr>
                      <w:pStyle w:val="8"/>
                    </w:pPr>
                    <w:r>
                      <w:fldChar w:fldCharType="begin"/>
                    </w:r>
                    <w:r>
                      <w:instrText xml:space="preserve"> PAGE  \* MERGEFORMAT </w:instrText>
                    </w:r>
                    <w:r>
                      <w:fldChar w:fldCharType="separate"/>
                    </w:r>
                    <w:r>
                      <w:t>5</w:t>
                    </w:r>
                    <w:r>
                      <w:fldChar w:fldCharType="end"/>
                    </w:r>
                  </w:p>
                </w:txbxContent>
              </v:textbox>
            </v:shape>
          </w:pict>
        </mc:Fallback>
      </mc:AlternateContent>
    </w:r>
    <w:r>
      <w:rPr>
        <w:rFonts w:hint="eastAsia" w:ascii="宋体" w:hAnsi="宋体" w:eastAsia="宋体" w:cs="宋体"/>
        <w:sz w:val="19"/>
        <w:szCs w:val="19"/>
        <w:lang w:eastAsia="zh-CN"/>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D7FF26">
    <w:pPr>
      <w:pStyle w:val="8"/>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F119CC0">
                          <w:pPr>
                            <w:pStyle w:val="8"/>
                          </w:pPr>
                          <w:r>
                            <w:fldChar w:fldCharType="begin"/>
                          </w:r>
                          <w:r>
                            <w:instrText xml:space="preserve"> PAGE  \* MERGEFORMAT </w:instrText>
                          </w:r>
                          <w:r>
                            <w:fldChar w:fldCharType="separate"/>
                          </w:r>
                          <w:r>
                            <w:t>44</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BkHiCcoBAACbAwAADgAAAAAAAAABACAAAAAeAQAAZHJzL2Uyb0Rv&#10;Yy54bWxQSwUGAAAAAAYABgBZAQAAWgUAAAAA&#10;">
              <v:fill on="f" focussize="0,0"/>
              <v:stroke on="f"/>
              <v:imagedata o:title=""/>
              <o:lock v:ext="edit" aspectratio="f"/>
              <v:textbox inset="0mm,0mm,0mm,0mm" style="mso-fit-shape-to-text:t;">
                <w:txbxContent>
                  <w:p w14:paraId="1F119CC0">
                    <w:pPr>
                      <w:pStyle w:val="8"/>
                    </w:pPr>
                    <w:r>
                      <w:fldChar w:fldCharType="begin"/>
                    </w:r>
                    <w:r>
                      <w:instrText xml:space="preserve"> PAGE  \* MERGEFORMAT </w:instrText>
                    </w:r>
                    <w:r>
                      <w:fldChar w:fldCharType="separate"/>
                    </w:r>
                    <w:r>
                      <w:t>44</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D59332">
    <w:pPr>
      <w:pStyle w:val="8"/>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BD5F1FB">
                          <w:pPr>
                            <w:pStyle w:val="8"/>
                          </w:pPr>
                          <w:r>
                            <w:fldChar w:fldCharType="begin"/>
                          </w:r>
                          <w:r>
                            <w:instrText xml:space="preserve"> PAGE  \* MERGEFORMAT </w:instrText>
                          </w:r>
                          <w:r>
                            <w:fldChar w:fldCharType="separate"/>
                          </w:r>
                          <w:r>
                            <w:t>47</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S3JIMkBAACb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GpJieMWJ375+ePy68/l93eC&#10;PhSoD1Bj3n3AzDS88wOuzewHdGbeg4o2f5ERwTjKe77KK4dERH60Xq3XFYYExuYL4rOH5yFCei+9&#10;JdloaMT5FVn56SOkMXVOydWcv9PGlBka948DMbOH5d7HHrOVhv0wEdr79ox8ehx9Qx1uOiXmg0Nl&#10;85bMRpyN/WwcQ9SHrqxRrgfh9piwidJbrjDCToVxZoXdtF95KR7fS9bDP7X9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dLckgyQEAAJsDAAAOAAAAAAAAAAEAIAAAAB4BAABkcnMvZTJvRG9j&#10;LnhtbFBLBQYAAAAABgAGAFkBAABZBQAAAAA=&#10;">
              <v:fill on="f" focussize="0,0"/>
              <v:stroke on="f"/>
              <v:imagedata o:title=""/>
              <o:lock v:ext="edit" aspectratio="f"/>
              <v:textbox inset="0mm,0mm,0mm,0mm" style="mso-fit-shape-to-text:t;">
                <w:txbxContent>
                  <w:p w14:paraId="3BD5F1FB">
                    <w:pPr>
                      <w:pStyle w:val="8"/>
                    </w:pPr>
                    <w:r>
                      <w:fldChar w:fldCharType="begin"/>
                    </w:r>
                    <w:r>
                      <w:instrText xml:space="preserve"> PAGE  \* MERGEFORMAT </w:instrText>
                    </w:r>
                    <w:r>
                      <w:fldChar w:fldCharType="separate"/>
                    </w:r>
                    <w:r>
                      <w:t>47</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84C173">
    <w:pPr>
      <w:pStyle w:val="8"/>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AED13CE">
                          <w:pPr>
                            <w:pStyle w:val="8"/>
                          </w:pPr>
                          <w:r>
                            <w:fldChar w:fldCharType="begin"/>
                          </w:r>
                          <w:r>
                            <w:instrText xml:space="preserve"> PAGE  \* MERGEFORMAT </w:instrText>
                          </w:r>
                          <w:r>
                            <w:fldChar w:fldCharType="separate"/>
                          </w:r>
                          <w:r>
                            <w:t>50</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U4M8ck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DV2iJI5bnPj5x/fzz9/nX98I&#10;+lCgPkCNeY8BM9Nw4wdcm9kP6My8BxVt/iIjgnHEOl3klUMiIj9aLVerCkMCY/MF8dnT8xAh3Ulv&#10;STYaGnF+RVZ+vIc0ps4puZrzt9qYMkPj/nIgZvaw3PvYY7bSsBsmQjvfnpBPj6NvqMNNp8R8dKgs&#10;9pdmI87GbjYOIep9V9Yo14Pw4ZCwidJbrjDCToVxZoXdtF95KZ7fS9bTP7X5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1TgzxyQEAAJsDAAAOAAAAAAAAAAEAIAAAAB4BAABkcnMvZTJvRG9j&#10;LnhtbFBLBQYAAAAABgAGAFkBAABZBQAAAAA=&#10;">
              <v:fill on="f" focussize="0,0"/>
              <v:stroke on="f"/>
              <v:imagedata o:title=""/>
              <o:lock v:ext="edit" aspectratio="f"/>
              <v:textbox inset="0mm,0mm,0mm,0mm" style="mso-fit-shape-to-text:t;">
                <w:txbxContent>
                  <w:p w14:paraId="0AED13CE">
                    <w:pPr>
                      <w:pStyle w:val="8"/>
                    </w:pPr>
                    <w:r>
                      <w:fldChar w:fldCharType="begin"/>
                    </w:r>
                    <w:r>
                      <w:instrText xml:space="preserve"> PAGE  \* MERGEFORMAT </w:instrText>
                    </w:r>
                    <w:r>
                      <w:fldChar w:fldCharType="separate"/>
                    </w:r>
                    <w:r>
                      <w:t>50</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1DCA5A">
    <w:pPr>
      <w:pStyle w:val="8"/>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8319613">
                          <w:pPr>
                            <w:pStyle w:val="8"/>
                          </w:pPr>
                          <w:r>
                            <w:fldChar w:fldCharType="begin"/>
                          </w:r>
                          <w:r>
                            <w:instrText xml:space="preserve"> PAGE  \* MERGEFORMAT </w:instrText>
                          </w:r>
                          <w:r>
                            <w:fldChar w:fldCharType="separate"/>
                          </w:r>
                          <w:r>
                            <w:t>78</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GDQB4yQEAAJsDAAAOAAAAAAAAAAEAIAAAAB4BAABkcnMvZTJvRG9j&#10;LnhtbFBLBQYAAAAABgAGAFkBAABZBQAAAAA=&#10;">
              <v:fill on="f" focussize="0,0"/>
              <v:stroke on="f"/>
              <v:imagedata o:title=""/>
              <o:lock v:ext="edit" aspectratio="f"/>
              <v:textbox inset="0mm,0mm,0mm,0mm" style="mso-fit-shape-to-text:t;">
                <w:txbxContent>
                  <w:p w14:paraId="78319613">
                    <w:pPr>
                      <w:pStyle w:val="8"/>
                    </w:pPr>
                    <w:r>
                      <w:fldChar w:fldCharType="begin"/>
                    </w:r>
                    <w:r>
                      <w:instrText xml:space="preserve"> PAGE  \* MERGEFORMAT </w:instrText>
                    </w:r>
                    <w:r>
                      <w:fldChar w:fldCharType="separate"/>
                    </w:r>
                    <w:r>
                      <w:t>78</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8FDE00">
    <w:pPr>
      <w:pStyle w:val="8"/>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14DAE0F">
                          <w:pPr>
                            <w:pStyle w:val="8"/>
                          </w:pPr>
                          <w:r>
                            <w:fldChar w:fldCharType="begin"/>
                          </w:r>
                          <w:r>
                            <w:instrText xml:space="preserve"> PAGE  \* MERGEFORMAT </w:instrText>
                          </w:r>
                          <w:r>
                            <w:fldChar w:fldCharType="separate"/>
                          </w:r>
                          <w:r>
                            <w:t>79</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ZoqY8kBAACbAwAADgAAAGRycy9lMm9Eb2MueG1srVPNjtMwEL6vxDtY&#10;vlNnK4G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uAlvKHHc4sTPP3+cfz2eH74T&#10;9KFAfYAa8+4CZqbhvR8wefYDOjPvQUWbv8iIYBzlPV3klUMiIj9aLVerCkMCY/MF8dnT8xAhfZDe&#10;kmw0NOL8iqz8+AnSmDqn5GrO32pjygyN+8uBmNnDcu9jj9lKw26YCO18e0I+PY6+oQ43nRLz0aGy&#10;eUtmI87GbjYOIep9V9Yo14Pw7pCwidJbrjDCToVxZoXdtF95Kf68l6ynf2rz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1mipjyQEAAJsDAAAOAAAAAAAAAAEAIAAAAB4BAABkcnMvZTJvRG9j&#10;LnhtbFBLBQYAAAAABgAGAFkBAABZBQAAAAA=&#10;">
              <v:fill on="f" focussize="0,0"/>
              <v:stroke on="f"/>
              <v:imagedata o:title=""/>
              <o:lock v:ext="edit" aspectratio="f"/>
              <v:textbox inset="0mm,0mm,0mm,0mm" style="mso-fit-shape-to-text:t;">
                <w:txbxContent>
                  <w:p w14:paraId="214DAE0F">
                    <w:pPr>
                      <w:pStyle w:val="8"/>
                    </w:pPr>
                    <w:r>
                      <w:fldChar w:fldCharType="begin"/>
                    </w:r>
                    <w:r>
                      <w:instrText xml:space="preserve"> PAGE  \* MERGEFORMAT </w:instrText>
                    </w:r>
                    <w:r>
                      <w:fldChar w:fldCharType="separate"/>
                    </w:r>
                    <w:r>
                      <w:t>79</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C3E019">
    <w:pPr>
      <w:pStyle w:val="8"/>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9567FB9">
                          <w:pPr>
                            <w:pStyle w:val="8"/>
                          </w:pPr>
                          <w:r>
                            <w:fldChar w:fldCharType="begin"/>
                          </w:r>
                          <w:r>
                            <w:instrText xml:space="preserve"> PAGE  \* MERGEFORMAT </w:instrText>
                          </w:r>
                          <w:r>
                            <w:fldChar w:fldCharType="separate"/>
                          </w:r>
                          <w:r>
                            <w:t>80</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W9EbyQEAAJsDAAAOAAAAAAAAAAEAIAAAAB4BAABkcnMvZTJvRG9j&#10;LnhtbFBLBQYAAAAABgAGAFkBAABZBQAAAAA=&#10;">
              <v:fill on="f" focussize="0,0"/>
              <v:stroke on="f"/>
              <v:imagedata o:title=""/>
              <o:lock v:ext="edit" aspectratio="f"/>
              <v:textbox inset="0mm,0mm,0mm,0mm" style="mso-fit-shape-to-text:t;">
                <w:txbxContent>
                  <w:p w14:paraId="29567FB9">
                    <w:pPr>
                      <w:pStyle w:val="8"/>
                    </w:pPr>
                    <w:r>
                      <w:fldChar w:fldCharType="begin"/>
                    </w:r>
                    <w:r>
                      <w:instrText xml:space="preserve"> PAGE  \* MERGEFORMAT </w:instrText>
                    </w:r>
                    <w:r>
                      <w:fldChar w:fldCharType="separate"/>
                    </w:r>
                    <w:r>
                      <w:t>80</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734BA4">
    <w:pPr>
      <w:pStyle w:val="8"/>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B6616AD">
                          <w:pPr>
                            <w:pStyle w:val="8"/>
                          </w:pPr>
                          <w:r>
                            <w:fldChar w:fldCharType="begin"/>
                          </w:r>
                          <w:r>
                            <w:instrText xml:space="preserve"> PAGE  \* MERGEFORMAT </w:instrText>
                          </w:r>
                          <w:r>
                            <w:fldChar w:fldCharType="separate"/>
                          </w:r>
                          <w:r>
                            <w:t>81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nmGe8g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uAk4d8ctTvz84/v55+/zr28E&#10;fShQH6DGvMeAmWm48QMmz35AZ+Y9qGjzFxkRjKO8p4u8ckhE5Eer5WpVYUhgbL4gPnt6HiKkO+kt&#10;yUZDI86vyMqP95DG1DklV3P+VhtTZmjcXw7EzB6Wex97zFYadsNEaOfbE/LpcfQNdbjplJiPDpXN&#10;WzIbcTZ2s3EIUe+7ska5HoQPh4RNlN5yhRF2KowzK+ym/cpL8fxesp7+qc0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Lp5hnvIAQAAmwMAAA4AAAAAAAAAAQAgAAAAHgEAAGRycy9lMm9Eb2Mu&#10;eG1sUEsFBgAAAAAGAAYAWQEAAFgFAAAAAA==&#10;">
              <v:fill on="f" focussize="0,0"/>
              <v:stroke on="f"/>
              <v:imagedata o:title=""/>
              <o:lock v:ext="edit" aspectratio="f"/>
              <v:textbox inset="0mm,0mm,0mm,0mm" style="mso-fit-shape-to-text:t;">
                <w:txbxContent>
                  <w:p w14:paraId="5B6616AD">
                    <w:pPr>
                      <w:pStyle w:val="8"/>
                    </w:pPr>
                    <w:r>
                      <w:fldChar w:fldCharType="begin"/>
                    </w:r>
                    <w:r>
                      <w:instrText xml:space="preserve"> PAGE  \* MERGEFORMAT </w:instrText>
                    </w:r>
                    <w:r>
                      <w:fldChar w:fldCharType="separate"/>
                    </w:r>
                    <w:r>
                      <w:t>81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FBD73E">
    <w:pPr>
      <w:pStyle w:val="5"/>
      <w:spacing w:line="50"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660057">
    <w:pPr>
      <w:pStyle w:val="5"/>
      <w:spacing w:line="50"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A01CC2">
    <w:pPr>
      <w:pStyle w:val="5"/>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088046">
    <w:pPr>
      <w:pStyle w:val="5"/>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6C9BDCA"/>
    <w:multiLevelType w:val="singleLevel"/>
    <w:tmpl w:val="E6C9BDCA"/>
    <w:lvl w:ilvl="0" w:tentative="0">
      <w:start w:val="1"/>
      <w:numFmt w:val="decimal"/>
      <w:suff w:val="nothing"/>
      <w:lvlText w:val="（%1）"/>
      <w:lvlJc w:val="left"/>
    </w:lvl>
  </w:abstractNum>
  <w:abstractNum w:abstractNumId="1">
    <w:nsid w:val="00000003"/>
    <w:multiLevelType w:val="singleLevel"/>
    <w:tmpl w:val="00000003"/>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VkZmUxYzUwZTk0YWQ4OWIxZDY5YjRhZmIwMjUzNzMifQ=="/>
  </w:docVars>
  <w:rsids>
    <w:rsidRoot w:val="4F582EF7"/>
    <w:rsid w:val="00072C34"/>
    <w:rsid w:val="000C1FF9"/>
    <w:rsid w:val="00473031"/>
    <w:rsid w:val="00824069"/>
    <w:rsid w:val="00D61DC8"/>
    <w:rsid w:val="01001B5E"/>
    <w:rsid w:val="01276505"/>
    <w:rsid w:val="013F232E"/>
    <w:rsid w:val="014C6B51"/>
    <w:rsid w:val="017E5928"/>
    <w:rsid w:val="018B7D8A"/>
    <w:rsid w:val="01B6213A"/>
    <w:rsid w:val="01BE1198"/>
    <w:rsid w:val="01E25ABE"/>
    <w:rsid w:val="01EE7C08"/>
    <w:rsid w:val="01FD63CC"/>
    <w:rsid w:val="02337D11"/>
    <w:rsid w:val="023B3D55"/>
    <w:rsid w:val="024F6BF1"/>
    <w:rsid w:val="0283153E"/>
    <w:rsid w:val="02BF0C55"/>
    <w:rsid w:val="02F13018"/>
    <w:rsid w:val="03045021"/>
    <w:rsid w:val="031418F0"/>
    <w:rsid w:val="0358304C"/>
    <w:rsid w:val="03661A20"/>
    <w:rsid w:val="039E06FB"/>
    <w:rsid w:val="04021749"/>
    <w:rsid w:val="043F0BEF"/>
    <w:rsid w:val="04650551"/>
    <w:rsid w:val="04B67F25"/>
    <w:rsid w:val="04BF763A"/>
    <w:rsid w:val="04E2157A"/>
    <w:rsid w:val="04E57E5F"/>
    <w:rsid w:val="04EF43C3"/>
    <w:rsid w:val="055E6E53"/>
    <w:rsid w:val="056C5F91"/>
    <w:rsid w:val="05D4768F"/>
    <w:rsid w:val="05E67124"/>
    <w:rsid w:val="05E732EC"/>
    <w:rsid w:val="05EC614B"/>
    <w:rsid w:val="062235DD"/>
    <w:rsid w:val="063C112F"/>
    <w:rsid w:val="06856661"/>
    <w:rsid w:val="069B537E"/>
    <w:rsid w:val="06C70A28"/>
    <w:rsid w:val="06C929F2"/>
    <w:rsid w:val="06CA23DC"/>
    <w:rsid w:val="06D05B2E"/>
    <w:rsid w:val="06DD024B"/>
    <w:rsid w:val="07001B9F"/>
    <w:rsid w:val="07133987"/>
    <w:rsid w:val="07520C39"/>
    <w:rsid w:val="07A1396F"/>
    <w:rsid w:val="07A71DAB"/>
    <w:rsid w:val="07DE24CD"/>
    <w:rsid w:val="082B6DD4"/>
    <w:rsid w:val="086230FE"/>
    <w:rsid w:val="088C763C"/>
    <w:rsid w:val="08CD7283"/>
    <w:rsid w:val="08E41D65"/>
    <w:rsid w:val="08EB6C4F"/>
    <w:rsid w:val="092D5890"/>
    <w:rsid w:val="0963211F"/>
    <w:rsid w:val="09C807D3"/>
    <w:rsid w:val="09CF031F"/>
    <w:rsid w:val="09F06AB0"/>
    <w:rsid w:val="09FA34EB"/>
    <w:rsid w:val="09FF4A68"/>
    <w:rsid w:val="0A530F50"/>
    <w:rsid w:val="0A62467A"/>
    <w:rsid w:val="0A7D4664"/>
    <w:rsid w:val="0A87732E"/>
    <w:rsid w:val="0AD33307"/>
    <w:rsid w:val="0AD66408"/>
    <w:rsid w:val="0AE05E8C"/>
    <w:rsid w:val="0AF3628F"/>
    <w:rsid w:val="0B3866B7"/>
    <w:rsid w:val="0B3F7726"/>
    <w:rsid w:val="0B776EC0"/>
    <w:rsid w:val="0B865355"/>
    <w:rsid w:val="0B9E41C6"/>
    <w:rsid w:val="0BC157F5"/>
    <w:rsid w:val="0BC6217A"/>
    <w:rsid w:val="0BD05CAE"/>
    <w:rsid w:val="0BD240F7"/>
    <w:rsid w:val="0BE91440"/>
    <w:rsid w:val="0C120997"/>
    <w:rsid w:val="0C2A7A8F"/>
    <w:rsid w:val="0C2B1A59"/>
    <w:rsid w:val="0C4153D2"/>
    <w:rsid w:val="0C49746F"/>
    <w:rsid w:val="0C597D15"/>
    <w:rsid w:val="0CA07D76"/>
    <w:rsid w:val="0CA27F6D"/>
    <w:rsid w:val="0CA365D7"/>
    <w:rsid w:val="0CB62660"/>
    <w:rsid w:val="0CF14A50"/>
    <w:rsid w:val="0D03679A"/>
    <w:rsid w:val="0D1424ED"/>
    <w:rsid w:val="0D3B3F1D"/>
    <w:rsid w:val="0DCB0DFD"/>
    <w:rsid w:val="0DCE22AF"/>
    <w:rsid w:val="0DF525DE"/>
    <w:rsid w:val="0DF61CE0"/>
    <w:rsid w:val="0DF86616"/>
    <w:rsid w:val="0E1E1875"/>
    <w:rsid w:val="0E460DCC"/>
    <w:rsid w:val="0E684952"/>
    <w:rsid w:val="0E86353F"/>
    <w:rsid w:val="0E8E37ED"/>
    <w:rsid w:val="0EAF2E14"/>
    <w:rsid w:val="0EDB59B8"/>
    <w:rsid w:val="0F1C2D99"/>
    <w:rsid w:val="0F6F04DC"/>
    <w:rsid w:val="105858FC"/>
    <w:rsid w:val="106C3AC2"/>
    <w:rsid w:val="108403E2"/>
    <w:rsid w:val="109275A9"/>
    <w:rsid w:val="109828BB"/>
    <w:rsid w:val="10C15734"/>
    <w:rsid w:val="10C44237"/>
    <w:rsid w:val="1122342A"/>
    <w:rsid w:val="114F1320"/>
    <w:rsid w:val="11533574"/>
    <w:rsid w:val="11785740"/>
    <w:rsid w:val="117A3266"/>
    <w:rsid w:val="11862732"/>
    <w:rsid w:val="118F278E"/>
    <w:rsid w:val="119D4F21"/>
    <w:rsid w:val="11A47985"/>
    <w:rsid w:val="11C67A56"/>
    <w:rsid w:val="11D80D88"/>
    <w:rsid w:val="11E20E0C"/>
    <w:rsid w:val="12474DCB"/>
    <w:rsid w:val="12527641"/>
    <w:rsid w:val="126805E3"/>
    <w:rsid w:val="12E7492B"/>
    <w:rsid w:val="12E74FC1"/>
    <w:rsid w:val="12F27F6E"/>
    <w:rsid w:val="140D728C"/>
    <w:rsid w:val="14141B79"/>
    <w:rsid w:val="1457788F"/>
    <w:rsid w:val="14760C96"/>
    <w:rsid w:val="14882C02"/>
    <w:rsid w:val="14D013EF"/>
    <w:rsid w:val="150D2643"/>
    <w:rsid w:val="15115C90"/>
    <w:rsid w:val="15284D87"/>
    <w:rsid w:val="155B3EC5"/>
    <w:rsid w:val="15763D45"/>
    <w:rsid w:val="15853F88"/>
    <w:rsid w:val="15A45AE5"/>
    <w:rsid w:val="15D97B34"/>
    <w:rsid w:val="15DB2582"/>
    <w:rsid w:val="15DC13FE"/>
    <w:rsid w:val="15E038B4"/>
    <w:rsid w:val="16005D04"/>
    <w:rsid w:val="160E0085"/>
    <w:rsid w:val="162E6E4D"/>
    <w:rsid w:val="16443E43"/>
    <w:rsid w:val="16737FC1"/>
    <w:rsid w:val="167C538B"/>
    <w:rsid w:val="16C17241"/>
    <w:rsid w:val="16CB4A2F"/>
    <w:rsid w:val="1722468F"/>
    <w:rsid w:val="173C4B1A"/>
    <w:rsid w:val="17726DD2"/>
    <w:rsid w:val="17C50FB3"/>
    <w:rsid w:val="18226406"/>
    <w:rsid w:val="182A472E"/>
    <w:rsid w:val="182C4B8E"/>
    <w:rsid w:val="18371EB1"/>
    <w:rsid w:val="18602A8A"/>
    <w:rsid w:val="187C78C4"/>
    <w:rsid w:val="190B3062"/>
    <w:rsid w:val="1963464B"/>
    <w:rsid w:val="197764F6"/>
    <w:rsid w:val="19BC1F42"/>
    <w:rsid w:val="1A3A6836"/>
    <w:rsid w:val="1A584D7E"/>
    <w:rsid w:val="1A5B5BFF"/>
    <w:rsid w:val="1A5D1977"/>
    <w:rsid w:val="1AB64B6A"/>
    <w:rsid w:val="1AC50DC4"/>
    <w:rsid w:val="1AE57555"/>
    <w:rsid w:val="1B0A266C"/>
    <w:rsid w:val="1B1E590D"/>
    <w:rsid w:val="1B261D69"/>
    <w:rsid w:val="1B656D35"/>
    <w:rsid w:val="1B6A170F"/>
    <w:rsid w:val="1B745FC1"/>
    <w:rsid w:val="1BEC4D61"/>
    <w:rsid w:val="1C2A3ADB"/>
    <w:rsid w:val="1C324211"/>
    <w:rsid w:val="1C512E14"/>
    <w:rsid w:val="1C7F3E27"/>
    <w:rsid w:val="1CEB3DDA"/>
    <w:rsid w:val="1D880AB9"/>
    <w:rsid w:val="1D952165"/>
    <w:rsid w:val="1DA27862"/>
    <w:rsid w:val="1DA43327"/>
    <w:rsid w:val="1DA5166B"/>
    <w:rsid w:val="1DE11B57"/>
    <w:rsid w:val="1E206F43"/>
    <w:rsid w:val="1E3B5B2B"/>
    <w:rsid w:val="1E491296"/>
    <w:rsid w:val="1E4F7829"/>
    <w:rsid w:val="1E5D49E3"/>
    <w:rsid w:val="1E994221"/>
    <w:rsid w:val="1EDA5344"/>
    <w:rsid w:val="1EE13915"/>
    <w:rsid w:val="1EE461C3"/>
    <w:rsid w:val="1EF26B32"/>
    <w:rsid w:val="1F134CFA"/>
    <w:rsid w:val="1F487665"/>
    <w:rsid w:val="1F683A66"/>
    <w:rsid w:val="1F875754"/>
    <w:rsid w:val="1FFE32B4"/>
    <w:rsid w:val="2020237A"/>
    <w:rsid w:val="20515ADA"/>
    <w:rsid w:val="20801F1B"/>
    <w:rsid w:val="208A4B48"/>
    <w:rsid w:val="209669C5"/>
    <w:rsid w:val="20B16579"/>
    <w:rsid w:val="20C37337"/>
    <w:rsid w:val="20CB1F07"/>
    <w:rsid w:val="20F6072B"/>
    <w:rsid w:val="21090925"/>
    <w:rsid w:val="21244F9D"/>
    <w:rsid w:val="21283337"/>
    <w:rsid w:val="213D1BBA"/>
    <w:rsid w:val="213D3171"/>
    <w:rsid w:val="21556F04"/>
    <w:rsid w:val="222C2B90"/>
    <w:rsid w:val="22457E73"/>
    <w:rsid w:val="2254749D"/>
    <w:rsid w:val="22837AA1"/>
    <w:rsid w:val="22A7378F"/>
    <w:rsid w:val="22F866E1"/>
    <w:rsid w:val="23213C5D"/>
    <w:rsid w:val="232C2DD6"/>
    <w:rsid w:val="2331574F"/>
    <w:rsid w:val="233953DA"/>
    <w:rsid w:val="235002CB"/>
    <w:rsid w:val="235B72E4"/>
    <w:rsid w:val="23931F66"/>
    <w:rsid w:val="23C465C3"/>
    <w:rsid w:val="24262DDA"/>
    <w:rsid w:val="2446643F"/>
    <w:rsid w:val="246102B6"/>
    <w:rsid w:val="24782AD4"/>
    <w:rsid w:val="248726E0"/>
    <w:rsid w:val="249C3951"/>
    <w:rsid w:val="24DB3BC4"/>
    <w:rsid w:val="24FA6740"/>
    <w:rsid w:val="25004979"/>
    <w:rsid w:val="25243F0A"/>
    <w:rsid w:val="252F101D"/>
    <w:rsid w:val="253A7C36"/>
    <w:rsid w:val="254C2D14"/>
    <w:rsid w:val="255A571A"/>
    <w:rsid w:val="256D06AE"/>
    <w:rsid w:val="2582242A"/>
    <w:rsid w:val="258A1146"/>
    <w:rsid w:val="259D2ECD"/>
    <w:rsid w:val="25A55F80"/>
    <w:rsid w:val="25B20381"/>
    <w:rsid w:val="25E62821"/>
    <w:rsid w:val="25F25669"/>
    <w:rsid w:val="260B04D9"/>
    <w:rsid w:val="264763B7"/>
    <w:rsid w:val="2672726E"/>
    <w:rsid w:val="26734FA1"/>
    <w:rsid w:val="26881A92"/>
    <w:rsid w:val="268B2A3A"/>
    <w:rsid w:val="268B3DAD"/>
    <w:rsid w:val="26962499"/>
    <w:rsid w:val="26A61FB0"/>
    <w:rsid w:val="26F40F6D"/>
    <w:rsid w:val="27035E88"/>
    <w:rsid w:val="27082C6B"/>
    <w:rsid w:val="27084A19"/>
    <w:rsid w:val="27415C62"/>
    <w:rsid w:val="27B65EBB"/>
    <w:rsid w:val="27B92596"/>
    <w:rsid w:val="27CA47C6"/>
    <w:rsid w:val="282B4E63"/>
    <w:rsid w:val="28884FF7"/>
    <w:rsid w:val="289724F8"/>
    <w:rsid w:val="289F315B"/>
    <w:rsid w:val="28D472A8"/>
    <w:rsid w:val="29017971"/>
    <w:rsid w:val="290F389D"/>
    <w:rsid w:val="2962542C"/>
    <w:rsid w:val="298F1421"/>
    <w:rsid w:val="299E36C0"/>
    <w:rsid w:val="2A104310"/>
    <w:rsid w:val="2A224043"/>
    <w:rsid w:val="2B367172"/>
    <w:rsid w:val="2B7314CC"/>
    <w:rsid w:val="2B784A6E"/>
    <w:rsid w:val="2B9A7B07"/>
    <w:rsid w:val="2BA07916"/>
    <w:rsid w:val="2BAE2033"/>
    <w:rsid w:val="2BB37649"/>
    <w:rsid w:val="2BC9037C"/>
    <w:rsid w:val="2BFD3113"/>
    <w:rsid w:val="2C0003B4"/>
    <w:rsid w:val="2C1005F7"/>
    <w:rsid w:val="2C1363E2"/>
    <w:rsid w:val="2C15160E"/>
    <w:rsid w:val="2C1C6A7A"/>
    <w:rsid w:val="2C44430E"/>
    <w:rsid w:val="2C4F172C"/>
    <w:rsid w:val="2C9C00DD"/>
    <w:rsid w:val="2CA156F3"/>
    <w:rsid w:val="2D906B09"/>
    <w:rsid w:val="2D9C5EBB"/>
    <w:rsid w:val="2DD973AC"/>
    <w:rsid w:val="2DFB1659"/>
    <w:rsid w:val="2E0221C2"/>
    <w:rsid w:val="2E41718E"/>
    <w:rsid w:val="2E611B70"/>
    <w:rsid w:val="2E9A689E"/>
    <w:rsid w:val="2E9D638E"/>
    <w:rsid w:val="2EBA0CEE"/>
    <w:rsid w:val="2ECB6A58"/>
    <w:rsid w:val="2EDD4BB1"/>
    <w:rsid w:val="2F01185F"/>
    <w:rsid w:val="2F2729AC"/>
    <w:rsid w:val="2F3C0F4C"/>
    <w:rsid w:val="2FB82F9F"/>
    <w:rsid w:val="2FE418AC"/>
    <w:rsid w:val="2FE5383E"/>
    <w:rsid w:val="2FEA4C7F"/>
    <w:rsid w:val="30330D58"/>
    <w:rsid w:val="3037089D"/>
    <w:rsid w:val="30AB6B41"/>
    <w:rsid w:val="30EA3353"/>
    <w:rsid w:val="31013C49"/>
    <w:rsid w:val="312319EF"/>
    <w:rsid w:val="313C778B"/>
    <w:rsid w:val="31692400"/>
    <w:rsid w:val="318F6462"/>
    <w:rsid w:val="321A2D0F"/>
    <w:rsid w:val="3220530C"/>
    <w:rsid w:val="32382656"/>
    <w:rsid w:val="324D664C"/>
    <w:rsid w:val="3267118D"/>
    <w:rsid w:val="32870EE7"/>
    <w:rsid w:val="32BE6EB2"/>
    <w:rsid w:val="32C7154E"/>
    <w:rsid w:val="33156D5E"/>
    <w:rsid w:val="3317207A"/>
    <w:rsid w:val="331A6B7B"/>
    <w:rsid w:val="331F2052"/>
    <w:rsid w:val="333554DB"/>
    <w:rsid w:val="33396D39"/>
    <w:rsid w:val="33643EF5"/>
    <w:rsid w:val="33AA7583"/>
    <w:rsid w:val="33D80BF4"/>
    <w:rsid w:val="33F77F81"/>
    <w:rsid w:val="34254482"/>
    <w:rsid w:val="344E43B3"/>
    <w:rsid w:val="346534AA"/>
    <w:rsid w:val="346F257B"/>
    <w:rsid w:val="348C4EDB"/>
    <w:rsid w:val="348F605A"/>
    <w:rsid w:val="34E716B6"/>
    <w:rsid w:val="3505113E"/>
    <w:rsid w:val="35233259"/>
    <w:rsid w:val="35357321"/>
    <w:rsid w:val="355115AF"/>
    <w:rsid w:val="355F439E"/>
    <w:rsid w:val="359F2BE0"/>
    <w:rsid w:val="35AE6CC5"/>
    <w:rsid w:val="35F44AE6"/>
    <w:rsid w:val="35FC399A"/>
    <w:rsid w:val="362A675A"/>
    <w:rsid w:val="36B60605"/>
    <w:rsid w:val="36BD3E66"/>
    <w:rsid w:val="36C344B8"/>
    <w:rsid w:val="36DB3EF8"/>
    <w:rsid w:val="36DB7A54"/>
    <w:rsid w:val="36EC39E0"/>
    <w:rsid w:val="37440FB2"/>
    <w:rsid w:val="37647A49"/>
    <w:rsid w:val="37704A11"/>
    <w:rsid w:val="37A367C3"/>
    <w:rsid w:val="37C45ACE"/>
    <w:rsid w:val="37C91FA2"/>
    <w:rsid w:val="37DF2D89"/>
    <w:rsid w:val="37E335F2"/>
    <w:rsid w:val="37EA2644"/>
    <w:rsid w:val="3825542A"/>
    <w:rsid w:val="3835053A"/>
    <w:rsid w:val="384A70AD"/>
    <w:rsid w:val="386B727B"/>
    <w:rsid w:val="38BE1535"/>
    <w:rsid w:val="38FE45EC"/>
    <w:rsid w:val="39194863"/>
    <w:rsid w:val="391D7376"/>
    <w:rsid w:val="39403E21"/>
    <w:rsid w:val="397A7B42"/>
    <w:rsid w:val="399A1E48"/>
    <w:rsid w:val="39B4157B"/>
    <w:rsid w:val="39D55A01"/>
    <w:rsid w:val="39EE7A9E"/>
    <w:rsid w:val="3A104D75"/>
    <w:rsid w:val="3A4C2C68"/>
    <w:rsid w:val="3A4D1A2B"/>
    <w:rsid w:val="3A5E69D2"/>
    <w:rsid w:val="3A856654"/>
    <w:rsid w:val="3AB17E45"/>
    <w:rsid w:val="3AF410E4"/>
    <w:rsid w:val="3B2C2F74"/>
    <w:rsid w:val="3B3415C4"/>
    <w:rsid w:val="3B345984"/>
    <w:rsid w:val="3B351E28"/>
    <w:rsid w:val="3B4F53C1"/>
    <w:rsid w:val="3B6049CB"/>
    <w:rsid w:val="3B626996"/>
    <w:rsid w:val="3B6C6BA3"/>
    <w:rsid w:val="3B78218B"/>
    <w:rsid w:val="3B915BA1"/>
    <w:rsid w:val="3BAE3989"/>
    <w:rsid w:val="3BB15227"/>
    <w:rsid w:val="3BF02721"/>
    <w:rsid w:val="3BFA0A8A"/>
    <w:rsid w:val="3C242530"/>
    <w:rsid w:val="3C4165AB"/>
    <w:rsid w:val="3C4340D1"/>
    <w:rsid w:val="3C706E90"/>
    <w:rsid w:val="3CCA02B2"/>
    <w:rsid w:val="3CD613E9"/>
    <w:rsid w:val="3CE62383"/>
    <w:rsid w:val="3CEC7A2A"/>
    <w:rsid w:val="3D0433A8"/>
    <w:rsid w:val="3D0C4E0B"/>
    <w:rsid w:val="3D0F69B6"/>
    <w:rsid w:val="3D2959BD"/>
    <w:rsid w:val="3D3219D3"/>
    <w:rsid w:val="3D3474F8"/>
    <w:rsid w:val="3DCE35B6"/>
    <w:rsid w:val="3DD136B5"/>
    <w:rsid w:val="3DD5344F"/>
    <w:rsid w:val="3E0F3EB7"/>
    <w:rsid w:val="3E2609B2"/>
    <w:rsid w:val="3E55633E"/>
    <w:rsid w:val="3E76426F"/>
    <w:rsid w:val="3E7F6463"/>
    <w:rsid w:val="3E962D65"/>
    <w:rsid w:val="3ECB4852"/>
    <w:rsid w:val="3EEB0292"/>
    <w:rsid w:val="3F147FA7"/>
    <w:rsid w:val="3F281B00"/>
    <w:rsid w:val="3F6A7BC7"/>
    <w:rsid w:val="3F830C89"/>
    <w:rsid w:val="3F930BE9"/>
    <w:rsid w:val="3F952DC8"/>
    <w:rsid w:val="3FE15005"/>
    <w:rsid w:val="3FE77469"/>
    <w:rsid w:val="400E2C48"/>
    <w:rsid w:val="40747AD3"/>
    <w:rsid w:val="40ED6D01"/>
    <w:rsid w:val="40F93113"/>
    <w:rsid w:val="4101356D"/>
    <w:rsid w:val="41216845"/>
    <w:rsid w:val="413A36FE"/>
    <w:rsid w:val="418F1B67"/>
    <w:rsid w:val="4213220D"/>
    <w:rsid w:val="421F2EEA"/>
    <w:rsid w:val="4235270E"/>
    <w:rsid w:val="423F17DF"/>
    <w:rsid w:val="42461BF0"/>
    <w:rsid w:val="424C7A58"/>
    <w:rsid w:val="425C1855"/>
    <w:rsid w:val="427179B7"/>
    <w:rsid w:val="428D039F"/>
    <w:rsid w:val="429E2362"/>
    <w:rsid w:val="42FC0E58"/>
    <w:rsid w:val="43077F25"/>
    <w:rsid w:val="4310792B"/>
    <w:rsid w:val="43621354"/>
    <w:rsid w:val="436D5ED7"/>
    <w:rsid w:val="437454B8"/>
    <w:rsid w:val="437E00E5"/>
    <w:rsid w:val="43947908"/>
    <w:rsid w:val="43AA0EDA"/>
    <w:rsid w:val="43D25E53"/>
    <w:rsid w:val="43E25FC1"/>
    <w:rsid w:val="440138A0"/>
    <w:rsid w:val="44246EDE"/>
    <w:rsid w:val="44692B43"/>
    <w:rsid w:val="447C65C0"/>
    <w:rsid w:val="448742A8"/>
    <w:rsid w:val="44983428"/>
    <w:rsid w:val="44C47D79"/>
    <w:rsid w:val="44F87A23"/>
    <w:rsid w:val="451A208F"/>
    <w:rsid w:val="45433394"/>
    <w:rsid w:val="45837C34"/>
    <w:rsid w:val="45877724"/>
    <w:rsid w:val="458A0FC3"/>
    <w:rsid w:val="458D2861"/>
    <w:rsid w:val="45BB3260"/>
    <w:rsid w:val="46092999"/>
    <w:rsid w:val="4612476D"/>
    <w:rsid w:val="462F1B6A"/>
    <w:rsid w:val="46841EB6"/>
    <w:rsid w:val="468F5CB4"/>
    <w:rsid w:val="46957C1F"/>
    <w:rsid w:val="46C027C2"/>
    <w:rsid w:val="46E14C12"/>
    <w:rsid w:val="4743767B"/>
    <w:rsid w:val="474820C5"/>
    <w:rsid w:val="475B13E7"/>
    <w:rsid w:val="47777325"/>
    <w:rsid w:val="47925F0D"/>
    <w:rsid w:val="47DD7AD0"/>
    <w:rsid w:val="47E70FBB"/>
    <w:rsid w:val="48117779"/>
    <w:rsid w:val="481D611E"/>
    <w:rsid w:val="48221986"/>
    <w:rsid w:val="486D0AE8"/>
    <w:rsid w:val="48B545A9"/>
    <w:rsid w:val="48D34790"/>
    <w:rsid w:val="48ED18F0"/>
    <w:rsid w:val="48F60B83"/>
    <w:rsid w:val="48F826E7"/>
    <w:rsid w:val="4929464F"/>
    <w:rsid w:val="494616A5"/>
    <w:rsid w:val="494C6C0E"/>
    <w:rsid w:val="4955379A"/>
    <w:rsid w:val="496D6C31"/>
    <w:rsid w:val="498C348F"/>
    <w:rsid w:val="49C34AA3"/>
    <w:rsid w:val="49DA3B9B"/>
    <w:rsid w:val="49DA528B"/>
    <w:rsid w:val="49DE18DD"/>
    <w:rsid w:val="49FA4012"/>
    <w:rsid w:val="49FA5FEB"/>
    <w:rsid w:val="4A4F4589"/>
    <w:rsid w:val="4A5573E4"/>
    <w:rsid w:val="4A5D4EF8"/>
    <w:rsid w:val="4A62606A"/>
    <w:rsid w:val="4A6873F9"/>
    <w:rsid w:val="4A712751"/>
    <w:rsid w:val="4A7E09CA"/>
    <w:rsid w:val="4B380D6F"/>
    <w:rsid w:val="4B3A1029"/>
    <w:rsid w:val="4B555BCF"/>
    <w:rsid w:val="4B6E0A3F"/>
    <w:rsid w:val="4B771FE9"/>
    <w:rsid w:val="4BBC29D4"/>
    <w:rsid w:val="4BBE0B8F"/>
    <w:rsid w:val="4BC13A22"/>
    <w:rsid w:val="4C443C2D"/>
    <w:rsid w:val="4C560DCF"/>
    <w:rsid w:val="4C723258"/>
    <w:rsid w:val="4C83676C"/>
    <w:rsid w:val="4CB608EF"/>
    <w:rsid w:val="4D0E072B"/>
    <w:rsid w:val="4D0F1621"/>
    <w:rsid w:val="4D24354A"/>
    <w:rsid w:val="4D4E6D7A"/>
    <w:rsid w:val="4D9A1FBF"/>
    <w:rsid w:val="4DCE1F8B"/>
    <w:rsid w:val="4DF94F37"/>
    <w:rsid w:val="4E0D2791"/>
    <w:rsid w:val="4E2A6045"/>
    <w:rsid w:val="4E2F6BAB"/>
    <w:rsid w:val="4E437F61"/>
    <w:rsid w:val="4E4E19C6"/>
    <w:rsid w:val="4E5B5EB2"/>
    <w:rsid w:val="4EB40E5E"/>
    <w:rsid w:val="4EE24A9B"/>
    <w:rsid w:val="4F1A33B7"/>
    <w:rsid w:val="4F411EB6"/>
    <w:rsid w:val="4F563CC4"/>
    <w:rsid w:val="4F582EF7"/>
    <w:rsid w:val="4F6F4D85"/>
    <w:rsid w:val="4F935FCE"/>
    <w:rsid w:val="4FBA24A4"/>
    <w:rsid w:val="4FBB7FCB"/>
    <w:rsid w:val="50100316"/>
    <w:rsid w:val="502A41CA"/>
    <w:rsid w:val="50983373"/>
    <w:rsid w:val="50AB5953"/>
    <w:rsid w:val="50D60C20"/>
    <w:rsid w:val="51183927"/>
    <w:rsid w:val="5135755A"/>
    <w:rsid w:val="51574F11"/>
    <w:rsid w:val="517B73AD"/>
    <w:rsid w:val="518A5306"/>
    <w:rsid w:val="51983548"/>
    <w:rsid w:val="51AA39A8"/>
    <w:rsid w:val="51AB3D3B"/>
    <w:rsid w:val="51D04201"/>
    <w:rsid w:val="51DA0BDC"/>
    <w:rsid w:val="51DC4954"/>
    <w:rsid w:val="521A27DD"/>
    <w:rsid w:val="52524C16"/>
    <w:rsid w:val="52534816"/>
    <w:rsid w:val="52592449"/>
    <w:rsid w:val="52634928"/>
    <w:rsid w:val="52A0414F"/>
    <w:rsid w:val="52AF2069"/>
    <w:rsid w:val="53277999"/>
    <w:rsid w:val="537A2677"/>
    <w:rsid w:val="53987EBC"/>
    <w:rsid w:val="539D0113"/>
    <w:rsid w:val="53A35FB7"/>
    <w:rsid w:val="53E24E44"/>
    <w:rsid w:val="53F94527"/>
    <w:rsid w:val="54014B46"/>
    <w:rsid w:val="5472334E"/>
    <w:rsid w:val="54DB5397"/>
    <w:rsid w:val="550348EE"/>
    <w:rsid w:val="5563097D"/>
    <w:rsid w:val="556F4EE2"/>
    <w:rsid w:val="558639E2"/>
    <w:rsid w:val="55CB540B"/>
    <w:rsid w:val="55CF657E"/>
    <w:rsid w:val="55D21BD3"/>
    <w:rsid w:val="56312D95"/>
    <w:rsid w:val="564725B8"/>
    <w:rsid w:val="56652099"/>
    <w:rsid w:val="56680EAC"/>
    <w:rsid w:val="56843C9F"/>
    <w:rsid w:val="569B3338"/>
    <w:rsid w:val="56DB3A85"/>
    <w:rsid w:val="56F5281F"/>
    <w:rsid w:val="57283E05"/>
    <w:rsid w:val="57383440"/>
    <w:rsid w:val="573E766F"/>
    <w:rsid w:val="5765355C"/>
    <w:rsid w:val="57690BD0"/>
    <w:rsid w:val="576F0018"/>
    <w:rsid w:val="57C15E41"/>
    <w:rsid w:val="57CA1153"/>
    <w:rsid w:val="57E46E53"/>
    <w:rsid w:val="580118E9"/>
    <w:rsid w:val="580E253F"/>
    <w:rsid w:val="58242BB1"/>
    <w:rsid w:val="58254B7B"/>
    <w:rsid w:val="584A495B"/>
    <w:rsid w:val="5892758E"/>
    <w:rsid w:val="58947716"/>
    <w:rsid w:val="58A65CBC"/>
    <w:rsid w:val="58B66C06"/>
    <w:rsid w:val="58C779E0"/>
    <w:rsid w:val="5909228A"/>
    <w:rsid w:val="59154BEF"/>
    <w:rsid w:val="59CA7788"/>
    <w:rsid w:val="5A1B6236"/>
    <w:rsid w:val="5A2E712E"/>
    <w:rsid w:val="5A2F2D66"/>
    <w:rsid w:val="5A6D6164"/>
    <w:rsid w:val="5A86004F"/>
    <w:rsid w:val="5A8938AD"/>
    <w:rsid w:val="5A9F29C3"/>
    <w:rsid w:val="5AAE69DB"/>
    <w:rsid w:val="5AF0582F"/>
    <w:rsid w:val="5AF947C9"/>
    <w:rsid w:val="5B1B6AA6"/>
    <w:rsid w:val="5B224E28"/>
    <w:rsid w:val="5B7D7A78"/>
    <w:rsid w:val="5BA65531"/>
    <w:rsid w:val="5BAF7B56"/>
    <w:rsid w:val="5BD91F04"/>
    <w:rsid w:val="5BDB5C7C"/>
    <w:rsid w:val="5BF611E3"/>
    <w:rsid w:val="5C0E6052"/>
    <w:rsid w:val="5C313AEE"/>
    <w:rsid w:val="5C86208C"/>
    <w:rsid w:val="5CAC7619"/>
    <w:rsid w:val="5D131446"/>
    <w:rsid w:val="5D7C18C6"/>
    <w:rsid w:val="5DA14CA4"/>
    <w:rsid w:val="5DA779D9"/>
    <w:rsid w:val="5DC84953"/>
    <w:rsid w:val="5DDC3F2E"/>
    <w:rsid w:val="5EAC56AE"/>
    <w:rsid w:val="5EB56C0F"/>
    <w:rsid w:val="5EDA0A8B"/>
    <w:rsid w:val="5EE906B0"/>
    <w:rsid w:val="5F0537AA"/>
    <w:rsid w:val="5F162912"/>
    <w:rsid w:val="5F20072A"/>
    <w:rsid w:val="5F2117F1"/>
    <w:rsid w:val="5F27754A"/>
    <w:rsid w:val="5F2B3E04"/>
    <w:rsid w:val="5F760F40"/>
    <w:rsid w:val="5FD62369"/>
    <w:rsid w:val="5FEF49B4"/>
    <w:rsid w:val="5FF3691B"/>
    <w:rsid w:val="5FFF5CB2"/>
    <w:rsid w:val="60161979"/>
    <w:rsid w:val="60673F83"/>
    <w:rsid w:val="606E1F64"/>
    <w:rsid w:val="607466A0"/>
    <w:rsid w:val="609E5FA7"/>
    <w:rsid w:val="60AF2ECE"/>
    <w:rsid w:val="60C253E7"/>
    <w:rsid w:val="60CE0B25"/>
    <w:rsid w:val="613B76A5"/>
    <w:rsid w:val="61504C4C"/>
    <w:rsid w:val="61555832"/>
    <w:rsid w:val="61A30FEA"/>
    <w:rsid w:val="61D5316E"/>
    <w:rsid w:val="61D67CE4"/>
    <w:rsid w:val="61DB6D9C"/>
    <w:rsid w:val="61E8165D"/>
    <w:rsid w:val="61EF4230"/>
    <w:rsid w:val="6200643D"/>
    <w:rsid w:val="623C3CCB"/>
    <w:rsid w:val="6277131B"/>
    <w:rsid w:val="62894736"/>
    <w:rsid w:val="62C95FD9"/>
    <w:rsid w:val="62D0625C"/>
    <w:rsid w:val="62EC69C1"/>
    <w:rsid w:val="63520F1A"/>
    <w:rsid w:val="636E0BBA"/>
    <w:rsid w:val="63964B41"/>
    <w:rsid w:val="63994A58"/>
    <w:rsid w:val="642C3481"/>
    <w:rsid w:val="646C600B"/>
    <w:rsid w:val="647C3D75"/>
    <w:rsid w:val="64CC5E52"/>
    <w:rsid w:val="64DA0DFC"/>
    <w:rsid w:val="64FD5E87"/>
    <w:rsid w:val="657038D9"/>
    <w:rsid w:val="65785BCE"/>
    <w:rsid w:val="658C3A08"/>
    <w:rsid w:val="658D4138"/>
    <w:rsid w:val="65B768E4"/>
    <w:rsid w:val="66043DF1"/>
    <w:rsid w:val="661D46CA"/>
    <w:rsid w:val="6635553A"/>
    <w:rsid w:val="66486604"/>
    <w:rsid w:val="66887A48"/>
    <w:rsid w:val="66B94E0C"/>
    <w:rsid w:val="66BB1AFB"/>
    <w:rsid w:val="66CF7EED"/>
    <w:rsid w:val="66E83943"/>
    <w:rsid w:val="66E96F94"/>
    <w:rsid w:val="670F317A"/>
    <w:rsid w:val="673D6A15"/>
    <w:rsid w:val="67960780"/>
    <w:rsid w:val="67E768AA"/>
    <w:rsid w:val="682E5386"/>
    <w:rsid w:val="683726A5"/>
    <w:rsid w:val="684B23DC"/>
    <w:rsid w:val="68576EF7"/>
    <w:rsid w:val="6874548F"/>
    <w:rsid w:val="68817FE2"/>
    <w:rsid w:val="688D47A2"/>
    <w:rsid w:val="68B46D00"/>
    <w:rsid w:val="68CD623B"/>
    <w:rsid w:val="68DB72BC"/>
    <w:rsid w:val="68FD36D6"/>
    <w:rsid w:val="69407425"/>
    <w:rsid w:val="69434E61"/>
    <w:rsid w:val="69562DE6"/>
    <w:rsid w:val="695E105C"/>
    <w:rsid w:val="696012B6"/>
    <w:rsid w:val="69642093"/>
    <w:rsid w:val="69A015A7"/>
    <w:rsid w:val="69C02956"/>
    <w:rsid w:val="69CA6B08"/>
    <w:rsid w:val="6A042666"/>
    <w:rsid w:val="6A5A63E0"/>
    <w:rsid w:val="6A9736F0"/>
    <w:rsid w:val="6AAD6A36"/>
    <w:rsid w:val="6AE90161"/>
    <w:rsid w:val="6AF830B1"/>
    <w:rsid w:val="6B1715B7"/>
    <w:rsid w:val="6B2C2051"/>
    <w:rsid w:val="6B3233DF"/>
    <w:rsid w:val="6B680BAF"/>
    <w:rsid w:val="6B69597E"/>
    <w:rsid w:val="6B6C68F1"/>
    <w:rsid w:val="6B9D16C7"/>
    <w:rsid w:val="6BA17D14"/>
    <w:rsid w:val="6BBB33D4"/>
    <w:rsid w:val="6BBD0EFB"/>
    <w:rsid w:val="6BCC55E2"/>
    <w:rsid w:val="6BEA8026"/>
    <w:rsid w:val="6C0C5BDB"/>
    <w:rsid w:val="6C6770B8"/>
    <w:rsid w:val="6C845EBC"/>
    <w:rsid w:val="6CA41CC8"/>
    <w:rsid w:val="6CC20E82"/>
    <w:rsid w:val="6CD26C28"/>
    <w:rsid w:val="6CF3436B"/>
    <w:rsid w:val="6D056FFD"/>
    <w:rsid w:val="6D443964"/>
    <w:rsid w:val="6D5B6316"/>
    <w:rsid w:val="6D9143ED"/>
    <w:rsid w:val="6DC74A88"/>
    <w:rsid w:val="6DD724DA"/>
    <w:rsid w:val="6DDC0B81"/>
    <w:rsid w:val="6DDD2F6E"/>
    <w:rsid w:val="6DEA2117"/>
    <w:rsid w:val="6E041063"/>
    <w:rsid w:val="6E0C6BA8"/>
    <w:rsid w:val="6E4C538F"/>
    <w:rsid w:val="6E5024FA"/>
    <w:rsid w:val="6E8C1058"/>
    <w:rsid w:val="6EBF142E"/>
    <w:rsid w:val="6ED722D3"/>
    <w:rsid w:val="6EE175F6"/>
    <w:rsid w:val="6F6D447C"/>
    <w:rsid w:val="6F7C2E7B"/>
    <w:rsid w:val="6FC36D9E"/>
    <w:rsid w:val="6FE70C3C"/>
    <w:rsid w:val="6FF43359"/>
    <w:rsid w:val="70076BE8"/>
    <w:rsid w:val="70852D97"/>
    <w:rsid w:val="70A47AAD"/>
    <w:rsid w:val="70A96057"/>
    <w:rsid w:val="70AE40C7"/>
    <w:rsid w:val="70C25205"/>
    <w:rsid w:val="70DA254F"/>
    <w:rsid w:val="70E51DA8"/>
    <w:rsid w:val="70F20FE3"/>
    <w:rsid w:val="71174B27"/>
    <w:rsid w:val="71203519"/>
    <w:rsid w:val="713C4FB8"/>
    <w:rsid w:val="718C1A9B"/>
    <w:rsid w:val="71946BA2"/>
    <w:rsid w:val="71A843FB"/>
    <w:rsid w:val="71C97895"/>
    <w:rsid w:val="721E450C"/>
    <w:rsid w:val="7256750B"/>
    <w:rsid w:val="7262278F"/>
    <w:rsid w:val="72D73D3D"/>
    <w:rsid w:val="73394BB6"/>
    <w:rsid w:val="73397A01"/>
    <w:rsid w:val="736A253A"/>
    <w:rsid w:val="73A429A0"/>
    <w:rsid w:val="73AC2D59"/>
    <w:rsid w:val="73BE1CB4"/>
    <w:rsid w:val="73E54E99"/>
    <w:rsid w:val="73EC5B91"/>
    <w:rsid w:val="73FB071E"/>
    <w:rsid w:val="73FC458A"/>
    <w:rsid w:val="742E7E7F"/>
    <w:rsid w:val="743261FE"/>
    <w:rsid w:val="744877CF"/>
    <w:rsid w:val="747B5DF7"/>
    <w:rsid w:val="74C002E8"/>
    <w:rsid w:val="74CF1255"/>
    <w:rsid w:val="74E7523A"/>
    <w:rsid w:val="74FB54A4"/>
    <w:rsid w:val="751A7B05"/>
    <w:rsid w:val="75220020"/>
    <w:rsid w:val="755522F8"/>
    <w:rsid w:val="755E2DEF"/>
    <w:rsid w:val="75611CC1"/>
    <w:rsid w:val="75661FFD"/>
    <w:rsid w:val="75A03D67"/>
    <w:rsid w:val="75C80BC8"/>
    <w:rsid w:val="75DD731F"/>
    <w:rsid w:val="760140DA"/>
    <w:rsid w:val="7621652A"/>
    <w:rsid w:val="76265AC6"/>
    <w:rsid w:val="763A2EF5"/>
    <w:rsid w:val="76642085"/>
    <w:rsid w:val="76674885"/>
    <w:rsid w:val="768014A2"/>
    <w:rsid w:val="7682438C"/>
    <w:rsid w:val="768857E3"/>
    <w:rsid w:val="768D4B1F"/>
    <w:rsid w:val="769D2054"/>
    <w:rsid w:val="76C31EDD"/>
    <w:rsid w:val="76EC2FDC"/>
    <w:rsid w:val="77060EB2"/>
    <w:rsid w:val="7711659E"/>
    <w:rsid w:val="77120FDD"/>
    <w:rsid w:val="77163BB5"/>
    <w:rsid w:val="773C7ABF"/>
    <w:rsid w:val="775C2950"/>
    <w:rsid w:val="77610F13"/>
    <w:rsid w:val="778C37F8"/>
    <w:rsid w:val="779D7E32"/>
    <w:rsid w:val="77B12E34"/>
    <w:rsid w:val="77BC650A"/>
    <w:rsid w:val="77CB499F"/>
    <w:rsid w:val="77D46CD2"/>
    <w:rsid w:val="77D83D50"/>
    <w:rsid w:val="77D914FF"/>
    <w:rsid w:val="78106856"/>
    <w:rsid w:val="781D0CC1"/>
    <w:rsid w:val="7823193A"/>
    <w:rsid w:val="782E61C7"/>
    <w:rsid w:val="78306EF8"/>
    <w:rsid w:val="783B33E4"/>
    <w:rsid w:val="7844130F"/>
    <w:rsid w:val="78534B66"/>
    <w:rsid w:val="785B3F75"/>
    <w:rsid w:val="787B0197"/>
    <w:rsid w:val="787E1A12"/>
    <w:rsid w:val="78BE10F6"/>
    <w:rsid w:val="78CA4C57"/>
    <w:rsid w:val="78D43D28"/>
    <w:rsid w:val="78DD2BDC"/>
    <w:rsid w:val="78DF4BA6"/>
    <w:rsid w:val="79435553"/>
    <w:rsid w:val="794672BF"/>
    <w:rsid w:val="796B0BCF"/>
    <w:rsid w:val="797F500A"/>
    <w:rsid w:val="79A100AE"/>
    <w:rsid w:val="79AB4A88"/>
    <w:rsid w:val="79E263BE"/>
    <w:rsid w:val="7A064282"/>
    <w:rsid w:val="7A3C1D44"/>
    <w:rsid w:val="7A543372"/>
    <w:rsid w:val="7A9E283F"/>
    <w:rsid w:val="7ACB4CB6"/>
    <w:rsid w:val="7ADD5362"/>
    <w:rsid w:val="7B036E36"/>
    <w:rsid w:val="7B0E3521"/>
    <w:rsid w:val="7B1A0118"/>
    <w:rsid w:val="7B31160A"/>
    <w:rsid w:val="7B413F7E"/>
    <w:rsid w:val="7B4D7639"/>
    <w:rsid w:val="7B62386D"/>
    <w:rsid w:val="7B6E2211"/>
    <w:rsid w:val="7BAD0A4E"/>
    <w:rsid w:val="7BB00E61"/>
    <w:rsid w:val="7BD227A0"/>
    <w:rsid w:val="7BDA78A7"/>
    <w:rsid w:val="7BE129E3"/>
    <w:rsid w:val="7C1822AA"/>
    <w:rsid w:val="7C670DE1"/>
    <w:rsid w:val="7C85264B"/>
    <w:rsid w:val="7CA06753"/>
    <w:rsid w:val="7CB43242"/>
    <w:rsid w:val="7CB61824"/>
    <w:rsid w:val="7CBD69D7"/>
    <w:rsid w:val="7CC76395"/>
    <w:rsid w:val="7CEF2EDE"/>
    <w:rsid w:val="7D1961AD"/>
    <w:rsid w:val="7D4F7E21"/>
    <w:rsid w:val="7D7A30EF"/>
    <w:rsid w:val="7D9D293A"/>
    <w:rsid w:val="7DA51A4B"/>
    <w:rsid w:val="7DCE2AE0"/>
    <w:rsid w:val="7E0B01EB"/>
    <w:rsid w:val="7E1E7F1F"/>
    <w:rsid w:val="7E321E60"/>
    <w:rsid w:val="7E390B0F"/>
    <w:rsid w:val="7E493D4F"/>
    <w:rsid w:val="7E5356EF"/>
    <w:rsid w:val="7E881DA7"/>
    <w:rsid w:val="7E927FC5"/>
    <w:rsid w:val="7E9B65C0"/>
    <w:rsid w:val="7F060C17"/>
    <w:rsid w:val="7F0C421B"/>
    <w:rsid w:val="7F2F766E"/>
    <w:rsid w:val="7F3D58B7"/>
    <w:rsid w:val="7F6B3277"/>
    <w:rsid w:val="7F7C3A97"/>
    <w:rsid w:val="7F9051D5"/>
    <w:rsid w:val="7F9C372F"/>
    <w:rsid w:val="7FA31D45"/>
    <w:rsid w:val="7FA64CB1"/>
    <w:rsid w:val="7FB83A5B"/>
    <w:rsid w:val="7FE01204"/>
    <w:rsid w:val="7FFA67D9"/>
    <w:rsid w:val="7FFB9374"/>
    <w:rsid w:val="7FFC4290"/>
    <w:rsid w:val="DFBBF8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en-US" w:bidi="ar-SA"/>
    </w:rPr>
  </w:style>
  <w:style w:type="paragraph" w:styleId="3">
    <w:name w:val="heading 2"/>
    <w:basedOn w:val="1"/>
    <w:next w:val="1"/>
    <w:link w:val="43"/>
    <w:qFormat/>
    <w:uiPriority w:val="0"/>
    <w:pPr>
      <w:spacing w:before="100" w:beforeAutospacing="1" w:after="100" w:afterAutospacing="1"/>
      <w:jc w:val="left"/>
      <w:outlineLvl w:val="1"/>
    </w:pPr>
    <w:rPr>
      <w:rFonts w:hint="eastAsia" w:ascii="宋体" w:hAnsi="宋体" w:eastAsia="宋体" w:cs="宋体"/>
      <w:b/>
      <w:bCs/>
      <w:kern w:val="0"/>
      <w:sz w:val="36"/>
      <w:szCs w:val="36"/>
      <w:lang w:val="en-US" w:eastAsia="zh-CN" w:bidi="ar"/>
    </w:rPr>
  </w:style>
  <w:style w:type="paragraph" w:styleId="2">
    <w:name w:val="heading 4"/>
    <w:basedOn w:val="1"/>
    <w:next w:val="1"/>
    <w:qFormat/>
    <w:uiPriority w:val="0"/>
    <w:pPr>
      <w:keepNext/>
      <w:keepLines/>
      <w:spacing w:line="374" w:lineRule="auto"/>
      <w:outlineLvl w:val="3"/>
    </w:pPr>
    <w:rPr>
      <w:rFonts w:ascii="Arial" w:hAnsi="Arial"/>
    </w:rPr>
  </w:style>
  <w:style w:type="character" w:default="1" w:styleId="16">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4">
    <w:name w:val="annotation text"/>
    <w:basedOn w:val="1"/>
    <w:next w:val="1"/>
    <w:qFormat/>
    <w:uiPriority w:val="0"/>
    <w:pPr>
      <w:adjustRightInd w:val="0"/>
      <w:spacing w:line="360" w:lineRule="atLeast"/>
      <w:jc w:val="left"/>
      <w:textAlignment w:val="baseline"/>
    </w:pPr>
    <w:rPr>
      <w:kern w:val="0"/>
    </w:rPr>
  </w:style>
  <w:style w:type="paragraph" w:styleId="5">
    <w:name w:val="Body Text"/>
    <w:basedOn w:val="1"/>
    <w:semiHidden/>
    <w:qFormat/>
    <w:uiPriority w:val="0"/>
    <w:rPr>
      <w:rFonts w:ascii="Arial" w:hAnsi="Arial" w:eastAsia="Arial" w:cs="Arial"/>
      <w:sz w:val="21"/>
      <w:szCs w:val="21"/>
      <w:lang w:val="en-US" w:eastAsia="en-US" w:bidi="ar-SA"/>
    </w:rPr>
  </w:style>
  <w:style w:type="paragraph" w:styleId="6">
    <w:name w:val="toc 3"/>
    <w:basedOn w:val="1"/>
    <w:next w:val="1"/>
    <w:qFormat/>
    <w:uiPriority w:val="0"/>
    <w:pPr>
      <w:ind w:left="840" w:leftChars="400"/>
    </w:pPr>
  </w:style>
  <w:style w:type="paragraph" w:styleId="7">
    <w:name w:val="Plain Text"/>
    <w:basedOn w:val="1"/>
    <w:qFormat/>
    <w:uiPriority w:val="0"/>
    <w:rPr>
      <w:rFonts w:ascii="宋体" w:hAnsi="Courier New"/>
      <w:szCs w:val="20"/>
    </w:rPr>
  </w:style>
  <w:style w:type="paragraph" w:styleId="8">
    <w:name w:val="footer"/>
    <w:basedOn w:val="1"/>
    <w:qFormat/>
    <w:uiPriority w:val="0"/>
    <w:pPr>
      <w:tabs>
        <w:tab w:val="center" w:pos="4153"/>
        <w:tab w:val="right" w:pos="8306"/>
      </w:tabs>
      <w:snapToGrid w:val="0"/>
      <w:jc w:val="left"/>
    </w:pPr>
    <w:rPr>
      <w:sz w:val="18"/>
    </w:rPr>
  </w:style>
  <w:style w:type="paragraph" w:styleId="9">
    <w:name w:val="toc 1"/>
    <w:basedOn w:val="1"/>
    <w:next w:val="1"/>
    <w:qFormat/>
    <w:uiPriority w:val="0"/>
  </w:style>
  <w:style w:type="paragraph" w:styleId="10">
    <w:name w:val="toc 2"/>
    <w:basedOn w:val="1"/>
    <w:next w:val="1"/>
    <w:qFormat/>
    <w:uiPriority w:val="0"/>
    <w:pPr>
      <w:ind w:left="420" w:leftChars="200"/>
    </w:pPr>
  </w:style>
  <w:style w:type="paragraph" w:styleId="11">
    <w:name w:val="Body Text 2"/>
    <w:basedOn w:val="1"/>
    <w:qFormat/>
    <w:uiPriority w:val="0"/>
    <w:pPr>
      <w:spacing w:line="500" w:lineRule="exact"/>
    </w:pPr>
    <w:rPr>
      <w:rFonts w:ascii="宋体" w:hAnsi="Times New Roman" w:eastAsia="宋体" w:cs="Times New Roman"/>
      <w:sz w:val="24"/>
    </w:rPr>
  </w:style>
  <w:style w:type="paragraph" w:styleId="12">
    <w:name w:val="Normal (Web)"/>
    <w:basedOn w:val="1"/>
    <w:qFormat/>
    <w:uiPriority w:val="0"/>
    <w:pPr>
      <w:spacing w:beforeAutospacing="1" w:afterAutospacing="1"/>
      <w:jc w:val="left"/>
    </w:pPr>
    <w:rPr>
      <w:rFonts w:cs="Times New Roman"/>
      <w:kern w:val="0"/>
      <w:sz w:val="24"/>
    </w:rPr>
  </w:style>
  <w:style w:type="paragraph" w:styleId="13">
    <w:name w:val="Body Text First Indent"/>
    <w:basedOn w:val="5"/>
    <w:qFormat/>
    <w:uiPriority w:val="99"/>
    <w:pPr>
      <w:spacing w:line="240" w:lineRule="auto"/>
      <w:ind w:firstLine="420" w:firstLineChars="100"/>
    </w:pPr>
    <w:rPr>
      <w:rFonts w:ascii="Times New Roman" w:cs="Times New Roman"/>
      <w:sz w:val="20"/>
      <w:szCs w:val="20"/>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Emphasis"/>
    <w:basedOn w:val="16"/>
    <w:qFormat/>
    <w:uiPriority w:val="0"/>
    <w:rPr>
      <w:i/>
    </w:rPr>
  </w:style>
  <w:style w:type="paragraph" w:customStyle="1" w:styleId="18">
    <w:name w:val="Default"/>
    <w:unhideWhenUsed/>
    <w:qFormat/>
    <w:uiPriority w:val="99"/>
    <w:pPr>
      <w:widowControl w:val="0"/>
      <w:autoSpaceDE w:val="0"/>
      <w:autoSpaceDN w:val="0"/>
      <w:adjustRightInd w:val="0"/>
    </w:pPr>
    <w:rPr>
      <w:rFonts w:hint="eastAsia" w:ascii="Arial Unicode MS" w:hAnsi="Arial Unicode MS" w:eastAsia="Arial Unicode MS" w:cs="Times New Roman"/>
      <w:color w:val="000000"/>
      <w:sz w:val="24"/>
      <w:lang w:val="en-US" w:eastAsia="zh-CN" w:bidi="ar-SA"/>
    </w:rPr>
  </w:style>
  <w:style w:type="paragraph" w:customStyle="1" w:styleId="19">
    <w:name w:val="UserStyle_43"/>
    <w:qFormat/>
    <w:uiPriority w:val="99"/>
    <w:pPr>
      <w:spacing w:line="360" w:lineRule="auto"/>
      <w:jc w:val="both"/>
      <w:textAlignment w:val="baseline"/>
    </w:pPr>
    <w:rPr>
      <w:rFonts w:ascii="宋体" w:hAnsi="Times New Roman" w:eastAsia="宋体" w:cs="宋体"/>
      <w:kern w:val="2"/>
      <w:sz w:val="24"/>
      <w:szCs w:val="24"/>
      <w:lang w:val="en-US" w:eastAsia="zh-CN" w:bidi="ar-SA"/>
    </w:rPr>
  </w:style>
  <w:style w:type="character" w:customStyle="1" w:styleId="20">
    <w:name w:val="NormalCharacter"/>
    <w:qFormat/>
    <w:uiPriority w:val="99"/>
  </w:style>
  <w:style w:type="paragraph" w:customStyle="1" w:styleId="21">
    <w:name w:val="Table Text"/>
    <w:basedOn w:val="1"/>
    <w:semiHidden/>
    <w:qFormat/>
    <w:uiPriority w:val="0"/>
    <w:rPr>
      <w:rFonts w:ascii="Arial" w:hAnsi="Arial" w:eastAsia="Arial" w:cs="Arial"/>
      <w:sz w:val="21"/>
      <w:szCs w:val="21"/>
      <w:lang w:val="en-US" w:eastAsia="en-US" w:bidi="ar-SA"/>
    </w:rPr>
  </w:style>
  <w:style w:type="paragraph" w:customStyle="1" w:styleId="22">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3">
    <w:name w:val="正文缩进1"/>
    <w:basedOn w:val="1"/>
    <w:qFormat/>
    <w:uiPriority w:val="0"/>
    <w:pPr>
      <w:widowControl/>
      <w:ind w:firstLine="420"/>
      <w:jc w:val="left"/>
    </w:pPr>
    <w:rPr>
      <w:kern w:val="0"/>
    </w:rPr>
  </w:style>
  <w:style w:type="paragraph" w:customStyle="1" w:styleId="24">
    <w:name w:val="UserStyle_19"/>
    <w:qFormat/>
    <w:uiPriority w:val="99"/>
    <w:pPr>
      <w:jc w:val="both"/>
      <w:textAlignment w:val="baseline"/>
    </w:pPr>
    <w:rPr>
      <w:rFonts w:ascii="Times New Roman" w:hAnsi="Times New Roman" w:eastAsia="宋体" w:cs="Times New Roman"/>
      <w:kern w:val="2"/>
      <w:sz w:val="21"/>
      <w:szCs w:val="21"/>
      <w:lang w:val="en-US" w:eastAsia="zh-CN" w:bidi="ar-SA"/>
    </w:rPr>
  </w:style>
  <w:style w:type="paragraph" w:customStyle="1" w:styleId="25">
    <w:name w:val="正文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26">
    <w:name w:val="正文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27">
    <w:name w:val="正文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28">
    <w:name w:val="正文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29">
    <w:name w:val="Heading2"/>
    <w:basedOn w:val="1"/>
    <w:next w:val="1"/>
    <w:qFormat/>
    <w:uiPriority w:val="99"/>
    <w:pPr>
      <w:jc w:val="left"/>
    </w:pPr>
    <w:rPr>
      <w:kern w:val="0"/>
    </w:rPr>
  </w:style>
  <w:style w:type="paragraph" w:customStyle="1" w:styleId="30">
    <w:name w:val="AnnotationText"/>
    <w:basedOn w:val="1"/>
    <w:qFormat/>
    <w:uiPriority w:val="99"/>
    <w:pPr>
      <w:spacing w:line="360" w:lineRule="atLeast"/>
      <w:jc w:val="left"/>
    </w:pPr>
    <w:rPr>
      <w:kern w:val="0"/>
    </w:rPr>
  </w:style>
  <w:style w:type="paragraph" w:customStyle="1" w:styleId="31">
    <w:name w:val="UserStyle_44"/>
    <w:basedOn w:val="32"/>
    <w:qFormat/>
    <w:uiPriority w:val="99"/>
    <w:rPr>
      <w:sz w:val="24"/>
      <w:szCs w:val="24"/>
    </w:rPr>
  </w:style>
  <w:style w:type="paragraph" w:customStyle="1" w:styleId="32">
    <w:name w:val="UserStyle_33"/>
    <w:qFormat/>
    <w:uiPriority w:val="99"/>
    <w:pPr>
      <w:jc w:val="both"/>
      <w:textAlignment w:val="baseline"/>
    </w:pPr>
    <w:rPr>
      <w:rFonts w:ascii="Times New Roman" w:hAnsi="Times New Roman" w:eastAsia="宋体" w:cs="Times New Roman"/>
      <w:kern w:val="2"/>
      <w:sz w:val="21"/>
      <w:szCs w:val="21"/>
      <w:lang w:val="en-US" w:eastAsia="zh-CN" w:bidi="ar-SA"/>
    </w:rPr>
  </w:style>
  <w:style w:type="paragraph" w:customStyle="1" w:styleId="33">
    <w:name w:val="UserStyle_45"/>
    <w:qFormat/>
    <w:uiPriority w:val="99"/>
    <w:pPr>
      <w:spacing w:line="360" w:lineRule="auto"/>
      <w:jc w:val="both"/>
      <w:textAlignment w:val="baseline"/>
    </w:pPr>
    <w:rPr>
      <w:rFonts w:ascii="宋体" w:hAnsi="Times New Roman" w:eastAsia="宋体" w:cs="宋体"/>
      <w:kern w:val="2"/>
      <w:sz w:val="24"/>
      <w:szCs w:val="24"/>
      <w:lang w:val="en-US" w:eastAsia="zh-CN" w:bidi="ar-SA"/>
    </w:rPr>
  </w:style>
  <w:style w:type="paragraph" w:customStyle="1" w:styleId="34">
    <w:name w:val="正文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35">
    <w:name w:val="文一"/>
    <w:basedOn w:val="1"/>
    <w:qFormat/>
    <w:uiPriority w:val="0"/>
    <w:pPr>
      <w:topLinePunct/>
      <w:adjustRightInd w:val="0"/>
      <w:snapToGrid w:val="0"/>
      <w:ind w:firstLine="200" w:firstLineChars="200"/>
    </w:pPr>
    <w:rPr>
      <w:rFonts w:ascii="Calibri" w:hAnsi="Calibri"/>
      <w:snapToGrid w:val="0"/>
      <w:spacing w:val="4"/>
      <w:kern w:val="0"/>
      <w:szCs w:val="22"/>
    </w:rPr>
  </w:style>
  <w:style w:type="paragraph" w:customStyle="1" w:styleId="36">
    <w:name w:val="BodyText"/>
    <w:basedOn w:val="1"/>
    <w:next w:val="37"/>
    <w:qFormat/>
    <w:uiPriority w:val="99"/>
    <w:pPr>
      <w:spacing w:after="120"/>
    </w:pPr>
  </w:style>
  <w:style w:type="paragraph" w:customStyle="1" w:styleId="37">
    <w:name w:val="BodyText2"/>
    <w:basedOn w:val="1"/>
    <w:qFormat/>
    <w:uiPriority w:val="99"/>
    <w:pPr>
      <w:spacing w:line="500" w:lineRule="exact"/>
    </w:pPr>
  </w:style>
  <w:style w:type="paragraph" w:customStyle="1" w:styleId="38">
    <w:name w:val="正文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39">
    <w:name w:val="正文缩进 New"/>
    <w:basedOn w:val="40"/>
    <w:qFormat/>
    <w:uiPriority w:val="0"/>
    <w:pPr>
      <w:widowControl/>
      <w:ind w:firstLine="420"/>
      <w:jc w:val="left"/>
    </w:pPr>
    <w:rPr>
      <w:kern w:val="0"/>
      <w:sz w:val="20"/>
    </w:rPr>
  </w:style>
  <w:style w:type="paragraph" w:customStyle="1" w:styleId="40">
    <w:name w:val="正文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41">
    <w:name w:val="正文文本 New"/>
    <w:basedOn w:val="1"/>
    <w:qFormat/>
    <w:uiPriority w:val="0"/>
    <w:pPr>
      <w:spacing w:after="120" w:line="360" w:lineRule="auto"/>
    </w:pPr>
    <w:rPr>
      <w:rFonts w:ascii="宋体" w:hAnsi="Times New Roman" w:eastAsia="宋体" w:cs="Times New Roman"/>
      <w:sz w:val="24"/>
      <w:szCs w:val="20"/>
    </w:rPr>
  </w:style>
  <w:style w:type="character" w:customStyle="1" w:styleId="42">
    <w:name w:val="正文文本 (2) + 间距 0 pt3"/>
    <w:basedOn w:val="16"/>
    <w:qFormat/>
    <w:uiPriority w:val="0"/>
    <w:rPr>
      <w:rFonts w:ascii="MingLiU" w:hAnsi="Times New Roman" w:eastAsia="MingLiU" w:cs="MingLiU"/>
      <w:spacing w:val="0"/>
      <w:sz w:val="22"/>
      <w:szCs w:val="22"/>
      <w:u w:val="none"/>
    </w:rPr>
  </w:style>
  <w:style w:type="character" w:customStyle="1" w:styleId="43">
    <w:name w:val="标题 2 字符"/>
    <w:link w:val="3"/>
    <w:qFormat/>
    <w:uiPriority w:val="0"/>
    <w:rPr>
      <w:rFonts w:hint="eastAsia" w:ascii="宋体" w:hAnsi="宋体" w:eastAsia="宋体" w:cs="宋体"/>
      <w:b/>
      <w:bCs/>
      <w:kern w:val="0"/>
      <w:sz w:val="36"/>
      <w:szCs w:val="36"/>
      <w:lang w:val="en-US" w:eastAsia="zh-CN" w:bidi="ar"/>
    </w:rPr>
  </w:style>
  <w:style w:type="paragraph" w:customStyle="1" w:styleId="44">
    <w:name w:val="标题 3 New New"/>
    <w:basedOn w:val="39"/>
    <w:next w:val="39"/>
    <w:qFormat/>
    <w:uiPriority w:val="0"/>
    <w:pPr>
      <w:keepNext/>
      <w:keepLines/>
      <w:spacing w:before="120" w:beforeLines="0" w:beforeAutospacing="0" w:after="120" w:afterLines="0" w:afterAutospacing="0"/>
      <w:jc w:val="center"/>
      <w:outlineLvl w:val="2"/>
    </w:pPr>
    <w:rPr>
      <w:rFonts w:ascii="Times New Roman" w:hAnsi="Times New Roman" w:eastAsia="宋体" w:cs="Times New Roman"/>
      <w:sz w:val="24"/>
    </w:rPr>
  </w:style>
  <w:style w:type="paragraph" w:customStyle="1" w:styleId="45">
    <w:name w:val="UserStyle_76"/>
    <w:basedOn w:val="46"/>
    <w:qFormat/>
    <w:uiPriority w:val="99"/>
    <w:pPr>
      <w:ind w:firstLine="420"/>
      <w:jc w:val="left"/>
    </w:pPr>
    <w:rPr>
      <w:kern w:val="0"/>
      <w:sz w:val="20"/>
      <w:szCs w:val="20"/>
    </w:rPr>
  </w:style>
  <w:style w:type="paragraph" w:customStyle="1" w:styleId="46">
    <w:name w:val="UserStyle_15"/>
    <w:qFormat/>
    <w:uiPriority w:val="99"/>
    <w:pPr>
      <w:spacing w:line="360" w:lineRule="auto"/>
      <w:jc w:val="both"/>
      <w:textAlignment w:val="baseline"/>
    </w:pPr>
    <w:rPr>
      <w:rFonts w:ascii="宋体" w:hAnsi="Times New Roman" w:eastAsia="宋体" w:cs="宋体"/>
      <w:kern w:val="2"/>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header" Target="header3.xml"/><Relationship Id="rId59" Type="http://schemas.openxmlformats.org/officeDocument/2006/relationships/fontTable" Target="fontTable.xml"/><Relationship Id="rId58" Type="http://schemas.openxmlformats.org/officeDocument/2006/relationships/numbering" Target="numbering.xml"/><Relationship Id="rId57" Type="http://schemas.openxmlformats.org/officeDocument/2006/relationships/customXml" Target="../customXml/item1.xml"/><Relationship Id="rId56" Type="http://schemas.openxmlformats.org/officeDocument/2006/relationships/image" Target="media/image18.png"/><Relationship Id="rId55" Type="http://schemas.openxmlformats.org/officeDocument/2006/relationships/image" Target="media/image17.jpeg"/><Relationship Id="rId54" Type="http://schemas.openxmlformats.org/officeDocument/2006/relationships/image" Target="media/image16.png"/><Relationship Id="rId53" Type="http://schemas.openxmlformats.org/officeDocument/2006/relationships/image" Target="media/image15.png"/><Relationship Id="rId52" Type="http://schemas.openxmlformats.org/officeDocument/2006/relationships/image" Target="media/image14.wmf"/><Relationship Id="rId51" Type="http://schemas.openxmlformats.org/officeDocument/2006/relationships/oleObject" Target="embeddings/oleObject12.bin"/><Relationship Id="rId50" Type="http://schemas.openxmlformats.org/officeDocument/2006/relationships/image" Target="media/image13.wmf"/><Relationship Id="rId5" Type="http://schemas.openxmlformats.org/officeDocument/2006/relationships/footer" Target="footer1.xml"/><Relationship Id="rId49" Type="http://schemas.openxmlformats.org/officeDocument/2006/relationships/oleObject" Target="embeddings/oleObject11.bin"/><Relationship Id="rId48" Type="http://schemas.openxmlformats.org/officeDocument/2006/relationships/image" Target="media/image12.wmf"/><Relationship Id="rId47" Type="http://schemas.openxmlformats.org/officeDocument/2006/relationships/oleObject" Target="embeddings/oleObject10.bin"/><Relationship Id="rId46" Type="http://schemas.openxmlformats.org/officeDocument/2006/relationships/image" Target="media/image11.wmf"/><Relationship Id="rId45" Type="http://schemas.openxmlformats.org/officeDocument/2006/relationships/oleObject" Target="embeddings/oleObject9.bin"/><Relationship Id="rId44" Type="http://schemas.openxmlformats.org/officeDocument/2006/relationships/image" Target="media/image10.wmf"/><Relationship Id="rId43" Type="http://schemas.openxmlformats.org/officeDocument/2006/relationships/oleObject" Target="embeddings/oleObject8.bin"/><Relationship Id="rId42" Type="http://schemas.openxmlformats.org/officeDocument/2006/relationships/image" Target="media/image9.wmf"/><Relationship Id="rId41" Type="http://schemas.openxmlformats.org/officeDocument/2006/relationships/oleObject" Target="embeddings/oleObject7.bin"/><Relationship Id="rId40" Type="http://schemas.openxmlformats.org/officeDocument/2006/relationships/image" Target="media/image8.wmf"/><Relationship Id="rId4" Type="http://schemas.openxmlformats.org/officeDocument/2006/relationships/header" Target="header2.xml"/><Relationship Id="rId39" Type="http://schemas.openxmlformats.org/officeDocument/2006/relationships/oleObject" Target="embeddings/oleObject6.bin"/><Relationship Id="rId38" Type="http://schemas.openxmlformats.org/officeDocument/2006/relationships/image" Target="media/image7.wmf"/><Relationship Id="rId37" Type="http://schemas.openxmlformats.org/officeDocument/2006/relationships/oleObject" Target="embeddings/oleObject5.bin"/><Relationship Id="rId36" Type="http://schemas.openxmlformats.org/officeDocument/2006/relationships/image" Target="media/image6.wmf"/><Relationship Id="rId35" Type="http://schemas.openxmlformats.org/officeDocument/2006/relationships/oleObject" Target="embeddings/oleObject4.bin"/><Relationship Id="rId34" Type="http://schemas.openxmlformats.org/officeDocument/2006/relationships/image" Target="media/image5.wmf"/><Relationship Id="rId33" Type="http://schemas.openxmlformats.org/officeDocument/2006/relationships/oleObject" Target="embeddings/oleObject3.bin"/><Relationship Id="rId32" Type="http://schemas.openxmlformats.org/officeDocument/2006/relationships/image" Target="media/image4.wmf"/><Relationship Id="rId31" Type="http://schemas.openxmlformats.org/officeDocument/2006/relationships/oleObject" Target="embeddings/oleObject2.bin"/><Relationship Id="rId30" Type="http://schemas.openxmlformats.org/officeDocument/2006/relationships/image" Target="media/image3.wmf"/><Relationship Id="rId3" Type="http://schemas.openxmlformats.org/officeDocument/2006/relationships/header" Target="header1.xml"/><Relationship Id="rId29" Type="http://schemas.openxmlformats.org/officeDocument/2006/relationships/oleObject" Target="embeddings/oleObject1.bin"/><Relationship Id="rId28" Type="http://schemas.openxmlformats.org/officeDocument/2006/relationships/image" Target="media/image2.png"/><Relationship Id="rId27" Type="http://schemas.openxmlformats.org/officeDocument/2006/relationships/image" Target="media/image1.png"/><Relationship Id="rId26" Type="http://schemas.openxmlformats.org/officeDocument/2006/relationships/theme" Target="theme/theme1.xml"/><Relationship Id="rId25" Type="http://schemas.openxmlformats.org/officeDocument/2006/relationships/footer" Target="footer19.xml"/><Relationship Id="rId24" Type="http://schemas.openxmlformats.org/officeDocument/2006/relationships/footer" Target="footer18.xml"/><Relationship Id="rId23" Type="http://schemas.openxmlformats.org/officeDocument/2006/relationships/footer" Target="footer17.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92</Pages>
  <Words>60436</Words>
  <Characters>64255</Characters>
  <Lines>0</Lines>
  <Paragraphs>0</Paragraphs>
  <TotalTime>1</TotalTime>
  <ScaleCrop>false</ScaleCrop>
  <LinksUpToDate>false</LinksUpToDate>
  <CharactersWithSpaces>67460</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2024-09-28T20:36:00Z</dcterms:created>
  <dc:creator>Administrator</dc:creator>
  <cp:lastModifiedBy>晨曦</cp:lastModifiedBy>
  <cp:lastPrinted>2026-04-14T08:48:00Z</cp:lastPrinted>
  <dcterms:modified xsi:type="dcterms:W3CDTF">2026-05-13T02:40:34Z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A327EB87874948D7A033D563F40FD605_13</vt:lpwstr>
  </property>
  <property fmtid="{D5CDD505-2E9C-101B-9397-08002B2CF9AE}" pid="4" name="KSOTemplateDocerSaveRecord">
    <vt:lpwstr>eyJoZGlkIjoiOGJmMDA2NGQyMzZlNjM5MzA0YmFjNTc5NjdkZmMxODQiLCJ1c2VySWQiOiIyNTU5NTE0NjEifQ==</vt:lpwstr>
  </property>
</Properties>
</file>