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B7BB6">
      <w:pPr>
        <w:pStyle w:val="48"/>
        <w:spacing w:line="360" w:lineRule="auto"/>
        <w:jc w:val="center"/>
        <w:rPr>
          <w:rFonts w:hint="eastAsia" w:ascii="宋体" w:hAnsi="宋体" w:eastAsia="宋体" w:cs="宋体"/>
          <w:b/>
          <w:bCs/>
          <w:color w:val="auto"/>
          <w:sz w:val="52"/>
          <w:szCs w:val="52"/>
          <w:highlight w:val="none"/>
          <w:lang w:eastAsia="zh-CN"/>
        </w:rPr>
      </w:pPr>
      <w:r>
        <w:rPr>
          <w:rFonts w:hint="eastAsia" w:ascii="宋体" w:hAnsi="宋体" w:eastAsia="宋体" w:cs="宋体"/>
          <w:b/>
          <w:bCs/>
          <w:color w:val="auto"/>
          <w:sz w:val="52"/>
          <w:szCs w:val="52"/>
          <w:highlight w:val="none"/>
          <w:lang w:eastAsia="zh-CN"/>
        </w:rPr>
        <w:t>仁化县丹霞山周边重点区域生态修复项目（一期）施工</w:t>
      </w:r>
    </w:p>
    <w:p w14:paraId="737C064C">
      <w:pPr>
        <w:pStyle w:val="48"/>
        <w:spacing w:line="360" w:lineRule="auto"/>
        <w:jc w:val="center"/>
        <w:rPr>
          <w:rFonts w:hint="eastAsia" w:ascii="宋体" w:hAnsi="宋体" w:eastAsia="宋体" w:cs="宋体"/>
          <w:b/>
          <w:bCs/>
          <w:color w:val="auto"/>
          <w:sz w:val="52"/>
          <w:szCs w:val="52"/>
          <w:highlight w:val="none"/>
          <w:lang w:eastAsia="zh-CN"/>
        </w:rPr>
      </w:pPr>
    </w:p>
    <w:p w14:paraId="7F3BE48C">
      <w:pPr>
        <w:pStyle w:val="48"/>
        <w:spacing w:line="360" w:lineRule="auto"/>
        <w:jc w:val="center"/>
        <w:rPr>
          <w:rFonts w:hint="eastAsia" w:ascii="宋体" w:hAnsi="宋体" w:eastAsia="宋体" w:cs="宋体"/>
          <w:b/>
          <w:bCs/>
          <w:color w:val="auto"/>
          <w:spacing w:val="26"/>
          <w:sz w:val="84"/>
          <w:szCs w:val="84"/>
          <w:highlight w:val="none"/>
          <w14:shadow w14:blurRad="50800" w14:dist="38100" w14:dir="2700000" w14:sx="100000" w14:sy="100000" w14:kx="0" w14:ky="0" w14:algn="tl">
            <w14:srgbClr w14:val="000000">
              <w14:alpha w14:val="60000"/>
            </w14:srgbClr>
          </w14:shadow>
        </w:rPr>
      </w:pPr>
      <w:r>
        <w:rPr>
          <w:rFonts w:hint="eastAsia" w:ascii="宋体" w:hAnsi="宋体" w:eastAsia="宋体" w:cs="宋体"/>
          <w:b/>
          <w:bCs/>
          <w:color w:val="auto"/>
          <w:spacing w:val="26"/>
          <w:sz w:val="84"/>
          <w:szCs w:val="84"/>
          <w:highlight w:val="none"/>
          <w14:shadow w14:blurRad="50800" w14:dist="38100" w14:dir="2700000" w14:sx="100000" w14:sy="100000" w14:kx="0" w14:ky="0" w14:algn="tl">
            <w14:srgbClr w14:val="000000">
              <w14:alpha w14:val="60000"/>
            </w14:srgbClr>
          </w14:shadow>
        </w:rPr>
        <w:t>招标文件</w:t>
      </w:r>
    </w:p>
    <w:p w14:paraId="31E03FD0">
      <w:pPr>
        <w:pStyle w:val="48"/>
        <w:spacing w:line="360" w:lineRule="auto"/>
        <w:rPr>
          <w:rFonts w:hint="eastAsia" w:ascii="宋体" w:hAnsi="宋体" w:eastAsia="宋体" w:cs="宋体"/>
          <w:b/>
          <w:bCs/>
          <w:color w:val="auto"/>
          <w:spacing w:val="26"/>
          <w:sz w:val="52"/>
          <w:szCs w:val="52"/>
          <w:highlight w:val="none"/>
          <w14:shadow w14:blurRad="50800" w14:dist="38100" w14:dir="2700000" w14:sx="100000" w14:sy="100000" w14:kx="0" w14:ky="0" w14:algn="tl">
            <w14:srgbClr w14:val="000000">
              <w14:alpha w14:val="60000"/>
            </w14:srgbClr>
          </w14:shadow>
        </w:rPr>
      </w:pPr>
    </w:p>
    <w:tbl>
      <w:tblPr>
        <w:tblStyle w:val="15"/>
        <w:tblpPr w:leftFromText="180" w:rightFromText="180" w:vertAnchor="text" w:horzAnchor="page" w:tblpX="1312" w:tblpY="423"/>
        <w:tblOverlap w:val="never"/>
        <w:tblW w:w="9659" w:type="dxa"/>
        <w:tblInd w:w="0" w:type="dxa"/>
        <w:tblLayout w:type="fixed"/>
        <w:tblCellMar>
          <w:top w:w="0" w:type="dxa"/>
          <w:left w:w="0" w:type="dxa"/>
          <w:bottom w:w="0" w:type="dxa"/>
          <w:right w:w="0" w:type="dxa"/>
        </w:tblCellMar>
      </w:tblPr>
      <w:tblGrid>
        <w:gridCol w:w="4815"/>
        <w:gridCol w:w="4844"/>
      </w:tblGrid>
      <w:tr w14:paraId="204754C4">
        <w:tblPrEx>
          <w:tblCellMar>
            <w:top w:w="0" w:type="dxa"/>
            <w:left w:w="0" w:type="dxa"/>
            <w:bottom w:w="0" w:type="dxa"/>
            <w:right w:w="0" w:type="dxa"/>
          </w:tblCellMar>
        </w:tblPrEx>
        <w:trPr>
          <w:trHeight w:val="1057" w:hRule="atLeast"/>
        </w:trPr>
        <w:tc>
          <w:tcPr>
            <w:tcW w:w="4815" w:type="dxa"/>
            <w:noWrap w:val="0"/>
            <w:vAlign w:val="center"/>
          </w:tcPr>
          <w:p w14:paraId="45A2C9EA">
            <w:pPr>
              <w:pStyle w:val="49"/>
              <w:spacing w:line="240" w:lineRule="auto"/>
              <w:rPr>
                <w:rFonts w:hint="eastAsia" w:hAnsi="宋体" w:cs="宋体"/>
                <w:color w:val="auto"/>
                <w:sz w:val="28"/>
                <w:szCs w:val="28"/>
                <w:highlight w:val="none"/>
              </w:rPr>
            </w:pPr>
            <w:r>
              <w:rPr>
                <w:rFonts w:hint="eastAsia" w:hAnsi="宋体" w:cs="宋体"/>
                <w:color w:val="auto"/>
                <w:sz w:val="28"/>
                <w:szCs w:val="28"/>
                <w:highlight w:val="none"/>
              </w:rPr>
              <w:t xml:space="preserve"> 招        标        人（盖 章）：</w:t>
            </w:r>
          </w:p>
        </w:tc>
        <w:tc>
          <w:tcPr>
            <w:tcW w:w="4844" w:type="dxa"/>
            <w:noWrap w:val="0"/>
            <w:vAlign w:val="center"/>
          </w:tcPr>
          <w:p w14:paraId="6B79DFF5">
            <w:pPr>
              <w:pStyle w:val="49"/>
              <w:spacing w:line="240" w:lineRule="auto"/>
              <w:rPr>
                <w:rFonts w:hint="eastAsia" w:hAnsi="宋体" w:eastAsia="宋体" w:cs="宋体"/>
                <w:color w:val="auto"/>
                <w:sz w:val="28"/>
                <w:szCs w:val="28"/>
                <w:highlight w:val="none"/>
                <w:lang w:eastAsia="zh-CN"/>
              </w:rPr>
            </w:pPr>
            <w:r>
              <w:rPr>
                <w:rFonts w:hint="eastAsia" w:hAnsi="宋体" w:cs="宋体"/>
                <w:color w:val="auto"/>
                <w:sz w:val="28"/>
                <w:szCs w:val="28"/>
                <w:highlight w:val="none"/>
                <w:lang w:eastAsia="zh-CN"/>
              </w:rPr>
              <w:t>仁化县林业局</w:t>
            </w:r>
          </w:p>
        </w:tc>
      </w:tr>
      <w:tr w14:paraId="71A5190E">
        <w:tblPrEx>
          <w:tblCellMar>
            <w:top w:w="0" w:type="dxa"/>
            <w:left w:w="0" w:type="dxa"/>
            <w:bottom w:w="0" w:type="dxa"/>
            <w:right w:w="0" w:type="dxa"/>
          </w:tblCellMar>
        </w:tblPrEx>
        <w:trPr>
          <w:trHeight w:val="1158" w:hRule="atLeast"/>
        </w:trPr>
        <w:tc>
          <w:tcPr>
            <w:tcW w:w="4815" w:type="dxa"/>
            <w:noWrap w:val="0"/>
            <w:vAlign w:val="center"/>
          </w:tcPr>
          <w:p w14:paraId="1804EA22">
            <w:pPr>
              <w:pStyle w:val="49"/>
              <w:spacing w:line="240" w:lineRule="auto"/>
              <w:jc w:val="left"/>
              <w:rPr>
                <w:rFonts w:hint="eastAsia" w:hAnsi="宋体" w:cs="宋体"/>
                <w:color w:val="auto"/>
                <w:sz w:val="28"/>
                <w:highlight w:val="none"/>
              </w:rPr>
            </w:pPr>
            <w:r>
              <w:rPr>
                <w:rFonts w:hint="eastAsia" w:hAnsi="宋体" w:cs="宋体"/>
                <w:color w:val="auto"/>
                <w:sz w:val="28"/>
                <w:highlight w:val="none"/>
              </w:rPr>
              <w:t xml:space="preserve"> 招标人工作领导小组负责人（签字）：</w:t>
            </w:r>
          </w:p>
        </w:tc>
        <w:tc>
          <w:tcPr>
            <w:tcW w:w="4844" w:type="dxa"/>
            <w:noWrap w:val="0"/>
            <w:vAlign w:val="center"/>
          </w:tcPr>
          <w:p w14:paraId="1B329948">
            <w:pPr>
              <w:pStyle w:val="49"/>
              <w:spacing w:line="240" w:lineRule="auto"/>
              <w:rPr>
                <w:rFonts w:hint="eastAsia" w:hAnsi="宋体" w:cs="宋体"/>
                <w:color w:val="auto"/>
                <w:sz w:val="28"/>
                <w:szCs w:val="28"/>
                <w:highlight w:val="none"/>
              </w:rPr>
            </w:pPr>
          </w:p>
        </w:tc>
      </w:tr>
      <w:tr w14:paraId="7BDFF2AA">
        <w:tblPrEx>
          <w:tblCellMar>
            <w:top w:w="0" w:type="dxa"/>
            <w:left w:w="0" w:type="dxa"/>
            <w:bottom w:w="0" w:type="dxa"/>
            <w:right w:w="0" w:type="dxa"/>
          </w:tblCellMar>
        </w:tblPrEx>
        <w:trPr>
          <w:trHeight w:val="1083" w:hRule="atLeast"/>
        </w:trPr>
        <w:tc>
          <w:tcPr>
            <w:tcW w:w="4815" w:type="dxa"/>
            <w:noWrap w:val="0"/>
            <w:vAlign w:val="center"/>
          </w:tcPr>
          <w:p w14:paraId="7CE13960">
            <w:pPr>
              <w:pStyle w:val="49"/>
              <w:spacing w:line="240" w:lineRule="auto"/>
              <w:jc w:val="left"/>
              <w:rPr>
                <w:rFonts w:hint="eastAsia" w:hAnsi="宋体" w:cs="宋体"/>
                <w:color w:val="auto"/>
                <w:sz w:val="28"/>
                <w:highlight w:val="none"/>
              </w:rPr>
            </w:pPr>
            <w:r>
              <w:rPr>
                <w:rFonts w:hint="eastAsia" w:hAnsi="宋体" w:cs="宋体"/>
                <w:color w:val="auto"/>
                <w:sz w:val="28"/>
                <w:highlight w:val="none"/>
              </w:rPr>
              <w:t xml:space="preserve"> 招  标  代  理  机  构（盖 章）：</w:t>
            </w:r>
          </w:p>
        </w:tc>
        <w:tc>
          <w:tcPr>
            <w:tcW w:w="4844" w:type="dxa"/>
            <w:noWrap w:val="0"/>
            <w:vAlign w:val="center"/>
          </w:tcPr>
          <w:p w14:paraId="7183D8E9">
            <w:pPr>
              <w:pStyle w:val="49"/>
              <w:spacing w:line="240" w:lineRule="auto"/>
              <w:rPr>
                <w:rFonts w:hint="eastAsia" w:hAnsi="宋体" w:eastAsia="宋体" w:cs="宋体"/>
                <w:color w:val="auto"/>
                <w:sz w:val="28"/>
                <w:szCs w:val="28"/>
                <w:highlight w:val="none"/>
                <w:lang w:eastAsia="zh-CN"/>
              </w:rPr>
            </w:pPr>
            <w:r>
              <w:rPr>
                <w:rFonts w:hint="eastAsia" w:hAnsi="宋体" w:cs="宋体"/>
                <w:color w:val="auto"/>
                <w:sz w:val="28"/>
                <w:szCs w:val="28"/>
                <w:highlight w:val="none"/>
                <w:lang w:eastAsia="zh-CN"/>
              </w:rPr>
              <w:t>中晋工程项目管理有限公司</w:t>
            </w:r>
          </w:p>
        </w:tc>
      </w:tr>
      <w:tr w14:paraId="1584FF1B">
        <w:tblPrEx>
          <w:tblCellMar>
            <w:top w:w="0" w:type="dxa"/>
            <w:left w:w="0" w:type="dxa"/>
            <w:bottom w:w="0" w:type="dxa"/>
            <w:right w:w="0" w:type="dxa"/>
          </w:tblCellMar>
        </w:tblPrEx>
        <w:trPr>
          <w:trHeight w:val="1192" w:hRule="atLeast"/>
        </w:trPr>
        <w:tc>
          <w:tcPr>
            <w:tcW w:w="4815" w:type="dxa"/>
            <w:noWrap w:val="0"/>
            <w:vAlign w:val="center"/>
          </w:tcPr>
          <w:p w14:paraId="7D1284AC">
            <w:pPr>
              <w:pStyle w:val="49"/>
              <w:spacing w:line="240" w:lineRule="auto"/>
              <w:jc w:val="left"/>
              <w:rPr>
                <w:rFonts w:hint="eastAsia" w:hAnsi="宋体" w:cs="宋体"/>
                <w:color w:val="auto"/>
                <w:sz w:val="28"/>
                <w:highlight w:val="none"/>
              </w:rPr>
            </w:pPr>
            <w:r>
              <w:rPr>
                <w:rFonts w:hint="eastAsia" w:hAnsi="宋体" w:cs="宋体"/>
                <w:color w:val="auto"/>
                <w:sz w:val="28"/>
                <w:highlight w:val="none"/>
              </w:rPr>
              <w:t xml:space="preserve"> 招 标 文  件 编 制  人 （签字）：</w:t>
            </w:r>
          </w:p>
        </w:tc>
        <w:tc>
          <w:tcPr>
            <w:tcW w:w="4844" w:type="dxa"/>
            <w:noWrap w:val="0"/>
            <w:vAlign w:val="center"/>
          </w:tcPr>
          <w:p w14:paraId="51F91DA9">
            <w:pPr>
              <w:pStyle w:val="49"/>
              <w:spacing w:line="240" w:lineRule="auto"/>
              <w:rPr>
                <w:rFonts w:hint="eastAsia" w:hAnsi="宋体" w:cs="宋体"/>
                <w:color w:val="auto"/>
                <w:sz w:val="28"/>
                <w:szCs w:val="28"/>
                <w:highlight w:val="none"/>
              </w:rPr>
            </w:pPr>
          </w:p>
        </w:tc>
      </w:tr>
      <w:tr w14:paraId="0C61C7A2">
        <w:tblPrEx>
          <w:tblCellMar>
            <w:top w:w="0" w:type="dxa"/>
            <w:left w:w="0" w:type="dxa"/>
            <w:bottom w:w="0" w:type="dxa"/>
            <w:right w:w="0" w:type="dxa"/>
          </w:tblCellMar>
        </w:tblPrEx>
        <w:trPr>
          <w:trHeight w:val="1217" w:hRule="atLeast"/>
        </w:trPr>
        <w:tc>
          <w:tcPr>
            <w:tcW w:w="4815" w:type="dxa"/>
            <w:noWrap w:val="0"/>
            <w:vAlign w:val="center"/>
          </w:tcPr>
          <w:p w14:paraId="27D3040E">
            <w:pPr>
              <w:pStyle w:val="49"/>
              <w:wordWrap w:val="0"/>
              <w:spacing w:line="240" w:lineRule="auto"/>
              <w:jc w:val="left"/>
              <w:rPr>
                <w:rFonts w:hint="eastAsia" w:hAnsi="宋体" w:cs="宋体"/>
                <w:color w:val="auto"/>
                <w:sz w:val="28"/>
                <w:highlight w:val="none"/>
              </w:rPr>
            </w:pPr>
            <w:r>
              <w:rPr>
                <w:rFonts w:hint="eastAsia" w:hAnsi="宋体" w:cs="宋体"/>
                <w:color w:val="auto"/>
                <w:sz w:val="28"/>
                <w:highlight w:val="none"/>
              </w:rPr>
              <w:t xml:space="preserve"> 招标代理机构项目负责人 （签字）：</w:t>
            </w:r>
          </w:p>
        </w:tc>
        <w:tc>
          <w:tcPr>
            <w:tcW w:w="4844" w:type="dxa"/>
            <w:noWrap w:val="0"/>
            <w:vAlign w:val="center"/>
          </w:tcPr>
          <w:p w14:paraId="163F4C30">
            <w:pPr>
              <w:pStyle w:val="49"/>
              <w:spacing w:line="240" w:lineRule="auto"/>
              <w:rPr>
                <w:rFonts w:hint="eastAsia" w:hAnsi="宋体" w:cs="宋体"/>
                <w:color w:val="auto"/>
                <w:sz w:val="28"/>
                <w:szCs w:val="28"/>
                <w:highlight w:val="none"/>
              </w:rPr>
            </w:pPr>
          </w:p>
        </w:tc>
      </w:tr>
      <w:tr w14:paraId="779D13E8">
        <w:tblPrEx>
          <w:tblCellMar>
            <w:top w:w="0" w:type="dxa"/>
            <w:left w:w="0" w:type="dxa"/>
            <w:bottom w:w="0" w:type="dxa"/>
            <w:right w:w="0" w:type="dxa"/>
          </w:tblCellMar>
        </w:tblPrEx>
        <w:trPr>
          <w:trHeight w:val="950" w:hRule="atLeast"/>
        </w:trPr>
        <w:tc>
          <w:tcPr>
            <w:tcW w:w="4815" w:type="dxa"/>
            <w:noWrap w:val="0"/>
            <w:vAlign w:val="center"/>
          </w:tcPr>
          <w:p w14:paraId="1F32F23A">
            <w:pPr>
              <w:pStyle w:val="49"/>
              <w:wordWrap w:val="0"/>
              <w:spacing w:line="240" w:lineRule="auto"/>
              <w:jc w:val="left"/>
              <w:rPr>
                <w:rFonts w:hint="eastAsia" w:hAnsi="宋体" w:cs="宋体"/>
                <w:color w:val="auto"/>
                <w:sz w:val="28"/>
                <w:highlight w:val="none"/>
              </w:rPr>
            </w:pPr>
            <w:r>
              <w:rPr>
                <w:rFonts w:hint="eastAsia" w:hAnsi="宋体" w:cs="宋体"/>
                <w:color w:val="auto"/>
                <w:sz w:val="28"/>
                <w:highlight w:val="none"/>
              </w:rPr>
              <w:t xml:space="preserve"> 招  标  文  件  编  制  日  期： </w:t>
            </w:r>
          </w:p>
        </w:tc>
        <w:tc>
          <w:tcPr>
            <w:tcW w:w="4844" w:type="dxa"/>
            <w:noWrap w:val="0"/>
            <w:vAlign w:val="center"/>
          </w:tcPr>
          <w:p w14:paraId="44D1754B">
            <w:pPr>
              <w:pStyle w:val="49"/>
              <w:spacing w:line="240" w:lineRule="auto"/>
              <w:rPr>
                <w:rFonts w:hint="eastAsia" w:hAnsi="宋体" w:cs="宋体"/>
                <w:color w:val="auto"/>
                <w:sz w:val="28"/>
                <w:highlight w:val="none"/>
              </w:rPr>
            </w:pPr>
            <w:r>
              <w:rPr>
                <w:rFonts w:hint="eastAsia" w:hAnsi="宋体" w:cs="宋体"/>
                <w:color w:val="auto"/>
                <w:sz w:val="28"/>
                <w:highlight w:val="none"/>
              </w:rPr>
              <w:t>202</w:t>
            </w:r>
            <w:r>
              <w:rPr>
                <w:rFonts w:hint="eastAsia" w:hAnsi="宋体" w:cs="宋体"/>
                <w:color w:val="auto"/>
                <w:sz w:val="28"/>
                <w:highlight w:val="none"/>
                <w:lang w:val="en-US" w:eastAsia="zh-CN"/>
              </w:rPr>
              <w:t>6</w:t>
            </w:r>
            <w:r>
              <w:rPr>
                <w:rFonts w:hint="eastAsia" w:hAnsi="宋体" w:cs="宋体"/>
                <w:color w:val="auto"/>
                <w:sz w:val="28"/>
                <w:highlight w:val="none"/>
              </w:rPr>
              <w:t>年</w:t>
            </w:r>
            <w:r>
              <w:rPr>
                <w:rFonts w:hint="eastAsia" w:hAnsi="宋体" w:cs="宋体"/>
                <w:color w:val="auto"/>
                <w:sz w:val="28"/>
                <w:highlight w:val="none"/>
                <w:lang w:val="en-US" w:eastAsia="zh-CN"/>
              </w:rPr>
              <w:t>10</w:t>
            </w:r>
            <w:r>
              <w:rPr>
                <w:rFonts w:hint="eastAsia" w:hAnsi="宋体" w:cs="宋体"/>
                <w:color w:val="auto"/>
                <w:sz w:val="28"/>
                <w:highlight w:val="none"/>
              </w:rPr>
              <w:t>月</w:t>
            </w:r>
          </w:p>
        </w:tc>
      </w:tr>
    </w:tbl>
    <w:p w14:paraId="2DF2E24F">
      <w:pPr>
        <w:pStyle w:val="4"/>
        <w:rPr>
          <w:rFonts w:hint="eastAsia" w:ascii="宋体" w:hAnsi="宋体" w:eastAsia="宋体" w:cs="宋体"/>
          <w:b/>
          <w:bCs/>
          <w:color w:val="auto"/>
          <w:kern w:val="2"/>
          <w:sz w:val="56"/>
          <w:szCs w:val="72"/>
          <w:highlight w:val="none"/>
          <w:u w:val="none"/>
          <w:lang w:val="en-US" w:eastAsia="zh-CN" w:bidi="ar-SA"/>
        </w:rPr>
      </w:pPr>
    </w:p>
    <w:p w14:paraId="0751871B">
      <w:pPr>
        <w:rPr>
          <w:rFonts w:hint="eastAsia" w:ascii="宋体" w:hAnsi="宋体" w:eastAsia="宋体" w:cs="宋体"/>
          <w:b/>
          <w:bCs/>
          <w:color w:val="auto"/>
          <w:kern w:val="2"/>
          <w:sz w:val="56"/>
          <w:szCs w:val="72"/>
          <w:highlight w:val="none"/>
          <w:u w:val="none"/>
          <w:lang w:val="en-US" w:eastAsia="zh-CN" w:bidi="ar-SA"/>
        </w:rPr>
      </w:pPr>
    </w:p>
    <w:p w14:paraId="754B1189">
      <w:pPr>
        <w:rPr>
          <w:rFonts w:hint="eastAsia" w:ascii="宋体" w:hAnsi="宋体" w:eastAsia="宋体" w:cs="宋体"/>
          <w:b/>
          <w:bCs/>
          <w:color w:val="auto"/>
          <w:kern w:val="2"/>
          <w:sz w:val="56"/>
          <w:szCs w:val="72"/>
          <w:highlight w:val="none"/>
          <w:u w:val="none"/>
          <w:lang w:val="en-US" w:eastAsia="zh-CN" w:bidi="ar-SA"/>
        </w:rPr>
        <w:sectPr>
          <w:headerReference r:id="rId3"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p>
    <w:p w14:paraId="484EE0F0">
      <w:pPr>
        <w:rPr>
          <w:rFonts w:hint="eastAsia" w:ascii="宋体" w:hAnsi="宋体" w:eastAsia="宋体" w:cs="宋体"/>
          <w:color w:val="auto"/>
          <w:highlight w:val="none"/>
        </w:rPr>
      </w:pPr>
    </w:p>
    <w:p w14:paraId="16F7CD0A">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目录</w:t>
      </w:r>
    </w:p>
    <w:p w14:paraId="3DFC7087">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"1-3"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_Toc30584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_Toc30584 \h </w:instrText>
      </w:r>
      <w:r>
        <w:rPr>
          <w:color w:val="auto"/>
          <w:sz w:val="24"/>
          <w:szCs w:val="24"/>
          <w:highlight w:val="none"/>
        </w:rPr>
        <w:fldChar w:fldCharType="separate"/>
      </w:r>
      <w:r>
        <w:rPr>
          <w:color w:val="auto"/>
          <w:sz w:val="24"/>
          <w:szCs w:val="24"/>
          <w:highlight w:val="none"/>
        </w:rPr>
        <w:t>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A0223B6">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投标人须知前附表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_Toc1079 \h </w:instrText>
      </w:r>
      <w:r>
        <w:rPr>
          <w:color w:val="auto"/>
          <w:sz w:val="24"/>
          <w:szCs w:val="24"/>
          <w:highlight w:val="none"/>
        </w:rPr>
        <w:fldChar w:fldCharType="separate"/>
      </w:r>
      <w:r>
        <w:rPr>
          <w:color w:val="auto"/>
          <w:sz w:val="24"/>
          <w:szCs w:val="24"/>
          <w:highlight w:val="none"/>
        </w:rPr>
        <w:t>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822F934">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_Toc14297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第二节 重要事项时间地点一览表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_Toc14297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4609B84">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_Toc9283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投标人须知正文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_Toc9283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53F24B4">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_Toc19017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1</w:t>
      </w:r>
      <w:r>
        <w:rPr>
          <w:rFonts w:hint="eastAsia" w:ascii="宋体" w:hAnsi="宋体" w:eastAsia="宋体" w:cs="宋体"/>
          <w:bCs/>
          <w:color w:val="auto"/>
          <w:spacing w:val="-23"/>
          <w:sz w:val="24"/>
          <w:szCs w:val="24"/>
          <w:highlight w:val="none"/>
        </w:rPr>
        <w:t xml:space="preserve"> </w:t>
      </w:r>
      <w:r>
        <w:rPr>
          <w:rFonts w:hint="eastAsia" w:ascii="宋体" w:hAnsi="宋体" w:eastAsia="宋体" w:cs="宋体"/>
          <w:bCs/>
          <w:color w:val="auto"/>
          <w:spacing w:val="-4"/>
          <w:sz w:val="24"/>
          <w:szCs w:val="24"/>
          <w:highlight w:val="none"/>
        </w:rPr>
        <w:t>．项目概况、招标范围和标段划分、投标费用等</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_Toc19017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CC4B9B8">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_Toc21208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2．</w:t>
      </w:r>
      <w:r>
        <w:rPr>
          <w:rFonts w:hint="eastAsia" w:ascii="宋体" w:hAnsi="宋体" w:eastAsia="宋体" w:cs="宋体"/>
          <w:bCs w:val="0"/>
          <w:color w:val="auto"/>
          <w:sz w:val="24"/>
          <w:szCs w:val="24"/>
          <w:highlight w:val="none"/>
          <w:lang w:eastAsia="zh-CN"/>
        </w:rPr>
        <w:t>投标人</w:t>
      </w:r>
      <w:r>
        <w:rPr>
          <w:rFonts w:hint="eastAsia" w:ascii="宋体" w:hAnsi="宋体" w:eastAsia="宋体" w:cs="宋体"/>
          <w:bCs w:val="0"/>
          <w:color w:val="auto"/>
          <w:sz w:val="24"/>
          <w:szCs w:val="24"/>
          <w:highlight w:val="none"/>
        </w:rPr>
        <w:t>资质要求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_Toc21208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6661F8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_Toc21490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3．招标文件的获取</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_Toc21490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6F8D0CD">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_Toc8255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4</w:t>
      </w:r>
      <w:r>
        <w:rPr>
          <w:rFonts w:hint="eastAsia" w:ascii="宋体" w:hAnsi="宋体" w:eastAsia="宋体" w:cs="宋体"/>
          <w:bCs/>
          <w:color w:val="auto"/>
          <w:spacing w:val="-8"/>
          <w:sz w:val="24"/>
          <w:szCs w:val="24"/>
          <w:highlight w:val="none"/>
          <w:lang w:val="en-US" w:eastAsia="zh-CN"/>
        </w:rPr>
        <w:t xml:space="preserve"> </w:t>
      </w:r>
      <w:r>
        <w:rPr>
          <w:rFonts w:hint="eastAsia" w:ascii="宋体" w:hAnsi="宋体" w:eastAsia="宋体" w:cs="宋体"/>
          <w:bCs/>
          <w:color w:val="auto"/>
          <w:spacing w:val="-8"/>
          <w:sz w:val="24"/>
          <w:szCs w:val="24"/>
          <w:highlight w:val="none"/>
        </w:rPr>
        <w:t>．工期要求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_Toc8255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945DC37">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_Toc11449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5</w:t>
      </w:r>
      <w:r>
        <w:rPr>
          <w:rFonts w:hint="eastAsia" w:ascii="宋体" w:hAnsi="宋体" w:eastAsia="宋体" w:cs="宋体"/>
          <w:bCs/>
          <w:color w:val="auto"/>
          <w:spacing w:val="-5"/>
          <w:sz w:val="24"/>
          <w:szCs w:val="24"/>
          <w:highlight w:val="none"/>
          <w:lang w:val="en-US" w:eastAsia="zh-CN"/>
        </w:rPr>
        <w:t xml:space="preserve"> </w:t>
      </w:r>
      <w:r>
        <w:rPr>
          <w:rFonts w:hint="eastAsia" w:ascii="宋体" w:hAnsi="宋体" w:eastAsia="宋体" w:cs="宋体"/>
          <w:bCs/>
          <w:color w:val="auto"/>
          <w:spacing w:val="-5"/>
          <w:sz w:val="24"/>
          <w:szCs w:val="24"/>
          <w:highlight w:val="none"/>
        </w:rPr>
        <w:t>．质量标准和材料、机械要求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_Toc11449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CA13DC9">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_Toc21146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6</w:t>
      </w:r>
      <w:r>
        <w:rPr>
          <w:rFonts w:hint="eastAsia" w:ascii="宋体" w:hAnsi="宋体" w:eastAsia="宋体" w:cs="宋体"/>
          <w:bCs/>
          <w:color w:val="auto"/>
          <w:spacing w:val="-20"/>
          <w:sz w:val="24"/>
          <w:szCs w:val="24"/>
          <w:highlight w:val="none"/>
        </w:rPr>
        <w:t xml:space="preserve"> </w:t>
      </w:r>
      <w:r>
        <w:rPr>
          <w:rFonts w:hint="eastAsia" w:ascii="宋体" w:hAnsi="宋体" w:eastAsia="宋体" w:cs="宋体"/>
          <w:bCs/>
          <w:color w:val="auto"/>
          <w:spacing w:val="-6"/>
          <w:sz w:val="24"/>
          <w:szCs w:val="24"/>
          <w:highlight w:val="none"/>
        </w:rPr>
        <w:t>．施工条件及现场踏勘</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_Toc21146 \h </w:instrText>
      </w:r>
      <w:r>
        <w:rPr>
          <w:color w:val="auto"/>
          <w:sz w:val="24"/>
          <w:szCs w:val="24"/>
          <w:highlight w:val="none"/>
        </w:rPr>
        <w:fldChar w:fldCharType="separate"/>
      </w:r>
      <w:r>
        <w:rPr>
          <w:color w:val="auto"/>
          <w:sz w:val="24"/>
          <w:szCs w:val="24"/>
          <w:highlight w:val="none"/>
        </w:rPr>
        <w:t>15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DB3956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_Toc24768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7</w:t>
      </w:r>
      <w:r>
        <w:rPr>
          <w:rFonts w:hint="eastAsia" w:ascii="宋体" w:hAnsi="宋体" w:eastAsia="宋体" w:cs="宋体"/>
          <w:bCs/>
          <w:color w:val="auto"/>
          <w:spacing w:val="-28"/>
          <w:sz w:val="24"/>
          <w:szCs w:val="24"/>
          <w:highlight w:val="none"/>
        </w:rPr>
        <w:t xml:space="preserve"> </w:t>
      </w:r>
      <w:r>
        <w:rPr>
          <w:rFonts w:hint="eastAsia" w:ascii="宋体" w:hAnsi="宋体" w:eastAsia="宋体" w:cs="宋体"/>
          <w:bCs/>
          <w:color w:val="auto"/>
          <w:spacing w:val="-5"/>
          <w:sz w:val="24"/>
          <w:szCs w:val="24"/>
          <w:highlight w:val="none"/>
        </w:rPr>
        <w:t>．招标文件的提问和答疑</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_Toc24768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E1678CD">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_Toc20958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8</w:t>
      </w:r>
      <w:r>
        <w:rPr>
          <w:rFonts w:hint="eastAsia" w:ascii="宋体" w:hAnsi="宋体" w:eastAsia="宋体" w:cs="宋体"/>
          <w:bCs/>
          <w:color w:val="auto"/>
          <w:spacing w:val="-23"/>
          <w:sz w:val="24"/>
          <w:szCs w:val="24"/>
          <w:highlight w:val="none"/>
        </w:rPr>
        <w:t xml:space="preserve"> </w:t>
      </w:r>
      <w:r>
        <w:rPr>
          <w:rFonts w:hint="eastAsia" w:ascii="宋体" w:hAnsi="宋体" w:eastAsia="宋体" w:cs="宋体"/>
          <w:bCs/>
          <w:color w:val="auto"/>
          <w:spacing w:val="-5"/>
          <w:sz w:val="24"/>
          <w:szCs w:val="24"/>
          <w:highlight w:val="none"/>
        </w:rPr>
        <w:t>．</w:t>
      </w:r>
      <w:r>
        <w:rPr>
          <w:rFonts w:hint="eastAsia" w:ascii="宋体" w:hAnsi="宋体" w:eastAsia="宋体" w:cs="宋体"/>
          <w:bCs/>
          <w:color w:val="auto"/>
          <w:spacing w:val="-1"/>
          <w:sz w:val="24"/>
          <w:szCs w:val="24"/>
          <w:highlight w:val="none"/>
          <w:lang w:eastAsia="zh-CN"/>
        </w:rPr>
        <w:t>最高投标限价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_Toc20958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82D89D5">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_Toc6911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9</w:t>
      </w:r>
      <w:r>
        <w:rPr>
          <w:rFonts w:hint="eastAsia" w:ascii="宋体" w:hAnsi="宋体" w:eastAsia="宋体" w:cs="宋体"/>
          <w:bCs/>
          <w:color w:val="auto"/>
          <w:spacing w:val="-29"/>
          <w:sz w:val="24"/>
          <w:szCs w:val="24"/>
          <w:highlight w:val="none"/>
        </w:rPr>
        <w:t xml:space="preserve"> </w:t>
      </w:r>
      <w:r>
        <w:rPr>
          <w:rFonts w:hint="eastAsia" w:ascii="宋体" w:hAnsi="宋体" w:eastAsia="宋体" w:cs="宋体"/>
          <w:bCs/>
          <w:color w:val="auto"/>
          <w:spacing w:val="-8"/>
          <w:sz w:val="24"/>
          <w:szCs w:val="24"/>
          <w:highlight w:val="none"/>
        </w:rPr>
        <w:t>．投标报价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_Toc6911 \h </w:instrText>
      </w:r>
      <w:r>
        <w:rPr>
          <w:color w:val="auto"/>
          <w:sz w:val="24"/>
          <w:szCs w:val="24"/>
          <w:highlight w:val="none"/>
        </w:rPr>
        <w:fldChar w:fldCharType="separate"/>
      </w:r>
      <w:r>
        <w:rPr>
          <w:color w:val="auto"/>
          <w:sz w:val="24"/>
          <w:szCs w:val="24"/>
          <w:highlight w:val="none"/>
        </w:rPr>
        <w:t>18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2C3515A">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_Toc23711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10</w:t>
      </w:r>
      <w:r>
        <w:rPr>
          <w:rFonts w:hint="eastAsia" w:ascii="宋体" w:hAnsi="宋体" w:eastAsia="宋体" w:cs="宋体"/>
          <w:bCs/>
          <w:color w:val="auto"/>
          <w:spacing w:val="-21"/>
          <w:sz w:val="24"/>
          <w:szCs w:val="24"/>
          <w:highlight w:val="none"/>
        </w:rPr>
        <w:t xml:space="preserve"> </w:t>
      </w:r>
      <w:r>
        <w:rPr>
          <w:rFonts w:hint="eastAsia" w:ascii="宋体" w:hAnsi="宋体" w:eastAsia="宋体" w:cs="宋体"/>
          <w:bCs/>
          <w:color w:val="auto"/>
          <w:spacing w:val="-6"/>
          <w:sz w:val="24"/>
          <w:szCs w:val="24"/>
          <w:highlight w:val="none"/>
        </w:rPr>
        <w:t>．投标文件的编制要求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_Toc23711 \h </w:instrText>
      </w:r>
      <w:r>
        <w:rPr>
          <w:color w:val="auto"/>
          <w:sz w:val="24"/>
          <w:szCs w:val="24"/>
          <w:highlight w:val="none"/>
        </w:rPr>
        <w:fldChar w:fldCharType="separate"/>
      </w:r>
      <w:r>
        <w:rPr>
          <w:color w:val="auto"/>
          <w:sz w:val="24"/>
          <w:szCs w:val="24"/>
          <w:highlight w:val="none"/>
        </w:rPr>
        <w:t>19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CFF2D01">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_Toc10599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9"/>
          <w:sz w:val="24"/>
          <w:szCs w:val="24"/>
          <w:highlight w:val="none"/>
        </w:rPr>
        <w:t>11.</w:t>
      </w:r>
      <w:r>
        <w:rPr>
          <w:rFonts w:hint="eastAsia" w:ascii="宋体" w:hAnsi="宋体" w:eastAsia="宋体" w:cs="宋体"/>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_Toc10599 \h </w:instrText>
      </w:r>
      <w:r>
        <w:rPr>
          <w:color w:val="auto"/>
          <w:sz w:val="24"/>
          <w:szCs w:val="24"/>
          <w:highlight w:val="none"/>
        </w:rPr>
        <w:fldChar w:fldCharType="separate"/>
      </w:r>
      <w:r>
        <w:rPr>
          <w:color w:val="auto"/>
          <w:sz w:val="24"/>
          <w:szCs w:val="24"/>
          <w:highlight w:val="none"/>
        </w:rPr>
        <w:t>23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2521956">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_Toc5126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9"/>
          <w:sz w:val="24"/>
          <w:szCs w:val="24"/>
          <w:highlight w:val="none"/>
          <w:lang w:val="en-US" w:eastAsia="zh-CN"/>
        </w:rPr>
        <w:t>12.</w:t>
      </w:r>
      <w:r>
        <w:rPr>
          <w:rFonts w:hint="eastAsia" w:ascii="宋体" w:hAnsi="宋体" w:eastAsia="宋体" w:cs="宋体"/>
          <w:bCs/>
          <w:color w:val="auto"/>
          <w:spacing w:val="22"/>
          <w:w w:val="101"/>
          <w:sz w:val="24"/>
          <w:szCs w:val="24"/>
          <w:highlight w:val="none"/>
        </w:rPr>
        <w:t xml:space="preserve"> </w:t>
      </w:r>
      <w:r>
        <w:rPr>
          <w:rFonts w:hint="eastAsia" w:ascii="宋体" w:hAnsi="宋体" w:eastAsia="宋体" w:cs="宋体"/>
          <w:bCs/>
          <w:color w:val="auto"/>
          <w:spacing w:val="-4"/>
          <w:sz w:val="24"/>
          <w:szCs w:val="24"/>
          <w:highlight w:val="none"/>
        </w:rPr>
        <w:t>电子投标及投标解密失败及突发情况的补救方案</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_Toc5126 \h </w:instrText>
      </w:r>
      <w:r>
        <w:rPr>
          <w:color w:val="auto"/>
          <w:sz w:val="24"/>
          <w:szCs w:val="24"/>
          <w:highlight w:val="none"/>
        </w:rPr>
        <w:fldChar w:fldCharType="separate"/>
      </w:r>
      <w:r>
        <w:rPr>
          <w:color w:val="auto"/>
          <w:sz w:val="24"/>
          <w:szCs w:val="24"/>
          <w:highlight w:val="none"/>
        </w:rPr>
        <w:t>23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8AA0487">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_Toc3957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13</w:t>
      </w:r>
      <w:r>
        <w:rPr>
          <w:rFonts w:hint="eastAsia" w:ascii="宋体" w:hAnsi="宋体" w:eastAsia="宋体" w:cs="宋体"/>
          <w:bCs/>
          <w:color w:val="auto"/>
          <w:spacing w:val="-23"/>
          <w:sz w:val="24"/>
          <w:szCs w:val="24"/>
          <w:highlight w:val="none"/>
        </w:rPr>
        <w:t xml:space="preserve"> </w:t>
      </w:r>
      <w:r>
        <w:rPr>
          <w:rFonts w:hint="eastAsia" w:ascii="宋体" w:hAnsi="宋体" w:eastAsia="宋体" w:cs="宋体"/>
          <w:bCs/>
          <w:color w:val="auto"/>
          <w:spacing w:val="-7"/>
          <w:sz w:val="24"/>
          <w:szCs w:val="24"/>
          <w:highlight w:val="none"/>
        </w:rPr>
        <w:t>．投标文件的提交</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_Toc3957 \h </w:instrText>
      </w:r>
      <w:r>
        <w:rPr>
          <w:color w:val="auto"/>
          <w:sz w:val="24"/>
          <w:szCs w:val="24"/>
          <w:highlight w:val="none"/>
        </w:rPr>
        <w:fldChar w:fldCharType="separate"/>
      </w:r>
      <w:r>
        <w:rPr>
          <w:color w:val="auto"/>
          <w:sz w:val="24"/>
          <w:szCs w:val="24"/>
          <w:highlight w:val="none"/>
        </w:rPr>
        <w:t>23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F76608C">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_Toc8365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1"/>
          <w:sz w:val="24"/>
          <w:szCs w:val="24"/>
          <w:highlight w:val="none"/>
        </w:rPr>
        <w:t>14</w:t>
      </w:r>
      <w:r>
        <w:rPr>
          <w:rFonts w:hint="eastAsia" w:ascii="宋体" w:hAnsi="宋体" w:eastAsia="宋体" w:cs="宋体"/>
          <w:bCs/>
          <w:color w:val="auto"/>
          <w:spacing w:val="-28"/>
          <w:sz w:val="24"/>
          <w:szCs w:val="24"/>
          <w:highlight w:val="none"/>
        </w:rPr>
        <w:t xml:space="preserve"> </w:t>
      </w:r>
      <w:r>
        <w:rPr>
          <w:rFonts w:hint="eastAsia" w:ascii="宋体" w:hAnsi="宋体" w:eastAsia="宋体" w:cs="宋体"/>
          <w:bCs/>
          <w:color w:val="auto"/>
          <w:spacing w:val="-11"/>
          <w:sz w:val="24"/>
          <w:szCs w:val="24"/>
          <w:highlight w:val="none"/>
        </w:rPr>
        <w:t>．开标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_Toc8365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1ECD35C">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_Toc554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1"/>
          <w:sz w:val="24"/>
          <w:szCs w:val="24"/>
          <w:highlight w:val="none"/>
        </w:rPr>
        <w:t>15</w:t>
      </w:r>
      <w:r>
        <w:rPr>
          <w:rFonts w:hint="eastAsia" w:ascii="宋体" w:hAnsi="宋体" w:eastAsia="宋体" w:cs="宋体"/>
          <w:bCs/>
          <w:color w:val="auto"/>
          <w:spacing w:val="-28"/>
          <w:sz w:val="24"/>
          <w:szCs w:val="24"/>
          <w:highlight w:val="none"/>
        </w:rPr>
        <w:t xml:space="preserve"> </w:t>
      </w:r>
      <w:r>
        <w:rPr>
          <w:rFonts w:hint="eastAsia" w:ascii="宋体" w:hAnsi="宋体" w:eastAsia="宋体" w:cs="宋体"/>
          <w:bCs/>
          <w:color w:val="auto"/>
          <w:spacing w:val="-11"/>
          <w:sz w:val="24"/>
          <w:szCs w:val="24"/>
          <w:highlight w:val="none"/>
        </w:rPr>
        <w:t>．评标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_Toc554 \h </w:instrText>
      </w:r>
      <w:r>
        <w:rPr>
          <w:color w:val="auto"/>
          <w:sz w:val="24"/>
          <w:szCs w:val="24"/>
          <w:highlight w:val="none"/>
        </w:rPr>
        <w:fldChar w:fldCharType="separate"/>
      </w:r>
      <w:r>
        <w:rPr>
          <w:color w:val="auto"/>
          <w:sz w:val="24"/>
          <w:szCs w:val="24"/>
          <w:highlight w:val="none"/>
        </w:rPr>
        <w:t>25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F9A60A6">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ind w:firstLine="436" w:firstLineChars="200"/>
        <w:textAlignment w:val="baseline"/>
        <w:rPr>
          <w:color w:val="auto"/>
          <w:sz w:val="24"/>
          <w:szCs w:val="24"/>
          <w:highlight w:val="none"/>
        </w:rPr>
      </w:pPr>
      <w:r>
        <w:rPr>
          <w:rFonts w:hint="eastAsia" w:ascii="宋体" w:hAnsi="宋体" w:eastAsia="宋体" w:cs="宋体"/>
          <w:bCs/>
          <w:snapToGrid w:val="0"/>
          <w:color w:val="auto"/>
          <w:spacing w:val="-11"/>
          <w:sz w:val="24"/>
          <w:szCs w:val="24"/>
          <w:highlight w:val="none"/>
          <w:lang w:val="en-US" w:eastAsia="en-US" w:bidi="ar-SA"/>
        </w:rPr>
        <w:t>16</w:t>
      </w:r>
      <w:r>
        <w:rPr>
          <w:rFonts w:hint="eastAsia" w:ascii="宋体" w:hAnsi="宋体" w:eastAsia="宋体" w:cs="宋体"/>
          <w:bCs/>
          <w:snapToGrid w:val="0"/>
          <w:color w:val="auto"/>
          <w:spacing w:val="-11"/>
          <w:sz w:val="24"/>
          <w:szCs w:val="24"/>
          <w:highlight w:val="none"/>
          <w:lang w:val="en-US" w:eastAsia="zh-CN" w:bidi="ar-SA"/>
        </w:rPr>
        <w:t>.  评标结果公示</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_Toc32569 </w:instrText>
      </w:r>
      <w:r>
        <w:rPr>
          <w:rFonts w:hint="eastAsia" w:ascii="宋体" w:hAnsi="宋体" w:eastAsia="宋体" w:cs="宋体"/>
          <w:color w:val="auto"/>
          <w:sz w:val="24"/>
          <w:szCs w:val="24"/>
          <w:highlight w:val="none"/>
        </w:rPr>
        <w:fldChar w:fldCharType="separate"/>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_Toc32569 \h </w:instrText>
      </w:r>
      <w:r>
        <w:rPr>
          <w:color w:val="auto"/>
          <w:sz w:val="24"/>
          <w:szCs w:val="24"/>
          <w:highlight w:val="none"/>
        </w:rPr>
        <w:fldChar w:fldCharType="separate"/>
      </w:r>
      <w:r>
        <w:rPr>
          <w:color w:val="auto"/>
          <w:sz w:val="24"/>
          <w:szCs w:val="24"/>
          <w:highlight w:val="none"/>
        </w:rPr>
        <w:t>36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5EBCF35">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_Toc16554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否决投标条件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_Toc16554 \h </w:instrText>
      </w:r>
      <w:r>
        <w:rPr>
          <w:color w:val="auto"/>
          <w:sz w:val="24"/>
          <w:szCs w:val="24"/>
          <w:highlight w:val="none"/>
        </w:rPr>
        <w:fldChar w:fldCharType="separate"/>
      </w:r>
      <w:r>
        <w:rPr>
          <w:color w:val="auto"/>
          <w:sz w:val="24"/>
          <w:szCs w:val="24"/>
          <w:highlight w:val="none"/>
        </w:rPr>
        <w:t>38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8E09DD9">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_Toc15082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1</w:t>
      </w:r>
      <w:r>
        <w:rPr>
          <w:rFonts w:hint="eastAsia" w:ascii="宋体" w:hAnsi="宋体" w:eastAsia="宋体" w:cs="宋体"/>
          <w:bCs/>
          <w:color w:val="auto"/>
          <w:spacing w:val="-26"/>
          <w:sz w:val="24"/>
          <w:szCs w:val="24"/>
          <w:highlight w:val="none"/>
        </w:rPr>
        <w:t xml:space="preserve"> </w:t>
      </w:r>
      <w:r>
        <w:rPr>
          <w:rFonts w:hint="eastAsia" w:ascii="宋体" w:hAnsi="宋体" w:eastAsia="宋体" w:cs="宋体"/>
          <w:bCs/>
          <w:color w:val="auto"/>
          <w:spacing w:val="-8"/>
          <w:sz w:val="24"/>
          <w:szCs w:val="24"/>
          <w:highlight w:val="none"/>
        </w:rPr>
        <w:t>．资格评审环节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_Toc15082 \h </w:instrText>
      </w:r>
      <w:r>
        <w:rPr>
          <w:color w:val="auto"/>
          <w:sz w:val="24"/>
          <w:szCs w:val="24"/>
          <w:highlight w:val="none"/>
        </w:rPr>
        <w:fldChar w:fldCharType="separate"/>
      </w:r>
      <w:r>
        <w:rPr>
          <w:color w:val="auto"/>
          <w:sz w:val="24"/>
          <w:szCs w:val="24"/>
          <w:highlight w:val="none"/>
        </w:rPr>
        <w:t>38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8E3D5A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_Toc5925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2</w:t>
      </w:r>
      <w:r>
        <w:rPr>
          <w:rFonts w:hint="eastAsia" w:ascii="宋体" w:hAnsi="宋体" w:eastAsia="宋体" w:cs="宋体"/>
          <w:bCs/>
          <w:color w:val="auto"/>
          <w:spacing w:val="-24"/>
          <w:sz w:val="24"/>
          <w:szCs w:val="24"/>
          <w:highlight w:val="none"/>
        </w:rPr>
        <w:t xml:space="preserve"> </w:t>
      </w:r>
      <w:r>
        <w:rPr>
          <w:rFonts w:hint="eastAsia" w:ascii="宋体" w:hAnsi="宋体" w:eastAsia="宋体" w:cs="宋体"/>
          <w:bCs/>
          <w:color w:val="auto"/>
          <w:spacing w:val="-7"/>
          <w:sz w:val="24"/>
          <w:szCs w:val="24"/>
          <w:highlight w:val="none"/>
        </w:rPr>
        <w:t>．形式评审环节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_Toc5925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9CB2B7">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_Toc19828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3</w:t>
      </w:r>
      <w:r>
        <w:rPr>
          <w:rFonts w:hint="eastAsia" w:ascii="宋体" w:hAnsi="宋体" w:eastAsia="宋体" w:cs="宋体"/>
          <w:bCs/>
          <w:color w:val="auto"/>
          <w:spacing w:val="-24"/>
          <w:sz w:val="24"/>
          <w:szCs w:val="24"/>
          <w:highlight w:val="none"/>
        </w:rPr>
        <w:t xml:space="preserve"> </w:t>
      </w:r>
      <w:r>
        <w:rPr>
          <w:rFonts w:hint="eastAsia" w:ascii="宋体" w:hAnsi="宋体" w:eastAsia="宋体" w:cs="宋体"/>
          <w:bCs/>
          <w:color w:val="auto"/>
          <w:spacing w:val="-6"/>
          <w:sz w:val="24"/>
          <w:szCs w:val="24"/>
          <w:highlight w:val="none"/>
        </w:rPr>
        <w:t>．响应性评审环节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_Toc19828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BEB9225">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_Toc1458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1"/>
          <w:sz w:val="24"/>
          <w:szCs w:val="24"/>
          <w:highlight w:val="none"/>
        </w:rPr>
        <w:t>4</w:t>
      </w:r>
      <w:r>
        <w:rPr>
          <w:rFonts w:hint="eastAsia" w:ascii="宋体" w:hAnsi="宋体" w:eastAsia="宋体" w:cs="宋体"/>
          <w:bCs/>
          <w:color w:val="auto"/>
          <w:spacing w:val="-29"/>
          <w:sz w:val="24"/>
          <w:szCs w:val="24"/>
          <w:highlight w:val="none"/>
        </w:rPr>
        <w:t xml:space="preserve"> </w:t>
      </w:r>
      <w:r>
        <w:rPr>
          <w:rFonts w:hint="eastAsia" w:ascii="宋体" w:hAnsi="宋体" w:eastAsia="宋体" w:cs="宋体"/>
          <w:bCs/>
          <w:color w:val="auto"/>
          <w:spacing w:val="-11"/>
          <w:sz w:val="24"/>
          <w:szCs w:val="24"/>
          <w:highlight w:val="none"/>
        </w:rPr>
        <w:t>．其他</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_Toc1458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EBCD9DE">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_Toc22243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w:t>
      </w:r>
      <w:r>
        <w:rPr>
          <w:rFonts w:hint="eastAsia" w:ascii="宋体" w:hAnsi="宋体" w:eastAsia="宋体" w:cs="宋体"/>
          <w:bCs/>
          <w:color w:val="auto"/>
          <w:spacing w:val="-3"/>
          <w:sz w:val="24"/>
          <w:szCs w:val="24"/>
          <w:highlight w:val="none"/>
          <w:lang w:val="en-US" w:eastAsia="zh-CN"/>
        </w:rPr>
        <w:t>五</w:t>
      </w:r>
      <w:r>
        <w:rPr>
          <w:rFonts w:hint="eastAsia" w:ascii="宋体" w:hAnsi="宋体" w:eastAsia="宋体" w:cs="宋体"/>
          <w:bCs/>
          <w:color w:val="auto"/>
          <w:spacing w:val="-3"/>
          <w:sz w:val="24"/>
          <w:szCs w:val="24"/>
          <w:highlight w:val="none"/>
        </w:rPr>
        <w:t>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定标规定及细则（本项目采用票决数量法定标）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_Toc22243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B09D727">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_Toc4926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w:t>
      </w:r>
      <w:r>
        <w:rPr>
          <w:rFonts w:hint="eastAsia" w:ascii="宋体" w:hAnsi="宋体" w:eastAsia="宋体" w:cs="宋体"/>
          <w:bCs/>
          <w:color w:val="auto"/>
          <w:spacing w:val="-3"/>
          <w:sz w:val="24"/>
          <w:szCs w:val="24"/>
          <w:highlight w:val="none"/>
          <w:lang w:val="en-US" w:eastAsia="zh-CN"/>
        </w:rPr>
        <w:t>六</w:t>
      </w:r>
      <w:r>
        <w:rPr>
          <w:rFonts w:hint="eastAsia" w:ascii="宋体" w:hAnsi="宋体" w:eastAsia="宋体" w:cs="宋体"/>
          <w:bCs/>
          <w:color w:val="auto"/>
          <w:spacing w:val="-3"/>
          <w:sz w:val="24"/>
          <w:szCs w:val="24"/>
          <w:highlight w:val="none"/>
        </w:rPr>
        <w:t>节 中标确认</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_Toc4926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D9F5BD6">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_Toc13655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Cs/>
          <w:color w:val="auto"/>
          <w:spacing w:val="-7"/>
          <w:sz w:val="24"/>
          <w:szCs w:val="24"/>
          <w:highlight w:val="none"/>
        </w:rPr>
        <w:t>中标人须知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_Toc13655 \h </w:instrText>
      </w:r>
      <w:r>
        <w:rPr>
          <w:color w:val="auto"/>
          <w:sz w:val="24"/>
          <w:szCs w:val="24"/>
          <w:highlight w:val="none"/>
        </w:rPr>
        <w:fldChar w:fldCharType="separate"/>
      </w:r>
      <w:r>
        <w:rPr>
          <w:color w:val="auto"/>
          <w:sz w:val="24"/>
          <w:szCs w:val="24"/>
          <w:highlight w:val="none"/>
        </w:rPr>
        <w:t>46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7C78051">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_Toc21697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9"/>
          <w:sz w:val="24"/>
          <w:szCs w:val="24"/>
          <w:highlight w:val="none"/>
        </w:rPr>
        <w:t>1</w:t>
      </w:r>
      <w:r>
        <w:rPr>
          <w:rFonts w:hint="eastAsia" w:ascii="宋体" w:hAnsi="宋体" w:eastAsia="宋体" w:cs="宋体"/>
          <w:bCs/>
          <w:color w:val="auto"/>
          <w:spacing w:val="-25"/>
          <w:sz w:val="24"/>
          <w:szCs w:val="24"/>
          <w:highlight w:val="none"/>
        </w:rPr>
        <w:t xml:space="preserve"> </w:t>
      </w:r>
      <w:r>
        <w:rPr>
          <w:rFonts w:hint="eastAsia" w:ascii="宋体" w:hAnsi="宋体" w:eastAsia="宋体" w:cs="宋体"/>
          <w:bCs/>
          <w:color w:val="auto"/>
          <w:spacing w:val="-9"/>
          <w:sz w:val="24"/>
          <w:szCs w:val="24"/>
          <w:highlight w:val="none"/>
        </w:rPr>
        <w:t>．中标通知书</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_Toc21697 \h </w:instrText>
      </w:r>
      <w:r>
        <w:rPr>
          <w:color w:val="auto"/>
          <w:sz w:val="24"/>
          <w:szCs w:val="24"/>
          <w:highlight w:val="none"/>
        </w:rPr>
        <w:fldChar w:fldCharType="separate"/>
      </w:r>
      <w:r>
        <w:rPr>
          <w:color w:val="auto"/>
          <w:sz w:val="24"/>
          <w:szCs w:val="24"/>
          <w:highlight w:val="none"/>
        </w:rPr>
        <w:t>46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09130F7">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2</w:t>
      </w:r>
      <w:r>
        <w:rPr>
          <w:rFonts w:hint="eastAsia" w:ascii="宋体" w:hAnsi="宋体" w:eastAsia="宋体" w:cs="宋体"/>
          <w:bCs/>
          <w:color w:val="auto"/>
          <w:spacing w:val="-24"/>
          <w:sz w:val="24"/>
          <w:szCs w:val="24"/>
          <w:highlight w:val="none"/>
        </w:rPr>
        <w:t xml:space="preserve"> </w:t>
      </w:r>
      <w:r>
        <w:rPr>
          <w:rFonts w:hint="eastAsia" w:ascii="宋体" w:hAnsi="宋体" w:eastAsia="宋体" w:cs="宋体"/>
          <w:bCs/>
          <w:color w:val="auto"/>
          <w:spacing w:val="-7"/>
          <w:sz w:val="24"/>
          <w:szCs w:val="24"/>
          <w:highlight w:val="none"/>
        </w:rPr>
        <w:t>．中标结果公示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_Toc979 \h </w:instrText>
      </w:r>
      <w:r>
        <w:rPr>
          <w:color w:val="auto"/>
          <w:sz w:val="24"/>
          <w:szCs w:val="24"/>
          <w:highlight w:val="none"/>
        </w:rPr>
        <w:fldChar w:fldCharType="separate"/>
      </w:r>
      <w:r>
        <w:rPr>
          <w:color w:val="auto"/>
          <w:sz w:val="24"/>
          <w:szCs w:val="24"/>
          <w:highlight w:val="none"/>
        </w:rPr>
        <w:t>46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B6204D2">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_Toc13145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3</w:t>
      </w:r>
      <w:r>
        <w:rPr>
          <w:rFonts w:hint="eastAsia" w:ascii="宋体" w:hAnsi="宋体" w:eastAsia="宋体" w:cs="宋体"/>
          <w:bCs/>
          <w:color w:val="auto"/>
          <w:spacing w:val="-25"/>
          <w:sz w:val="24"/>
          <w:szCs w:val="24"/>
          <w:highlight w:val="none"/>
        </w:rPr>
        <w:t xml:space="preserve"> </w:t>
      </w:r>
      <w:r>
        <w:rPr>
          <w:rFonts w:hint="eastAsia" w:ascii="宋体" w:hAnsi="宋体" w:eastAsia="宋体" w:cs="宋体"/>
          <w:bCs/>
          <w:color w:val="auto"/>
          <w:spacing w:val="-8"/>
          <w:sz w:val="24"/>
          <w:szCs w:val="24"/>
          <w:highlight w:val="none"/>
        </w:rPr>
        <w:t>．履约保证</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_Toc13145 \h </w:instrText>
      </w:r>
      <w:r>
        <w:rPr>
          <w:color w:val="auto"/>
          <w:sz w:val="24"/>
          <w:szCs w:val="24"/>
          <w:highlight w:val="none"/>
        </w:rPr>
        <w:fldChar w:fldCharType="separate"/>
      </w:r>
      <w:r>
        <w:rPr>
          <w:color w:val="auto"/>
          <w:sz w:val="24"/>
          <w:szCs w:val="24"/>
          <w:highlight w:val="none"/>
        </w:rPr>
        <w:t>46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88ED6E8">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4</w:t>
      </w:r>
      <w:r>
        <w:rPr>
          <w:rFonts w:hint="eastAsia" w:ascii="宋体" w:hAnsi="宋体" w:eastAsia="宋体" w:cs="宋体"/>
          <w:bCs/>
          <w:color w:val="auto"/>
          <w:spacing w:val="-27"/>
          <w:sz w:val="24"/>
          <w:szCs w:val="24"/>
          <w:highlight w:val="none"/>
        </w:rPr>
        <w:t xml:space="preserve"> </w:t>
      </w:r>
      <w:r>
        <w:rPr>
          <w:rFonts w:hint="eastAsia" w:ascii="宋体" w:hAnsi="宋体" w:eastAsia="宋体" w:cs="宋体"/>
          <w:bCs/>
          <w:color w:val="auto"/>
          <w:spacing w:val="-8"/>
          <w:sz w:val="24"/>
          <w:szCs w:val="24"/>
          <w:highlight w:val="none"/>
        </w:rPr>
        <w:t>．合同订立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_Toc133 \h </w:instrText>
      </w:r>
      <w:r>
        <w:rPr>
          <w:color w:val="auto"/>
          <w:sz w:val="24"/>
          <w:szCs w:val="24"/>
          <w:highlight w:val="none"/>
        </w:rPr>
        <w:fldChar w:fldCharType="separate"/>
      </w:r>
      <w:r>
        <w:rPr>
          <w:color w:val="auto"/>
          <w:sz w:val="24"/>
          <w:szCs w:val="24"/>
          <w:highlight w:val="none"/>
        </w:rPr>
        <w:t>47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0216718">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_Toc4089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5</w:t>
      </w:r>
      <w:r>
        <w:rPr>
          <w:rFonts w:hint="eastAsia" w:ascii="宋体" w:hAnsi="宋体" w:eastAsia="宋体" w:cs="宋体"/>
          <w:bCs/>
          <w:color w:val="auto"/>
          <w:spacing w:val="-29"/>
          <w:sz w:val="24"/>
          <w:szCs w:val="24"/>
          <w:highlight w:val="none"/>
        </w:rPr>
        <w:t xml:space="preserve"> </w:t>
      </w:r>
      <w:r>
        <w:rPr>
          <w:rFonts w:hint="eastAsia" w:ascii="宋体" w:hAnsi="宋体" w:eastAsia="宋体" w:cs="宋体"/>
          <w:bCs/>
          <w:color w:val="auto"/>
          <w:spacing w:val="-6"/>
          <w:sz w:val="24"/>
          <w:szCs w:val="24"/>
          <w:highlight w:val="none"/>
        </w:rPr>
        <w:t>．放弃中标的处理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_Toc4089 \h </w:instrText>
      </w:r>
      <w:r>
        <w:rPr>
          <w:color w:val="auto"/>
          <w:sz w:val="24"/>
          <w:szCs w:val="24"/>
          <w:highlight w:val="none"/>
        </w:rPr>
        <w:fldChar w:fldCharType="separate"/>
      </w:r>
      <w:r>
        <w:rPr>
          <w:color w:val="auto"/>
          <w:sz w:val="24"/>
          <w:szCs w:val="24"/>
          <w:highlight w:val="none"/>
        </w:rPr>
        <w:t>48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21332B1">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_Toc7715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拟签订合同的主要条款</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_Toc7715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61C23E6">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_Toc6603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1</w:t>
      </w:r>
      <w:r>
        <w:rPr>
          <w:rFonts w:hint="eastAsia" w:ascii="宋体" w:hAnsi="宋体" w:eastAsia="宋体" w:cs="宋体"/>
          <w:bCs/>
          <w:color w:val="auto"/>
          <w:spacing w:val="-26"/>
          <w:sz w:val="24"/>
          <w:szCs w:val="24"/>
          <w:highlight w:val="none"/>
        </w:rPr>
        <w:t xml:space="preserve"> </w:t>
      </w:r>
      <w:r>
        <w:rPr>
          <w:rFonts w:hint="eastAsia" w:ascii="宋体" w:hAnsi="宋体" w:eastAsia="宋体" w:cs="宋体"/>
          <w:bCs/>
          <w:color w:val="auto"/>
          <w:spacing w:val="-8"/>
          <w:sz w:val="24"/>
          <w:szCs w:val="24"/>
          <w:highlight w:val="none"/>
        </w:rPr>
        <w:t>．工程承包方式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_Toc6603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D9D3902">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_Toc24910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2</w:t>
      </w:r>
      <w:r>
        <w:rPr>
          <w:rFonts w:hint="eastAsia" w:ascii="宋体" w:hAnsi="宋体" w:eastAsia="宋体" w:cs="宋体"/>
          <w:bCs/>
          <w:color w:val="auto"/>
          <w:spacing w:val="-24"/>
          <w:sz w:val="24"/>
          <w:szCs w:val="24"/>
          <w:highlight w:val="none"/>
        </w:rPr>
        <w:t xml:space="preserve"> </w:t>
      </w:r>
      <w:r>
        <w:rPr>
          <w:rFonts w:hint="eastAsia" w:ascii="宋体" w:hAnsi="宋体" w:eastAsia="宋体" w:cs="宋体"/>
          <w:bCs/>
          <w:color w:val="auto"/>
          <w:spacing w:val="-7"/>
          <w:sz w:val="24"/>
          <w:szCs w:val="24"/>
          <w:highlight w:val="none"/>
        </w:rPr>
        <w:t>．工程结算原则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_Toc24910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DDA451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_Toc5247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z w:val="24"/>
          <w:szCs w:val="24"/>
          <w:highlight w:val="none"/>
        </w:rPr>
        <w:t>3. 工程付款办法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_Toc5247 \h </w:instrText>
      </w:r>
      <w:r>
        <w:rPr>
          <w:color w:val="auto"/>
          <w:sz w:val="24"/>
          <w:szCs w:val="24"/>
          <w:highlight w:val="none"/>
        </w:rPr>
        <w:fldChar w:fldCharType="separate"/>
      </w:r>
      <w:r>
        <w:rPr>
          <w:color w:val="auto"/>
          <w:sz w:val="24"/>
          <w:szCs w:val="24"/>
          <w:highlight w:val="none"/>
        </w:rPr>
        <w:t>55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DD4D14D">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_Toc29229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7"/>
          <w:sz w:val="24"/>
          <w:szCs w:val="24"/>
          <w:highlight w:val="none"/>
        </w:rPr>
        <w:t>4</w:t>
      </w:r>
      <w:r>
        <w:rPr>
          <w:rFonts w:hint="eastAsia" w:ascii="宋体" w:hAnsi="宋体" w:eastAsia="宋体" w:cs="宋体"/>
          <w:bCs/>
          <w:color w:val="auto"/>
          <w:spacing w:val="-25"/>
          <w:sz w:val="24"/>
          <w:szCs w:val="24"/>
          <w:highlight w:val="none"/>
        </w:rPr>
        <w:t xml:space="preserve"> </w:t>
      </w:r>
      <w:r>
        <w:rPr>
          <w:rFonts w:hint="eastAsia" w:ascii="宋体" w:hAnsi="宋体" w:eastAsia="宋体" w:cs="宋体"/>
          <w:bCs/>
          <w:color w:val="auto"/>
          <w:spacing w:val="-7"/>
          <w:sz w:val="24"/>
          <w:szCs w:val="24"/>
          <w:highlight w:val="none"/>
        </w:rPr>
        <w:t>．其他专用合同条款</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_Toc29229 \h </w:instrText>
      </w:r>
      <w:r>
        <w:rPr>
          <w:color w:val="auto"/>
          <w:sz w:val="24"/>
          <w:szCs w:val="24"/>
          <w:highlight w:val="none"/>
        </w:rPr>
        <w:fldChar w:fldCharType="separate"/>
      </w:r>
      <w:r>
        <w:rPr>
          <w:color w:val="auto"/>
          <w:sz w:val="24"/>
          <w:szCs w:val="24"/>
          <w:highlight w:val="none"/>
        </w:rPr>
        <w:t>56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82F1F31">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_Toc30225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第四章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技术要求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_Toc30225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52C7335">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_Toc19340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6"/>
          <w:sz w:val="24"/>
          <w:szCs w:val="24"/>
          <w:highlight w:val="none"/>
        </w:rPr>
        <w:t>1</w:t>
      </w:r>
      <w:r>
        <w:rPr>
          <w:rFonts w:hint="eastAsia" w:ascii="宋体" w:hAnsi="宋体" w:eastAsia="宋体" w:cs="宋体"/>
          <w:bCs/>
          <w:color w:val="auto"/>
          <w:spacing w:val="-23"/>
          <w:sz w:val="24"/>
          <w:szCs w:val="24"/>
          <w:highlight w:val="none"/>
        </w:rPr>
        <w:t xml:space="preserve"> </w:t>
      </w:r>
      <w:r>
        <w:rPr>
          <w:rFonts w:hint="eastAsia" w:ascii="宋体" w:hAnsi="宋体" w:eastAsia="宋体" w:cs="宋体"/>
          <w:bCs/>
          <w:color w:val="auto"/>
          <w:spacing w:val="-6"/>
          <w:sz w:val="24"/>
          <w:szCs w:val="24"/>
          <w:highlight w:val="none"/>
        </w:rPr>
        <w:t>．</w:t>
      </w:r>
      <w:r>
        <w:rPr>
          <w:rFonts w:hint="eastAsia" w:ascii="宋体" w:hAnsi="宋体" w:eastAsia="宋体" w:cs="宋体"/>
          <w:bCs/>
          <w:color w:val="auto"/>
          <w:spacing w:val="-1"/>
          <w:sz w:val="24"/>
          <w:szCs w:val="24"/>
          <w:highlight w:val="none"/>
        </w:rPr>
        <w:t>房屋建筑工程建设项目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_Toc19340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EF5ACA6">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_Toc16340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2</w:t>
      </w:r>
      <w:r>
        <w:rPr>
          <w:rFonts w:hint="eastAsia" w:ascii="宋体" w:hAnsi="宋体" w:eastAsia="宋体" w:cs="宋体"/>
          <w:bCs/>
          <w:color w:val="auto"/>
          <w:spacing w:val="-18"/>
          <w:sz w:val="24"/>
          <w:szCs w:val="24"/>
          <w:highlight w:val="none"/>
        </w:rPr>
        <w:t xml:space="preserve"> </w:t>
      </w:r>
      <w:r>
        <w:rPr>
          <w:rFonts w:hint="eastAsia" w:ascii="宋体" w:hAnsi="宋体" w:eastAsia="宋体" w:cs="宋体"/>
          <w:bCs/>
          <w:color w:val="auto"/>
          <w:spacing w:val="-5"/>
          <w:sz w:val="24"/>
          <w:szCs w:val="24"/>
          <w:highlight w:val="none"/>
        </w:rPr>
        <w:t>．市政基础设施工程建设项目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_Toc16340 \h </w:instrText>
      </w:r>
      <w:r>
        <w:rPr>
          <w:color w:val="auto"/>
          <w:sz w:val="24"/>
          <w:szCs w:val="24"/>
          <w:highlight w:val="none"/>
        </w:rPr>
        <w:fldChar w:fldCharType="separate"/>
      </w:r>
      <w:r>
        <w:rPr>
          <w:color w:val="auto"/>
          <w:sz w:val="24"/>
          <w:szCs w:val="24"/>
          <w:highlight w:val="none"/>
        </w:rPr>
        <w:t>65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15472F8">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_Toc31813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8"/>
          <w:sz w:val="24"/>
          <w:szCs w:val="24"/>
          <w:highlight w:val="none"/>
        </w:rPr>
        <w:t>3</w:t>
      </w:r>
      <w:r>
        <w:rPr>
          <w:rFonts w:hint="eastAsia" w:ascii="宋体" w:hAnsi="宋体" w:eastAsia="宋体" w:cs="宋体"/>
          <w:bCs/>
          <w:color w:val="auto"/>
          <w:spacing w:val="-25"/>
          <w:sz w:val="24"/>
          <w:szCs w:val="24"/>
          <w:highlight w:val="none"/>
        </w:rPr>
        <w:t xml:space="preserve"> </w:t>
      </w:r>
      <w:r>
        <w:rPr>
          <w:rFonts w:hint="eastAsia" w:ascii="宋体" w:hAnsi="宋体" w:eastAsia="宋体" w:cs="宋体"/>
          <w:bCs/>
          <w:color w:val="auto"/>
          <w:spacing w:val="-8"/>
          <w:sz w:val="24"/>
          <w:szCs w:val="24"/>
          <w:highlight w:val="none"/>
        </w:rPr>
        <w:t>．备查要求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_Toc31813 \h </w:instrText>
      </w:r>
      <w:r>
        <w:rPr>
          <w:color w:val="auto"/>
          <w:sz w:val="24"/>
          <w:szCs w:val="24"/>
          <w:highlight w:val="none"/>
        </w:rPr>
        <w:fldChar w:fldCharType="separate"/>
      </w:r>
      <w:r>
        <w:rPr>
          <w:color w:val="auto"/>
          <w:sz w:val="24"/>
          <w:szCs w:val="24"/>
          <w:highlight w:val="none"/>
        </w:rPr>
        <w:t>66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51C0CAD">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_Toc21699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Cs/>
          <w:color w:val="auto"/>
          <w:spacing w:val="-5"/>
          <w:sz w:val="24"/>
          <w:szCs w:val="24"/>
          <w:highlight w:val="none"/>
        </w:rPr>
        <w:t>图纸和招标工程量清单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_Toc21699 \h </w:instrText>
      </w:r>
      <w:r>
        <w:rPr>
          <w:color w:val="auto"/>
          <w:sz w:val="24"/>
          <w:szCs w:val="24"/>
          <w:highlight w:val="none"/>
        </w:rPr>
        <w:fldChar w:fldCharType="separate"/>
      </w:r>
      <w:r>
        <w:rPr>
          <w:color w:val="auto"/>
          <w:sz w:val="24"/>
          <w:szCs w:val="24"/>
          <w:highlight w:val="none"/>
        </w:rPr>
        <w:t>67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203C0AF">
      <w:pPr>
        <w:pStyle w:val="10"/>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_Toc27130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_Toc27130 \h </w:instrText>
      </w:r>
      <w:r>
        <w:rPr>
          <w:color w:val="auto"/>
          <w:sz w:val="24"/>
          <w:szCs w:val="24"/>
          <w:highlight w:val="none"/>
        </w:rPr>
        <w:fldChar w:fldCharType="separate"/>
      </w:r>
      <w:r>
        <w:rPr>
          <w:color w:val="auto"/>
          <w:sz w:val="24"/>
          <w:szCs w:val="24"/>
          <w:highlight w:val="none"/>
        </w:rPr>
        <w:t>68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5E6BCE1">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_Toc11203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Cs/>
          <w:color w:val="auto"/>
          <w:spacing w:val="-4"/>
          <w:sz w:val="24"/>
          <w:szCs w:val="24"/>
          <w:highlight w:val="none"/>
        </w:rPr>
        <w:t>封面</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_Toc11203 \h </w:instrText>
      </w:r>
      <w:r>
        <w:rPr>
          <w:color w:val="auto"/>
          <w:sz w:val="24"/>
          <w:szCs w:val="24"/>
          <w:highlight w:val="none"/>
        </w:rPr>
        <w:fldChar w:fldCharType="separate"/>
      </w:r>
      <w:r>
        <w:rPr>
          <w:color w:val="auto"/>
          <w:sz w:val="24"/>
          <w:szCs w:val="24"/>
          <w:highlight w:val="none"/>
        </w:rPr>
        <w:t>68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5A9416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_Toc24492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格式二 投标函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_Toc24492 \h </w:instrText>
      </w:r>
      <w:r>
        <w:rPr>
          <w:color w:val="auto"/>
          <w:sz w:val="24"/>
          <w:szCs w:val="24"/>
          <w:highlight w:val="none"/>
        </w:rPr>
        <w:fldChar w:fldCharType="separate"/>
      </w:r>
      <w:r>
        <w:rPr>
          <w:color w:val="auto"/>
          <w:sz w:val="24"/>
          <w:szCs w:val="24"/>
          <w:highlight w:val="none"/>
        </w:rPr>
        <w:t>69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34F0D07">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_Toc15958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格式三 各项承诺一览表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_Toc15958 \h </w:instrText>
      </w:r>
      <w:r>
        <w:rPr>
          <w:color w:val="auto"/>
          <w:sz w:val="24"/>
          <w:szCs w:val="24"/>
          <w:highlight w:val="none"/>
        </w:rPr>
        <w:fldChar w:fldCharType="separate"/>
      </w:r>
      <w:r>
        <w:rPr>
          <w:color w:val="auto"/>
          <w:sz w:val="24"/>
          <w:szCs w:val="24"/>
          <w:highlight w:val="none"/>
        </w:rPr>
        <w:t>70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2A84939">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_Toc16537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格式四 授权委托书</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_Toc16537 \h </w:instrText>
      </w:r>
      <w:r>
        <w:rPr>
          <w:color w:val="auto"/>
          <w:sz w:val="24"/>
          <w:szCs w:val="24"/>
          <w:highlight w:val="none"/>
        </w:rPr>
        <w:fldChar w:fldCharType="separate"/>
      </w:r>
      <w:r>
        <w:rPr>
          <w:color w:val="auto"/>
          <w:sz w:val="24"/>
          <w:szCs w:val="24"/>
          <w:highlight w:val="none"/>
        </w:rPr>
        <w:t>72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762D047">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_Toc30394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格式五 法定代表人身份证明</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_Toc30394 \h </w:instrText>
      </w:r>
      <w:r>
        <w:rPr>
          <w:color w:val="auto"/>
          <w:sz w:val="24"/>
          <w:szCs w:val="24"/>
          <w:highlight w:val="none"/>
        </w:rPr>
        <w:fldChar w:fldCharType="separate"/>
      </w:r>
      <w:r>
        <w:rPr>
          <w:color w:val="auto"/>
          <w:sz w:val="24"/>
          <w:szCs w:val="24"/>
          <w:highlight w:val="none"/>
        </w:rPr>
        <w:t>73</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547D5A4">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_Toc5771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格式六 联合体协议书</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_Toc5771 \h </w:instrText>
      </w:r>
      <w:r>
        <w:rPr>
          <w:color w:val="auto"/>
          <w:sz w:val="24"/>
          <w:szCs w:val="24"/>
          <w:highlight w:val="none"/>
        </w:rPr>
        <w:fldChar w:fldCharType="separate"/>
      </w:r>
      <w:r>
        <w:rPr>
          <w:color w:val="auto"/>
          <w:sz w:val="24"/>
          <w:szCs w:val="24"/>
          <w:highlight w:val="none"/>
        </w:rPr>
        <w:t>74</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3326E95">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_Toc17838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格式七 投标人基本情况表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_Toc17838 \h </w:instrText>
      </w:r>
      <w:r>
        <w:rPr>
          <w:color w:val="auto"/>
          <w:sz w:val="24"/>
          <w:szCs w:val="24"/>
          <w:highlight w:val="none"/>
        </w:rPr>
        <w:fldChar w:fldCharType="separate"/>
      </w:r>
      <w:r>
        <w:rPr>
          <w:color w:val="auto"/>
          <w:sz w:val="24"/>
          <w:szCs w:val="24"/>
          <w:highlight w:val="none"/>
        </w:rPr>
        <w:t>75</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9BEDFF4">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_Toc19699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格式八 项目经理简历表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_Toc19699 \h </w:instrText>
      </w:r>
      <w:r>
        <w:rPr>
          <w:color w:val="auto"/>
          <w:sz w:val="24"/>
          <w:szCs w:val="24"/>
          <w:highlight w:val="none"/>
        </w:rPr>
        <w:fldChar w:fldCharType="separate"/>
      </w:r>
      <w:r>
        <w:rPr>
          <w:color w:val="auto"/>
          <w:sz w:val="24"/>
          <w:szCs w:val="24"/>
          <w:highlight w:val="none"/>
        </w:rPr>
        <w:t>76</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8C87CE">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_Toc30661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格式九 项目经理任职声明</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_Toc30661 \h </w:instrText>
      </w:r>
      <w:r>
        <w:rPr>
          <w:color w:val="auto"/>
          <w:sz w:val="24"/>
          <w:szCs w:val="24"/>
          <w:highlight w:val="none"/>
        </w:rPr>
        <w:fldChar w:fldCharType="separate"/>
      </w:r>
      <w:r>
        <w:rPr>
          <w:color w:val="auto"/>
          <w:sz w:val="24"/>
          <w:szCs w:val="24"/>
          <w:highlight w:val="none"/>
        </w:rPr>
        <w:t>77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8612EDC">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_Toc31071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 项目技术负责人简历表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_Toc31071 \h </w:instrText>
      </w:r>
      <w:r>
        <w:rPr>
          <w:color w:val="auto"/>
          <w:sz w:val="24"/>
          <w:szCs w:val="24"/>
          <w:highlight w:val="none"/>
        </w:rPr>
        <w:fldChar w:fldCharType="separate"/>
      </w:r>
      <w:r>
        <w:rPr>
          <w:color w:val="auto"/>
          <w:sz w:val="24"/>
          <w:szCs w:val="24"/>
          <w:highlight w:val="none"/>
        </w:rPr>
        <w:t>78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2D609AD">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_Toc25235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格式十一 项目管理机构组成表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_Toc25235 \h </w:instrText>
      </w:r>
      <w:r>
        <w:rPr>
          <w:color w:val="auto"/>
          <w:sz w:val="24"/>
          <w:szCs w:val="24"/>
          <w:highlight w:val="none"/>
        </w:rPr>
        <w:fldChar w:fldCharType="separate"/>
      </w:r>
      <w:r>
        <w:rPr>
          <w:color w:val="auto"/>
          <w:sz w:val="24"/>
          <w:szCs w:val="24"/>
          <w:highlight w:val="none"/>
        </w:rPr>
        <w:t>79</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4141F3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_Toc16480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格式十二 建造师查询页（有效期+建造师签字）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_Toc16480 \h </w:instrText>
      </w:r>
      <w:r>
        <w:rPr>
          <w:color w:val="auto"/>
          <w:sz w:val="24"/>
          <w:szCs w:val="24"/>
          <w:highlight w:val="none"/>
        </w:rPr>
        <w:fldChar w:fldCharType="separate"/>
      </w:r>
      <w:r>
        <w:rPr>
          <w:color w:val="auto"/>
          <w:sz w:val="24"/>
          <w:szCs w:val="24"/>
          <w:highlight w:val="none"/>
        </w:rPr>
        <w:t>80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100DB63">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_Toc28779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格式十三：</w:t>
      </w:r>
      <w:r>
        <w:rPr>
          <w:rFonts w:hint="eastAsia" w:ascii="宋体" w:hAnsi="宋体" w:eastAsia="宋体" w:cs="宋体"/>
          <w:bCs/>
          <w:color w:val="auto"/>
          <w:spacing w:val="7"/>
          <w:sz w:val="24"/>
          <w:szCs w:val="24"/>
          <w:highlight w:val="none"/>
        </w:rPr>
        <w:t>危险性较大的分部分项工程清单及超过一定规模的危险性较大的</w:t>
      </w:r>
      <w:r>
        <w:rPr>
          <w:rFonts w:hint="eastAsia" w:ascii="宋体" w:hAnsi="宋体" w:eastAsia="宋体" w:cs="宋体"/>
          <w:bCs/>
          <w:color w:val="auto"/>
          <w:spacing w:val="5"/>
          <w:sz w:val="24"/>
          <w:szCs w:val="24"/>
          <w:highlight w:val="none"/>
        </w:rPr>
        <w:t>分部分项工程清单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_Toc28779 \h </w:instrText>
      </w:r>
      <w:r>
        <w:rPr>
          <w:color w:val="auto"/>
          <w:sz w:val="24"/>
          <w:szCs w:val="24"/>
          <w:highlight w:val="none"/>
        </w:rPr>
        <w:fldChar w:fldCharType="separate"/>
      </w:r>
      <w:r>
        <w:rPr>
          <w:color w:val="auto"/>
          <w:sz w:val="24"/>
          <w:szCs w:val="24"/>
          <w:highlight w:val="none"/>
        </w:rPr>
        <w:t>82</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37AEA4F">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_Toc738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格式十四</w:t>
      </w:r>
      <w:r>
        <w:rPr>
          <w:rFonts w:hint="eastAsia" w:ascii="宋体" w:hAnsi="宋体" w:eastAsia="宋体" w:cs="宋体"/>
          <w:bCs/>
          <w:color w:val="auto"/>
          <w:spacing w:val="-4"/>
          <w:sz w:val="24"/>
          <w:szCs w:val="24"/>
          <w:highlight w:val="none"/>
          <w:lang w:val="en-US" w:eastAsia="zh-CN"/>
        </w:rPr>
        <w:t xml:space="preserve">  </w:t>
      </w:r>
      <w:r>
        <w:rPr>
          <w:rFonts w:hint="eastAsia" w:ascii="宋体" w:hAnsi="宋体" w:eastAsia="宋体" w:cs="宋体"/>
          <w:bCs/>
          <w:color w:val="auto"/>
          <w:spacing w:val="4"/>
          <w:position w:val="3"/>
          <w:sz w:val="24"/>
          <w:szCs w:val="24"/>
          <w:highlight w:val="none"/>
        </w:rPr>
        <w:t>投标保证金信用承诺函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_Toc738 \h </w:instrText>
      </w:r>
      <w:r>
        <w:rPr>
          <w:color w:val="auto"/>
          <w:sz w:val="24"/>
          <w:szCs w:val="24"/>
          <w:highlight w:val="none"/>
        </w:rPr>
        <w:fldChar w:fldCharType="separate"/>
      </w:r>
      <w:r>
        <w:rPr>
          <w:color w:val="auto"/>
          <w:sz w:val="24"/>
          <w:szCs w:val="24"/>
          <w:highlight w:val="none"/>
        </w:rPr>
        <w:t>87</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9B5F870">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_Toc9960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4"/>
          <w:sz w:val="24"/>
          <w:szCs w:val="24"/>
          <w:highlight w:val="none"/>
        </w:rPr>
        <w:t>格式十</w:t>
      </w:r>
      <w:r>
        <w:rPr>
          <w:rFonts w:hint="eastAsia" w:ascii="宋体" w:hAnsi="宋体" w:eastAsia="宋体" w:cs="宋体"/>
          <w:bCs/>
          <w:color w:val="auto"/>
          <w:spacing w:val="-4"/>
          <w:sz w:val="24"/>
          <w:szCs w:val="24"/>
          <w:highlight w:val="none"/>
          <w:lang w:eastAsia="zh-CN"/>
        </w:rPr>
        <w:t>五</w:t>
      </w:r>
      <w:r>
        <w:rPr>
          <w:rFonts w:hint="eastAsia" w:ascii="宋体" w:hAnsi="宋体" w:eastAsia="宋体" w:cs="宋体"/>
          <w:bCs/>
          <w:color w:val="auto"/>
          <w:spacing w:val="-4"/>
          <w:sz w:val="24"/>
          <w:szCs w:val="24"/>
          <w:highlight w:val="none"/>
        </w:rPr>
        <w:t xml:space="preserve">  原件一览表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_Toc9960 \h </w:instrText>
      </w:r>
      <w:r>
        <w:rPr>
          <w:color w:val="auto"/>
          <w:sz w:val="24"/>
          <w:szCs w:val="24"/>
          <w:highlight w:val="none"/>
        </w:rPr>
        <w:fldChar w:fldCharType="separate"/>
      </w:r>
      <w:r>
        <w:rPr>
          <w:color w:val="auto"/>
          <w:sz w:val="24"/>
          <w:szCs w:val="24"/>
          <w:highlight w:val="none"/>
        </w:rPr>
        <w:t>88</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27380DD">
      <w:pPr>
        <w:pStyle w:val="7"/>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bCs/>
          <w:color w:val="auto"/>
          <w:spacing w:val="-4"/>
          <w:sz w:val="24"/>
          <w:szCs w:val="24"/>
          <w:highlight w:val="none"/>
        </w:rPr>
        <w:fldChar w:fldCharType="begin"/>
      </w:r>
      <w:r>
        <w:rPr>
          <w:rFonts w:hint="eastAsia" w:ascii="宋体" w:hAnsi="宋体" w:eastAsia="宋体" w:cs="宋体"/>
          <w:bCs/>
          <w:color w:val="auto"/>
          <w:spacing w:val="-4"/>
          <w:sz w:val="24"/>
          <w:szCs w:val="24"/>
          <w:highlight w:val="none"/>
        </w:rPr>
        <w:instrText xml:space="preserve"> HYPERLINK \l _Toc26323 </w:instrText>
      </w:r>
      <w:r>
        <w:rPr>
          <w:rFonts w:hint="eastAsia" w:ascii="宋体" w:hAnsi="宋体" w:eastAsia="宋体" w:cs="宋体"/>
          <w:bCs/>
          <w:color w:val="auto"/>
          <w:spacing w:val="-4"/>
          <w:sz w:val="24"/>
          <w:szCs w:val="24"/>
          <w:highlight w:val="none"/>
        </w:rPr>
        <w:fldChar w:fldCharType="separate"/>
      </w:r>
      <w:r>
        <w:rPr>
          <w:rFonts w:hint="eastAsia" w:ascii="宋体" w:hAnsi="宋体" w:eastAsia="宋体" w:cs="宋体"/>
          <w:bCs/>
          <w:color w:val="auto"/>
          <w:spacing w:val="-4"/>
          <w:sz w:val="24"/>
          <w:szCs w:val="24"/>
          <w:highlight w:val="none"/>
          <w:lang w:eastAsia="zh-CN"/>
        </w:rPr>
        <w:t>格式十</w:t>
      </w:r>
      <w:r>
        <w:rPr>
          <w:rFonts w:hint="eastAsia" w:ascii="宋体" w:hAnsi="宋体" w:eastAsia="宋体" w:cs="宋体"/>
          <w:bCs/>
          <w:color w:val="auto"/>
          <w:spacing w:val="-4"/>
          <w:sz w:val="24"/>
          <w:szCs w:val="24"/>
          <w:highlight w:val="none"/>
          <w:lang w:val="en-US" w:eastAsia="zh-CN"/>
        </w:rPr>
        <w:t>六 定标因素评审资料</w:t>
      </w:r>
      <w:r>
        <w:rPr>
          <w:rFonts w:hint="eastAsia" w:ascii="宋体" w:hAnsi="宋体" w:eastAsia="宋体" w:cs="宋体"/>
          <w:bCs/>
          <w:color w:val="auto"/>
          <w:spacing w:val="-4"/>
          <w:sz w:val="24"/>
          <w:szCs w:val="24"/>
          <w:highlight w:val="none"/>
        </w:rPr>
        <w:tab/>
      </w:r>
      <w:r>
        <w:rPr>
          <w:rFonts w:hint="eastAsia" w:ascii="宋体" w:hAnsi="宋体" w:eastAsia="宋体" w:cs="宋体"/>
          <w:bCs/>
          <w:color w:val="auto"/>
          <w:spacing w:val="-4"/>
          <w:sz w:val="24"/>
          <w:szCs w:val="24"/>
          <w:highlight w:val="none"/>
        </w:rPr>
        <w:fldChar w:fldCharType="begin"/>
      </w:r>
      <w:r>
        <w:rPr>
          <w:rFonts w:hint="eastAsia" w:ascii="宋体" w:hAnsi="宋体" w:eastAsia="宋体" w:cs="宋体"/>
          <w:bCs/>
          <w:color w:val="auto"/>
          <w:spacing w:val="-4"/>
          <w:sz w:val="24"/>
          <w:szCs w:val="24"/>
          <w:highlight w:val="none"/>
        </w:rPr>
        <w:instrText xml:space="preserve"> PAGEREF _Toc26323 \h </w:instrText>
      </w:r>
      <w:r>
        <w:rPr>
          <w:rFonts w:hint="eastAsia" w:ascii="宋体" w:hAnsi="宋体" w:eastAsia="宋体" w:cs="宋体"/>
          <w:bCs/>
          <w:color w:val="auto"/>
          <w:spacing w:val="-4"/>
          <w:sz w:val="24"/>
          <w:szCs w:val="24"/>
          <w:highlight w:val="none"/>
        </w:rPr>
        <w:fldChar w:fldCharType="separate"/>
      </w:r>
      <w:r>
        <w:rPr>
          <w:rFonts w:hint="eastAsia" w:ascii="宋体" w:hAnsi="宋体" w:eastAsia="宋体" w:cs="宋体"/>
          <w:bCs/>
          <w:color w:val="auto"/>
          <w:spacing w:val="-4"/>
          <w:sz w:val="24"/>
          <w:szCs w:val="24"/>
          <w:highlight w:val="none"/>
        </w:rPr>
        <w:t>89</w:t>
      </w:r>
      <w:r>
        <w:rPr>
          <w:rFonts w:hint="eastAsia" w:ascii="宋体" w:hAnsi="宋体" w:eastAsia="宋体" w:cs="宋体"/>
          <w:bCs/>
          <w:color w:val="auto"/>
          <w:spacing w:val="-4"/>
          <w:sz w:val="24"/>
          <w:szCs w:val="24"/>
          <w:highlight w:val="none"/>
        </w:rPr>
        <w:fldChar w:fldCharType="end"/>
      </w:r>
      <w:r>
        <w:rPr>
          <w:rFonts w:hint="eastAsia" w:ascii="宋体" w:hAnsi="宋体" w:eastAsia="宋体" w:cs="宋体"/>
          <w:bCs/>
          <w:color w:val="auto"/>
          <w:spacing w:val="-4"/>
          <w:sz w:val="24"/>
          <w:szCs w:val="24"/>
          <w:highlight w:val="none"/>
        </w:rPr>
        <w:fldChar w:fldCharType="end"/>
      </w:r>
    </w:p>
    <w:p w14:paraId="00202401">
      <w:pPr>
        <w:pStyle w:val="11"/>
        <w:keepNext w:val="0"/>
        <w:keepLines w:val="0"/>
        <w:pageBreakBefore w:val="0"/>
        <w:widowControl/>
        <w:tabs>
          <w:tab w:val="right" w:leader="dot" w:pos="9746"/>
        </w:tabs>
        <w:kinsoku w:val="0"/>
        <w:wordWrap/>
        <w:overflowPunct/>
        <w:topLinePunct w:val="0"/>
        <w:autoSpaceDE w:val="0"/>
        <w:autoSpaceDN w:val="0"/>
        <w:bidi w:val="0"/>
        <w:adjustRightInd w:val="0"/>
        <w:snapToGrid w:val="0"/>
        <w:spacing w:line="400" w:lineRule="exact"/>
        <w:textAlignment w:val="baseline"/>
        <w:rPr>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_Toc10482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Cs/>
          <w:color w:val="auto"/>
          <w:spacing w:val="-3"/>
          <w:sz w:val="24"/>
          <w:szCs w:val="24"/>
          <w:highlight w:val="none"/>
        </w:rPr>
        <w:t>建设工程施工合同</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_Toc10482 \h </w:instrText>
      </w:r>
      <w:r>
        <w:rPr>
          <w:color w:val="auto"/>
          <w:sz w:val="24"/>
          <w:szCs w:val="24"/>
          <w:highlight w:val="none"/>
        </w:rPr>
        <w:fldChar w:fldCharType="separate"/>
      </w:r>
      <w:r>
        <w:rPr>
          <w:color w:val="auto"/>
          <w:sz w:val="24"/>
          <w:szCs w:val="24"/>
          <w:highlight w:val="none"/>
        </w:rPr>
        <w:t>90</w:t>
      </w:r>
      <w:r>
        <w:rPr>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BA2C37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color w:val="auto"/>
          <w:sz w:val="24"/>
          <w:szCs w:val="24"/>
          <w:highlight w:val="none"/>
        </w:rPr>
        <w:sectPr>
          <w:headerReference r:id="rId4" w:type="default"/>
          <w:footerReference r:id="rId5" w:type="default"/>
          <w:pgSz w:w="11906" w:h="16839"/>
          <w:pgMar w:top="1440" w:right="1080" w:bottom="1440" w:left="1080" w:header="1200" w:footer="0" w:gutter="0"/>
          <w:pgBorders>
            <w:top w:val="none" w:sz="0" w:space="0"/>
            <w:left w:val="none" w:sz="0" w:space="0"/>
            <w:bottom w:val="none" w:sz="0" w:space="0"/>
            <w:right w:val="none" w:sz="0" w:space="0"/>
          </w:pgBorders>
          <w:pgNumType w:start="1"/>
          <w:cols w:space="720" w:num="1"/>
        </w:sectPr>
      </w:pPr>
      <w:r>
        <w:rPr>
          <w:rFonts w:hint="eastAsia" w:ascii="宋体" w:hAnsi="宋体" w:eastAsia="宋体" w:cs="宋体"/>
          <w:color w:val="auto"/>
          <w:sz w:val="24"/>
          <w:szCs w:val="24"/>
          <w:highlight w:val="none"/>
        </w:rPr>
        <w:fldChar w:fldCharType="end"/>
      </w:r>
    </w:p>
    <w:p w14:paraId="7A1B4748">
      <w:pPr>
        <w:pStyle w:val="6"/>
        <w:spacing w:line="272" w:lineRule="auto"/>
        <w:rPr>
          <w:rFonts w:hint="eastAsia" w:ascii="宋体" w:hAnsi="宋体" w:eastAsia="宋体" w:cs="宋体"/>
          <w:color w:val="auto"/>
          <w:highlight w:val="none"/>
        </w:rPr>
      </w:pPr>
    </w:p>
    <w:p w14:paraId="1275B705">
      <w:pPr>
        <w:spacing w:before="78" w:line="219" w:lineRule="auto"/>
        <w:jc w:val="center"/>
        <w:outlineLvl w:val="0"/>
        <w:rPr>
          <w:rFonts w:hint="eastAsia" w:ascii="宋体" w:hAnsi="宋体" w:eastAsia="宋体" w:cs="宋体"/>
          <w:color w:val="auto"/>
          <w:sz w:val="24"/>
          <w:szCs w:val="24"/>
          <w:highlight w:val="none"/>
        </w:rPr>
      </w:pPr>
      <w:bookmarkStart w:id="0" w:name="bookmark1"/>
      <w:bookmarkEnd w:id="0"/>
      <w:bookmarkStart w:id="1" w:name="_Toc30584"/>
      <w:r>
        <w:rPr>
          <w:rFonts w:hint="eastAsia" w:ascii="宋体" w:hAnsi="宋体" w:eastAsia="宋体" w:cs="宋体"/>
          <w:b/>
          <w:bCs/>
          <w:color w:val="auto"/>
          <w:spacing w:val="-3"/>
          <w:sz w:val="24"/>
          <w:szCs w:val="24"/>
          <w:highlight w:val="none"/>
        </w:rPr>
        <w:t>第一章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w:t>
      </w:r>
      <w:bookmarkEnd w:id="1"/>
    </w:p>
    <w:p w14:paraId="75617145">
      <w:pPr>
        <w:spacing w:before="156" w:line="219" w:lineRule="auto"/>
        <w:ind w:left="17"/>
        <w:outlineLvl w:val="1"/>
        <w:rPr>
          <w:rFonts w:hint="eastAsia" w:ascii="宋体" w:hAnsi="宋体" w:eastAsia="宋体" w:cs="宋体"/>
          <w:color w:val="auto"/>
          <w:sz w:val="24"/>
          <w:szCs w:val="24"/>
          <w:highlight w:val="none"/>
        </w:rPr>
      </w:pPr>
      <w:bookmarkStart w:id="2" w:name="bookmark3"/>
      <w:bookmarkEnd w:id="2"/>
      <w:bookmarkStart w:id="3" w:name="_Toc1079"/>
      <w:r>
        <w:rPr>
          <w:rFonts w:hint="eastAsia" w:ascii="宋体" w:hAnsi="宋体" w:eastAsia="宋体" w:cs="宋体"/>
          <w:b/>
          <w:bCs/>
          <w:color w:val="auto"/>
          <w:spacing w:val="-3"/>
          <w:sz w:val="24"/>
          <w:szCs w:val="24"/>
          <w:highlight w:val="none"/>
        </w:rPr>
        <w:t>第一节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投标人须知前附表</w:t>
      </w:r>
      <w:bookmarkEnd w:id="3"/>
    </w:p>
    <w:p w14:paraId="1D853073">
      <w:pPr>
        <w:spacing w:before="25"/>
        <w:rPr>
          <w:rFonts w:hint="eastAsia" w:ascii="宋体" w:hAnsi="宋体" w:eastAsia="宋体" w:cs="宋体"/>
          <w:color w:val="auto"/>
          <w:highlight w:val="none"/>
        </w:rPr>
      </w:pPr>
    </w:p>
    <w:tbl>
      <w:tblPr>
        <w:tblStyle w:val="15"/>
        <w:tblW w:w="998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860"/>
        <w:gridCol w:w="7544"/>
      </w:tblGrid>
      <w:tr w14:paraId="2548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2" w:hRule="atLeast"/>
        </w:trPr>
        <w:tc>
          <w:tcPr>
            <w:tcW w:w="582" w:type="dxa"/>
            <w:vAlign w:val="top"/>
          </w:tcPr>
          <w:p w14:paraId="57F31717">
            <w:pPr>
              <w:spacing w:before="203" w:line="209" w:lineRule="auto"/>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1860" w:type="dxa"/>
            <w:vAlign w:val="center"/>
          </w:tcPr>
          <w:p w14:paraId="014D554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内容</w:t>
            </w:r>
          </w:p>
        </w:tc>
        <w:tc>
          <w:tcPr>
            <w:tcW w:w="7544" w:type="dxa"/>
            <w:vAlign w:val="center"/>
          </w:tcPr>
          <w:p w14:paraId="4715AF9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说明与要求</w:t>
            </w:r>
          </w:p>
        </w:tc>
      </w:tr>
      <w:tr w14:paraId="21A4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5E350CD8">
            <w:pPr>
              <w:spacing w:before="223" w:line="195" w:lineRule="auto"/>
              <w:jc w:val="center"/>
              <w:rPr>
                <w:rFonts w:hint="eastAsia" w:ascii="宋体" w:hAnsi="宋体" w:eastAsia="宋体" w:cs="宋体"/>
                <w:color w:val="auto"/>
                <w:sz w:val="21"/>
                <w:szCs w:val="21"/>
                <w:highlight w:val="none"/>
              </w:rPr>
            </w:pPr>
            <w:bookmarkStart w:id="4" w:name="OLE_LINK2" w:colFirst="2" w:colLast="2"/>
            <w:r>
              <w:rPr>
                <w:rFonts w:hint="eastAsia" w:ascii="宋体" w:hAnsi="宋体" w:eastAsia="宋体" w:cs="宋体"/>
                <w:color w:val="auto"/>
                <w:sz w:val="21"/>
                <w:szCs w:val="21"/>
                <w:highlight w:val="none"/>
              </w:rPr>
              <w:t>1</w:t>
            </w:r>
          </w:p>
        </w:tc>
        <w:tc>
          <w:tcPr>
            <w:tcW w:w="1860" w:type="dxa"/>
            <w:vAlign w:val="center"/>
          </w:tcPr>
          <w:p w14:paraId="0120043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项目名称</w:t>
            </w:r>
          </w:p>
        </w:tc>
        <w:tc>
          <w:tcPr>
            <w:tcW w:w="7544" w:type="dxa"/>
            <w:vAlign w:val="center"/>
          </w:tcPr>
          <w:p w14:paraId="31F65808">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仁化县丹霞山周边重点区域生态修复项目（一期）施工</w:t>
            </w:r>
          </w:p>
        </w:tc>
      </w:tr>
      <w:tr w14:paraId="7C81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7359E557">
            <w:pPr>
              <w:spacing w:before="222"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60" w:type="dxa"/>
            <w:vAlign w:val="center"/>
          </w:tcPr>
          <w:p w14:paraId="28FE386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项目业主</w:t>
            </w:r>
          </w:p>
        </w:tc>
        <w:tc>
          <w:tcPr>
            <w:tcW w:w="7544" w:type="dxa"/>
            <w:vAlign w:val="center"/>
          </w:tcPr>
          <w:p w14:paraId="18CB074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仁化县林业局</w:t>
            </w:r>
          </w:p>
        </w:tc>
      </w:tr>
      <w:tr w14:paraId="43C6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56E39C53">
            <w:pPr>
              <w:spacing w:before="58"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860" w:type="dxa"/>
            <w:vAlign w:val="center"/>
          </w:tcPr>
          <w:p w14:paraId="78720D6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项目批准部门及项目批准文号</w:t>
            </w:r>
          </w:p>
        </w:tc>
        <w:tc>
          <w:tcPr>
            <w:tcW w:w="7544" w:type="dxa"/>
            <w:vAlign w:val="center"/>
          </w:tcPr>
          <w:p w14:paraId="7339133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仁化县发展改革和政务数据局、仁化县林业局</w:t>
            </w:r>
          </w:p>
          <w:p w14:paraId="79223BF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仁发改和政数投审【2025】59号、仁林请【2026】49号</w:t>
            </w:r>
          </w:p>
        </w:tc>
      </w:tr>
      <w:tr w14:paraId="4EB4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7228FB2F">
            <w:pPr>
              <w:spacing w:before="225"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w:t>
            </w:r>
          </w:p>
        </w:tc>
        <w:tc>
          <w:tcPr>
            <w:tcW w:w="1860" w:type="dxa"/>
            <w:vAlign w:val="center"/>
          </w:tcPr>
          <w:p w14:paraId="73DCFD2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建设地点</w:t>
            </w:r>
          </w:p>
        </w:tc>
        <w:tc>
          <w:tcPr>
            <w:tcW w:w="7544" w:type="dxa"/>
            <w:tcMar>
              <w:top w:w="0" w:type="dxa"/>
              <w:left w:w="0" w:type="dxa"/>
              <w:bottom w:w="0" w:type="dxa"/>
              <w:right w:w="0" w:type="dxa"/>
            </w:tcMar>
            <w:vAlign w:val="center"/>
          </w:tcPr>
          <w:p w14:paraId="2453AFA5">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仁化县丹霞山周边周边重点区域，包括丹霞街道、董塘镇、黄坑镇等。</w:t>
            </w:r>
          </w:p>
        </w:tc>
      </w:tr>
      <w:tr w14:paraId="30C7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681E1B8E">
            <w:pPr>
              <w:spacing w:before="226" w:line="192"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860" w:type="dxa"/>
            <w:vAlign w:val="center"/>
          </w:tcPr>
          <w:p w14:paraId="2AE1F4D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项目代码</w:t>
            </w:r>
          </w:p>
        </w:tc>
        <w:tc>
          <w:tcPr>
            <w:tcW w:w="7544" w:type="dxa"/>
            <w:vAlign w:val="center"/>
          </w:tcPr>
          <w:p w14:paraId="5F3E159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bCs/>
                <w:color w:val="auto"/>
                <w:sz w:val="21"/>
                <w:szCs w:val="21"/>
                <w:highlight w:val="none"/>
                <w:lang w:eastAsia="zh-CN"/>
              </w:rPr>
              <w:t>2310-440224-04-01-165081</w:t>
            </w:r>
          </w:p>
        </w:tc>
      </w:tr>
      <w:tr w14:paraId="3CCF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5DE790D0">
            <w:pPr>
              <w:spacing w:before="58"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860" w:type="dxa"/>
            <w:vAlign w:val="center"/>
          </w:tcPr>
          <w:p w14:paraId="482BD446">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资金来源及落实情况</w:t>
            </w:r>
          </w:p>
        </w:tc>
        <w:tc>
          <w:tcPr>
            <w:tcW w:w="7544" w:type="dxa"/>
            <w:vAlign w:val="center"/>
          </w:tcPr>
          <w:p w14:paraId="19FD980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为专项债券资金，资金已落实</w:t>
            </w:r>
          </w:p>
        </w:tc>
      </w:tr>
      <w:tr w14:paraId="0072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491A7FEC">
            <w:pPr>
              <w:spacing w:before="228" w:line="192"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860" w:type="dxa"/>
            <w:vAlign w:val="center"/>
          </w:tcPr>
          <w:p w14:paraId="7CF6BA8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招标人</w:t>
            </w:r>
          </w:p>
        </w:tc>
        <w:tc>
          <w:tcPr>
            <w:tcW w:w="7544" w:type="dxa"/>
            <w:vAlign w:val="center"/>
          </w:tcPr>
          <w:p w14:paraId="3CF7D4D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仁化县林业局</w:t>
            </w:r>
          </w:p>
        </w:tc>
      </w:tr>
      <w:tr w14:paraId="2FC9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16D8FF60">
            <w:pPr>
              <w:spacing w:before="224"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860" w:type="dxa"/>
            <w:vAlign w:val="center"/>
          </w:tcPr>
          <w:p w14:paraId="1027C8D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招标代理机构</w:t>
            </w:r>
          </w:p>
        </w:tc>
        <w:tc>
          <w:tcPr>
            <w:tcW w:w="7544" w:type="dxa"/>
            <w:vAlign w:val="center"/>
          </w:tcPr>
          <w:p w14:paraId="7CC68DE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中晋工程项目管理有限公司</w:t>
            </w:r>
          </w:p>
        </w:tc>
      </w:tr>
      <w:tr w14:paraId="6DD4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trPr>
        <w:tc>
          <w:tcPr>
            <w:tcW w:w="582" w:type="dxa"/>
            <w:vAlign w:val="center"/>
          </w:tcPr>
          <w:p w14:paraId="5BBAB668">
            <w:pPr>
              <w:spacing w:before="225"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860" w:type="dxa"/>
            <w:vAlign w:val="center"/>
          </w:tcPr>
          <w:p w14:paraId="3959B52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设计单位</w:t>
            </w:r>
          </w:p>
        </w:tc>
        <w:tc>
          <w:tcPr>
            <w:tcW w:w="7544" w:type="dxa"/>
            <w:vAlign w:val="center"/>
          </w:tcPr>
          <w:p w14:paraId="2F1A1B2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佳风工程设计有限公司</w:t>
            </w:r>
          </w:p>
        </w:tc>
      </w:tr>
      <w:bookmarkEnd w:id="4"/>
      <w:tr w14:paraId="164A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6" w:hRule="atLeast"/>
        </w:trPr>
        <w:tc>
          <w:tcPr>
            <w:tcW w:w="582" w:type="dxa"/>
            <w:vAlign w:val="center"/>
          </w:tcPr>
          <w:p w14:paraId="522CB4BD">
            <w:pPr>
              <w:spacing w:before="245"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10</w:t>
            </w:r>
          </w:p>
        </w:tc>
        <w:tc>
          <w:tcPr>
            <w:tcW w:w="1860" w:type="dxa"/>
            <w:vAlign w:val="center"/>
          </w:tcPr>
          <w:p w14:paraId="5F32E64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造价咨询单位</w:t>
            </w:r>
          </w:p>
        </w:tc>
        <w:tc>
          <w:tcPr>
            <w:tcW w:w="7544" w:type="dxa"/>
            <w:vAlign w:val="center"/>
          </w:tcPr>
          <w:p w14:paraId="24CBDE4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☑非全过程造价咨询</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□全过程造价咨询</w:t>
            </w:r>
            <w:r>
              <w:rPr>
                <w:rFonts w:hint="eastAsia" w:ascii="宋体" w:hAnsi="宋体" w:eastAsia="宋体" w:cs="宋体"/>
                <w:snapToGrid w:val="0"/>
                <w:color w:val="auto"/>
                <w:kern w:val="0"/>
                <w:sz w:val="21"/>
                <w:szCs w:val="21"/>
                <w:highlight w:val="none"/>
                <w:lang w:val="en-US" w:eastAsia="zh-CN"/>
              </w:rPr>
              <w:t xml:space="preserve">  </w:t>
            </w:r>
          </w:p>
        </w:tc>
      </w:tr>
      <w:tr w14:paraId="3F639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4F381BD5">
            <w:pPr>
              <w:spacing w:before="242"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11</w:t>
            </w:r>
          </w:p>
        </w:tc>
        <w:tc>
          <w:tcPr>
            <w:tcW w:w="1860" w:type="dxa"/>
            <w:vAlign w:val="center"/>
          </w:tcPr>
          <w:p w14:paraId="2281F741">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监理单位</w:t>
            </w:r>
          </w:p>
        </w:tc>
        <w:tc>
          <w:tcPr>
            <w:tcW w:w="7544" w:type="dxa"/>
            <w:vAlign w:val="center"/>
          </w:tcPr>
          <w:p w14:paraId="55306AB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□已确定监理单位</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☑未确定监理单位</w:t>
            </w:r>
          </w:p>
        </w:tc>
      </w:tr>
      <w:tr w14:paraId="2F84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0C23CBE5">
            <w:pPr>
              <w:spacing w:before="58"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lang w:eastAsia="zh-CN"/>
              </w:rPr>
              <w:t>1</w:t>
            </w:r>
            <w:r>
              <w:rPr>
                <w:rFonts w:hint="eastAsia" w:ascii="宋体" w:hAnsi="宋体" w:eastAsia="宋体" w:cs="宋体"/>
                <w:color w:val="auto"/>
                <w:spacing w:val="-8"/>
                <w:sz w:val="21"/>
                <w:szCs w:val="21"/>
                <w:highlight w:val="none"/>
              </w:rPr>
              <w:t>2</w:t>
            </w:r>
          </w:p>
        </w:tc>
        <w:tc>
          <w:tcPr>
            <w:tcW w:w="1860" w:type="dxa"/>
            <w:vAlign w:val="center"/>
          </w:tcPr>
          <w:p w14:paraId="5425489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建设内容和规模</w:t>
            </w:r>
          </w:p>
        </w:tc>
        <w:tc>
          <w:tcPr>
            <w:tcW w:w="7544" w:type="dxa"/>
            <w:vAlign w:val="center"/>
          </w:tcPr>
          <w:p w14:paraId="6A44A4D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□建设规模：</w:t>
            </w:r>
            <w:r>
              <w:rPr>
                <w:rFonts w:hint="eastAsia" w:ascii="宋体" w:hAnsi="宋体" w:eastAsia="宋体" w:cs="宋体"/>
                <w:snapToGrid w:val="0"/>
                <w:color w:val="auto"/>
                <w:kern w:val="0"/>
                <w:sz w:val="21"/>
                <w:szCs w:val="21"/>
                <w:highlight w:val="none"/>
                <w:lang w:val="en-US" w:eastAsia="zh-CN"/>
              </w:rPr>
              <w:t>/</w:t>
            </w:r>
          </w:p>
          <w:p w14:paraId="3E7CF5D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建设内容：在仁化县丹霞山周边重点区域交通干线两侧实施生态修复和森林质量精准提升等内容，实施范围涵盖G535线、黄屋至丹霞山收费站(武深高速)连接线、G106线及Y016线等重点路段，对沿线裸露地块及绿化薄弱区域因地制宜进行改造，全面提升区域生态质量</w:t>
            </w:r>
            <w:r>
              <w:rPr>
                <w:rFonts w:hint="eastAsia" w:ascii="宋体" w:hAnsi="宋体" w:eastAsia="宋体" w:cs="宋体"/>
                <w:snapToGrid w:val="0"/>
                <w:color w:val="auto"/>
                <w:kern w:val="0"/>
                <w:sz w:val="21"/>
                <w:szCs w:val="21"/>
                <w:highlight w:val="none"/>
                <w:lang w:val="en-US" w:eastAsia="zh-CN"/>
              </w:rPr>
              <w:t>。（最终以施工图纸及工程量清单为准）</w:t>
            </w:r>
          </w:p>
        </w:tc>
      </w:tr>
      <w:tr w14:paraId="5D13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0" w:hRule="atLeast"/>
        </w:trPr>
        <w:tc>
          <w:tcPr>
            <w:tcW w:w="582" w:type="dxa"/>
            <w:vAlign w:val="center"/>
          </w:tcPr>
          <w:p w14:paraId="2A78B69A">
            <w:pPr>
              <w:spacing w:before="57"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13</w:t>
            </w:r>
          </w:p>
        </w:tc>
        <w:tc>
          <w:tcPr>
            <w:tcW w:w="1860" w:type="dxa"/>
            <w:vAlign w:val="center"/>
          </w:tcPr>
          <w:p w14:paraId="683DE04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项目总投资</w:t>
            </w:r>
          </w:p>
        </w:tc>
        <w:tc>
          <w:tcPr>
            <w:tcW w:w="7544" w:type="dxa"/>
            <w:vAlign w:val="center"/>
          </w:tcPr>
          <w:p w14:paraId="4F117E5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概算总投资为1327.95万元，其中工程费用1247.78万元(含沿线清杂、苗木栽植及验收后2年养护等建设内容)；工程建设其他费用80.17万元。</w:t>
            </w:r>
          </w:p>
        </w:tc>
      </w:tr>
      <w:tr w14:paraId="3601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rPr>
        <w:tc>
          <w:tcPr>
            <w:tcW w:w="582" w:type="dxa"/>
            <w:vAlign w:val="center"/>
          </w:tcPr>
          <w:p w14:paraId="2E978522">
            <w:pPr>
              <w:spacing w:before="58"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14</w:t>
            </w:r>
          </w:p>
        </w:tc>
        <w:tc>
          <w:tcPr>
            <w:tcW w:w="1860" w:type="dxa"/>
            <w:vAlign w:val="center"/>
          </w:tcPr>
          <w:p w14:paraId="505D0A7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招标范围</w:t>
            </w:r>
          </w:p>
        </w:tc>
        <w:tc>
          <w:tcPr>
            <w:tcW w:w="7544" w:type="dxa"/>
            <w:vAlign w:val="center"/>
          </w:tcPr>
          <w:p w14:paraId="1298BEF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按审查合格的施工图纸及工程量清单内容施工</w:t>
            </w:r>
          </w:p>
        </w:tc>
      </w:tr>
      <w:tr w14:paraId="0BBE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trPr>
        <w:tc>
          <w:tcPr>
            <w:tcW w:w="582" w:type="dxa"/>
            <w:vAlign w:val="center"/>
          </w:tcPr>
          <w:p w14:paraId="6565679C">
            <w:pPr>
              <w:spacing w:before="58"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15</w:t>
            </w:r>
          </w:p>
        </w:tc>
        <w:tc>
          <w:tcPr>
            <w:tcW w:w="1860" w:type="dxa"/>
            <w:vAlign w:val="center"/>
          </w:tcPr>
          <w:p w14:paraId="55794B4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标段划分</w:t>
            </w:r>
          </w:p>
        </w:tc>
        <w:tc>
          <w:tcPr>
            <w:tcW w:w="7544" w:type="dxa"/>
            <w:vAlign w:val="center"/>
          </w:tcPr>
          <w:p w14:paraId="36F0DCE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 xml:space="preserve">本招标项目不划分标段。 </w:t>
            </w:r>
          </w:p>
        </w:tc>
      </w:tr>
      <w:tr w14:paraId="35EA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06" w:hRule="atLeast"/>
        </w:trPr>
        <w:tc>
          <w:tcPr>
            <w:tcW w:w="582" w:type="dxa"/>
            <w:vAlign w:val="center"/>
          </w:tcPr>
          <w:p w14:paraId="47D18B68">
            <w:pPr>
              <w:spacing w:before="57" w:line="195"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8"/>
                <w:sz w:val="21"/>
                <w:szCs w:val="21"/>
                <w:highlight w:val="none"/>
              </w:rPr>
              <w:t>16</w:t>
            </w:r>
          </w:p>
        </w:tc>
        <w:tc>
          <w:tcPr>
            <w:tcW w:w="1860" w:type="dxa"/>
            <w:vAlign w:val="center"/>
          </w:tcPr>
          <w:p w14:paraId="479DA87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工期</w:t>
            </w:r>
          </w:p>
        </w:tc>
        <w:tc>
          <w:tcPr>
            <w:tcW w:w="7544" w:type="dxa"/>
            <w:vAlign w:val="top"/>
          </w:tcPr>
          <w:p w14:paraId="68E278A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本招标项目招标工期为</w:t>
            </w:r>
            <w:r>
              <w:rPr>
                <w:rFonts w:hint="eastAsia" w:ascii="宋体" w:hAnsi="宋体" w:eastAsia="宋体" w:cs="宋体"/>
                <w:snapToGrid w:val="0"/>
                <w:color w:val="auto"/>
                <w:kern w:val="0"/>
                <w:sz w:val="21"/>
                <w:szCs w:val="21"/>
                <w:highlight w:val="none"/>
                <w:lang w:val="en-US" w:eastAsia="zh-CN"/>
              </w:rPr>
              <w:t>45个日历天</w:t>
            </w:r>
            <w:r>
              <w:rPr>
                <w:rFonts w:hint="eastAsia" w:ascii="宋体" w:hAnsi="宋体" w:eastAsia="宋体" w:cs="宋体"/>
                <w:snapToGrid w:val="0"/>
                <w:color w:val="auto"/>
                <w:kern w:val="0"/>
                <w:sz w:val="21"/>
                <w:szCs w:val="21"/>
                <w:highlight w:val="none"/>
                <w:lang w:eastAsia="zh-CN"/>
              </w:rPr>
              <w:t>。具体如下：</w:t>
            </w:r>
          </w:p>
          <w:p w14:paraId="24C6737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☑总工期：</w:t>
            </w:r>
            <w:r>
              <w:rPr>
                <w:rFonts w:hint="eastAsia" w:ascii="宋体" w:hAnsi="宋体" w:eastAsia="宋体" w:cs="宋体"/>
                <w:snapToGrid w:val="0"/>
                <w:color w:val="auto"/>
                <w:kern w:val="0"/>
                <w:sz w:val="21"/>
                <w:szCs w:val="21"/>
                <w:highlight w:val="none"/>
                <w:lang w:val="en-US" w:eastAsia="zh-CN"/>
              </w:rPr>
              <w:t>45</w:t>
            </w:r>
            <w:r>
              <w:rPr>
                <w:rFonts w:hint="eastAsia" w:ascii="宋体" w:hAnsi="宋体" w:eastAsia="宋体" w:cs="宋体"/>
                <w:snapToGrid w:val="0"/>
                <w:color w:val="auto"/>
                <w:kern w:val="0"/>
                <w:sz w:val="21"/>
                <w:szCs w:val="21"/>
                <w:highlight w:val="none"/>
                <w:lang w:eastAsia="zh-CN"/>
              </w:rPr>
              <w:t>天 （日历天）。</w:t>
            </w:r>
          </w:p>
          <w:p w14:paraId="6A9E835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□计划开工日期：</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年</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月</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日（具体开工日期以合同为准）</w:t>
            </w:r>
          </w:p>
          <w:p w14:paraId="7E4002F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□计划竣工日期：</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年</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月</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日</w:t>
            </w:r>
          </w:p>
          <w:p w14:paraId="25225ED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 xml:space="preserve">□除上述总工期外，发包人还要求以下阶段工期：        </w:t>
            </w:r>
          </w:p>
        </w:tc>
      </w:tr>
      <w:tr w14:paraId="717B5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05CA0D43">
            <w:pPr>
              <w:spacing w:before="57"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17</w:t>
            </w:r>
          </w:p>
        </w:tc>
        <w:tc>
          <w:tcPr>
            <w:tcW w:w="1860" w:type="dxa"/>
            <w:vAlign w:val="center"/>
          </w:tcPr>
          <w:p w14:paraId="05DF5E6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质量标准</w:t>
            </w:r>
          </w:p>
        </w:tc>
        <w:tc>
          <w:tcPr>
            <w:tcW w:w="7544" w:type="dxa"/>
            <w:vAlign w:val="top"/>
          </w:tcPr>
          <w:p w14:paraId="7E3D7DA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□质量目标：</w:t>
            </w:r>
            <w:r>
              <w:rPr>
                <w:rFonts w:hint="eastAsia" w:ascii="宋体" w:hAnsi="宋体" w:eastAsia="宋体" w:cs="宋体"/>
                <w:snapToGrid w:val="0"/>
                <w:color w:val="auto"/>
                <w:kern w:val="0"/>
                <w:sz w:val="21"/>
                <w:szCs w:val="21"/>
                <w:highlight w:val="none"/>
                <w:u w:val="single"/>
                <w:lang w:eastAsia="zh-CN"/>
              </w:rPr>
              <w:t>合格</w:t>
            </w:r>
          </w:p>
          <w:p w14:paraId="5589E58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☑质量标准：</w:t>
            </w:r>
            <w:r>
              <w:rPr>
                <w:rFonts w:hint="eastAsia" w:ascii="宋体" w:hAnsi="宋体" w:eastAsia="宋体" w:cs="宋体"/>
                <w:snapToGrid w:val="0"/>
                <w:color w:val="auto"/>
                <w:kern w:val="0"/>
                <w:sz w:val="21"/>
                <w:szCs w:val="21"/>
                <w:highlight w:val="none"/>
                <w:lang w:val="en-US" w:eastAsia="zh-CN"/>
              </w:rPr>
              <w:t>符合现行国家有关工程施工质量验收规范和标准的要求。</w:t>
            </w:r>
          </w:p>
          <w:p w14:paraId="688E24F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□优质工程要求：</w:t>
            </w:r>
            <w:r>
              <w:rPr>
                <w:rFonts w:hint="eastAsia" w:ascii="宋体" w:hAnsi="宋体" w:eastAsia="宋体" w:cs="宋体"/>
                <w:snapToGrid w:val="0"/>
                <w:color w:val="auto"/>
                <w:kern w:val="0"/>
                <w:sz w:val="21"/>
                <w:szCs w:val="21"/>
                <w:highlight w:val="none"/>
                <w:u w:val="single"/>
                <w:lang w:eastAsia="zh-CN"/>
              </w:rPr>
              <w:t>无</w:t>
            </w:r>
            <w:r>
              <w:rPr>
                <w:rFonts w:hint="eastAsia" w:ascii="宋体" w:hAnsi="宋体" w:eastAsia="宋体" w:cs="宋体"/>
                <w:snapToGrid w:val="0"/>
                <w:color w:val="auto"/>
                <w:kern w:val="0"/>
                <w:sz w:val="21"/>
                <w:szCs w:val="21"/>
                <w:highlight w:val="none"/>
                <w:lang w:eastAsia="zh-CN"/>
              </w:rPr>
              <w:t>....</w:t>
            </w:r>
          </w:p>
          <w:p w14:paraId="2E385EE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工程优质费：☑无</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□有：</w:t>
            </w:r>
            <w:r>
              <w:rPr>
                <w:rFonts w:hint="eastAsia" w:ascii="宋体" w:hAnsi="宋体" w:eastAsia="宋体" w:cs="宋体"/>
                <w:snapToGrid w:val="0"/>
                <w:color w:val="auto"/>
                <w:kern w:val="0"/>
                <w:sz w:val="21"/>
                <w:szCs w:val="21"/>
                <w:highlight w:val="none"/>
                <w:lang w:val="en-US" w:eastAsia="zh-CN"/>
              </w:rPr>
              <w:t>/</w:t>
            </w:r>
          </w:p>
        </w:tc>
      </w:tr>
      <w:tr w14:paraId="61DE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3241D3ED">
            <w:pPr>
              <w:spacing w:before="57"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18</w:t>
            </w:r>
          </w:p>
        </w:tc>
        <w:tc>
          <w:tcPr>
            <w:tcW w:w="1860" w:type="dxa"/>
            <w:vMerge w:val="restart"/>
            <w:vAlign w:val="center"/>
          </w:tcPr>
          <w:p w14:paraId="48092A7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合同类型</w:t>
            </w:r>
          </w:p>
        </w:tc>
        <w:tc>
          <w:tcPr>
            <w:tcW w:w="7544" w:type="dxa"/>
            <w:vAlign w:val="top"/>
          </w:tcPr>
          <w:p w14:paraId="493FED4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☑单价合同：发承包双方约定以工程量清单及其综合单价进行合同价款计算、调整和确认的建设工程施工合同。</w:t>
            </w:r>
          </w:p>
          <w:p w14:paraId="5B69C0B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0B9F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231CE4D3">
            <w:pPr>
              <w:spacing w:before="57" w:line="195" w:lineRule="auto"/>
              <w:jc w:val="center"/>
              <w:rPr>
                <w:rFonts w:hint="eastAsia" w:ascii="宋体" w:hAnsi="宋体" w:eastAsia="宋体" w:cs="宋体"/>
                <w:color w:val="auto"/>
                <w:spacing w:val="-8"/>
                <w:sz w:val="21"/>
                <w:szCs w:val="21"/>
                <w:highlight w:val="none"/>
              </w:rPr>
            </w:pPr>
          </w:p>
        </w:tc>
        <w:tc>
          <w:tcPr>
            <w:tcW w:w="1860" w:type="dxa"/>
            <w:vMerge w:val="continue"/>
            <w:vAlign w:val="center"/>
          </w:tcPr>
          <w:p w14:paraId="266E0A9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p>
        </w:tc>
        <w:tc>
          <w:tcPr>
            <w:tcW w:w="7544" w:type="dxa"/>
            <w:vAlign w:val="top"/>
          </w:tcPr>
          <w:p w14:paraId="113BD1B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 xml:space="preserve">□总价合同：发承包双方约定以施工图及其预算和有关条件进行合同价款计算、调整和确认的建设工程施工合同。 </w:t>
            </w:r>
          </w:p>
          <w:p w14:paraId="01100DD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规范原则。</w:t>
            </w:r>
          </w:p>
        </w:tc>
      </w:tr>
      <w:tr w14:paraId="339D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6F522EA8">
            <w:pPr>
              <w:spacing w:before="19"/>
              <w:jc w:val="center"/>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19</w:t>
            </w:r>
          </w:p>
        </w:tc>
        <w:tc>
          <w:tcPr>
            <w:tcW w:w="1860" w:type="dxa"/>
            <w:vAlign w:val="center"/>
          </w:tcPr>
          <w:p w14:paraId="002FE620">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房屋建筑工程绿色建筑标准</w:t>
            </w:r>
          </w:p>
        </w:tc>
        <w:tc>
          <w:tcPr>
            <w:tcW w:w="7544" w:type="dxa"/>
            <w:vAlign w:val="center"/>
          </w:tcPr>
          <w:p w14:paraId="4A116F9B">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本招标项目</w:t>
            </w:r>
            <w:r>
              <w:rPr>
                <w:rFonts w:hint="eastAsia" w:ascii="宋体" w:hAnsi="宋体" w:eastAsia="宋体" w:cs="宋体"/>
                <w:snapToGrid w:val="0"/>
                <w:color w:val="auto"/>
                <w:kern w:val="0"/>
                <w:sz w:val="21"/>
                <w:szCs w:val="21"/>
                <w:highlight w:val="none"/>
                <w:u w:val="single"/>
                <w:lang w:val="en-US" w:eastAsia="zh-CN"/>
              </w:rPr>
              <w:t>不</w:t>
            </w:r>
            <w:r>
              <w:rPr>
                <w:rFonts w:hint="eastAsia" w:ascii="宋体" w:hAnsi="宋体" w:eastAsia="宋体" w:cs="宋体"/>
                <w:snapToGrid w:val="0"/>
                <w:color w:val="auto"/>
                <w:kern w:val="0"/>
                <w:sz w:val="21"/>
                <w:szCs w:val="21"/>
                <w:highlight w:val="none"/>
                <w:lang w:eastAsia="zh-CN"/>
              </w:rPr>
              <w:t>纳入绿色建设实施范围。</w:t>
            </w:r>
          </w:p>
        </w:tc>
      </w:tr>
      <w:tr w14:paraId="621E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rPr>
        <w:tc>
          <w:tcPr>
            <w:tcW w:w="582" w:type="dxa"/>
            <w:vAlign w:val="center"/>
          </w:tcPr>
          <w:p w14:paraId="50C167CF">
            <w:pPr>
              <w:spacing w:before="58" w:line="195"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19.</w:t>
            </w:r>
            <w:r>
              <w:rPr>
                <w:rFonts w:hint="eastAsia" w:ascii="宋体" w:hAnsi="宋体" w:eastAsia="宋体" w:cs="宋体"/>
                <w:color w:val="auto"/>
                <w:spacing w:val="-26"/>
                <w:sz w:val="21"/>
                <w:szCs w:val="21"/>
                <w:highlight w:val="none"/>
              </w:rPr>
              <w:t xml:space="preserve"> </w:t>
            </w:r>
            <w:r>
              <w:rPr>
                <w:rFonts w:hint="eastAsia" w:ascii="宋体" w:hAnsi="宋体" w:eastAsia="宋体" w:cs="宋体"/>
                <w:color w:val="auto"/>
                <w:spacing w:val="-3"/>
                <w:sz w:val="21"/>
                <w:szCs w:val="21"/>
                <w:highlight w:val="none"/>
              </w:rPr>
              <w:t>1</w:t>
            </w:r>
          </w:p>
        </w:tc>
        <w:tc>
          <w:tcPr>
            <w:tcW w:w="1860" w:type="dxa"/>
            <w:vAlign w:val="center"/>
          </w:tcPr>
          <w:p w14:paraId="32286FA7">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装配式建筑标准</w:t>
            </w:r>
          </w:p>
        </w:tc>
        <w:tc>
          <w:tcPr>
            <w:tcW w:w="7544" w:type="dxa"/>
            <w:vAlign w:val="center"/>
          </w:tcPr>
          <w:p w14:paraId="3644E47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本招标项目</w:t>
            </w:r>
            <w:r>
              <w:rPr>
                <w:rFonts w:hint="eastAsia" w:ascii="宋体" w:hAnsi="宋体" w:eastAsia="宋体" w:cs="宋体"/>
                <w:snapToGrid w:val="0"/>
                <w:color w:val="auto"/>
                <w:kern w:val="0"/>
                <w:sz w:val="21"/>
                <w:szCs w:val="21"/>
                <w:highlight w:val="none"/>
                <w:u w:val="single"/>
                <w:lang w:val="en-US" w:eastAsia="zh-CN"/>
              </w:rPr>
              <w:t>不</w:t>
            </w:r>
            <w:r>
              <w:rPr>
                <w:rFonts w:hint="eastAsia" w:ascii="宋体" w:hAnsi="宋体" w:eastAsia="宋体" w:cs="宋体"/>
                <w:snapToGrid w:val="0"/>
                <w:color w:val="auto"/>
                <w:kern w:val="0"/>
                <w:sz w:val="21"/>
                <w:szCs w:val="21"/>
                <w:highlight w:val="none"/>
                <w:lang w:eastAsia="zh-CN"/>
              </w:rPr>
              <w:t>纳入装配式建造建设实施范围。</w:t>
            </w:r>
          </w:p>
        </w:tc>
      </w:tr>
      <w:tr w14:paraId="29DB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B7DE3D3">
            <w:pPr>
              <w:spacing w:before="69" w:line="18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20</w:t>
            </w:r>
          </w:p>
        </w:tc>
        <w:tc>
          <w:tcPr>
            <w:tcW w:w="1860" w:type="dxa"/>
            <w:vAlign w:val="center"/>
          </w:tcPr>
          <w:p w14:paraId="4A62BB9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发包人提供材料和工程设备</w:t>
            </w:r>
          </w:p>
        </w:tc>
        <w:tc>
          <w:tcPr>
            <w:tcW w:w="7544" w:type="dxa"/>
            <w:vAlign w:val="center"/>
          </w:tcPr>
          <w:p w14:paraId="6082D71F">
            <w:pPr>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发包人提供材料和工程设备： ☑无     □有：</w:t>
            </w:r>
          </w:p>
        </w:tc>
      </w:tr>
      <w:tr w14:paraId="547D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5" w:hRule="atLeast"/>
        </w:trPr>
        <w:tc>
          <w:tcPr>
            <w:tcW w:w="582" w:type="dxa"/>
            <w:vAlign w:val="center"/>
          </w:tcPr>
          <w:p w14:paraId="0E5FF6E1">
            <w:pPr>
              <w:spacing w:before="69" w:line="18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w:t>
            </w:r>
          </w:p>
        </w:tc>
        <w:tc>
          <w:tcPr>
            <w:tcW w:w="1860" w:type="dxa"/>
            <w:vAlign w:val="center"/>
          </w:tcPr>
          <w:p w14:paraId="17CDAEE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承包人提供材料和工程设备</w:t>
            </w:r>
          </w:p>
        </w:tc>
        <w:tc>
          <w:tcPr>
            <w:tcW w:w="7544" w:type="dxa"/>
            <w:vAlign w:val="top"/>
          </w:tcPr>
          <w:p w14:paraId="753275F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 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2C8F879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□其它说明：鼓励承包人积极采购环保产品进行施工。</w:t>
            </w:r>
          </w:p>
        </w:tc>
      </w:tr>
      <w:tr w14:paraId="75C8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0" w:hRule="atLeast"/>
        </w:trPr>
        <w:tc>
          <w:tcPr>
            <w:tcW w:w="582" w:type="dxa"/>
            <w:vAlign w:val="center"/>
          </w:tcPr>
          <w:p w14:paraId="3B9CE185">
            <w:pPr>
              <w:spacing w:before="69" w:line="18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22</w:t>
            </w:r>
          </w:p>
        </w:tc>
        <w:tc>
          <w:tcPr>
            <w:tcW w:w="1860" w:type="dxa"/>
            <w:vAlign w:val="center"/>
          </w:tcPr>
          <w:p w14:paraId="11B3302A">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最高投标限价</w:t>
            </w:r>
          </w:p>
        </w:tc>
        <w:tc>
          <w:tcPr>
            <w:tcW w:w="7544" w:type="dxa"/>
            <w:vAlign w:val="center"/>
          </w:tcPr>
          <w:p w14:paraId="59270BE1">
            <w:pPr>
              <w:pageBreakBefore w:val="0"/>
              <w:widowControl w:val="0"/>
              <w:kinsoku/>
              <w:wordWrap w:val="0"/>
              <w:overflowPunct/>
              <w:topLinePunct w:val="0"/>
              <w:autoSpaceDE/>
              <w:autoSpaceDN/>
              <w:bidi w:val="0"/>
              <w:adjustRightInd w:val="0"/>
              <w:snapToGrid w:val="0"/>
              <w:spacing w:line="400" w:lineRule="exact"/>
              <w:ind w:left="0" w:leftChars="0" w:firstLine="401" w:firstLineChars="1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本招标项目的</w:t>
            </w:r>
            <w:r>
              <w:rPr>
                <w:rFonts w:hint="eastAsia" w:ascii="宋体" w:hAnsi="宋体" w:eastAsia="宋体" w:cs="宋体"/>
                <w:snapToGrid w:val="0"/>
                <w:color w:val="auto"/>
                <w:kern w:val="0"/>
                <w:sz w:val="21"/>
                <w:szCs w:val="21"/>
                <w:highlight w:val="none"/>
                <w:lang w:val="en-US" w:eastAsia="zh-CN"/>
              </w:rPr>
              <w:t>最高投标限价</w:t>
            </w:r>
            <w:r>
              <w:rPr>
                <w:rFonts w:hint="eastAsia" w:ascii="宋体" w:hAnsi="宋体" w:eastAsia="宋体" w:cs="宋体"/>
                <w:snapToGrid w:val="0"/>
                <w:color w:val="auto"/>
                <w:kern w:val="0"/>
                <w:sz w:val="21"/>
                <w:szCs w:val="21"/>
                <w:highlight w:val="none"/>
                <w:lang w:eastAsia="zh-CN"/>
              </w:rPr>
              <w:t>、工程量清单在投标截止时间</w:t>
            </w:r>
            <w:r>
              <w:rPr>
                <w:rFonts w:hint="eastAsia" w:ascii="宋体" w:hAnsi="宋体" w:eastAsia="宋体" w:cs="宋体"/>
                <w:snapToGrid w:val="0"/>
                <w:color w:val="auto"/>
                <w:kern w:val="0"/>
                <w:sz w:val="21"/>
                <w:szCs w:val="21"/>
                <w:highlight w:val="none"/>
                <w:lang w:val="en-US" w:eastAsia="zh-CN"/>
              </w:rPr>
              <w:t>15</w:t>
            </w:r>
            <w:r>
              <w:rPr>
                <w:rFonts w:hint="eastAsia" w:ascii="宋体" w:hAnsi="宋体" w:eastAsia="宋体" w:cs="宋体"/>
                <w:snapToGrid w:val="0"/>
                <w:color w:val="auto"/>
                <w:kern w:val="0"/>
                <w:sz w:val="21"/>
                <w:szCs w:val="21"/>
                <w:highlight w:val="none"/>
                <w:lang w:eastAsia="zh-CN"/>
              </w:rPr>
              <w:t>天前以补充公告的形式在广东省招标投标监管网（https://www.gdzwfw.gov.cn/ztbjg-portal/#/index）、全国公共资源交易平台（广东省·韶关市）（https://ygp.gdzwfw.gov.cn/ggzy-portal/#/440200/index）网站公布。</w:t>
            </w:r>
          </w:p>
        </w:tc>
      </w:tr>
      <w:tr w14:paraId="5A7F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82" w:hRule="atLeast"/>
        </w:trPr>
        <w:tc>
          <w:tcPr>
            <w:tcW w:w="582" w:type="dxa"/>
            <w:vAlign w:val="center"/>
          </w:tcPr>
          <w:p w14:paraId="0969254D">
            <w:pPr>
              <w:spacing w:before="69" w:line="18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23</w:t>
            </w:r>
          </w:p>
        </w:tc>
        <w:tc>
          <w:tcPr>
            <w:tcW w:w="1860" w:type="dxa"/>
            <w:vAlign w:val="center"/>
          </w:tcPr>
          <w:p w14:paraId="03C203F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投标人的投标报价</w:t>
            </w:r>
          </w:p>
        </w:tc>
        <w:tc>
          <w:tcPr>
            <w:tcW w:w="7544" w:type="dxa"/>
            <w:vAlign w:val="center"/>
          </w:tcPr>
          <w:p w14:paraId="69AB178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1E008D6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投标报价方式： ☑工程量清单报</w:t>
            </w:r>
          </w:p>
        </w:tc>
      </w:tr>
      <w:tr w14:paraId="3B80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6A229068">
            <w:pPr>
              <w:spacing w:before="69" w:line="18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24</w:t>
            </w:r>
          </w:p>
        </w:tc>
        <w:tc>
          <w:tcPr>
            <w:tcW w:w="1860" w:type="dxa"/>
            <w:vAlign w:val="center"/>
          </w:tcPr>
          <w:p w14:paraId="666E400C">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投标报价风险</w:t>
            </w:r>
          </w:p>
        </w:tc>
        <w:tc>
          <w:tcPr>
            <w:tcW w:w="7544" w:type="dxa"/>
            <w:vAlign w:val="center"/>
          </w:tcPr>
          <w:p w14:paraId="71B243A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☑投标人依据招标文件约定自行考虑风险因素，一旦中标，投标报价（合同价）除合同另有约定外将不因市场变化而调整。</w:t>
            </w:r>
          </w:p>
          <w:p w14:paraId="2AA2300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☑投标报价中应包括工程量清单项目所发生的人工费、材料费、机具费、管理费、利润、措施项目费、其它项目费、税金、暂列金额、暂估价以及所有风险、责任等各项费用。</w:t>
            </w:r>
          </w:p>
          <w:p w14:paraId="603FF83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☑人工费、材料费、机具费、管理费、利润、措施项目费（不含</w:t>
            </w:r>
            <w:r>
              <w:rPr>
                <w:rFonts w:hint="eastAsia" w:ascii="宋体" w:hAnsi="宋体" w:eastAsia="宋体" w:cs="宋体"/>
                <w:snapToGrid w:val="0"/>
                <w:color w:val="auto"/>
                <w:kern w:val="0"/>
                <w:sz w:val="21"/>
                <w:szCs w:val="21"/>
                <w:highlight w:val="none"/>
                <w:lang w:val="en-US" w:eastAsia="zh-CN"/>
              </w:rPr>
              <w:t>安全生产措施费</w:t>
            </w:r>
            <w:r>
              <w:rPr>
                <w:rFonts w:hint="eastAsia" w:ascii="宋体" w:hAnsi="宋体" w:eastAsia="宋体" w:cs="宋体"/>
                <w:snapToGrid w:val="0"/>
                <w:color w:val="auto"/>
                <w:kern w:val="0"/>
                <w:sz w:val="21"/>
                <w:szCs w:val="21"/>
                <w:highlight w:val="none"/>
                <w:lang w:eastAsia="zh-CN"/>
              </w:rPr>
              <w:t>）投标人漏报或不报，招标人视为有关费用已包括在工程量清单项目的其它单价及合价中不予另外增加。</w:t>
            </w:r>
          </w:p>
          <w:p w14:paraId="346A971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b/>
                <w:bCs/>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lang w:eastAsia="zh-CN"/>
              </w:rPr>
              <w:t>措施项目中的安全生产措施应单独列项，费用不可竞争，且应符合《企业安全生产费用提取和使用管理办法》（财资〔2022〕136号）及我省有关文件规定。</w:t>
            </w:r>
          </w:p>
          <w:p w14:paraId="4E5433A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2F622B4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☑投标人应按《建设工程工程量清单计价标准》（GB/T 50500-2024）规定的费率对预算包干费进行报价，若招标工程量清单明确说明不计算预算包干费或另外确定预算包干费费率的，则按招标工程量清单报价，若投标人不按规定报价的，则中标后无条件接受招标人对投标报价的调整。</w:t>
            </w:r>
          </w:p>
          <w:p w14:paraId="4894F32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☑招标人向投标人提供的有关施工现场资料及数据，是招标人现有的能使投标人利用的资料，招标人对投标人据此作出的推论及理解概不负责。</w:t>
            </w:r>
          </w:p>
          <w:p w14:paraId="5008AF0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7912A53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1F85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trPr>
        <w:tc>
          <w:tcPr>
            <w:tcW w:w="582" w:type="dxa"/>
            <w:vAlign w:val="center"/>
          </w:tcPr>
          <w:p w14:paraId="669928C5">
            <w:pPr>
              <w:spacing w:before="284" w:line="18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25</w:t>
            </w:r>
          </w:p>
        </w:tc>
        <w:tc>
          <w:tcPr>
            <w:tcW w:w="1860" w:type="dxa"/>
            <w:vAlign w:val="center"/>
          </w:tcPr>
          <w:p w14:paraId="3957B4E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投标费用</w:t>
            </w:r>
          </w:p>
        </w:tc>
        <w:tc>
          <w:tcPr>
            <w:tcW w:w="7544" w:type="dxa"/>
            <w:vAlign w:val="center"/>
          </w:tcPr>
          <w:p w14:paraId="5143FA7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投标人自行承担编制与递交投标文件的一切费用。</w:t>
            </w:r>
          </w:p>
        </w:tc>
      </w:tr>
      <w:tr w14:paraId="0034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trPr>
        <w:tc>
          <w:tcPr>
            <w:tcW w:w="582" w:type="dxa"/>
            <w:vAlign w:val="center"/>
          </w:tcPr>
          <w:p w14:paraId="4FF2AF6F">
            <w:pPr>
              <w:spacing w:before="69" w:line="188"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6</w:t>
            </w:r>
          </w:p>
        </w:tc>
        <w:tc>
          <w:tcPr>
            <w:tcW w:w="1860" w:type="dxa"/>
            <w:vAlign w:val="center"/>
          </w:tcPr>
          <w:p w14:paraId="1A898512">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投标人资格要求</w:t>
            </w:r>
          </w:p>
        </w:tc>
        <w:tc>
          <w:tcPr>
            <w:tcW w:w="7544" w:type="dxa"/>
            <w:vAlign w:val="center"/>
          </w:tcPr>
          <w:p w14:paraId="5CBDC5E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1.本次招标</w:t>
            </w:r>
            <w:r>
              <w:rPr>
                <w:rFonts w:hint="eastAsia" w:ascii="宋体" w:hAnsi="宋体" w:eastAsia="宋体" w:cs="宋体"/>
                <w:snapToGrid w:val="0"/>
                <w:color w:val="auto"/>
                <w:kern w:val="0"/>
                <w:sz w:val="21"/>
                <w:szCs w:val="21"/>
                <w:highlight w:val="none"/>
                <w:u w:val="single"/>
                <w:lang w:eastAsia="zh-CN"/>
              </w:rPr>
              <w:t>不接受</w:t>
            </w:r>
            <w:r>
              <w:rPr>
                <w:rFonts w:hint="eastAsia" w:ascii="宋体" w:hAnsi="宋体" w:eastAsia="宋体" w:cs="宋体"/>
                <w:snapToGrid w:val="0"/>
                <w:color w:val="auto"/>
                <w:kern w:val="0"/>
                <w:sz w:val="21"/>
                <w:szCs w:val="21"/>
                <w:highlight w:val="none"/>
                <w:lang w:eastAsia="zh-CN"/>
              </w:rPr>
              <w:t>联合体投标。</w:t>
            </w:r>
          </w:p>
          <w:p w14:paraId="5D46EB2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2．资质要求</w:t>
            </w:r>
          </w:p>
          <w:p w14:paraId="7B2CD403">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2.1 投标人须具备独立法人资格，按国家法律经营。</w:t>
            </w:r>
          </w:p>
          <w:p w14:paraId="4225BE7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2.2 投标人须持有建设行政主管部门颁发的企业资质证书及安全生产许可证。</w:t>
            </w:r>
          </w:p>
          <w:p w14:paraId="38DC2CB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b/>
                <w:bCs/>
                <w:snapToGrid w:val="0"/>
                <w:color w:val="auto"/>
                <w:kern w:val="0"/>
                <w:sz w:val="21"/>
                <w:szCs w:val="21"/>
                <w:highlight w:val="none"/>
                <w:u w:val="none"/>
                <w:lang w:eastAsia="zh-CN"/>
              </w:rPr>
            </w:pPr>
            <w:r>
              <w:rPr>
                <w:rFonts w:hint="eastAsia" w:ascii="宋体" w:hAnsi="宋体" w:eastAsia="宋体" w:cs="宋体"/>
                <w:snapToGrid w:val="0"/>
                <w:color w:val="auto"/>
                <w:kern w:val="0"/>
                <w:sz w:val="21"/>
                <w:szCs w:val="21"/>
                <w:highlight w:val="none"/>
                <w:lang w:eastAsia="zh-CN"/>
              </w:rPr>
              <w:t>2.3 投标人须具备以下资质：</w:t>
            </w:r>
            <w:r>
              <w:rPr>
                <w:rFonts w:hint="eastAsia" w:ascii="宋体" w:hAnsi="宋体" w:eastAsia="宋体" w:cs="宋体"/>
                <w:b/>
                <w:bCs/>
                <w:snapToGrid w:val="0"/>
                <w:color w:val="auto"/>
                <w:kern w:val="0"/>
                <w:sz w:val="21"/>
                <w:szCs w:val="21"/>
                <w:highlight w:val="none"/>
                <w:u w:val="single"/>
                <w:lang w:eastAsia="zh-CN"/>
              </w:rPr>
              <w:t>具有建设行政主管部门颁发的市政公用工程施工总承包叁级以上（含叁级）资质。</w:t>
            </w:r>
          </w:p>
          <w:p w14:paraId="63F500ED">
            <w:pPr>
              <w:pageBreakBefore w:val="0"/>
              <w:widowControl w:val="0"/>
              <w:kinsoku/>
              <w:wordWrap w:val="0"/>
              <w:overflowPunct/>
              <w:topLinePunct w:val="0"/>
              <w:autoSpaceDE/>
              <w:autoSpaceDN/>
              <w:bidi w:val="0"/>
              <w:adjustRightInd w:val="0"/>
              <w:snapToGrid w:val="0"/>
              <w:spacing w:line="400" w:lineRule="exact"/>
              <w:ind w:left="0" w:leftChars="0" w:right="5" w:righ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 xml:space="preserve">2.4 </w:t>
            </w:r>
            <w:r>
              <w:rPr>
                <w:rFonts w:hint="eastAsia" w:ascii="宋体" w:hAnsi="宋体" w:eastAsia="宋体" w:cs="宋体"/>
                <w:snapToGrid w:val="0"/>
                <w:color w:val="auto"/>
                <w:kern w:val="0"/>
                <w:sz w:val="21"/>
                <w:szCs w:val="21"/>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0BEE5B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3．相关人员要求</w:t>
            </w:r>
          </w:p>
          <w:p w14:paraId="581B8B7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 xml:space="preserve">3.1  </w:t>
            </w:r>
            <w:r>
              <w:rPr>
                <w:rFonts w:hint="eastAsia" w:ascii="宋体" w:hAnsi="宋体" w:eastAsia="宋体" w:cs="宋体"/>
                <w:snapToGrid w:val="0"/>
                <w:color w:val="auto"/>
                <w:kern w:val="0"/>
                <w:sz w:val="21"/>
                <w:szCs w:val="21"/>
                <w:highlight w:val="none"/>
                <w:lang w:val="en-US" w:eastAsia="zh-CN"/>
              </w:rPr>
              <w:t>拟派项目经理为</w:t>
            </w:r>
            <w:r>
              <w:rPr>
                <w:rFonts w:hint="eastAsia" w:ascii="宋体" w:hAnsi="宋体" w:eastAsia="宋体" w:cs="宋体"/>
                <w:snapToGrid w:val="0"/>
                <w:color w:val="auto"/>
                <w:kern w:val="0"/>
                <w:sz w:val="21"/>
                <w:szCs w:val="21"/>
                <w:highlight w:val="none"/>
                <w:u w:val="single"/>
                <w:lang w:val="en-US" w:eastAsia="zh-CN"/>
              </w:rPr>
              <w:t xml:space="preserve"> </w:t>
            </w:r>
            <w:r>
              <w:rPr>
                <w:rFonts w:hint="eastAsia" w:ascii="宋体" w:hAnsi="宋体" w:eastAsia="宋体" w:cs="宋体"/>
                <w:b/>
                <w:bCs/>
                <w:snapToGrid w:val="0"/>
                <w:color w:val="auto"/>
                <w:kern w:val="0"/>
                <w:sz w:val="21"/>
                <w:szCs w:val="21"/>
                <w:highlight w:val="none"/>
                <w:u w:val="single"/>
                <w:lang w:val="en-US" w:eastAsia="zh-CN"/>
              </w:rPr>
              <w:t xml:space="preserve">市政公用工程 </w:t>
            </w:r>
            <w:r>
              <w:rPr>
                <w:rFonts w:hint="eastAsia" w:ascii="宋体" w:hAnsi="宋体" w:eastAsia="宋体" w:cs="宋体"/>
                <w:b w:val="0"/>
                <w:bCs w:val="0"/>
                <w:snapToGrid w:val="0"/>
                <w:color w:val="auto"/>
                <w:kern w:val="0"/>
                <w:sz w:val="21"/>
                <w:szCs w:val="21"/>
                <w:highlight w:val="none"/>
                <w:u w:val="none"/>
                <w:lang w:val="en-US" w:eastAsia="zh-CN"/>
              </w:rPr>
              <w:t>专业</w:t>
            </w:r>
            <w:r>
              <w:rPr>
                <w:rFonts w:hint="eastAsia" w:ascii="宋体" w:hAnsi="宋体" w:eastAsia="宋体" w:cs="宋体"/>
                <w:snapToGrid w:val="0"/>
                <w:color w:val="auto"/>
                <w:kern w:val="0"/>
                <w:sz w:val="21"/>
                <w:szCs w:val="21"/>
                <w:highlight w:val="none"/>
                <w:lang w:eastAsia="zh-CN"/>
              </w:rPr>
              <w:t>一级或二级注册建造师</w:t>
            </w:r>
            <w:r>
              <w:rPr>
                <w:rFonts w:hint="eastAsia" w:ascii="宋体" w:hAnsi="宋体" w:eastAsia="宋体" w:cs="宋体"/>
                <w:snapToGrid w:val="0"/>
                <w:color w:val="auto"/>
                <w:kern w:val="0"/>
                <w:sz w:val="21"/>
                <w:szCs w:val="21"/>
                <w:highlight w:val="none"/>
                <w:lang w:val="en-US" w:eastAsia="zh-CN"/>
              </w:rPr>
              <w:t>，应持有住建部门印发的在使用有效期内的有效电子注册证书。同时均须具备有效安全生产考核合格证明（B 证），且未担任其他在施（包括已中标未开工、已开工未竣工）建设工程项目的项目经理</w:t>
            </w:r>
            <w:r>
              <w:rPr>
                <w:rFonts w:hint="eastAsia" w:ascii="宋体" w:hAnsi="宋体" w:eastAsia="宋体" w:cs="宋体"/>
                <w:snapToGrid w:val="0"/>
                <w:color w:val="auto"/>
                <w:kern w:val="0"/>
                <w:sz w:val="21"/>
                <w:szCs w:val="21"/>
                <w:highlight w:val="none"/>
                <w:lang w:eastAsia="zh-CN"/>
              </w:rPr>
              <w:t>。</w:t>
            </w:r>
          </w:p>
          <w:p w14:paraId="67FBF7E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3.2 拟派项目技术负责人须具备</w:t>
            </w:r>
            <w:r>
              <w:rPr>
                <w:rFonts w:hint="eastAsia" w:ascii="宋体" w:hAnsi="宋体" w:eastAsia="宋体" w:cs="宋体"/>
                <w:b/>
                <w:bCs/>
                <w:snapToGrid w:val="0"/>
                <w:color w:val="auto"/>
                <w:kern w:val="0"/>
                <w:sz w:val="21"/>
                <w:szCs w:val="21"/>
                <w:highlight w:val="none"/>
                <w:u w:val="single"/>
                <w:lang w:val="en-US" w:eastAsia="zh-CN"/>
              </w:rPr>
              <w:t>中级以上（含中级）技术职称</w:t>
            </w:r>
            <w:r>
              <w:rPr>
                <w:rFonts w:hint="eastAsia" w:ascii="宋体" w:hAnsi="宋体" w:eastAsia="宋体" w:cs="宋体"/>
                <w:snapToGrid w:val="0"/>
                <w:color w:val="auto"/>
                <w:kern w:val="0"/>
                <w:sz w:val="21"/>
                <w:szCs w:val="21"/>
                <w:highlight w:val="none"/>
                <w:lang w:eastAsia="zh-CN"/>
              </w:rPr>
              <w:t>。</w:t>
            </w:r>
          </w:p>
          <w:p w14:paraId="7E69509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3.3 投标人拟派专职安全生产管理人员须具备有效安全生产考核合格证明（C证，安全生产考核合格证书或“广东省建筑施工企业管理人员安全生产考核系统”考核合格信息打印页），且不少于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eastAsia="宋体" w:cs="宋体"/>
                <w:snapToGrid w:val="0"/>
                <w:color w:val="auto"/>
                <w:kern w:val="0"/>
                <w:sz w:val="21"/>
                <w:szCs w:val="21"/>
                <w:highlight w:val="none"/>
                <w:u w:val="single"/>
                <w:lang w:eastAsia="zh-CN"/>
              </w:rPr>
              <w:t xml:space="preserve"> </w:t>
            </w:r>
            <w:r>
              <w:rPr>
                <w:rFonts w:hint="eastAsia" w:ascii="宋体" w:hAnsi="宋体" w:eastAsia="宋体" w:cs="宋体"/>
                <w:snapToGrid w:val="0"/>
                <w:color w:val="auto"/>
                <w:kern w:val="0"/>
                <w:sz w:val="21"/>
                <w:szCs w:val="21"/>
                <w:highlight w:val="none"/>
                <w:u w:val="single"/>
                <w:lang w:val="en-US" w:eastAsia="zh-CN"/>
              </w:rPr>
              <w:t>1</w:t>
            </w:r>
            <w:r>
              <w:rPr>
                <w:rFonts w:hint="eastAsia" w:ascii="宋体" w:hAnsi="宋体" w:eastAsia="宋体" w:cs="宋体"/>
                <w:snapToGrid w:val="0"/>
                <w:color w:val="auto"/>
                <w:kern w:val="0"/>
                <w:sz w:val="21"/>
                <w:szCs w:val="21"/>
                <w:highlight w:val="none"/>
                <w:u w:val="single"/>
                <w:lang w:eastAsia="zh-CN"/>
              </w:rPr>
              <w:t xml:space="preserve"> </w:t>
            </w:r>
            <w:r>
              <w:rPr>
                <w:rFonts w:hint="eastAsia" w:ascii="宋体" w:hAnsi="宋体" w:eastAsia="宋体" w:cs="宋体"/>
                <w:snapToGrid w:val="0"/>
                <w:color w:val="auto"/>
                <w:kern w:val="0"/>
                <w:sz w:val="21"/>
                <w:szCs w:val="21"/>
                <w:highlight w:val="none"/>
                <w:lang w:eastAsia="zh-CN"/>
              </w:rPr>
              <w:t>人。</w:t>
            </w:r>
          </w:p>
          <w:p w14:paraId="72753C4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3.4 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2C30D11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4 ．禁止投标条款：</w:t>
            </w:r>
          </w:p>
          <w:p w14:paraId="368F0E6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4.1  投标人不得存在下列情形之一：</w:t>
            </w:r>
          </w:p>
          <w:p w14:paraId="3C8825A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（1）为招标人不具有独立法人资格的附属机构（单位）；</w:t>
            </w:r>
          </w:p>
          <w:p w14:paraId="274A9A5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（2）为本招标项目前期准备提供设计或咨询服务的；</w:t>
            </w:r>
          </w:p>
          <w:p w14:paraId="68E4AAB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（3）与本招标项目的其他投标人为同一个单位负责人；</w:t>
            </w:r>
          </w:p>
          <w:p w14:paraId="5C1887A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（4）与本招标项目的其他投标人存在控股、管理关系；</w:t>
            </w:r>
          </w:p>
          <w:p w14:paraId="1096457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（5）为本招标项目的监理人；</w:t>
            </w:r>
          </w:p>
          <w:p w14:paraId="60D4CCE0">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（6）为本招标项目的代建人；</w:t>
            </w:r>
          </w:p>
          <w:p w14:paraId="75D7D7B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（7）为本招标项目的招标代理机构；</w:t>
            </w:r>
          </w:p>
          <w:p w14:paraId="50E80432">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（8）与本招标项目的监理人或代建人或招标代理机构同为一个法定代表人；</w:t>
            </w:r>
          </w:p>
          <w:p w14:paraId="31BF760B">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（9）与本招标项目的监理人或代建人或招标代理机构存在控股或参股关系；</w:t>
            </w:r>
          </w:p>
          <w:p w14:paraId="64622BD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（10）与本招标项目的监理人或代建人或招标代理机构存在相互任职或工作关系；</w:t>
            </w:r>
          </w:p>
          <w:p w14:paraId="0F573315">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（11）被依法暂停或者取消投标资格；</w:t>
            </w:r>
          </w:p>
          <w:p w14:paraId="0E5D6D2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（12）被责令停产停业、暂扣或者吊销许可证、暂扣或者吊销执照；</w:t>
            </w:r>
          </w:p>
          <w:p w14:paraId="7E532429">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（13）进入清算程序，或被宣告破产，或其他丧失履约能力的情形；</w:t>
            </w:r>
          </w:p>
          <w:p w14:paraId="25F7FF0F">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（14）在最近三年内发生重大工程质量或安全问题（以相关行业 主管部门的行政处罚决定或司法机关出具的有关法律文书为准）；</w:t>
            </w:r>
          </w:p>
          <w:p w14:paraId="790C29E8">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（15）被“信用中国 ”网站（https://www.creditchina.gov.cn）发布的《法人和非法人组织公共信用信息报告》列为严重失信主体名单的。</w:t>
            </w:r>
          </w:p>
          <w:p w14:paraId="2CE66971">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4.2  招标人拒绝以下名单中的单位参加本次投标：</w:t>
            </w:r>
          </w:p>
          <w:tbl>
            <w:tblPr>
              <w:tblStyle w:val="15"/>
              <w:tblW w:w="7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3269"/>
              <w:gridCol w:w="3081"/>
            </w:tblGrid>
            <w:tr w14:paraId="3AAF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669" w:type="dxa"/>
                  <w:vAlign w:val="center"/>
                </w:tcPr>
                <w:p w14:paraId="67EB51C9">
                  <w:pPr>
                    <w:pageBreakBefore w:val="0"/>
                    <w:widowControl w:val="0"/>
                    <w:kinsoku/>
                    <w:wordWrap w:val="0"/>
                    <w:overflowPunct/>
                    <w:topLinePunct w:val="0"/>
                    <w:autoSpaceDE/>
                    <w:autoSpaceDN/>
                    <w:bidi w:val="0"/>
                    <w:adjustRightInd w:val="0"/>
                    <w:snapToGrid w:val="0"/>
                    <w:spacing w:line="240" w:lineRule="auto"/>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序号</w:t>
                  </w:r>
                </w:p>
              </w:tc>
              <w:tc>
                <w:tcPr>
                  <w:tcW w:w="3269" w:type="dxa"/>
                  <w:vAlign w:val="center"/>
                </w:tcPr>
                <w:p w14:paraId="6F0BFDAE">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单位名称</w:t>
                  </w:r>
                </w:p>
              </w:tc>
              <w:tc>
                <w:tcPr>
                  <w:tcW w:w="3081" w:type="dxa"/>
                  <w:vAlign w:val="center"/>
                </w:tcPr>
                <w:p w14:paraId="2D127BFF">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拒绝原因</w:t>
                  </w:r>
                </w:p>
              </w:tc>
            </w:tr>
            <w:tr w14:paraId="3D5E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69" w:type="dxa"/>
                  <w:vAlign w:val="center"/>
                </w:tcPr>
                <w:p w14:paraId="73002015">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w:t>
                  </w:r>
                </w:p>
              </w:tc>
              <w:tc>
                <w:tcPr>
                  <w:tcW w:w="3269" w:type="dxa"/>
                  <w:vAlign w:val="center"/>
                </w:tcPr>
                <w:p w14:paraId="1D594C04">
                  <w:pPr>
                    <w:pStyle w:val="23"/>
                    <w:wordWrap w:val="0"/>
                    <w:adjustRightInd w:val="0"/>
                    <w:snapToGrid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仁化县林业局</w:t>
                  </w:r>
                </w:p>
              </w:tc>
              <w:tc>
                <w:tcPr>
                  <w:tcW w:w="3081" w:type="dxa"/>
                  <w:vAlign w:val="center"/>
                </w:tcPr>
                <w:p w14:paraId="77E9D97B">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为本招标项目的招标人</w:t>
                  </w:r>
                </w:p>
              </w:tc>
            </w:tr>
            <w:tr w14:paraId="1832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69" w:type="dxa"/>
                  <w:vAlign w:val="center"/>
                </w:tcPr>
                <w:p w14:paraId="1AF59A03">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2</w:t>
                  </w:r>
                </w:p>
              </w:tc>
              <w:tc>
                <w:tcPr>
                  <w:tcW w:w="3269" w:type="dxa"/>
                  <w:vAlign w:val="center"/>
                </w:tcPr>
                <w:p w14:paraId="7D534040">
                  <w:pPr>
                    <w:pStyle w:val="23"/>
                    <w:wordWrap w:val="0"/>
                    <w:adjustRightInd w:val="0"/>
                    <w:snapToGrid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中晋工程项目管理有限公司</w:t>
                  </w:r>
                </w:p>
              </w:tc>
              <w:tc>
                <w:tcPr>
                  <w:tcW w:w="3081" w:type="dxa"/>
                  <w:vAlign w:val="center"/>
                </w:tcPr>
                <w:p w14:paraId="7C2FD604">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为本招标项目的招标代理机构</w:t>
                  </w:r>
                </w:p>
              </w:tc>
            </w:tr>
            <w:tr w14:paraId="1051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69" w:type="dxa"/>
                  <w:vAlign w:val="center"/>
                </w:tcPr>
                <w:p w14:paraId="3DB9F286">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w:t>
                  </w:r>
                </w:p>
              </w:tc>
              <w:tc>
                <w:tcPr>
                  <w:tcW w:w="3269" w:type="dxa"/>
                  <w:vAlign w:val="center"/>
                </w:tcPr>
                <w:p w14:paraId="003CFA0E">
                  <w:pPr>
                    <w:pStyle w:val="23"/>
                    <w:wordWrap w:val="0"/>
                    <w:adjustRightInd w:val="0"/>
                    <w:snapToGrid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广东鸿禹工程设计有限公司</w:t>
                  </w:r>
                </w:p>
              </w:tc>
              <w:tc>
                <w:tcPr>
                  <w:tcW w:w="3081" w:type="dxa"/>
                  <w:vAlign w:val="center"/>
                </w:tcPr>
                <w:p w14:paraId="7465FD06">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为本招标项目的</w:t>
                  </w:r>
                  <w:r>
                    <w:rPr>
                      <w:rFonts w:hint="eastAsia" w:ascii="宋体" w:hAnsi="宋体" w:eastAsia="宋体" w:cs="宋体"/>
                      <w:snapToGrid w:val="0"/>
                      <w:color w:val="auto"/>
                      <w:kern w:val="0"/>
                      <w:sz w:val="21"/>
                      <w:szCs w:val="21"/>
                      <w:highlight w:val="none"/>
                      <w:lang w:val="en-US" w:eastAsia="zh-CN"/>
                    </w:rPr>
                    <w:t>造价咨询单位</w:t>
                  </w:r>
                </w:p>
              </w:tc>
            </w:tr>
            <w:tr w14:paraId="74C1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69" w:type="dxa"/>
                  <w:vAlign w:val="center"/>
                </w:tcPr>
                <w:p w14:paraId="79950406">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4</w:t>
                  </w:r>
                </w:p>
              </w:tc>
              <w:tc>
                <w:tcPr>
                  <w:tcW w:w="3269" w:type="dxa"/>
                  <w:vAlign w:val="center"/>
                </w:tcPr>
                <w:p w14:paraId="1EB25FFB">
                  <w:pPr>
                    <w:pStyle w:val="23"/>
                    <w:wordWrap w:val="0"/>
                    <w:adjustRightInd w:val="0"/>
                    <w:snapToGrid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佳风工程设计有限公司</w:t>
                  </w:r>
                </w:p>
              </w:tc>
              <w:tc>
                <w:tcPr>
                  <w:tcW w:w="3081" w:type="dxa"/>
                  <w:vAlign w:val="center"/>
                </w:tcPr>
                <w:p w14:paraId="28AE9816">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为本招标项目的</w:t>
                  </w:r>
                  <w:r>
                    <w:rPr>
                      <w:rFonts w:hint="eastAsia" w:ascii="宋体" w:hAnsi="宋体" w:eastAsia="宋体" w:cs="宋体"/>
                      <w:snapToGrid w:val="0"/>
                      <w:color w:val="auto"/>
                      <w:kern w:val="0"/>
                      <w:sz w:val="21"/>
                      <w:szCs w:val="21"/>
                      <w:highlight w:val="none"/>
                      <w:lang w:val="en-US" w:eastAsia="zh-CN"/>
                    </w:rPr>
                    <w:t>设计单位</w:t>
                  </w:r>
                </w:p>
              </w:tc>
            </w:tr>
            <w:tr w14:paraId="6EAD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69" w:type="dxa"/>
                  <w:vAlign w:val="center"/>
                </w:tcPr>
                <w:p w14:paraId="2366038D">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5</w:t>
                  </w:r>
                </w:p>
              </w:tc>
              <w:tc>
                <w:tcPr>
                  <w:tcW w:w="3269" w:type="dxa"/>
                  <w:vAlign w:val="center"/>
                </w:tcPr>
                <w:p w14:paraId="07DE464B">
                  <w:pPr>
                    <w:pStyle w:val="23"/>
                    <w:wordWrap w:val="0"/>
                    <w:adjustRightInd w:val="0"/>
                    <w:snapToGrid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广东省岭南院勘察设计有限公司</w:t>
                  </w:r>
                </w:p>
              </w:tc>
              <w:tc>
                <w:tcPr>
                  <w:tcW w:w="3081" w:type="dxa"/>
                  <w:vAlign w:val="center"/>
                </w:tcPr>
                <w:p w14:paraId="78F89790">
                  <w:pPr>
                    <w:pStyle w:val="23"/>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为</w:t>
                  </w:r>
                  <w:r>
                    <w:rPr>
                      <w:rFonts w:hint="eastAsia" w:ascii="宋体" w:hAnsi="宋体" w:eastAsia="宋体" w:cs="宋体"/>
                      <w:snapToGrid w:val="0"/>
                      <w:color w:val="auto"/>
                      <w:kern w:val="0"/>
                      <w:sz w:val="21"/>
                      <w:szCs w:val="21"/>
                      <w:highlight w:val="none"/>
                    </w:rPr>
                    <w:t>本招标项目的</w:t>
                  </w:r>
                  <w:r>
                    <w:rPr>
                      <w:rFonts w:hint="eastAsia" w:ascii="宋体" w:hAnsi="宋体" w:eastAsia="宋体" w:cs="宋体"/>
                      <w:snapToGrid w:val="0"/>
                      <w:color w:val="auto"/>
                      <w:kern w:val="0"/>
                      <w:sz w:val="21"/>
                      <w:szCs w:val="21"/>
                      <w:highlight w:val="none"/>
                      <w:lang w:val="en-US" w:eastAsia="zh-CN"/>
                    </w:rPr>
                    <w:t>可行性研究报告编制单位</w:t>
                  </w:r>
                </w:p>
              </w:tc>
            </w:tr>
          </w:tbl>
          <w:p w14:paraId="65F467D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5 ．其他要求</w:t>
            </w:r>
          </w:p>
          <w:p w14:paraId="4035EA87">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省外企业及其拟派往本项目管理机构的所有人员均须按照《广东省住房和城乡建设厅关于取消省外建筑企业和人员进粤信息备案有关工作的通知》（粤建市﹝2015 ﹞52 号）规定在“进粤企业和人员诚信信息登记平台”录入相关信息并通过数据规范检查。</w:t>
            </w:r>
          </w:p>
        </w:tc>
      </w:tr>
      <w:tr w14:paraId="6A79F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582" w:type="dxa"/>
            <w:vAlign w:val="center"/>
          </w:tcPr>
          <w:p w14:paraId="77319962">
            <w:pPr>
              <w:spacing w:before="1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lang w:val="en-US" w:eastAsia="zh-CN"/>
              </w:rPr>
              <w:t>27</w:t>
            </w:r>
          </w:p>
        </w:tc>
        <w:tc>
          <w:tcPr>
            <w:tcW w:w="1860" w:type="dxa"/>
            <w:vAlign w:val="center"/>
          </w:tcPr>
          <w:p w14:paraId="351117F4">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投标有效期</w:t>
            </w:r>
          </w:p>
        </w:tc>
        <w:tc>
          <w:tcPr>
            <w:tcW w:w="7544" w:type="dxa"/>
            <w:vAlign w:val="center"/>
          </w:tcPr>
          <w:p w14:paraId="5ADA6D44">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本次招标的投标有效期为</w:t>
            </w:r>
            <w:r>
              <w:rPr>
                <w:rFonts w:hint="eastAsia" w:ascii="宋体" w:hAnsi="宋体" w:eastAsia="宋体" w:cs="宋体"/>
                <w:snapToGrid w:val="0"/>
                <w:color w:val="auto"/>
                <w:kern w:val="0"/>
                <w:sz w:val="21"/>
                <w:szCs w:val="21"/>
                <w:highlight w:val="none"/>
                <w:u w:val="single"/>
                <w:lang w:eastAsia="zh-CN"/>
              </w:rPr>
              <w:t>90</w:t>
            </w:r>
            <w:r>
              <w:rPr>
                <w:rFonts w:hint="eastAsia" w:ascii="宋体" w:hAnsi="宋体" w:eastAsia="宋体" w:cs="宋体"/>
                <w:snapToGrid w:val="0"/>
                <w:color w:val="auto"/>
                <w:kern w:val="0"/>
                <w:sz w:val="21"/>
                <w:szCs w:val="21"/>
                <w:highlight w:val="none"/>
                <w:lang w:eastAsia="zh-CN"/>
              </w:rPr>
              <w:t xml:space="preserve"> 个日历天。</w:t>
            </w:r>
          </w:p>
        </w:tc>
      </w:tr>
      <w:tr w14:paraId="7429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582" w:type="dxa"/>
            <w:vAlign w:val="center"/>
          </w:tcPr>
          <w:p w14:paraId="39629713">
            <w:pPr>
              <w:spacing w:before="19"/>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8</w:t>
            </w:r>
          </w:p>
        </w:tc>
        <w:tc>
          <w:tcPr>
            <w:tcW w:w="1860" w:type="dxa"/>
            <w:vAlign w:val="center"/>
          </w:tcPr>
          <w:p w14:paraId="5F554539">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投标文件组成</w:t>
            </w:r>
          </w:p>
        </w:tc>
        <w:tc>
          <w:tcPr>
            <w:tcW w:w="7544" w:type="dxa"/>
            <w:vAlign w:val="center"/>
          </w:tcPr>
          <w:p w14:paraId="6298FD5A">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投标文件包括商务标书、经济标书、施工组织设计</w:t>
            </w:r>
            <w:r>
              <w:rPr>
                <w:rFonts w:hint="eastAsia" w:ascii="宋体" w:hAnsi="宋体" w:eastAsia="宋体" w:cs="宋体"/>
                <w:snapToGrid w:val="0"/>
                <w:color w:val="auto"/>
                <w:kern w:val="0"/>
                <w:sz w:val="21"/>
                <w:szCs w:val="21"/>
                <w:highlight w:val="none"/>
                <w:lang w:val="en-US" w:eastAsia="zh-CN"/>
              </w:rPr>
              <w:t>和</w:t>
            </w:r>
            <w:r>
              <w:rPr>
                <w:rFonts w:hint="eastAsia" w:ascii="宋体" w:hAnsi="宋体" w:eastAsia="宋体" w:cs="宋体"/>
                <w:snapToGrid w:val="0"/>
                <w:color w:val="auto"/>
                <w:kern w:val="0"/>
                <w:sz w:val="21"/>
                <w:szCs w:val="21"/>
                <w:highlight w:val="none"/>
                <w:lang w:eastAsia="zh-CN"/>
              </w:rPr>
              <w:t>定标文件四个分册。</w:t>
            </w:r>
          </w:p>
        </w:tc>
      </w:tr>
      <w:tr w14:paraId="0BE6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23F8BF94">
            <w:pPr>
              <w:spacing w:before="69" w:line="188" w:lineRule="auto"/>
              <w:ind w:left="205"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3"/>
                <w:sz w:val="21"/>
                <w:szCs w:val="21"/>
                <w:highlight w:val="none"/>
                <w:lang w:val="en-US" w:eastAsia="zh-CN"/>
              </w:rPr>
              <w:t>29</w:t>
            </w:r>
          </w:p>
        </w:tc>
        <w:tc>
          <w:tcPr>
            <w:tcW w:w="1860" w:type="dxa"/>
            <w:vAlign w:val="center"/>
          </w:tcPr>
          <w:p w14:paraId="49DE2E5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施工组织设计评审方式</w:t>
            </w:r>
          </w:p>
        </w:tc>
        <w:tc>
          <w:tcPr>
            <w:tcW w:w="7544" w:type="dxa"/>
            <w:vAlign w:val="center"/>
          </w:tcPr>
          <w:p w14:paraId="53E89E26">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本次招标施工组织设计 不采用 “暗标 ”方式进行评审。</w:t>
            </w:r>
          </w:p>
        </w:tc>
      </w:tr>
      <w:tr w14:paraId="0469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549E241C">
            <w:pPr>
              <w:spacing w:before="69" w:line="188" w:lineRule="auto"/>
              <w:ind w:left="205" w:lef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val="en-US" w:eastAsia="zh-CN"/>
              </w:rPr>
              <w:t>30</w:t>
            </w:r>
          </w:p>
        </w:tc>
        <w:tc>
          <w:tcPr>
            <w:tcW w:w="1860" w:type="dxa"/>
            <w:vAlign w:val="center"/>
          </w:tcPr>
          <w:p w14:paraId="147BE24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评标委员会</w:t>
            </w:r>
          </w:p>
        </w:tc>
        <w:tc>
          <w:tcPr>
            <w:tcW w:w="7544" w:type="dxa"/>
            <w:vAlign w:val="top"/>
          </w:tcPr>
          <w:p w14:paraId="7E3153EC">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评标委员会由 5 人组成，其中招标人代表 0 人，专家 5 人。专家从广东省综合评标评审专家库</w:t>
            </w:r>
            <w:r>
              <w:rPr>
                <w:rFonts w:hint="eastAsia" w:ascii="宋体" w:hAnsi="宋体" w:eastAsia="宋体" w:cs="宋体"/>
                <w:snapToGrid w:val="0"/>
                <w:color w:val="auto"/>
                <w:kern w:val="0"/>
                <w:sz w:val="21"/>
                <w:szCs w:val="21"/>
                <w:highlight w:val="none"/>
                <w:u w:val="single"/>
                <w:lang w:eastAsia="zh-CN"/>
              </w:rPr>
              <w:t>(韶关区域)、(广东省内异地评标区域)</w:t>
            </w:r>
            <w:r>
              <w:rPr>
                <w:rFonts w:hint="eastAsia" w:ascii="宋体" w:hAnsi="宋体" w:eastAsia="宋体" w:cs="宋体"/>
                <w:snapToGrid w:val="0"/>
                <w:color w:val="auto"/>
                <w:kern w:val="0"/>
                <w:sz w:val="21"/>
                <w:szCs w:val="21"/>
                <w:highlight w:val="none"/>
                <w:lang w:eastAsia="zh-CN"/>
              </w:rPr>
              <w:t>中随机抽取，其中技术类专家 3 人，经济类专家 2 人。</w:t>
            </w:r>
          </w:p>
          <w:p w14:paraId="04A23826">
            <w:pPr>
              <w:pStyle w:val="8"/>
              <w:spacing w:line="360" w:lineRule="auto"/>
              <w:ind w:firstLine="420" w:firstLineChars="200"/>
              <w:rPr>
                <w:rFonts w:hint="eastAsia" w:ascii="宋体" w:hAnsi="宋体" w:eastAsia="宋体" w:cs="宋体"/>
                <w:color w:val="auto"/>
                <w:sz w:val="21"/>
                <w:szCs w:val="21"/>
                <w:lang w:eastAsia="zh-CN"/>
              </w:rPr>
            </w:pPr>
            <w:r>
              <w:rPr>
                <w:rFonts w:hint="eastAsia" w:ascii="宋体" w:hAnsi="宋体" w:eastAsia="宋体" w:cs="宋体"/>
                <w:snapToGrid w:val="0"/>
                <w:color w:val="auto"/>
                <w:kern w:val="0"/>
                <w:sz w:val="21"/>
                <w:szCs w:val="21"/>
                <w:highlight w:val="none"/>
                <w:lang w:val="en-US" w:eastAsia="zh-CN" w:bidi="ar-SA"/>
              </w:rPr>
              <w:t>根据《广东省发展和改革委员会等部门关于印发广东省远程异地评标招标项目范围规定(试行)的通知》(粤发改规(2026)8号)文件要求，本项目采用异地评审方式。</w:t>
            </w:r>
          </w:p>
        </w:tc>
      </w:tr>
      <w:tr w14:paraId="248C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trPr>
        <w:tc>
          <w:tcPr>
            <w:tcW w:w="582" w:type="dxa"/>
            <w:vAlign w:val="center"/>
          </w:tcPr>
          <w:p w14:paraId="35FD8C92">
            <w:pPr>
              <w:spacing w:before="69" w:line="188" w:lineRule="auto"/>
              <w:ind w:left="209" w:lef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5"/>
                <w:sz w:val="21"/>
                <w:szCs w:val="21"/>
                <w:highlight w:val="none"/>
                <w:lang w:val="en-US" w:eastAsia="zh-CN"/>
              </w:rPr>
              <w:t>1</w:t>
            </w:r>
          </w:p>
        </w:tc>
        <w:tc>
          <w:tcPr>
            <w:tcW w:w="1860" w:type="dxa"/>
            <w:vAlign w:val="center"/>
          </w:tcPr>
          <w:p w14:paraId="36B2975E">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color w:val="auto"/>
                <w:sz w:val="21"/>
                <w:szCs w:val="21"/>
                <w:highlight w:val="none"/>
                <w:lang w:eastAsia="zh-CN"/>
              </w:rPr>
              <w:t>定</w:t>
            </w:r>
            <w:r>
              <w:rPr>
                <w:rFonts w:hint="eastAsia" w:ascii="宋体" w:hAnsi="宋体" w:eastAsia="宋体" w:cs="宋体"/>
                <w:color w:val="auto"/>
                <w:sz w:val="21"/>
                <w:szCs w:val="21"/>
                <w:highlight w:val="none"/>
              </w:rPr>
              <w:t>标委员会</w:t>
            </w:r>
          </w:p>
        </w:tc>
        <w:tc>
          <w:tcPr>
            <w:tcW w:w="7544" w:type="dxa"/>
            <w:vAlign w:val="center"/>
          </w:tcPr>
          <w:p w14:paraId="062BDE77">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color w:val="auto"/>
                <w:sz w:val="21"/>
                <w:szCs w:val="21"/>
                <w:highlight w:val="none"/>
                <w:u w:val="none"/>
                <w:lang w:val="en-US" w:eastAsia="zh-CN"/>
              </w:rPr>
              <w:t>本</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u w:val="none"/>
              </w:rPr>
              <w:t>定标委员会</w:t>
            </w:r>
            <w:r>
              <w:rPr>
                <w:rFonts w:hint="eastAsia" w:ascii="宋体" w:hAnsi="宋体" w:eastAsia="宋体" w:cs="宋体"/>
                <w:color w:val="auto"/>
                <w:sz w:val="21"/>
                <w:szCs w:val="21"/>
                <w:highlight w:val="none"/>
                <w:u w:val="none"/>
                <w:lang w:eastAsia="zh-CN"/>
              </w:rPr>
              <w:t>组成人</w:t>
            </w:r>
            <w:r>
              <w:rPr>
                <w:rFonts w:hint="eastAsia" w:ascii="宋体" w:hAnsi="宋体" w:eastAsia="宋体" w:cs="宋体"/>
                <w:color w:val="auto"/>
                <w:sz w:val="21"/>
                <w:szCs w:val="21"/>
                <w:highlight w:val="none"/>
                <w:u w:val="none"/>
              </w:rPr>
              <w:t>员为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7 </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u w:val="none"/>
                <w:lang w:eastAsia="zh-CN"/>
              </w:rPr>
              <w:t>。</w:t>
            </w:r>
          </w:p>
        </w:tc>
      </w:tr>
      <w:tr w14:paraId="4069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1400A1DD">
            <w:pPr>
              <w:spacing w:before="69" w:line="188" w:lineRule="auto"/>
              <w:ind w:left="209" w:lef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5"/>
                <w:sz w:val="21"/>
                <w:szCs w:val="21"/>
                <w:highlight w:val="none"/>
                <w:lang w:val="en-US" w:eastAsia="zh-CN"/>
              </w:rPr>
              <w:t>32</w:t>
            </w:r>
          </w:p>
        </w:tc>
        <w:tc>
          <w:tcPr>
            <w:tcW w:w="1860" w:type="dxa"/>
            <w:vAlign w:val="center"/>
          </w:tcPr>
          <w:p w14:paraId="7DEC51F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评标方法</w:t>
            </w:r>
          </w:p>
        </w:tc>
        <w:tc>
          <w:tcPr>
            <w:tcW w:w="7544" w:type="dxa"/>
            <w:vAlign w:val="center"/>
          </w:tcPr>
          <w:p w14:paraId="4A27804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 xml:space="preserve">  综合评分法</w:t>
            </w:r>
          </w:p>
        </w:tc>
      </w:tr>
      <w:tr w14:paraId="2574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6CEE2DF4">
            <w:pPr>
              <w:spacing w:before="258" w:line="188" w:lineRule="auto"/>
              <w:ind w:left="209" w:lef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33</w:t>
            </w:r>
          </w:p>
        </w:tc>
        <w:tc>
          <w:tcPr>
            <w:tcW w:w="1860" w:type="dxa"/>
            <w:vAlign w:val="center"/>
          </w:tcPr>
          <w:p w14:paraId="4F99436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投标文件编制</w:t>
            </w:r>
            <w:r>
              <w:rPr>
                <w:rFonts w:hint="eastAsia" w:ascii="宋体" w:hAnsi="宋体" w:eastAsia="宋体" w:cs="宋体"/>
                <w:snapToGrid w:val="0"/>
                <w:color w:val="auto"/>
                <w:kern w:val="0"/>
                <w:sz w:val="21"/>
                <w:szCs w:val="21"/>
                <w:highlight w:val="none"/>
                <w:lang w:eastAsia="zh-CN"/>
              </w:rPr>
              <w:t>及</w:t>
            </w:r>
            <w:r>
              <w:rPr>
                <w:rFonts w:hint="eastAsia" w:ascii="宋体" w:hAnsi="宋体" w:eastAsia="宋体" w:cs="宋体"/>
                <w:snapToGrid w:val="0"/>
                <w:color w:val="auto"/>
                <w:kern w:val="0"/>
                <w:sz w:val="21"/>
                <w:szCs w:val="21"/>
                <w:highlight w:val="none"/>
              </w:rPr>
              <w:t>份数要求</w:t>
            </w:r>
          </w:p>
        </w:tc>
        <w:tc>
          <w:tcPr>
            <w:tcW w:w="7544" w:type="dxa"/>
            <w:vAlign w:val="center"/>
          </w:tcPr>
          <w:p w14:paraId="1D5081FB">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投标人须上传（递交）投标文件：</w:t>
            </w:r>
          </w:p>
          <w:p w14:paraId="5DFDF2C6">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1、电子投标文件一套：</w:t>
            </w:r>
          </w:p>
          <w:p w14:paraId="2D814D67">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（1）商务标书1份；</w:t>
            </w:r>
          </w:p>
          <w:p w14:paraId="3F9DD380">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（2）经济标书1份；</w:t>
            </w:r>
          </w:p>
          <w:p w14:paraId="16067C61">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 xml:space="preserve">（3）施工组织设计1份； </w:t>
            </w:r>
          </w:p>
          <w:p w14:paraId="2048C2C9">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（4）定标文件1份；</w:t>
            </w:r>
          </w:p>
          <w:p w14:paraId="661E79A2">
            <w:pPr>
              <w:keepNext w:val="0"/>
              <w:keepLines w:val="0"/>
              <w:pageBreakBefore w:val="0"/>
              <w:widowControl/>
              <w:suppressLineNumbers w:val="0"/>
              <w:shd w:val="clear" w:color="auto" w:fill="auto"/>
              <w:overflowPunct/>
              <w:topLinePunct w:val="0"/>
              <w:bidi w:val="0"/>
              <w:spacing w:line="360" w:lineRule="auto"/>
              <w:ind w:firstLine="210" w:firstLineChars="1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2、对应评审要求的分项响应文件（如有）。</w:t>
            </w:r>
          </w:p>
          <w:p w14:paraId="4ABF173D">
            <w:pPr>
              <w:keepNext w:val="0"/>
              <w:keepLines w:val="0"/>
              <w:pageBreakBefore w:val="0"/>
              <w:widowControl/>
              <w:suppressLineNumbers w:val="0"/>
              <w:shd w:val="clear" w:color="auto" w:fill="auto"/>
              <w:overflowPunct/>
              <w:topLinePunct w:val="0"/>
              <w:bidi w:val="0"/>
              <w:spacing w:line="360" w:lineRule="auto"/>
              <w:ind w:firstLine="420" w:firstLineChars="200"/>
              <w:jc w:val="left"/>
              <w:textAlignment w:val="center"/>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0B72CA08">
            <w:pPr>
              <w:keepNext w:val="0"/>
              <w:keepLines w:val="0"/>
              <w:pageBreakBefore w:val="0"/>
              <w:widowControl w:val="0"/>
              <w:suppressLineNumbers w:val="0"/>
              <w:kinsoku/>
              <w:wordWrap/>
              <w:overflowPunct/>
              <w:topLinePunct w:val="0"/>
              <w:autoSpaceDE/>
              <w:autoSpaceDN/>
              <w:bidi w:val="0"/>
              <w:adjustRightInd/>
              <w:snapToGrid/>
              <w:spacing w:line="360" w:lineRule="auto"/>
              <w:ind w:left="105" w:leftChars="50" w:right="105" w:rightChars="50" w:firstLine="420" w:firstLineChars="200"/>
              <w:jc w:val="left"/>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bCs/>
                <w:snapToGrid w:val="0"/>
                <w:color w:val="auto"/>
                <w:kern w:val="0"/>
                <w:sz w:val="21"/>
                <w:szCs w:val="21"/>
                <w:highlight w:val="none"/>
                <w:lang w:val="en-US" w:eastAsia="zh-CN"/>
              </w:rPr>
              <w:t>注：投标人被确定为中标人后，应从交易系统打印二套纸质投标文件（含签名盖章页），内容同电子投标文件，在签订本招标项目承包合同前分别提交给招标人和招标管理部门。（除招标文件约定外，纸质标书须与电子标书一致，不一致的以电子标书为准）。</w:t>
            </w:r>
          </w:p>
        </w:tc>
      </w:tr>
      <w:tr w14:paraId="1415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515477B8">
            <w:pPr>
              <w:spacing w:before="258" w:line="188" w:lineRule="auto"/>
              <w:ind w:left="209" w:lef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34</w:t>
            </w:r>
          </w:p>
        </w:tc>
        <w:tc>
          <w:tcPr>
            <w:tcW w:w="1860" w:type="dxa"/>
            <w:vAlign w:val="center"/>
          </w:tcPr>
          <w:p w14:paraId="74DD4215">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定标办法</w:t>
            </w:r>
          </w:p>
        </w:tc>
        <w:tc>
          <w:tcPr>
            <w:tcW w:w="7544" w:type="dxa"/>
            <w:vAlign w:val="center"/>
          </w:tcPr>
          <w:p w14:paraId="434425EF">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采用</w:t>
            </w:r>
            <w:r>
              <w:rPr>
                <w:rFonts w:hint="eastAsia" w:ascii="宋体" w:hAnsi="宋体" w:eastAsia="宋体" w:cs="宋体"/>
                <w:b/>
                <w:bCs w:val="0"/>
                <w:snapToGrid w:val="0"/>
                <w:color w:val="auto"/>
                <w:kern w:val="0"/>
                <w:sz w:val="21"/>
                <w:szCs w:val="21"/>
                <w:highlight w:val="none"/>
                <w:lang w:val="en-US" w:eastAsia="zh-CN"/>
              </w:rPr>
              <w:t>评定分离</w:t>
            </w:r>
            <w:r>
              <w:rPr>
                <w:rFonts w:hint="eastAsia" w:ascii="宋体" w:hAnsi="宋体" w:eastAsia="宋体" w:cs="宋体"/>
                <w:bCs/>
                <w:snapToGrid w:val="0"/>
                <w:color w:val="auto"/>
                <w:kern w:val="0"/>
                <w:sz w:val="21"/>
                <w:szCs w:val="21"/>
                <w:highlight w:val="none"/>
                <w:lang w:val="en-US" w:eastAsia="zh-CN"/>
              </w:rPr>
              <w:t>的项目，应选定下列定标办法：</w:t>
            </w:r>
          </w:p>
          <w:p w14:paraId="389B1B01">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☑票决数量法</w:t>
            </w:r>
          </w:p>
          <w:p w14:paraId="344C8183">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□票决计分法</w:t>
            </w:r>
          </w:p>
          <w:p w14:paraId="60102FE3">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□集体议事法</w:t>
            </w:r>
          </w:p>
          <w:p w14:paraId="4BE6FD5B">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jc w:val="left"/>
              <w:textAlignment w:val="auto"/>
              <w:rPr>
                <w:rFonts w:hint="eastAsia" w:ascii="宋体" w:hAnsi="宋体" w:eastAsia="宋体" w:cs="宋体"/>
                <w:bCs/>
                <w:snapToGrid w:val="0"/>
                <w:color w:val="auto"/>
                <w:kern w:val="0"/>
                <w:sz w:val="21"/>
                <w:szCs w:val="21"/>
                <w:highlight w:val="none"/>
                <w:lang w:val="en-US" w:eastAsia="zh-CN"/>
              </w:rPr>
            </w:pPr>
            <w:r>
              <w:rPr>
                <w:rFonts w:hint="eastAsia" w:ascii="宋体" w:hAnsi="宋体" w:eastAsia="宋体" w:cs="宋体"/>
                <w:bCs/>
                <w:snapToGrid w:val="0"/>
                <w:color w:val="auto"/>
                <w:kern w:val="0"/>
                <w:sz w:val="21"/>
                <w:szCs w:val="21"/>
                <w:highlight w:val="none"/>
                <w:lang w:val="en-US" w:eastAsia="zh-CN"/>
              </w:rPr>
              <w:t>□其他方法：</w:t>
            </w:r>
          </w:p>
        </w:tc>
      </w:tr>
      <w:tr w14:paraId="3A7D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 w:hRule="atLeast"/>
        </w:trPr>
        <w:tc>
          <w:tcPr>
            <w:tcW w:w="582" w:type="dxa"/>
            <w:vAlign w:val="center"/>
          </w:tcPr>
          <w:p w14:paraId="46D5AAE1">
            <w:pPr>
              <w:spacing w:before="19"/>
              <w:jc w:val="center"/>
              <w:rPr>
                <w:rFonts w:hint="eastAsia" w:ascii="宋体" w:hAnsi="宋体" w:eastAsia="宋体" w:cs="宋体"/>
                <w:strike w:val="0"/>
                <w:dstrike w:val="0"/>
                <w:color w:val="auto"/>
                <w:spacing w:val="-5"/>
                <w:sz w:val="21"/>
                <w:szCs w:val="21"/>
                <w:highlight w:val="none"/>
                <w:lang w:val="en-US" w:eastAsia="zh-CN"/>
              </w:rPr>
            </w:pPr>
            <w:r>
              <w:rPr>
                <w:rFonts w:hint="eastAsia" w:ascii="宋体" w:hAnsi="宋体" w:eastAsia="宋体" w:cs="宋体"/>
                <w:color w:val="auto"/>
                <w:spacing w:val="-3"/>
                <w:sz w:val="21"/>
                <w:szCs w:val="21"/>
                <w:highlight w:val="none"/>
                <w:lang w:val="en-US" w:eastAsia="zh-CN"/>
              </w:rPr>
              <w:t>35</w:t>
            </w:r>
          </w:p>
        </w:tc>
        <w:tc>
          <w:tcPr>
            <w:tcW w:w="1860" w:type="dxa"/>
            <w:vAlign w:val="center"/>
          </w:tcPr>
          <w:p w14:paraId="7DF1948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strike w:val="0"/>
                <w:dstrike w:val="0"/>
                <w:snapToGrid w:val="0"/>
                <w:color w:val="auto"/>
                <w:kern w:val="0"/>
                <w:sz w:val="21"/>
                <w:szCs w:val="21"/>
                <w:highlight w:val="none"/>
                <w:lang w:val="en-US" w:eastAsia="zh-CN"/>
              </w:rPr>
            </w:pPr>
            <w:r>
              <w:rPr>
                <w:rFonts w:hint="eastAsia" w:ascii="宋体" w:hAnsi="宋体" w:eastAsia="宋体" w:cs="宋体"/>
                <w:strike w:val="0"/>
                <w:dstrike w:val="0"/>
                <w:color w:val="auto"/>
                <w:sz w:val="21"/>
                <w:szCs w:val="21"/>
                <w:highlight w:val="none"/>
              </w:rPr>
              <w:t>纳入百千万工程公益性项目</w:t>
            </w:r>
          </w:p>
        </w:tc>
        <w:tc>
          <w:tcPr>
            <w:tcW w:w="7544" w:type="dxa"/>
            <w:vAlign w:val="center"/>
          </w:tcPr>
          <w:p w14:paraId="3BE075BA">
            <w:pPr>
              <w:keepNext w:val="0"/>
              <w:keepLines w:val="0"/>
              <w:pageBreakBefore w:val="0"/>
              <w:widowControl w:val="0"/>
              <w:suppressLineNumbers w:val="0"/>
              <w:kinsoku/>
              <w:wordWrap/>
              <w:overflowPunct/>
              <w:topLinePunct w:val="0"/>
              <w:autoSpaceDE/>
              <w:autoSpaceDN/>
              <w:bidi w:val="0"/>
              <w:adjustRightInd/>
              <w:snapToGrid/>
              <w:spacing w:line="400" w:lineRule="exact"/>
              <w:ind w:left="105" w:leftChars="50" w:right="105" w:rightChars="50" w:firstLine="420" w:firstLineChars="200"/>
              <w:jc w:val="left"/>
              <w:textAlignment w:val="auto"/>
              <w:rPr>
                <w:rFonts w:hint="eastAsia" w:ascii="宋体" w:hAnsi="宋体" w:eastAsia="宋体" w:cs="宋体"/>
                <w:bCs/>
                <w:strike w:val="0"/>
                <w:dstrike w:val="0"/>
                <w:snapToGrid w:val="0"/>
                <w:color w:val="auto"/>
                <w:kern w:val="0"/>
                <w:sz w:val="21"/>
                <w:szCs w:val="21"/>
                <w:highlight w:val="none"/>
                <w:lang w:val="en-US" w:eastAsia="zh-CN"/>
              </w:rPr>
            </w:pPr>
            <w:r>
              <w:rPr>
                <w:rFonts w:hint="eastAsia" w:ascii="宋体" w:hAnsi="宋体" w:eastAsia="宋体" w:cs="宋体"/>
                <w:bCs/>
                <w:strike w:val="0"/>
                <w:dstrike w:val="0"/>
                <w:snapToGrid w:val="0"/>
                <w:color w:val="auto"/>
                <w:kern w:val="0"/>
                <w:sz w:val="21"/>
                <w:szCs w:val="21"/>
                <w:highlight w:val="none"/>
                <w:lang w:val="en-US" w:eastAsia="zh-CN"/>
              </w:rPr>
              <w:t>本次招标鼓励投标人积极响应政策号召，充分利用其人才、技术、专业、资源、资金、设备或管理优势，通过技术创新和资源优化，以投标人自愿为原则，助力百千万工程公益性项目。</w:t>
            </w:r>
          </w:p>
        </w:tc>
      </w:tr>
      <w:tr w14:paraId="2AAF5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3" w:hRule="atLeast"/>
        </w:trPr>
        <w:tc>
          <w:tcPr>
            <w:tcW w:w="582" w:type="dxa"/>
            <w:vAlign w:val="center"/>
          </w:tcPr>
          <w:p w14:paraId="0FDB9118">
            <w:pPr>
              <w:spacing w:before="57" w:line="195"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w:t>
            </w:r>
          </w:p>
        </w:tc>
        <w:tc>
          <w:tcPr>
            <w:tcW w:w="1860" w:type="dxa"/>
            <w:vAlign w:val="center"/>
          </w:tcPr>
          <w:p w14:paraId="482E59B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招标文件要求提交的用于评审的证书、证件、证明原件</w:t>
            </w:r>
          </w:p>
        </w:tc>
        <w:tc>
          <w:tcPr>
            <w:tcW w:w="7544" w:type="dxa"/>
            <w:vAlign w:val="top"/>
          </w:tcPr>
          <w:p w14:paraId="3BA7D70D">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3EBD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7" w:hRule="atLeast"/>
        </w:trPr>
        <w:tc>
          <w:tcPr>
            <w:tcW w:w="582" w:type="dxa"/>
            <w:vAlign w:val="center"/>
          </w:tcPr>
          <w:p w14:paraId="1932BDBC">
            <w:pPr>
              <w:spacing w:before="57" w:line="195" w:lineRule="auto"/>
              <w:jc w:val="center"/>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z w:val="21"/>
                <w:szCs w:val="21"/>
                <w:highlight w:val="none"/>
                <w:lang w:val="en-US" w:eastAsia="zh-CN"/>
              </w:rPr>
              <w:t>37</w:t>
            </w:r>
          </w:p>
        </w:tc>
        <w:tc>
          <w:tcPr>
            <w:tcW w:w="1860" w:type="dxa"/>
            <w:vAlign w:val="center"/>
          </w:tcPr>
          <w:p w14:paraId="7474D5D5">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val="en-US" w:eastAsia="zh-CN"/>
              </w:rPr>
              <w:t>招标代理费和评标专家酬劳</w:t>
            </w:r>
          </w:p>
        </w:tc>
        <w:tc>
          <w:tcPr>
            <w:tcW w:w="7544" w:type="dxa"/>
            <w:vAlign w:val="center"/>
          </w:tcPr>
          <w:p w14:paraId="6109F0EE">
            <w:pPr>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本项目由中标人支付招标代理费及评标专家酬劳，代理费根据国家计委关于印发《招标代理服务收费管理暂行办法》的通知计价格[2002]1980号，评标专家酬劳（包括食宿费用、交通费、专家评审 劳务费等） 由招标代理机构先垫付，中标人须在中标公告公示期结束后, 向招标代理机构一次性付清评标专家酬劳（以当天评委签收为准）。</w:t>
            </w:r>
          </w:p>
        </w:tc>
      </w:tr>
      <w:tr w14:paraId="022B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9" w:hRule="atLeast"/>
        </w:trPr>
        <w:tc>
          <w:tcPr>
            <w:tcW w:w="582" w:type="dxa"/>
            <w:vAlign w:val="center"/>
          </w:tcPr>
          <w:p w14:paraId="2E1FF47D">
            <w:pPr>
              <w:spacing w:before="69" w:line="188" w:lineRule="auto"/>
              <w:ind w:left="209" w:leftChars="0"/>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lang w:eastAsia="zh-CN"/>
              </w:rPr>
              <w:t>3</w:t>
            </w:r>
            <w:r>
              <w:rPr>
                <w:rFonts w:hint="eastAsia" w:ascii="宋体" w:hAnsi="宋体" w:eastAsia="宋体" w:cs="宋体"/>
                <w:color w:val="auto"/>
                <w:spacing w:val="-5"/>
                <w:sz w:val="21"/>
                <w:szCs w:val="21"/>
                <w:highlight w:val="none"/>
                <w:lang w:val="en-US" w:eastAsia="zh-CN"/>
              </w:rPr>
              <w:t>8</w:t>
            </w:r>
          </w:p>
        </w:tc>
        <w:tc>
          <w:tcPr>
            <w:tcW w:w="1860" w:type="dxa"/>
            <w:vAlign w:val="center"/>
          </w:tcPr>
          <w:p w14:paraId="286FFCCD">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招标人</w:t>
            </w:r>
          </w:p>
          <w:p w14:paraId="55BB2098">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联系方式</w:t>
            </w:r>
          </w:p>
        </w:tc>
        <w:tc>
          <w:tcPr>
            <w:tcW w:w="7544" w:type="dxa"/>
            <w:vAlign w:val="center"/>
          </w:tcPr>
          <w:p w14:paraId="05D7D285">
            <w:pPr>
              <w:wordWrap w:val="0"/>
              <w:adjustRightInd w:val="0"/>
              <w:snapToGrid w:val="0"/>
              <w:spacing w:line="360" w:lineRule="exact"/>
              <w:ind w:firstLine="210" w:firstLineChars="100"/>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单位名称：</w:t>
            </w:r>
            <w:r>
              <w:rPr>
                <w:rFonts w:hint="eastAsia" w:ascii="宋体" w:hAnsi="宋体" w:eastAsia="宋体" w:cs="宋体"/>
                <w:snapToGrid w:val="0"/>
                <w:color w:val="auto"/>
                <w:kern w:val="0"/>
                <w:sz w:val="21"/>
                <w:szCs w:val="21"/>
                <w:highlight w:val="none"/>
                <w:lang w:eastAsia="zh-CN"/>
              </w:rPr>
              <w:t>仁化县林业局</w:t>
            </w:r>
          </w:p>
          <w:p w14:paraId="114E3D57">
            <w:pPr>
              <w:wordWrap w:val="0"/>
              <w:adjustRightInd w:val="0"/>
              <w:snapToGrid w:val="0"/>
              <w:spacing w:line="360" w:lineRule="exact"/>
              <w:ind w:firstLine="210" w:firstLineChars="100"/>
              <w:jc w:val="lef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办公地址：</w:t>
            </w:r>
            <w:r>
              <w:rPr>
                <w:rFonts w:hint="eastAsia" w:ascii="宋体" w:hAnsi="宋体" w:eastAsia="宋体" w:cs="宋体"/>
                <w:snapToGrid w:val="0"/>
                <w:color w:val="auto"/>
                <w:kern w:val="0"/>
                <w:sz w:val="21"/>
                <w:szCs w:val="21"/>
                <w:highlight w:val="none"/>
                <w:lang w:eastAsia="zh-CN"/>
              </w:rPr>
              <w:t>仁化县建设路40号</w:t>
            </w:r>
          </w:p>
          <w:p w14:paraId="485A58E9">
            <w:pPr>
              <w:wordWrap w:val="0"/>
              <w:adjustRightInd w:val="0"/>
              <w:snapToGrid w:val="0"/>
              <w:spacing w:line="360" w:lineRule="exact"/>
              <w:ind w:firstLine="210" w:firstLineChars="100"/>
              <w:jc w:val="lef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联系人（部门）：</w:t>
            </w:r>
            <w:r>
              <w:rPr>
                <w:rFonts w:hint="eastAsia" w:ascii="宋体" w:hAnsi="宋体" w:eastAsia="宋体" w:cs="宋体"/>
                <w:snapToGrid w:val="0"/>
                <w:color w:val="auto"/>
                <w:kern w:val="0"/>
                <w:sz w:val="21"/>
                <w:szCs w:val="21"/>
                <w:highlight w:val="none"/>
                <w:lang w:val="en-US" w:eastAsia="zh-CN"/>
              </w:rPr>
              <w:t>林工</w:t>
            </w:r>
          </w:p>
          <w:p w14:paraId="1EB1645E">
            <w:pPr>
              <w:wordWrap w:val="0"/>
              <w:adjustRightInd w:val="0"/>
              <w:snapToGrid w:val="0"/>
              <w:spacing w:line="360" w:lineRule="exact"/>
              <w:ind w:firstLine="210" w:firstLineChars="100"/>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联系电话：0751-6353512</w:t>
            </w:r>
          </w:p>
        </w:tc>
      </w:tr>
      <w:tr w14:paraId="7BAD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9" w:hRule="atLeast"/>
        </w:trPr>
        <w:tc>
          <w:tcPr>
            <w:tcW w:w="582" w:type="dxa"/>
            <w:vAlign w:val="center"/>
          </w:tcPr>
          <w:p w14:paraId="108C8FDE">
            <w:pPr>
              <w:spacing w:before="69" w:line="188" w:lineRule="auto"/>
              <w:jc w:val="center"/>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5"/>
                <w:sz w:val="21"/>
                <w:szCs w:val="21"/>
                <w:highlight w:val="none"/>
                <w:lang w:val="en-US" w:eastAsia="zh-CN"/>
              </w:rPr>
              <w:t>9</w:t>
            </w:r>
          </w:p>
        </w:tc>
        <w:tc>
          <w:tcPr>
            <w:tcW w:w="1860" w:type="dxa"/>
            <w:vAlign w:val="center"/>
          </w:tcPr>
          <w:p w14:paraId="4E976BAF">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招标代理机构</w:t>
            </w:r>
          </w:p>
          <w:p w14:paraId="5B263A67">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联系方式</w:t>
            </w:r>
          </w:p>
        </w:tc>
        <w:tc>
          <w:tcPr>
            <w:tcW w:w="7544" w:type="dxa"/>
            <w:vAlign w:val="center"/>
          </w:tcPr>
          <w:p w14:paraId="1485991D">
            <w:pPr>
              <w:wordWrap w:val="0"/>
              <w:adjustRightInd w:val="0"/>
              <w:snapToGrid w:val="0"/>
              <w:spacing w:line="360" w:lineRule="auto"/>
              <w:ind w:left="210" w:leftChars="100" w:firstLine="0" w:firstLineChars="0"/>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单位名称：</w:t>
            </w:r>
            <w:r>
              <w:rPr>
                <w:rFonts w:hint="eastAsia" w:ascii="宋体" w:hAnsi="宋体" w:eastAsia="宋体" w:cs="宋体"/>
                <w:snapToGrid w:val="0"/>
                <w:color w:val="auto"/>
                <w:kern w:val="0"/>
                <w:sz w:val="21"/>
                <w:szCs w:val="21"/>
                <w:highlight w:val="none"/>
                <w:lang w:eastAsia="zh-CN"/>
              </w:rPr>
              <w:t>中晋工程项目管理有限公司</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rPr>
              <w:t>办公地址：仁化县仁美路2号丹霞新城沁潼园5栋1901号</w:t>
            </w:r>
          </w:p>
          <w:p w14:paraId="787564F7">
            <w:pPr>
              <w:wordWrap w:val="0"/>
              <w:adjustRightInd w:val="0"/>
              <w:snapToGrid w:val="0"/>
              <w:spacing w:line="360" w:lineRule="auto"/>
              <w:ind w:firstLine="210" w:firstLineChars="100"/>
              <w:jc w:val="left"/>
              <w:rPr>
                <w:rFonts w:hint="eastAsia" w:ascii="宋体" w:hAnsi="宋体" w:eastAsia="宋体" w:cs="宋体"/>
                <w:snapToGrid w:val="0"/>
                <w:color w:val="auto"/>
                <w:kern w:val="0"/>
                <w:sz w:val="21"/>
                <w:szCs w:val="21"/>
                <w:highlight w:val="none"/>
                <w:lang w:val="en-US"/>
              </w:rPr>
            </w:pPr>
            <w:r>
              <w:rPr>
                <w:rFonts w:hint="eastAsia" w:ascii="宋体" w:hAnsi="宋体" w:eastAsia="宋体" w:cs="宋体"/>
                <w:snapToGrid w:val="0"/>
                <w:color w:val="auto"/>
                <w:kern w:val="0"/>
                <w:sz w:val="21"/>
                <w:szCs w:val="21"/>
                <w:highlight w:val="none"/>
              </w:rPr>
              <w:t>联系人（部门</w:t>
            </w:r>
            <w:r>
              <w:rPr>
                <w:rFonts w:hint="eastAsia" w:ascii="宋体" w:hAnsi="宋体" w:eastAsia="宋体" w:cs="宋体"/>
                <w:snapToGrid w:val="0"/>
                <w:color w:val="auto"/>
                <w:kern w:val="0"/>
                <w:sz w:val="21"/>
                <w:szCs w:val="21"/>
                <w:highlight w:val="none"/>
                <w:lang w:eastAsia="zh-CN"/>
              </w:rPr>
              <w:t>）</w:t>
            </w:r>
            <w:bookmarkStart w:id="5" w:name="OLE_LINK59"/>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叶工</w:t>
            </w:r>
          </w:p>
          <w:p w14:paraId="3B21D445">
            <w:pPr>
              <w:wordWrap w:val="0"/>
              <w:adjustRightInd w:val="0"/>
              <w:snapToGrid w:val="0"/>
              <w:spacing w:line="360" w:lineRule="exact"/>
              <w:ind w:firstLine="210" w:firstLineChars="100"/>
              <w:jc w:val="lef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rPr>
              <w:t>联系电话：</w:t>
            </w:r>
            <w:bookmarkEnd w:id="5"/>
            <w:r>
              <w:rPr>
                <w:rFonts w:hint="eastAsia" w:ascii="宋体" w:hAnsi="宋体" w:eastAsia="宋体" w:cs="宋体"/>
                <w:snapToGrid w:val="0"/>
                <w:color w:val="auto"/>
                <w:kern w:val="0"/>
                <w:sz w:val="21"/>
                <w:szCs w:val="21"/>
                <w:highlight w:val="none"/>
                <w:lang w:val="en-US" w:eastAsia="zh-CN"/>
              </w:rPr>
              <w:t>0751-6283439</w:t>
            </w:r>
          </w:p>
        </w:tc>
      </w:tr>
      <w:tr w14:paraId="53A8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4913773C">
            <w:pPr>
              <w:spacing w:before="69" w:line="188" w:lineRule="auto"/>
              <w:jc w:val="center"/>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40</w:t>
            </w:r>
          </w:p>
        </w:tc>
        <w:tc>
          <w:tcPr>
            <w:tcW w:w="1860" w:type="dxa"/>
            <w:vAlign w:val="center"/>
          </w:tcPr>
          <w:p w14:paraId="02AF1ADB">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交易场所联系方式</w:t>
            </w:r>
          </w:p>
        </w:tc>
        <w:tc>
          <w:tcPr>
            <w:tcW w:w="7544" w:type="dxa"/>
            <w:vAlign w:val="center"/>
          </w:tcPr>
          <w:p w14:paraId="14CE460D">
            <w:pPr>
              <w:wordWrap w:val="0"/>
              <w:adjustRightInd w:val="0"/>
              <w:snapToGrid w:val="0"/>
              <w:spacing w:line="360" w:lineRule="exact"/>
              <w:ind w:firstLine="239" w:firstLineChars="114"/>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单位名称：韶关市公共资源交易中心</w:t>
            </w:r>
          </w:p>
          <w:p w14:paraId="0490B7B9">
            <w:pPr>
              <w:wordWrap w:val="0"/>
              <w:adjustRightInd w:val="0"/>
              <w:snapToGrid w:val="0"/>
              <w:spacing w:line="360" w:lineRule="exact"/>
              <w:ind w:firstLine="239" w:firstLineChars="114"/>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办公地址：仁化县丹霞大道228号1</w:t>
            </w:r>
            <w:r>
              <w:rPr>
                <w:rFonts w:hint="eastAsia" w:ascii="宋体" w:hAnsi="宋体" w:eastAsia="宋体" w:cs="宋体"/>
                <w:snapToGrid w:val="0"/>
                <w:color w:val="auto"/>
                <w:kern w:val="0"/>
                <w:sz w:val="21"/>
                <w:szCs w:val="21"/>
                <w:highlight w:val="none"/>
                <w:lang w:val="en-US" w:eastAsia="zh-CN"/>
              </w:rPr>
              <w:t>2</w:t>
            </w:r>
            <w:r>
              <w:rPr>
                <w:rFonts w:hint="eastAsia" w:ascii="宋体" w:hAnsi="宋体" w:eastAsia="宋体" w:cs="宋体"/>
                <w:snapToGrid w:val="0"/>
                <w:color w:val="auto"/>
                <w:kern w:val="0"/>
                <w:sz w:val="21"/>
                <w:szCs w:val="21"/>
                <w:highlight w:val="none"/>
              </w:rPr>
              <w:t>楼韶关市公共资源交易中心仁化分中心</w:t>
            </w:r>
          </w:p>
          <w:p w14:paraId="01BA680B">
            <w:pPr>
              <w:wordWrap w:val="0"/>
              <w:adjustRightInd w:val="0"/>
              <w:snapToGrid w:val="0"/>
              <w:spacing w:line="360" w:lineRule="exact"/>
              <w:ind w:firstLine="239" w:firstLineChars="114"/>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联系人（部门）：工程交易部</w:t>
            </w:r>
          </w:p>
          <w:p w14:paraId="0448CB0A">
            <w:pPr>
              <w:pStyle w:val="23"/>
              <w:wordWrap w:val="0"/>
              <w:adjustRightInd w:val="0"/>
              <w:snapToGrid w:val="0"/>
              <w:spacing w:line="360" w:lineRule="auto"/>
              <w:ind w:firstLine="210" w:firstLineChars="100"/>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联系电话：0751-6354032</w:t>
            </w:r>
          </w:p>
        </w:tc>
      </w:tr>
      <w:tr w14:paraId="55AF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09465065">
            <w:pPr>
              <w:spacing w:before="69" w:line="188" w:lineRule="auto"/>
              <w:jc w:val="center"/>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41</w:t>
            </w:r>
          </w:p>
        </w:tc>
        <w:tc>
          <w:tcPr>
            <w:tcW w:w="1860" w:type="dxa"/>
            <w:vAlign w:val="center"/>
          </w:tcPr>
          <w:p w14:paraId="1196A253">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行政监督部</w:t>
            </w:r>
          </w:p>
          <w:p w14:paraId="700C1DBE">
            <w:pPr>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门联系方式</w:t>
            </w:r>
          </w:p>
        </w:tc>
        <w:tc>
          <w:tcPr>
            <w:tcW w:w="7544" w:type="dxa"/>
            <w:vAlign w:val="center"/>
          </w:tcPr>
          <w:p w14:paraId="319CFF1F">
            <w:pPr>
              <w:pStyle w:val="23"/>
              <w:wordWrap w:val="0"/>
              <w:adjustRightInd w:val="0"/>
              <w:snapToGrid w:val="0"/>
              <w:spacing w:line="360" w:lineRule="auto"/>
              <w:ind w:firstLine="210" w:firstLineChars="1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单位名称：</w:t>
            </w:r>
            <w:r>
              <w:rPr>
                <w:rFonts w:hint="eastAsia" w:ascii="宋体" w:hAnsi="宋体" w:eastAsia="宋体" w:cs="宋体"/>
                <w:snapToGrid w:val="0"/>
                <w:color w:val="auto"/>
                <w:kern w:val="0"/>
                <w:sz w:val="21"/>
                <w:szCs w:val="21"/>
                <w:highlight w:val="none"/>
                <w:lang w:eastAsia="zh-CN"/>
              </w:rPr>
              <w:t>仁化县林业局</w:t>
            </w:r>
          </w:p>
          <w:p w14:paraId="1BCD3BC3">
            <w:pPr>
              <w:pStyle w:val="23"/>
              <w:wordWrap w:val="0"/>
              <w:adjustRightInd w:val="0"/>
              <w:snapToGrid w:val="0"/>
              <w:spacing w:line="360" w:lineRule="auto"/>
              <w:ind w:firstLine="210" w:firstLineChars="100"/>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办公地址：</w:t>
            </w:r>
            <w:r>
              <w:rPr>
                <w:rFonts w:hint="eastAsia" w:ascii="宋体" w:hAnsi="宋体" w:eastAsia="宋体" w:cs="宋体"/>
                <w:color w:val="auto"/>
                <w:kern w:val="0"/>
                <w:sz w:val="21"/>
                <w:szCs w:val="21"/>
                <w:highlight w:val="none"/>
                <w:lang w:val="en-US" w:eastAsia="zh-CN" w:bidi="ar"/>
              </w:rPr>
              <w:t>广东省韶关市仁化县丹霞街道建设路40号</w:t>
            </w:r>
          </w:p>
          <w:p w14:paraId="3F725540">
            <w:pPr>
              <w:pStyle w:val="23"/>
              <w:wordWrap w:val="0"/>
              <w:adjustRightInd w:val="0"/>
              <w:snapToGrid w:val="0"/>
              <w:spacing w:line="360" w:lineRule="auto"/>
              <w:ind w:firstLine="210" w:firstLineChars="100"/>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联系人（部门）：</w:t>
            </w:r>
            <w:r>
              <w:rPr>
                <w:rFonts w:hint="eastAsia" w:ascii="宋体" w:hAnsi="宋体" w:cs="宋体"/>
                <w:color w:val="auto"/>
                <w:kern w:val="0"/>
                <w:sz w:val="21"/>
                <w:szCs w:val="21"/>
                <w:highlight w:val="none"/>
                <w:lang w:val="en-US" w:eastAsia="zh-CN" w:bidi="ar"/>
              </w:rPr>
              <w:t>林业局办公室</w:t>
            </w:r>
          </w:p>
          <w:p w14:paraId="5FFB9A44">
            <w:pPr>
              <w:wordWrap w:val="0"/>
              <w:adjustRightInd w:val="0"/>
              <w:snapToGrid w:val="0"/>
              <w:spacing w:line="360" w:lineRule="exact"/>
              <w:ind w:firstLine="239" w:firstLineChars="114"/>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联系电话：</w:t>
            </w:r>
            <w:r>
              <w:rPr>
                <w:rFonts w:hint="eastAsia" w:ascii="宋体" w:hAnsi="宋体" w:eastAsia="宋体" w:cs="宋体"/>
                <w:color w:val="auto"/>
                <w:kern w:val="0"/>
                <w:sz w:val="21"/>
                <w:szCs w:val="21"/>
                <w:highlight w:val="none"/>
                <w:lang w:val="en-US" w:eastAsia="zh-CN" w:bidi="ar"/>
              </w:rPr>
              <w:t>0751-6356224</w:t>
            </w:r>
          </w:p>
        </w:tc>
      </w:tr>
    </w:tbl>
    <w:p w14:paraId="137B8A1A">
      <w:pPr>
        <w:rPr>
          <w:rFonts w:hint="eastAsia" w:ascii="宋体" w:hAnsi="宋体" w:eastAsia="宋体" w:cs="宋体"/>
          <w:color w:val="auto"/>
          <w:highlight w:val="none"/>
        </w:rPr>
      </w:pPr>
      <w:bookmarkStart w:id="6" w:name="bookmark115"/>
      <w:bookmarkEnd w:id="6"/>
      <w:r>
        <w:rPr>
          <w:rFonts w:hint="eastAsia" w:ascii="宋体" w:hAnsi="宋体" w:eastAsia="宋体" w:cs="宋体"/>
          <w:b/>
          <w:bCs/>
          <w:color w:val="auto"/>
          <w:spacing w:val="-3"/>
          <w:sz w:val="24"/>
          <w:szCs w:val="24"/>
          <w:highlight w:val="none"/>
        </w:rPr>
        <w:br w:type="page"/>
      </w:r>
      <w:bookmarkStart w:id="7" w:name="_Toc14297"/>
      <w:r>
        <w:rPr>
          <w:rFonts w:hint="eastAsia" w:ascii="宋体" w:hAnsi="宋体" w:eastAsia="宋体" w:cs="宋体"/>
          <w:b/>
          <w:bCs/>
          <w:color w:val="auto"/>
          <w:spacing w:val="-3"/>
          <w:sz w:val="24"/>
          <w:szCs w:val="24"/>
          <w:highlight w:val="none"/>
        </w:rPr>
        <w:t>第二节 重要事项时间地点一览表</w:t>
      </w:r>
      <w:bookmarkEnd w:id="7"/>
    </w:p>
    <w:p w14:paraId="1F33EA19">
      <w:pPr>
        <w:pStyle w:val="6"/>
        <w:rPr>
          <w:rFonts w:hint="eastAsia" w:ascii="宋体" w:hAnsi="宋体" w:eastAsia="宋体" w:cs="宋体"/>
          <w:color w:val="auto"/>
          <w:highlight w:val="none"/>
        </w:rPr>
      </w:pPr>
    </w:p>
    <w:tbl>
      <w:tblPr>
        <w:tblStyle w:val="15"/>
        <w:tblW w:w="5008"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449"/>
        <w:gridCol w:w="1406"/>
        <w:gridCol w:w="7917"/>
      </w:tblGrid>
      <w:tr w14:paraId="1E44CD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2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4C38F692">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5C5402EE">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招标公告</w:t>
            </w:r>
          </w:p>
          <w:p w14:paraId="725690E8">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发布时间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0820CA6E">
            <w:pPr>
              <w:pStyle w:val="23"/>
              <w:widowControl/>
              <w:snapToGrid w:val="0"/>
              <w:ind w:firstLine="210" w:firstLineChars="100"/>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15</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18</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p>
        </w:tc>
      </w:tr>
      <w:tr w14:paraId="2F0B00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42"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1A1044EE">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0E32C9FE">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获取招标文件</w:t>
            </w:r>
          </w:p>
          <w:p w14:paraId="23D91625">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1C54F190">
            <w:pPr>
              <w:pStyle w:val="23"/>
              <w:widowControl/>
              <w:snapToGrid w:val="0"/>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p>
        </w:tc>
      </w:tr>
      <w:tr w14:paraId="078566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82"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38ED34C8">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513C70EC">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网上提问</w:t>
            </w:r>
          </w:p>
          <w:p w14:paraId="4AC37F99">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B8D8C14">
            <w:pPr>
              <w:pStyle w:val="23"/>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u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月</w:t>
            </w:r>
            <w:r>
              <w:rPr>
                <w:rFonts w:hint="eastAsia" w:ascii="宋体" w:hAnsi="宋体" w:cs="宋体"/>
                <w:color w:val="auto"/>
                <w:kern w:val="0"/>
                <w:sz w:val="21"/>
                <w:szCs w:val="21"/>
                <w:highlight w:val="none"/>
                <w:u w:val="none"/>
                <w:lang w:val="en-US" w:eastAsia="zh-CN"/>
              </w:rPr>
              <w:t>27</w:t>
            </w:r>
            <w:r>
              <w:rPr>
                <w:rFonts w:hint="eastAsia" w:ascii="宋体" w:hAnsi="宋体" w:eastAsia="宋体" w:cs="宋体"/>
                <w:color w:val="auto"/>
                <w:kern w:val="0"/>
                <w:sz w:val="21"/>
                <w:szCs w:val="21"/>
                <w:highlight w:val="none"/>
                <w:u w:val="none"/>
              </w:rPr>
              <w:t xml:space="preserve">日 </w:t>
            </w:r>
            <w:r>
              <w:rPr>
                <w:rFonts w:hint="eastAsia" w:ascii="宋体" w:hAnsi="宋体" w:eastAsia="宋体" w:cs="宋体"/>
                <w:color w:val="auto"/>
                <w:kern w:val="0"/>
                <w:sz w:val="21"/>
                <w:szCs w:val="21"/>
                <w:highlight w:val="none"/>
                <w:u w:val="none"/>
                <w:lang w:val="en-US" w:eastAsia="zh-CN"/>
              </w:rPr>
              <w:t xml:space="preserve">16  </w:t>
            </w:r>
            <w:r>
              <w:rPr>
                <w:rFonts w:hint="eastAsia" w:ascii="宋体" w:hAnsi="宋体" w:eastAsia="宋体" w:cs="宋体"/>
                <w:color w:val="auto"/>
                <w:kern w:val="0"/>
                <w:sz w:val="21"/>
                <w:szCs w:val="21"/>
                <w:highlight w:val="none"/>
                <w:u w:val="none"/>
              </w:rPr>
              <w:t xml:space="preserve">时 </w:t>
            </w:r>
            <w:r>
              <w:rPr>
                <w:rFonts w:hint="eastAsia" w:ascii="宋体" w:hAnsi="宋体" w:eastAsia="宋体" w:cs="宋体"/>
                <w:color w:val="auto"/>
                <w:kern w:val="0"/>
                <w:sz w:val="21"/>
                <w:szCs w:val="21"/>
                <w:highlight w:val="none"/>
                <w:u w:val="none"/>
                <w:lang w:val="en-US" w:eastAsia="zh-CN"/>
              </w:rPr>
              <w:t xml:space="preserve">00 </w:t>
            </w:r>
            <w:r>
              <w:rPr>
                <w:rFonts w:hint="eastAsia" w:ascii="宋体" w:hAnsi="宋体" w:eastAsia="宋体" w:cs="宋体"/>
                <w:color w:val="auto"/>
                <w:kern w:val="0"/>
                <w:sz w:val="21"/>
                <w:szCs w:val="21"/>
                <w:highlight w:val="none"/>
                <w:u w:val="none"/>
              </w:rPr>
              <w:t>分</w:t>
            </w:r>
            <w:bookmarkStart w:id="274" w:name="_GoBack"/>
            <w:bookmarkEnd w:id="274"/>
          </w:p>
        </w:tc>
      </w:tr>
      <w:tr w14:paraId="3D74E2F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156170B8">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19025065">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网上答疑</w:t>
            </w:r>
          </w:p>
          <w:p w14:paraId="722BD182">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B8ACE79">
            <w:pPr>
              <w:pStyle w:val="23"/>
              <w:widowControl/>
              <w:snapToGrid w:val="0"/>
              <w:ind w:firstLine="210" w:firstLineChars="100"/>
              <w:jc w:val="left"/>
              <w:rPr>
                <w:rFonts w:hint="eastAsia" w:ascii="宋体" w:hAnsi="宋体" w:eastAsia="宋体" w:cs="宋体"/>
                <w:snapToGrid w:val="0"/>
                <w:color w:val="auto"/>
                <w:kern w:val="0"/>
                <w:sz w:val="21"/>
                <w:szCs w:val="21"/>
                <w:highlight w:val="none"/>
                <w:u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月</w:t>
            </w:r>
            <w:r>
              <w:rPr>
                <w:rFonts w:hint="eastAsia" w:ascii="宋体" w:hAnsi="宋体" w:cs="宋体"/>
                <w:color w:val="auto"/>
                <w:kern w:val="0"/>
                <w:sz w:val="21"/>
                <w:szCs w:val="21"/>
                <w:highlight w:val="none"/>
                <w:u w:val="none"/>
                <w:lang w:val="en-US" w:eastAsia="zh-CN"/>
              </w:rPr>
              <w:t>27</w:t>
            </w:r>
            <w:r>
              <w:rPr>
                <w:rFonts w:hint="eastAsia" w:ascii="宋体" w:hAnsi="宋体" w:eastAsia="宋体" w:cs="宋体"/>
                <w:color w:val="auto"/>
                <w:kern w:val="0"/>
                <w:sz w:val="21"/>
                <w:szCs w:val="21"/>
                <w:highlight w:val="none"/>
                <w:u w:val="none"/>
              </w:rPr>
              <w:t>日 16 时 30 分至</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u w:val="none"/>
              </w:rPr>
              <w:t>年</w:t>
            </w:r>
            <w:r>
              <w:rPr>
                <w:rFonts w:hint="eastAsia" w:ascii="宋体" w:hAnsi="宋体" w:cs="宋体"/>
                <w:color w:val="auto"/>
                <w:kern w:val="0"/>
                <w:sz w:val="21"/>
                <w:szCs w:val="21"/>
                <w:highlight w:val="none"/>
                <w:u w:val="none"/>
                <w:lang w:val="en-US" w:eastAsia="zh-CN"/>
              </w:rPr>
              <w:t>10</w:t>
            </w:r>
            <w:r>
              <w:rPr>
                <w:rFonts w:hint="eastAsia" w:ascii="宋体" w:hAnsi="宋体" w:eastAsia="宋体" w:cs="宋体"/>
                <w:color w:val="auto"/>
                <w:kern w:val="0"/>
                <w:sz w:val="21"/>
                <w:szCs w:val="21"/>
                <w:highlight w:val="none"/>
                <w:u w:val="none"/>
              </w:rPr>
              <w:t>月</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u w:val="none"/>
              </w:rPr>
              <w:t>日 16 时 00分</w:t>
            </w:r>
          </w:p>
        </w:tc>
      </w:tr>
      <w:tr w14:paraId="5B4ABEC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679F889B">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634DA815">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投标保证缴</w:t>
            </w:r>
          </w:p>
          <w:p w14:paraId="40601E3D">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纳截止时间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555562EC">
            <w:pPr>
              <w:pStyle w:val="23"/>
              <w:widowControl/>
              <w:snapToGrid w:val="0"/>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投标保证金到账截止时间：</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w:t>
            </w:r>
          </w:p>
          <w:p w14:paraId="4524612A">
            <w:pPr>
              <w:pStyle w:val="23"/>
              <w:widowControl/>
              <w:snapToGrid w:val="0"/>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投标保证担保上传截止时间：</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w:t>
            </w:r>
          </w:p>
          <w:p w14:paraId="4C25299F">
            <w:pPr>
              <w:pStyle w:val="23"/>
              <w:widowControl/>
              <w:snapToGrid w:val="0"/>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0"/>
                <w:sz w:val="21"/>
                <w:szCs w:val="21"/>
                <w:highlight w:val="none"/>
              </w:rPr>
              <w:t>投标保证保险投保截止时间：</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w:t>
            </w:r>
          </w:p>
        </w:tc>
      </w:tr>
      <w:tr w14:paraId="05E6F3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12"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32F3F961">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31EE883B">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电子投标</w:t>
            </w:r>
          </w:p>
          <w:p w14:paraId="0226D243">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截止时间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1866DE13">
            <w:pPr>
              <w:pStyle w:val="23"/>
              <w:widowControl/>
              <w:snapToGrid w:val="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p>
        </w:tc>
      </w:tr>
      <w:tr w14:paraId="0FA0FA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2F506CC3">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62B5FEEA">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投标评审原件（如有）</w:t>
            </w:r>
          </w:p>
          <w:p w14:paraId="78B85CE4">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递交时间</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0D85F498">
            <w:pPr>
              <w:pStyle w:val="23"/>
              <w:widowControl/>
              <w:snapToGrid w:val="0"/>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00</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至</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val="en-US" w:eastAsia="zh-CN"/>
              </w:rPr>
              <w:t xml:space="preserve"> </w:t>
            </w:r>
          </w:p>
        </w:tc>
      </w:tr>
      <w:tr w14:paraId="519C5C6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8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0490D6B3">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4DE543D2">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投标评审原件（如有）</w:t>
            </w:r>
          </w:p>
          <w:p w14:paraId="65C8FB45">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递交地点</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1F2923FC">
            <w:pPr>
              <w:pStyle w:val="23"/>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递交场所：韶关市公共资源交易中心仁化分中心，</w:t>
            </w:r>
          </w:p>
          <w:p w14:paraId="4D692A65">
            <w:pPr>
              <w:pStyle w:val="23"/>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地址：仁化县丹霞大道228号11楼韶关市公共资源交易中心仁化分中心，具体房间号以当日现场通知为准。</w:t>
            </w:r>
          </w:p>
        </w:tc>
      </w:tr>
      <w:tr w14:paraId="1465CF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0"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1993F3F3">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2D3E1F97">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开标时间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710660D4">
            <w:pPr>
              <w:pStyle w:val="23"/>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w:t>
            </w: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none"/>
                <w:lang w:val="en-US" w:eastAsia="zh-CN"/>
              </w:rPr>
              <w:t>2026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11</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日</w:t>
            </w:r>
            <w:r>
              <w:rPr>
                <w:rFonts w:hint="eastAsia" w:ascii="宋体" w:hAnsi="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时</w:t>
            </w:r>
            <w:r>
              <w:rPr>
                <w:rFonts w:hint="eastAsia" w:ascii="宋体" w:hAnsi="宋体" w:cs="宋体"/>
                <w:color w:val="auto"/>
                <w:kern w:val="0"/>
                <w:sz w:val="21"/>
                <w:szCs w:val="21"/>
                <w:highlight w:val="none"/>
                <w:u w:val="none"/>
                <w:lang w:val="en-US" w:eastAsia="zh-CN"/>
              </w:rPr>
              <w:t>30</w:t>
            </w:r>
            <w:r>
              <w:rPr>
                <w:rFonts w:hint="eastAsia" w:ascii="宋体" w:hAnsi="宋体" w:eastAsia="宋体" w:cs="宋体"/>
                <w:color w:val="auto"/>
                <w:kern w:val="0"/>
                <w:sz w:val="21"/>
                <w:szCs w:val="21"/>
                <w:highlight w:val="none"/>
              </w:rPr>
              <w:t>分</w:t>
            </w:r>
          </w:p>
        </w:tc>
      </w:tr>
      <w:tr w14:paraId="1B52AB5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87" w:hRule="exact"/>
        </w:trPr>
        <w:tc>
          <w:tcPr>
            <w:tcW w:w="230" w:type="pct"/>
            <w:tcBorders>
              <w:top w:val="single" w:color="080000" w:sz="4" w:space="0"/>
              <w:left w:val="single" w:color="080000" w:sz="4" w:space="0"/>
              <w:bottom w:val="single" w:color="080000" w:sz="4" w:space="0"/>
              <w:right w:val="single" w:color="080000" w:sz="4" w:space="0"/>
            </w:tcBorders>
            <w:noWrap w:val="0"/>
            <w:vAlign w:val="center"/>
          </w:tcPr>
          <w:p w14:paraId="6BC911F2">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w:t>
            </w:r>
          </w:p>
        </w:tc>
        <w:tc>
          <w:tcPr>
            <w:tcW w:w="718" w:type="pct"/>
            <w:tcBorders>
              <w:top w:val="single" w:color="080000" w:sz="4" w:space="0"/>
              <w:left w:val="single" w:color="080000" w:sz="4" w:space="0"/>
              <w:bottom w:val="single" w:color="080000" w:sz="4" w:space="0"/>
              <w:right w:val="single" w:color="080000" w:sz="4" w:space="0"/>
            </w:tcBorders>
            <w:noWrap w:val="0"/>
            <w:vAlign w:val="center"/>
          </w:tcPr>
          <w:p w14:paraId="2D2963E9">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开标地点 </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0BACBAA4">
            <w:pPr>
              <w:pStyle w:val="23"/>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开标场所：</w:t>
            </w:r>
            <w:r>
              <w:rPr>
                <w:rFonts w:hint="eastAsia" w:ascii="宋体" w:hAnsi="宋体" w:eastAsia="宋体" w:cs="宋体"/>
                <w:snapToGrid w:val="0"/>
                <w:color w:val="auto"/>
                <w:kern w:val="0"/>
                <w:sz w:val="21"/>
                <w:szCs w:val="21"/>
                <w:highlight w:val="none"/>
                <w:lang w:val="en-US" w:eastAsia="zh-CN"/>
              </w:rPr>
              <w:t>韶关市公共资源交易中心仁化分中心</w:t>
            </w:r>
            <w:r>
              <w:rPr>
                <w:rFonts w:hint="eastAsia" w:ascii="宋体" w:hAnsi="宋体" w:eastAsia="宋体" w:cs="宋体"/>
                <w:snapToGrid w:val="0"/>
                <w:color w:val="auto"/>
                <w:kern w:val="0"/>
                <w:sz w:val="21"/>
                <w:szCs w:val="21"/>
                <w:highlight w:val="none"/>
              </w:rPr>
              <w:t>，</w:t>
            </w:r>
          </w:p>
          <w:p w14:paraId="67315DA6">
            <w:pPr>
              <w:pStyle w:val="23"/>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地址：</w:t>
            </w:r>
            <w:r>
              <w:rPr>
                <w:rFonts w:hint="eastAsia" w:ascii="宋体" w:hAnsi="宋体" w:eastAsia="宋体" w:cs="宋体"/>
                <w:snapToGrid w:val="0"/>
                <w:color w:val="auto"/>
                <w:kern w:val="0"/>
                <w:sz w:val="21"/>
                <w:szCs w:val="21"/>
                <w:highlight w:val="none"/>
                <w:lang w:val="en-US" w:eastAsia="zh-CN"/>
              </w:rPr>
              <w:t>仁化县丹霞大道228号11楼韶关市公共资源交易中心仁化分中心，具体房间号以当日现场通知为准</w:t>
            </w:r>
            <w:r>
              <w:rPr>
                <w:rFonts w:hint="eastAsia" w:ascii="宋体" w:hAnsi="宋体" w:eastAsia="宋体" w:cs="宋体"/>
                <w:snapToGrid w:val="0"/>
                <w:color w:val="auto"/>
                <w:kern w:val="0"/>
                <w:sz w:val="21"/>
                <w:szCs w:val="21"/>
                <w:highlight w:val="none"/>
              </w:rPr>
              <w:t>。</w:t>
            </w:r>
          </w:p>
        </w:tc>
      </w:tr>
      <w:tr w14:paraId="72E2B0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98" w:hRule="exact"/>
        </w:trPr>
        <w:tc>
          <w:tcPr>
            <w:tcW w:w="949" w:type="pct"/>
            <w:gridSpan w:val="2"/>
            <w:tcBorders>
              <w:top w:val="single" w:color="080000" w:sz="4" w:space="0"/>
              <w:left w:val="single" w:color="080000" w:sz="4" w:space="0"/>
              <w:bottom w:val="single" w:color="080000" w:sz="4" w:space="0"/>
              <w:right w:val="single" w:color="080000" w:sz="4" w:space="0"/>
            </w:tcBorders>
            <w:noWrap w:val="0"/>
            <w:vAlign w:val="center"/>
          </w:tcPr>
          <w:p w14:paraId="62E8D9A8">
            <w:pPr>
              <w:pStyle w:val="23"/>
              <w:wordWrap w:val="0"/>
              <w:adjustRightInd w:val="0"/>
              <w:snapToGrid w:val="0"/>
              <w:spacing w:line="36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备注</w:t>
            </w:r>
          </w:p>
        </w:tc>
        <w:tc>
          <w:tcPr>
            <w:tcW w:w="4050" w:type="pct"/>
            <w:tcBorders>
              <w:top w:val="single" w:color="080000" w:sz="4" w:space="0"/>
              <w:left w:val="single" w:color="080000" w:sz="4" w:space="0"/>
              <w:bottom w:val="single" w:color="080000" w:sz="4" w:space="0"/>
              <w:right w:val="single" w:color="080000" w:sz="4" w:space="0"/>
            </w:tcBorders>
            <w:noWrap w:val="0"/>
            <w:vAlign w:val="center"/>
          </w:tcPr>
          <w:p w14:paraId="657076DD">
            <w:pPr>
              <w:pStyle w:val="23"/>
              <w:wordWrap w:val="0"/>
              <w:adjustRightInd w:val="0"/>
              <w:snapToGrid w:val="0"/>
              <w:spacing w:line="400" w:lineRule="exact"/>
              <w:ind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自行下载招标文件、资料文件及招标答疑书等。若由于投标人自身原因未能及时取得上述资料的，由此发生的任何责任由投标人自负。</w:t>
            </w:r>
          </w:p>
        </w:tc>
      </w:tr>
    </w:tbl>
    <w:p w14:paraId="061A2F3E">
      <w:pPr>
        <w:tabs>
          <w:tab w:val="left" w:pos="8820"/>
        </w:tabs>
        <w:rPr>
          <w:rFonts w:hint="eastAsia" w:ascii="宋体" w:hAnsi="宋体" w:eastAsia="宋体" w:cs="宋体"/>
          <w:b w:val="0"/>
          <w:bCs w:val="0"/>
          <w:color w:val="auto"/>
          <w:sz w:val="24"/>
          <w:szCs w:val="24"/>
          <w:highlight w:val="none"/>
        </w:rPr>
        <w:sectPr>
          <w:headerReference r:id="rId6" w:type="default"/>
          <w:footerReference r:id="rId7" w:type="default"/>
          <w:pgSz w:w="11906" w:h="16839"/>
          <w:pgMar w:top="1440" w:right="1080" w:bottom="1440" w:left="1080" w:header="0" w:footer="1085" w:gutter="0"/>
          <w:pgBorders>
            <w:top w:val="none" w:sz="0" w:space="0"/>
            <w:left w:val="none" w:sz="0" w:space="0"/>
            <w:bottom w:val="none" w:sz="0" w:space="0"/>
            <w:right w:val="none" w:sz="0" w:space="0"/>
          </w:pgBorders>
          <w:cols w:space="720" w:num="1"/>
        </w:sectPr>
      </w:pPr>
    </w:p>
    <w:p w14:paraId="0956DF53">
      <w:pPr>
        <w:jc w:val="center"/>
        <w:outlineLvl w:val="1"/>
        <w:rPr>
          <w:rFonts w:hint="eastAsia" w:ascii="宋体" w:hAnsi="宋体" w:eastAsia="宋体" w:cs="宋体"/>
          <w:color w:val="auto"/>
          <w:sz w:val="24"/>
          <w:szCs w:val="24"/>
          <w:highlight w:val="none"/>
        </w:rPr>
      </w:pPr>
      <w:bookmarkStart w:id="8" w:name="_Toc9283"/>
      <w:r>
        <w:rPr>
          <w:rFonts w:hint="eastAsia" w:ascii="宋体" w:hAnsi="宋体" w:eastAsia="宋体" w:cs="宋体"/>
          <w:b/>
          <w:bCs/>
          <w:color w:val="auto"/>
          <w:spacing w:val="-3"/>
          <w:sz w:val="24"/>
          <w:szCs w:val="24"/>
          <w:highlight w:val="none"/>
        </w:rPr>
        <w:t>第三节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投标人须知正文</w:t>
      </w:r>
      <w:bookmarkEnd w:id="8"/>
    </w:p>
    <w:p w14:paraId="02A7B79A">
      <w:pPr>
        <w:pStyle w:val="6"/>
        <w:spacing w:line="256" w:lineRule="auto"/>
        <w:rPr>
          <w:rFonts w:hint="eastAsia" w:ascii="宋体" w:hAnsi="宋体" w:eastAsia="宋体" w:cs="宋体"/>
          <w:color w:val="auto"/>
          <w:highlight w:val="none"/>
        </w:rPr>
      </w:pPr>
    </w:p>
    <w:p w14:paraId="52486261">
      <w:pPr>
        <w:pStyle w:val="6"/>
        <w:spacing w:line="257" w:lineRule="auto"/>
        <w:rPr>
          <w:rFonts w:hint="eastAsia" w:ascii="宋体" w:hAnsi="宋体" w:eastAsia="宋体" w:cs="宋体"/>
          <w:color w:val="auto"/>
          <w:highlight w:val="none"/>
        </w:rPr>
      </w:pPr>
    </w:p>
    <w:p w14:paraId="605C5DF8">
      <w:pPr>
        <w:pageBreakBefore w:val="0"/>
        <w:widowControl w:val="0"/>
        <w:kinsoku/>
        <w:wordWrap w:val="0"/>
        <w:overflowPunct/>
        <w:topLinePunct w:val="0"/>
        <w:autoSpaceDE/>
        <w:autoSpaceDN/>
        <w:bidi w:val="0"/>
        <w:adjustRightInd w:val="0"/>
        <w:snapToGrid w:val="0"/>
        <w:spacing w:line="400" w:lineRule="exact"/>
        <w:ind w:left="0" w:leftChars="0" w:firstLine="218" w:firstLineChars="91"/>
        <w:jc w:val="both"/>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u w:val="single"/>
          <w:lang w:eastAsia="zh-CN"/>
        </w:rPr>
        <w:t>仁化县丹霞山周边重点区域生态修复</w:t>
      </w:r>
      <w:r>
        <w:rPr>
          <w:rFonts w:hint="eastAsia" w:ascii="宋体" w:hAnsi="宋体" w:eastAsia="宋体" w:cs="宋体"/>
          <w:snapToGrid w:val="0"/>
          <w:color w:val="auto"/>
          <w:kern w:val="0"/>
          <w:sz w:val="24"/>
          <w:szCs w:val="24"/>
          <w:highlight w:val="none"/>
          <w:u w:val="none"/>
          <w:lang w:eastAsia="zh-CN"/>
        </w:rPr>
        <w:t>经</w:t>
      </w:r>
      <w:r>
        <w:rPr>
          <w:rFonts w:hint="eastAsia" w:ascii="宋体" w:hAnsi="宋体" w:eastAsia="宋体" w:cs="宋体"/>
          <w:snapToGrid w:val="0"/>
          <w:color w:val="auto"/>
          <w:kern w:val="0"/>
          <w:sz w:val="24"/>
          <w:szCs w:val="24"/>
          <w:highlight w:val="none"/>
          <w:u w:val="single"/>
          <w:lang w:val="en-US" w:eastAsia="zh-CN"/>
        </w:rPr>
        <w:t>仁化县发展改革和政务数据局</w:t>
      </w:r>
      <w:r>
        <w:rPr>
          <w:rFonts w:hint="eastAsia" w:ascii="宋体" w:hAnsi="宋体" w:eastAsia="宋体" w:cs="宋体"/>
          <w:snapToGrid w:val="0"/>
          <w:color w:val="auto"/>
          <w:kern w:val="0"/>
          <w:sz w:val="24"/>
          <w:szCs w:val="24"/>
          <w:highlight w:val="none"/>
          <w:u w:val="single"/>
          <w:lang w:eastAsia="zh-CN"/>
        </w:rPr>
        <w:t>以《</w:t>
      </w:r>
      <w:r>
        <w:rPr>
          <w:rFonts w:hint="eastAsia" w:ascii="宋体" w:hAnsi="宋体" w:eastAsia="宋体" w:cs="宋体"/>
          <w:snapToGrid w:val="0"/>
          <w:color w:val="auto"/>
          <w:kern w:val="0"/>
          <w:sz w:val="24"/>
          <w:szCs w:val="24"/>
          <w:highlight w:val="none"/>
          <w:u w:val="single"/>
          <w:lang w:val="en-US" w:eastAsia="zh-CN"/>
        </w:rPr>
        <w:t>仁化县发展改革和政务数据局</w:t>
      </w:r>
      <w:r>
        <w:rPr>
          <w:rFonts w:hint="eastAsia" w:ascii="宋体" w:hAnsi="宋体" w:eastAsia="宋体" w:cs="宋体"/>
          <w:snapToGrid w:val="0"/>
          <w:color w:val="auto"/>
          <w:kern w:val="0"/>
          <w:sz w:val="24"/>
          <w:szCs w:val="24"/>
          <w:highlight w:val="none"/>
          <w:u w:val="single"/>
          <w:lang w:eastAsia="zh-CN"/>
        </w:rPr>
        <w:t>关于仁化县丹霞山周边重点区域生态修复</w:t>
      </w:r>
      <w:r>
        <w:rPr>
          <w:rFonts w:hint="eastAsia" w:ascii="宋体" w:hAnsi="宋体" w:eastAsia="宋体" w:cs="宋体"/>
          <w:snapToGrid w:val="0"/>
          <w:color w:val="auto"/>
          <w:kern w:val="0"/>
          <w:sz w:val="24"/>
          <w:szCs w:val="24"/>
          <w:highlight w:val="none"/>
          <w:u w:val="single"/>
          <w:lang w:val="en-US" w:eastAsia="zh-CN"/>
        </w:rPr>
        <w:t>项目初步设计概算</w:t>
      </w:r>
      <w:r>
        <w:rPr>
          <w:rFonts w:hint="eastAsia" w:ascii="宋体" w:hAnsi="宋体" w:eastAsia="宋体" w:cs="宋体"/>
          <w:snapToGrid w:val="0"/>
          <w:color w:val="auto"/>
          <w:kern w:val="0"/>
          <w:sz w:val="24"/>
          <w:szCs w:val="24"/>
          <w:highlight w:val="none"/>
          <w:u w:val="single"/>
          <w:lang w:eastAsia="zh-CN"/>
        </w:rPr>
        <w:t>的批复》（</w:t>
      </w:r>
      <w:r>
        <w:rPr>
          <w:rFonts w:hint="eastAsia" w:ascii="宋体" w:hAnsi="宋体" w:eastAsia="宋体" w:cs="宋体"/>
          <w:snapToGrid w:val="0"/>
          <w:color w:val="auto"/>
          <w:kern w:val="0"/>
          <w:sz w:val="24"/>
          <w:szCs w:val="24"/>
          <w:highlight w:val="none"/>
          <w:u w:val="single"/>
          <w:lang w:val="en-US" w:eastAsia="zh-CN"/>
        </w:rPr>
        <w:t>仁发改和政数投审【2025】59号</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lang w:val="en-US" w:eastAsia="zh-CN"/>
        </w:rPr>
        <w:t>关于请求同意实施</w:t>
      </w:r>
      <w:r>
        <w:rPr>
          <w:rFonts w:hint="eastAsia" w:ascii="宋体" w:hAnsi="宋体" w:eastAsia="宋体" w:cs="宋体"/>
          <w:snapToGrid w:val="0"/>
          <w:color w:val="auto"/>
          <w:kern w:val="0"/>
          <w:sz w:val="24"/>
          <w:szCs w:val="24"/>
          <w:highlight w:val="none"/>
          <w:u w:val="single"/>
          <w:lang w:eastAsia="zh-CN"/>
        </w:rPr>
        <w:t>仁化县丹霞山周边重点区域生态修复</w:t>
      </w:r>
      <w:r>
        <w:rPr>
          <w:rFonts w:hint="eastAsia" w:ascii="宋体" w:hAnsi="宋体" w:eastAsia="宋体" w:cs="宋体"/>
          <w:snapToGrid w:val="0"/>
          <w:color w:val="auto"/>
          <w:kern w:val="0"/>
          <w:sz w:val="24"/>
          <w:szCs w:val="24"/>
          <w:highlight w:val="none"/>
          <w:u w:val="single"/>
          <w:lang w:val="en-US" w:eastAsia="zh-CN"/>
        </w:rPr>
        <w:t>项目（一期）的请示》（仁林请【2026】49号）</w:t>
      </w:r>
      <w:r>
        <w:rPr>
          <w:rFonts w:hint="eastAsia" w:ascii="宋体" w:hAnsi="宋体" w:eastAsia="宋体" w:cs="宋体"/>
          <w:snapToGrid w:val="0"/>
          <w:color w:val="auto"/>
          <w:kern w:val="0"/>
          <w:sz w:val="24"/>
          <w:szCs w:val="24"/>
          <w:highlight w:val="none"/>
        </w:rPr>
        <w:t>批准建设，项目代码为</w:t>
      </w:r>
      <w:r>
        <w:rPr>
          <w:rFonts w:hint="eastAsia" w:ascii="宋体" w:hAnsi="宋体" w:eastAsia="宋体" w:cs="宋体"/>
          <w:snapToGrid w:val="0"/>
          <w:color w:val="auto"/>
          <w:kern w:val="0"/>
          <w:sz w:val="24"/>
          <w:szCs w:val="24"/>
          <w:highlight w:val="none"/>
          <w:u w:val="single"/>
          <w:lang w:eastAsia="zh-CN"/>
        </w:rPr>
        <w:t>2310-440224-04-01-165081</w:t>
      </w:r>
      <w:r>
        <w:rPr>
          <w:rFonts w:hint="eastAsia" w:ascii="宋体" w:hAnsi="宋体" w:eastAsia="宋体" w:cs="宋体"/>
          <w:snapToGrid w:val="0"/>
          <w:color w:val="auto"/>
          <w:kern w:val="0"/>
          <w:sz w:val="24"/>
          <w:szCs w:val="24"/>
          <w:highlight w:val="none"/>
        </w:rPr>
        <w:t>。项目业主为</w:t>
      </w:r>
      <w:r>
        <w:rPr>
          <w:rFonts w:hint="eastAsia" w:ascii="宋体" w:hAnsi="宋体" w:eastAsia="宋体" w:cs="宋体"/>
          <w:snapToGrid w:val="0"/>
          <w:color w:val="auto"/>
          <w:kern w:val="0"/>
          <w:sz w:val="24"/>
          <w:szCs w:val="24"/>
          <w:highlight w:val="none"/>
          <w:u w:val="single"/>
          <w:lang w:eastAsia="zh-CN"/>
        </w:rPr>
        <w:t>仁化县林业局</w:t>
      </w:r>
      <w:r>
        <w:rPr>
          <w:rFonts w:hint="eastAsia" w:ascii="宋体" w:hAnsi="宋体" w:eastAsia="宋体" w:cs="宋体"/>
          <w:snapToGrid w:val="0"/>
          <w:color w:val="auto"/>
          <w:kern w:val="0"/>
          <w:sz w:val="24"/>
          <w:szCs w:val="24"/>
          <w:highlight w:val="none"/>
        </w:rPr>
        <w:t>，建设资金</w:t>
      </w:r>
      <w:r>
        <w:rPr>
          <w:rFonts w:hint="eastAsia" w:ascii="宋体" w:hAnsi="宋体" w:eastAsia="宋体" w:cs="宋体"/>
          <w:snapToGrid w:val="0"/>
          <w:color w:val="auto"/>
          <w:kern w:val="0"/>
          <w:sz w:val="24"/>
          <w:szCs w:val="24"/>
          <w:highlight w:val="none"/>
          <w:lang w:val="en-US" w:eastAsia="zh-CN"/>
        </w:rPr>
        <w:t>为</w:t>
      </w:r>
      <w:r>
        <w:rPr>
          <w:rFonts w:hint="eastAsia" w:ascii="宋体" w:hAnsi="宋体" w:eastAsia="宋体" w:cs="宋体"/>
          <w:snapToGrid w:val="0"/>
          <w:color w:val="auto"/>
          <w:kern w:val="0"/>
          <w:sz w:val="24"/>
          <w:szCs w:val="24"/>
          <w:highlight w:val="none"/>
          <w:u w:val="single"/>
          <w:lang w:val="en-US" w:eastAsia="zh-CN"/>
        </w:rPr>
        <w:t>专项债券资金</w:t>
      </w:r>
      <w:r>
        <w:rPr>
          <w:rFonts w:hint="eastAsia" w:ascii="宋体" w:hAnsi="宋体" w:eastAsia="宋体" w:cs="宋体"/>
          <w:snapToGrid w:val="0"/>
          <w:color w:val="auto"/>
          <w:kern w:val="0"/>
          <w:sz w:val="24"/>
          <w:szCs w:val="24"/>
          <w:highlight w:val="none"/>
        </w:rPr>
        <w:t>，出资比例</w:t>
      </w:r>
      <w:r>
        <w:rPr>
          <w:rFonts w:hint="eastAsia" w:ascii="宋体" w:hAnsi="宋体" w:eastAsia="宋体" w:cs="宋体"/>
          <w:snapToGrid w:val="0"/>
          <w:color w:val="auto"/>
          <w:kern w:val="0"/>
          <w:sz w:val="24"/>
          <w:szCs w:val="24"/>
          <w:highlight w:val="none"/>
          <w:u w:val="single"/>
          <w:lang w:eastAsia="zh-CN"/>
        </w:rPr>
        <w:t>资金已落实</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snapToGrid w:val="0"/>
          <w:color w:val="auto"/>
          <w:kern w:val="0"/>
          <w:sz w:val="24"/>
          <w:szCs w:val="24"/>
          <w:highlight w:val="none"/>
        </w:rPr>
        <w:t>，招标人为</w:t>
      </w:r>
      <w:r>
        <w:rPr>
          <w:rFonts w:hint="eastAsia" w:ascii="宋体" w:hAnsi="宋体" w:eastAsia="宋体" w:cs="宋体"/>
          <w:snapToGrid w:val="0"/>
          <w:color w:val="auto"/>
          <w:kern w:val="0"/>
          <w:sz w:val="24"/>
          <w:szCs w:val="24"/>
          <w:highlight w:val="none"/>
          <w:u w:val="single"/>
          <w:lang w:eastAsia="zh-CN"/>
        </w:rPr>
        <w:t>仁化县林业局</w:t>
      </w:r>
      <w:r>
        <w:rPr>
          <w:rFonts w:hint="eastAsia" w:ascii="宋体" w:hAnsi="宋体" w:eastAsia="宋体" w:cs="宋体"/>
          <w:snapToGrid w:val="0"/>
          <w:color w:val="auto"/>
          <w:kern w:val="0"/>
          <w:sz w:val="24"/>
          <w:szCs w:val="24"/>
          <w:highlight w:val="none"/>
        </w:rPr>
        <w:t>，招标代理机构为</w:t>
      </w:r>
      <w:r>
        <w:rPr>
          <w:rFonts w:hint="eastAsia" w:ascii="宋体" w:hAnsi="宋体" w:eastAsia="宋体" w:cs="宋体"/>
          <w:snapToGrid w:val="0"/>
          <w:color w:val="auto"/>
          <w:kern w:val="0"/>
          <w:sz w:val="24"/>
          <w:szCs w:val="24"/>
          <w:highlight w:val="none"/>
          <w:u w:val="single"/>
          <w:lang w:val="en-US" w:eastAsia="zh-CN"/>
        </w:rPr>
        <w:t>中晋工程项目管理有限公司</w:t>
      </w:r>
      <w:r>
        <w:rPr>
          <w:rFonts w:hint="eastAsia" w:ascii="宋体" w:hAnsi="宋体" w:eastAsia="宋体" w:cs="宋体"/>
          <w:snapToGrid w:val="0"/>
          <w:color w:val="auto"/>
          <w:kern w:val="0"/>
          <w:sz w:val="24"/>
          <w:szCs w:val="24"/>
          <w:highlight w:val="none"/>
        </w:rPr>
        <w:t>。项目已具备招标条件，现对该项目的</w:t>
      </w:r>
      <w:r>
        <w:rPr>
          <w:rFonts w:hint="eastAsia" w:ascii="宋体" w:hAnsi="宋体" w:eastAsia="宋体" w:cs="宋体"/>
          <w:snapToGrid w:val="0"/>
          <w:color w:val="auto"/>
          <w:kern w:val="0"/>
          <w:sz w:val="24"/>
          <w:szCs w:val="24"/>
          <w:highlight w:val="none"/>
          <w:u w:val="single"/>
          <w:lang w:eastAsia="zh-CN"/>
        </w:rPr>
        <w:t>（</w:t>
      </w:r>
      <w:r>
        <w:rPr>
          <w:rFonts w:hint="eastAsia" w:ascii="宋体" w:hAnsi="宋体" w:eastAsia="宋体" w:cs="宋体"/>
          <w:snapToGrid w:val="0"/>
          <w:color w:val="auto"/>
          <w:kern w:val="0"/>
          <w:sz w:val="24"/>
          <w:szCs w:val="24"/>
          <w:highlight w:val="none"/>
          <w:u w:val="single"/>
          <w:lang w:val="en-US" w:eastAsia="zh-CN"/>
        </w:rPr>
        <w:t>一期</w:t>
      </w:r>
      <w:r>
        <w:rPr>
          <w:rFonts w:hint="eastAsia" w:ascii="宋体" w:hAnsi="宋体" w:eastAsia="宋体" w:cs="宋体"/>
          <w:snapToGrid w:val="0"/>
          <w:color w:val="auto"/>
          <w:kern w:val="0"/>
          <w:sz w:val="24"/>
          <w:szCs w:val="24"/>
          <w:highlight w:val="none"/>
          <w:u w:val="single"/>
          <w:lang w:eastAsia="zh-CN"/>
        </w:rPr>
        <w:t>）施工</w:t>
      </w:r>
      <w:r>
        <w:rPr>
          <w:rFonts w:hint="eastAsia" w:ascii="宋体" w:hAnsi="宋体" w:eastAsia="宋体" w:cs="宋体"/>
          <w:snapToGrid w:val="0"/>
          <w:color w:val="auto"/>
          <w:kern w:val="0"/>
          <w:sz w:val="24"/>
          <w:szCs w:val="24"/>
          <w:highlight w:val="none"/>
        </w:rPr>
        <w:t>进行公开招标。</w:t>
      </w:r>
    </w:p>
    <w:p w14:paraId="692F6E02">
      <w:pPr>
        <w:spacing w:before="78" w:line="220" w:lineRule="auto"/>
        <w:ind w:left="496"/>
        <w:outlineLvl w:val="2"/>
        <w:rPr>
          <w:rFonts w:hint="eastAsia" w:ascii="宋体" w:hAnsi="宋体" w:eastAsia="宋体" w:cs="宋体"/>
          <w:color w:val="auto"/>
          <w:sz w:val="24"/>
          <w:szCs w:val="24"/>
          <w:highlight w:val="none"/>
        </w:rPr>
      </w:pPr>
      <w:bookmarkStart w:id="9" w:name="bookmark73"/>
      <w:bookmarkEnd w:id="9"/>
      <w:bookmarkStart w:id="10" w:name="bookmark59"/>
      <w:bookmarkEnd w:id="10"/>
      <w:bookmarkStart w:id="11" w:name="bookmark52"/>
      <w:bookmarkEnd w:id="11"/>
      <w:bookmarkStart w:id="12" w:name="_Toc15993"/>
      <w:bookmarkStart w:id="13" w:name="_Toc19017"/>
      <w:r>
        <w:rPr>
          <w:rFonts w:hint="eastAsia" w:ascii="宋体" w:hAnsi="宋体" w:eastAsia="宋体" w:cs="宋体"/>
          <w:b/>
          <w:bCs/>
          <w:color w:val="auto"/>
          <w:spacing w:val="-4"/>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4"/>
          <w:sz w:val="24"/>
          <w:szCs w:val="24"/>
          <w:highlight w:val="none"/>
        </w:rPr>
        <w:t>．项目概况、招标范围和标段划分、投标费用等</w:t>
      </w:r>
      <w:bookmarkEnd w:id="12"/>
      <w:bookmarkEnd w:id="13"/>
    </w:p>
    <w:p w14:paraId="49DE2858">
      <w:pPr>
        <w:spacing w:before="153" w:line="36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1.1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5"/>
          <w:sz w:val="24"/>
          <w:szCs w:val="24"/>
          <w:highlight w:val="none"/>
        </w:rPr>
        <w:t>项目概况</w:t>
      </w:r>
    </w:p>
    <w:p w14:paraId="2FC94A93">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1.1.1  </w:t>
      </w:r>
      <w:r>
        <w:rPr>
          <w:rFonts w:hint="eastAsia" w:ascii="宋体" w:hAnsi="宋体" w:eastAsia="宋体" w:cs="宋体"/>
          <w:color w:val="auto"/>
          <w:spacing w:val="-2"/>
          <w:sz w:val="24"/>
          <w:szCs w:val="24"/>
          <w:highlight w:val="none"/>
        </w:rPr>
        <w:t>建设地点：</w:t>
      </w:r>
      <w:r>
        <w:rPr>
          <w:rFonts w:hint="eastAsia" w:ascii="宋体" w:hAnsi="宋体" w:eastAsia="宋体" w:cs="宋体"/>
          <w:color w:val="auto"/>
          <w:sz w:val="24"/>
          <w:szCs w:val="24"/>
          <w:highlight w:val="none"/>
          <w:u w:val="single"/>
          <w:lang w:val="en-US" w:eastAsia="zh-CN"/>
        </w:rPr>
        <w:t>仁化县丹霞山周边周边重点区域，包括丹霞街道、董塘镇、黄坑镇等。</w:t>
      </w:r>
    </w:p>
    <w:p w14:paraId="0BFB6051">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pacing w:val="-2"/>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1.1.2  </w:t>
      </w:r>
      <w:r>
        <w:rPr>
          <w:rFonts w:hint="eastAsia" w:ascii="宋体" w:hAnsi="宋体" w:eastAsia="宋体" w:cs="宋体"/>
          <w:color w:val="auto"/>
          <w:spacing w:val="-2"/>
          <w:sz w:val="24"/>
          <w:szCs w:val="24"/>
          <w:highlight w:val="none"/>
        </w:rPr>
        <w:t>建设内容和规模：</w:t>
      </w:r>
      <w:r>
        <w:rPr>
          <w:rFonts w:hint="eastAsia" w:ascii="宋体" w:hAnsi="宋体" w:eastAsia="宋体" w:cs="宋体"/>
          <w:color w:val="auto"/>
          <w:spacing w:val="-2"/>
          <w:sz w:val="24"/>
          <w:szCs w:val="24"/>
          <w:highlight w:val="none"/>
          <w:u w:val="single"/>
          <w:lang w:eastAsia="zh-CN"/>
        </w:rPr>
        <w:t>在仁化县丹霞山周边重点区域交通干线两侧实施生态修复和森林质量精准提升等内容，实施范围涵盖G535线、黄屋至丹霞山收费站(武深高速)连接线、G106线及Y016线等重点路段，对沿线裸露地块及绿化薄弱区域因地制宜进行改造，全面提升区域生态质量</w:t>
      </w:r>
      <w:r>
        <w:rPr>
          <w:rFonts w:hint="eastAsia" w:ascii="宋体" w:hAnsi="宋体" w:eastAsia="宋体" w:cs="宋体"/>
          <w:color w:val="auto"/>
          <w:spacing w:val="-2"/>
          <w:sz w:val="24"/>
          <w:szCs w:val="24"/>
          <w:highlight w:val="none"/>
          <w:u w:val="single"/>
          <w:lang w:val="en-US" w:eastAsia="zh-CN"/>
        </w:rPr>
        <w:t>。（最终以施工图纸及工程量清单为准）</w:t>
      </w:r>
    </w:p>
    <w:p w14:paraId="13C34DBA">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pacing w:val="-2"/>
          <w:sz w:val="24"/>
          <w:szCs w:val="24"/>
          <w:highlight w:val="none"/>
        </w:rPr>
        <w:t xml:space="preserve">1.1.3  </w:t>
      </w:r>
      <w:r>
        <w:rPr>
          <w:rFonts w:hint="eastAsia" w:ascii="宋体" w:hAnsi="宋体" w:eastAsia="宋体" w:cs="宋体"/>
          <w:color w:val="auto"/>
          <w:spacing w:val="-2"/>
          <w:sz w:val="24"/>
          <w:szCs w:val="24"/>
          <w:highlight w:val="none"/>
        </w:rPr>
        <w:t>项目总投资</w:t>
      </w:r>
      <w:r>
        <w:rPr>
          <w:rStyle w:val="21"/>
          <w:rFonts w:hint="eastAsia" w:ascii="宋体" w:hAnsi="宋体" w:eastAsia="宋体" w:cs="宋体"/>
          <w:color w:val="auto"/>
          <w:kern w:val="0"/>
          <w:sz w:val="24"/>
          <w:szCs w:val="24"/>
          <w:highlight w:val="none"/>
        </w:rPr>
        <w:t>：</w:t>
      </w:r>
      <w:r>
        <w:rPr>
          <w:rStyle w:val="21"/>
          <w:rFonts w:hint="eastAsia" w:ascii="宋体" w:hAnsi="宋体" w:eastAsia="宋体" w:cs="宋体"/>
          <w:color w:val="auto"/>
          <w:kern w:val="0"/>
          <w:sz w:val="24"/>
          <w:szCs w:val="24"/>
          <w:highlight w:val="none"/>
          <w:u w:val="single"/>
          <w:lang w:val="en-US" w:eastAsia="zh-CN"/>
        </w:rPr>
        <w:t>概算总投资为1327.95万元，其中工程费用1247.78万元(含沿线清杂、苗木栽植及验收后2年养护等建设内容)；工程建设其他费用80.17万元。</w:t>
      </w:r>
    </w:p>
    <w:p w14:paraId="758B6CCF">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u w:val="single"/>
          <w:lang w:val="en-US" w:eastAsia="zh-CN"/>
        </w:rPr>
      </w:pPr>
      <w:r>
        <w:rPr>
          <w:rFonts w:hint="eastAsia" w:ascii="宋体" w:hAnsi="宋体" w:eastAsia="宋体" w:cs="宋体"/>
          <w:b/>
          <w:bCs/>
          <w:color w:val="auto"/>
          <w:sz w:val="24"/>
          <w:szCs w:val="24"/>
          <w:highlight w:val="none"/>
          <w:u w:val="none"/>
          <w:lang w:val="en-US" w:eastAsia="zh-CN"/>
        </w:rPr>
        <w:t>1</w:t>
      </w:r>
      <w:r>
        <w:rPr>
          <w:rFonts w:hint="eastAsia" w:ascii="宋体" w:hAnsi="宋体" w:eastAsia="宋体" w:cs="宋体"/>
          <w:b/>
          <w:bCs/>
          <w:color w:val="auto"/>
          <w:spacing w:val="-2"/>
          <w:sz w:val="24"/>
          <w:szCs w:val="24"/>
          <w:highlight w:val="none"/>
          <w:u w:val="none"/>
          <w:lang w:val="en-US" w:eastAsia="zh-CN"/>
        </w:rPr>
        <w:t xml:space="preserve">.2 </w:t>
      </w:r>
      <w:r>
        <w:rPr>
          <w:rFonts w:hint="eastAsia" w:ascii="宋体" w:hAnsi="宋体" w:eastAsia="宋体" w:cs="宋体"/>
          <w:color w:val="auto"/>
          <w:sz w:val="24"/>
          <w:szCs w:val="24"/>
          <w:highlight w:val="none"/>
          <w:u w:val="single"/>
          <w:lang w:val="en-US" w:eastAsia="zh-CN"/>
        </w:rPr>
        <w:t xml:space="preserve"> 招标范围和标段划分</w:t>
      </w:r>
    </w:p>
    <w:p w14:paraId="52F0C381">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2"/>
          <w:sz w:val="24"/>
          <w:szCs w:val="24"/>
          <w:highlight w:val="none"/>
        </w:rPr>
        <w:t xml:space="preserve">1.2.1  </w:t>
      </w:r>
      <w:r>
        <w:rPr>
          <w:rFonts w:hint="eastAsia" w:ascii="宋体" w:hAnsi="宋体" w:eastAsia="宋体" w:cs="宋体"/>
          <w:color w:val="auto"/>
          <w:spacing w:val="-2"/>
          <w:sz w:val="24"/>
          <w:szCs w:val="24"/>
          <w:highlight w:val="none"/>
        </w:rPr>
        <w:t>招标范围：</w:t>
      </w:r>
      <w:r>
        <w:rPr>
          <w:rFonts w:hint="eastAsia" w:ascii="宋体" w:hAnsi="宋体" w:eastAsia="宋体" w:cs="宋体"/>
          <w:color w:val="auto"/>
          <w:spacing w:val="-1"/>
          <w:sz w:val="24"/>
          <w:szCs w:val="24"/>
          <w:highlight w:val="none"/>
        </w:rPr>
        <w:t>按审查合格的施工图纸及工程量清单内容施工</w:t>
      </w:r>
      <w:r>
        <w:rPr>
          <w:rFonts w:hint="eastAsia" w:ascii="宋体" w:hAnsi="宋体" w:eastAsia="宋体" w:cs="宋体"/>
          <w:color w:val="auto"/>
          <w:spacing w:val="-1"/>
          <w:sz w:val="24"/>
          <w:szCs w:val="24"/>
          <w:highlight w:val="none"/>
          <w:lang w:eastAsia="zh-CN"/>
        </w:rPr>
        <w:t>。</w:t>
      </w:r>
    </w:p>
    <w:p w14:paraId="4A32985A">
      <w:pPr>
        <w:keepNext w:val="0"/>
        <w:keepLines w:val="0"/>
        <w:pageBreakBefore w:val="0"/>
        <w:widowControl/>
        <w:kinsoku w:val="0"/>
        <w:wordWrap/>
        <w:overflowPunct/>
        <w:topLinePunct w:val="0"/>
        <w:autoSpaceDE w:val="0"/>
        <w:autoSpaceDN w:val="0"/>
        <w:bidi w:val="0"/>
        <w:adjustRightInd w:val="0"/>
        <w:snapToGrid w:val="0"/>
        <w:spacing w:line="360" w:lineRule="auto"/>
        <w:ind w:left="493"/>
        <w:textAlignment w:val="baseline"/>
        <w:outlineLvl w:val="9"/>
        <w:rPr>
          <w:rFonts w:hint="eastAsia" w:ascii="宋体" w:hAnsi="宋体" w:eastAsia="宋体" w:cs="宋体"/>
          <w:color w:val="auto"/>
          <w:sz w:val="24"/>
          <w:szCs w:val="24"/>
          <w:highlight w:val="none"/>
        </w:rPr>
      </w:pPr>
      <w:bookmarkStart w:id="14" w:name="_Toc14190"/>
      <w:bookmarkStart w:id="15" w:name="_Toc20855"/>
      <w:bookmarkStart w:id="16" w:name="_Toc28202"/>
      <w:bookmarkStart w:id="17" w:name="_Toc24593"/>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标段划分：本招标项目不划分标段。</w:t>
      </w:r>
      <w:bookmarkEnd w:id="14"/>
      <w:bookmarkEnd w:id="15"/>
      <w:bookmarkEnd w:id="16"/>
      <w:bookmarkEnd w:id="17"/>
    </w:p>
    <w:p w14:paraId="71B39489">
      <w:pPr>
        <w:keepNext w:val="0"/>
        <w:keepLines w:val="0"/>
        <w:pageBreakBefore w:val="0"/>
        <w:widowControl/>
        <w:kinsoku w:val="0"/>
        <w:overflowPunct/>
        <w:topLinePunct w:val="0"/>
        <w:autoSpaceDE w:val="0"/>
        <w:autoSpaceDN w:val="0"/>
        <w:bidi w:val="0"/>
        <w:adjustRightInd w:val="0"/>
        <w:snapToGrid w:val="0"/>
        <w:spacing w:line="360" w:lineRule="auto"/>
        <w:ind w:left="13" w:right="65" w:firstLine="53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  </w:t>
      </w:r>
      <w:r>
        <w:rPr>
          <w:rFonts w:hint="eastAsia" w:ascii="宋体" w:hAnsi="宋体" w:eastAsia="宋体" w:cs="宋体"/>
          <w:color w:val="auto"/>
          <w:spacing w:val="-1"/>
          <w:sz w:val="24"/>
          <w:szCs w:val="24"/>
          <w:highlight w:val="none"/>
        </w:rPr>
        <w:t>投标费用：投标人应承担所有准备和参加投标的相关费用，不</w:t>
      </w:r>
      <w:r>
        <w:rPr>
          <w:rFonts w:hint="eastAsia" w:ascii="宋体" w:hAnsi="宋体" w:eastAsia="宋体" w:cs="宋体"/>
          <w:color w:val="auto"/>
          <w:spacing w:val="-2"/>
          <w:sz w:val="24"/>
          <w:szCs w:val="24"/>
          <w:highlight w:val="none"/>
        </w:rPr>
        <w:t>论投标结果如</w:t>
      </w:r>
      <w:r>
        <w:rPr>
          <w:rFonts w:hint="eastAsia" w:ascii="宋体" w:hAnsi="宋体" w:eastAsia="宋体" w:cs="宋体"/>
          <w:color w:val="auto"/>
          <w:spacing w:val="-1"/>
          <w:sz w:val="24"/>
          <w:szCs w:val="24"/>
          <w:highlight w:val="none"/>
        </w:rPr>
        <w:t>何，招标人均无义务和责任承担这些费用。</w:t>
      </w:r>
    </w:p>
    <w:p w14:paraId="59A5251A">
      <w:pPr>
        <w:keepNext w:val="0"/>
        <w:keepLines w:val="0"/>
        <w:pageBreakBefore w:val="0"/>
        <w:widowControl/>
        <w:kinsoku w:val="0"/>
        <w:overflowPunct/>
        <w:topLinePunct w:val="0"/>
        <w:autoSpaceDE w:val="0"/>
        <w:autoSpaceDN w:val="0"/>
        <w:bidi w:val="0"/>
        <w:adjustRightInd w:val="0"/>
        <w:snapToGrid w:val="0"/>
        <w:spacing w:line="360" w:lineRule="auto"/>
        <w:ind w:left="496"/>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rPr>
        <w:t xml:space="preserve">1.4  </w:t>
      </w:r>
      <w:r>
        <w:rPr>
          <w:rFonts w:hint="eastAsia" w:ascii="宋体" w:hAnsi="宋体" w:eastAsia="宋体" w:cs="宋体"/>
          <w:color w:val="auto"/>
          <w:spacing w:val="-6"/>
          <w:sz w:val="24"/>
          <w:szCs w:val="24"/>
          <w:highlight w:val="none"/>
        </w:rPr>
        <w:t>招标代理费用：</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82"/>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w:t>
      </w:r>
      <w:r>
        <w:rPr>
          <w:rFonts w:hint="eastAsia" w:ascii="宋体" w:hAnsi="宋体" w:eastAsia="宋体" w:cs="宋体"/>
          <w:color w:val="auto"/>
          <w:spacing w:val="6"/>
          <w:sz w:val="24"/>
          <w:szCs w:val="24"/>
          <w:highlight w:val="none"/>
        </w:rPr>
        <w:t>项目业主</w:t>
      </w:r>
      <w:r>
        <w:rPr>
          <w:rFonts w:hint="eastAsia" w:ascii="宋体" w:hAnsi="宋体" w:eastAsia="宋体" w:cs="宋体"/>
          <w:color w:val="auto"/>
          <w:spacing w:val="-6"/>
          <w:sz w:val="24"/>
          <w:szCs w:val="24"/>
          <w:highlight w:val="none"/>
          <w:shd w:val="clear" w:color="auto" w:fill="FFFFFF"/>
        </w:rPr>
        <w:t>支</w:t>
      </w:r>
      <w:r>
        <w:rPr>
          <w:rFonts w:hint="eastAsia" w:ascii="宋体" w:hAnsi="宋体" w:eastAsia="宋体" w:cs="宋体"/>
          <w:color w:val="auto"/>
          <w:spacing w:val="-6"/>
          <w:sz w:val="24"/>
          <w:szCs w:val="24"/>
          <w:highlight w:val="none"/>
        </w:rPr>
        <w:t>付</w:t>
      </w:r>
      <w:r>
        <w:rPr>
          <w:rFonts w:hint="eastAsia" w:ascii="宋体" w:hAnsi="宋体" w:eastAsia="宋体" w:cs="宋体"/>
          <w:color w:val="auto"/>
          <w:position w:val="-6"/>
          <w:sz w:val="24"/>
          <w:szCs w:val="24"/>
          <w:highlight w:val="none"/>
          <w:shd w:val="clear" w:color="auto" w:fill="FFFFFF"/>
          <w:lang w:eastAsia="zh-CN"/>
        </w:rPr>
        <w:t xml:space="preserve"> </w:t>
      </w:r>
      <w:r>
        <w:rPr>
          <w:rFonts w:hint="eastAsia" w:ascii="宋体" w:hAnsi="宋体" w:eastAsia="宋体" w:cs="宋体"/>
          <w:color w:val="auto"/>
          <w:spacing w:val="-6"/>
          <w:sz w:val="24"/>
          <w:szCs w:val="24"/>
          <w:highlight w:val="none"/>
          <w:shd w:val="clear" w:color="auto" w:fill="FFFFFF"/>
          <w:lang w:eastAsia="zh-CN"/>
        </w:rPr>
        <w:t>☑</w:t>
      </w:r>
      <w:r>
        <w:rPr>
          <w:rFonts w:hint="eastAsia" w:ascii="宋体" w:hAnsi="宋体" w:eastAsia="宋体" w:cs="宋体"/>
          <w:color w:val="auto"/>
          <w:spacing w:val="-81"/>
          <w:sz w:val="24"/>
          <w:szCs w:val="24"/>
          <w:highlight w:val="none"/>
          <w:shd w:val="clear" w:color="auto" w:fill="FFFFFF"/>
        </w:rPr>
        <w:t xml:space="preserve"> </w:t>
      </w:r>
      <w:r>
        <w:rPr>
          <w:rFonts w:hint="eastAsia" w:ascii="宋体" w:hAnsi="宋体" w:eastAsia="宋体" w:cs="宋体"/>
          <w:color w:val="auto"/>
          <w:spacing w:val="-6"/>
          <w:sz w:val="24"/>
          <w:szCs w:val="24"/>
          <w:highlight w:val="none"/>
          <w:shd w:val="clear" w:color="auto" w:fill="FFFFFF"/>
        </w:rPr>
        <w:t>由中标人支付。</w:t>
      </w:r>
    </w:p>
    <w:p w14:paraId="695842AD">
      <w:pPr>
        <w:keepNext w:val="0"/>
        <w:keepLines w:val="0"/>
        <w:pageBreakBefore w:val="0"/>
        <w:widowControl/>
        <w:kinsoku w:val="0"/>
        <w:wordWrap w:val="0"/>
        <w:overflowPunct/>
        <w:topLinePunct w:val="0"/>
        <w:autoSpaceDE w:val="0"/>
        <w:autoSpaceDN w:val="0"/>
        <w:bidi w:val="0"/>
        <w:adjustRightInd w:val="0"/>
        <w:snapToGrid w:val="0"/>
        <w:spacing w:line="360" w:lineRule="auto"/>
        <w:ind w:firstLine="482" w:firstLineChars="200"/>
        <w:jc w:val="left"/>
        <w:textAlignment w:val="baseline"/>
        <w:outlineLvl w:val="2"/>
        <w:rPr>
          <w:rFonts w:hint="eastAsia" w:ascii="宋体" w:hAnsi="宋体" w:eastAsia="宋体" w:cs="宋体"/>
          <w:b w:val="0"/>
          <w:bCs w:val="0"/>
          <w:color w:val="auto"/>
          <w:sz w:val="24"/>
          <w:szCs w:val="24"/>
          <w:highlight w:val="none"/>
        </w:rPr>
      </w:pPr>
      <w:bookmarkStart w:id="18" w:name="_Toc21208"/>
      <w:r>
        <w:rPr>
          <w:rFonts w:hint="eastAsia" w:ascii="宋体" w:hAnsi="宋体" w:eastAsia="宋体" w:cs="宋体"/>
          <w:b/>
          <w:bCs/>
          <w:color w:val="auto"/>
          <w:sz w:val="24"/>
          <w:szCs w:val="24"/>
          <w:highlight w:val="none"/>
        </w:rPr>
        <w:t>2．</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资质要求</w:t>
      </w:r>
      <w:bookmarkEnd w:id="18"/>
    </w:p>
    <w:p w14:paraId="4A910DA8">
      <w:pPr>
        <w:wordWrap w:val="0"/>
        <w:adjustRightInd w:val="0"/>
        <w:snapToGrid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2.1</w:t>
      </w:r>
      <w:r>
        <w:rPr>
          <w:rStyle w:val="21"/>
          <w:rFonts w:hint="eastAsia" w:ascii="宋体" w:hAnsi="宋体" w:eastAsia="宋体" w:cs="宋体"/>
          <w:b w:val="0"/>
          <w:bCs w:val="0"/>
          <w:color w:val="auto"/>
          <w:kern w:val="0"/>
          <w:sz w:val="24"/>
          <w:szCs w:val="24"/>
          <w:highlight w:val="none"/>
          <w:lang w:val="en-US" w:eastAsia="zh-CN"/>
        </w:rPr>
        <w:t xml:space="preserve"> 本次招标不接受联合体投标。</w:t>
      </w:r>
    </w:p>
    <w:p w14:paraId="65A5F158">
      <w:pPr>
        <w:wordWrap w:val="0"/>
        <w:adjustRightInd w:val="0"/>
        <w:snapToGrid w:val="0"/>
        <w:spacing w:line="360" w:lineRule="auto"/>
        <w:ind w:firstLine="482" w:firstLineChars="200"/>
        <w:rPr>
          <w:rStyle w:val="21"/>
          <w:rFonts w:hint="eastAsia" w:ascii="宋体" w:hAnsi="宋体" w:eastAsia="宋体" w:cs="宋体"/>
          <w:b w:val="0"/>
          <w:bCs w:val="0"/>
          <w:color w:val="auto"/>
          <w:kern w:val="0"/>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 </w:t>
      </w:r>
      <w:r>
        <w:rPr>
          <w:rStyle w:val="21"/>
          <w:rFonts w:hint="eastAsia" w:ascii="宋体" w:hAnsi="宋体" w:eastAsia="宋体" w:cs="宋体"/>
          <w:b w:val="0"/>
          <w:bCs w:val="0"/>
          <w:color w:val="auto"/>
          <w:kern w:val="0"/>
          <w:sz w:val="24"/>
          <w:szCs w:val="24"/>
          <w:highlight w:val="none"/>
          <w:lang w:val="en-US" w:eastAsia="zh-CN"/>
        </w:rPr>
        <w:t>资格资质要求</w:t>
      </w:r>
    </w:p>
    <w:p w14:paraId="3EC3E140">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2.2.1 </w:t>
      </w:r>
      <w:r>
        <w:rPr>
          <w:rFonts w:hint="eastAsia" w:ascii="宋体" w:hAnsi="宋体" w:eastAsia="宋体" w:cs="宋体"/>
          <w:b w:val="0"/>
          <w:bCs w:val="0"/>
          <w:color w:val="auto"/>
          <w:sz w:val="24"/>
          <w:szCs w:val="24"/>
          <w:highlight w:val="none"/>
          <w:lang w:val="en-US" w:eastAsia="zh-CN"/>
        </w:rPr>
        <w:t>投标人须具备独立法人资格，按国家法律经营。</w:t>
      </w:r>
    </w:p>
    <w:p w14:paraId="11B0033A">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2.2.2 </w:t>
      </w:r>
      <w:r>
        <w:rPr>
          <w:rFonts w:hint="eastAsia" w:ascii="宋体" w:hAnsi="宋体" w:eastAsia="宋体" w:cs="宋体"/>
          <w:b w:val="0"/>
          <w:bCs w:val="0"/>
          <w:color w:val="auto"/>
          <w:sz w:val="24"/>
          <w:szCs w:val="24"/>
          <w:highlight w:val="none"/>
          <w:lang w:val="en-US" w:eastAsia="zh-CN"/>
        </w:rPr>
        <w:t>投标人须持有建设行政主管部门颁发的企业资质证书及安全生产许可证。</w:t>
      </w:r>
    </w:p>
    <w:p w14:paraId="60B9A4D6">
      <w:pPr>
        <w:keepNext w:val="0"/>
        <w:keepLines w:val="0"/>
        <w:pageBreakBefore w:val="0"/>
        <w:shd w:val="clear" w:color="auto" w:fill="auto"/>
        <w:kinsoku/>
        <w:wordWrap w:val="0"/>
        <w:overflowPunct/>
        <w:topLinePunct w:val="0"/>
        <w:bidi w:val="0"/>
        <w:adjustRightInd w:val="0"/>
        <w:snapToGrid w:val="0"/>
        <w:spacing w:line="312" w:lineRule="auto"/>
        <w:ind w:firstLine="482" w:firstLineChars="200"/>
        <w:jc w:val="left"/>
        <w:textAlignment w:val="auto"/>
        <w:rPr>
          <w:rFonts w:hint="eastAsia" w:ascii="宋体" w:hAnsi="宋体" w:eastAsia="宋体" w:cs="宋体"/>
          <w:b/>
          <w:bCs/>
          <w:snapToGrid w:val="0"/>
          <w:color w:val="auto"/>
          <w:kern w:val="0"/>
          <w:sz w:val="24"/>
          <w:szCs w:val="24"/>
          <w:highlight w:val="none"/>
          <w:lang w:eastAsia="zh-CN"/>
        </w:rPr>
      </w:pPr>
      <w:r>
        <w:rPr>
          <w:rStyle w:val="21"/>
          <w:rFonts w:hint="eastAsia" w:ascii="宋体" w:hAnsi="宋体" w:eastAsia="宋体" w:cs="宋体"/>
          <w:b/>
          <w:bCs/>
          <w:color w:val="auto"/>
          <w:kern w:val="0"/>
          <w:sz w:val="24"/>
          <w:szCs w:val="24"/>
          <w:highlight w:val="none"/>
          <w:lang w:val="en-US" w:eastAsia="zh-CN"/>
        </w:rPr>
        <w:t xml:space="preserve">2.2.3 </w:t>
      </w:r>
      <w:r>
        <w:rPr>
          <w:rFonts w:hint="eastAsia" w:ascii="宋体" w:hAnsi="宋体" w:eastAsia="宋体" w:cs="宋体"/>
          <w:b w:val="0"/>
          <w:bCs w:val="0"/>
          <w:color w:val="auto"/>
          <w:sz w:val="24"/>
          <w:szCs w:val="24"/>
          <w:highlight w:val="none"/>
          <w:lang w:val="en-US" w:eastAsia="zh-CN"/>
        </w:rPr>
        <w:t>投标人须具备以下资质：</w:t>
      </w:r>
      <w:r>
        <w:rPr>
          <w:rFonts w:hint="eastAsia" w:ascii="宋体" w:hAnsi="宋体" w:eastAsia="宋体" w:cs="宋体"/>
          <w:b/>
          <w:bCs/>
          <w:color w:val="auto"/>
          <w:sz w:val="24"/>
          <w:szCs w:val="24"/>
          <w:highlight w:val="none"/>
          <w:u w:val="single"/>
          <w:lang w:val="en-US" w:eastAsia="zh-CN"/>
        </w:rPr>
        <w:t>具有建设行政主管部门颁发的市政公用工程施工总承包叁级以上（含叁级）资质。</w:t>
      </w:r>
    </w:p>
    <w:p w14:paraId="7C360684">
      <w:pPr>
        <w:wordWrap w:val="0"/>
        <w:adjustRightInd w:val="0"/>
        <w:snapToGrid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p>
    <w:p w14:paraId="207B07C9">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2.2.4 </w:t>
      </w:r>
      <w:r>
        <w:rPr>
          <w:rFonts w:hint="eastAsia" w:ascii="宋体" w:hAnsi="宋体" w:eastAsia="宋体" w:cs="宋体"/>
          <w:b w:val="0"/>
          <w:bCs w:val="0"/>
          <w:color w:val="auto"/>
          <w:sz w:val="24"/>
          <w:szCs w:val="24"/>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1246A834">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 </w:t>
      </w:r>
      <w:r>
        <w:rPr>
          <w:rFonts w:hint="eastAsia" w:ascii="宋体" w:hAnsi="宋体" w:eastAsia="宋体" w:cs="宋体"/>
          <w:b w:val="0"/>
          <w:bCs w:val="0"/>
          <w:color w:val="auto"/>
          <w:sz w:val="24"/>
          <w:szCs w:val="24"/>
          <w:highlight w:val="none"/>
          <w:lang w:val="en-US" w:eastAsia="zh-CN"/>
        </w:rPr>
        <w:t>相关人员要求</w:t>
      </w:r>
    </w:p>
    <w:p w14:paraId="0684207F">
      <w:pPr>
        <w:wordWrap w:val="0"/>
        <w:adjustRightInd w:val="0"/>
        <w:snapToGrid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2.3.1 </w:t>
      </w:r>
      <w:r>
        <w:rPr>
          <w:rFonts w:hint="eastAsia" w:ascii="宋体" w:hAnsi="宋体" w:eastAsia="宋体" w:cs="宋体"/>
          <w:b w:val="0"/>
          <w:bCs w:val="0"/>
          <w:color w:val="auto"/>
          <w:sz w:val="24"/>
          <w:szCs w:val="24"/>
          <w:highlight w:val="none"/>
          <w:lang w:val="en-US" w:eastAsia="zh-CN"/>
        </w:rPr>
        <w:t>拟派项目经理为</w:t>
      </w:r>
      <w:r>
        <w:rPr>
          <w:rFonts w:hint="eastAsia" w:ascii="宋体" w:hAnsi="宋体" w:eastAsia="宋体" w:cs="宋体"/>
          <w:b/>
          <w:bCs/>
          <w:color w:val="auto"/>
          <w:sz w:val="24"/>
          <w:szCs w:val="24"/>
          <w:highlight w:val="none"/>
          <w:u w:val="single"/>
          <w:lang w:val="en-US" w:eastAsia="zh-CN"/>
        </w:rPr>
        <w:t>市政公用工程</w:t>
      </w:r>
      <w:r>
        <w:rPr>
          <w:rFonts w:hint="eastAsia" w:ascii="宋体" w:hAnsi="宋体" w:eastAsia="宋体" w:cs="宋体"/>
          <w:b w:val="0"/>
          <w:bCs w:val="0"/>
          <w:color w:val="auto"/>
          <w:sz w:val="24"/>
          <w:szCs w:val="24"/>
          <w:highlight w:val="none"/>
          <w:lang w:val="en-US" w:eastAsia="zh-CN"/>
        </w:rPr>
        <w:t xml:space="preserve">专业一级或二级注册建造师，应持有住建部门印发的在使用有效期内的有效电子注册证书。同时均须具备有效安全生产考核合格证明（B 证），且未担任其他在施（包括已中标未开工、已开工未竣工）建设工程项目的项目经理。 </w:t>
      </w:r>
    </w:p>
    <w:p w14:paraId="7EC74BD7">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2.3.2 </w:t>
      </w:r>
      <w:r>
        <w:rPr>
          <w:rFonts w:hint="eastAsia" w:ascii="宋体" w:hAnsi="宋体" w:eastAsia="宋体" w:cs="宋体"/>
          <w:b/>
          <w:bCs/>
          <w:snapToGrid w:val="0"/>
          <w:color w:val="auto"/>
          <w:kern w:val="0"/>
          <w:sz w:val="24"/>
          <w:szCs w:val="24"/>
          <w:highlight w:val="none"/>
          <w:lang w:val="en-US" w:eastAsia="zh-CN" w:bidi="ar-SA"/>
        </w:rPr>
        <w:t xml:space="preserve"> </w:t>
      </w:r>
      <w:r>
        <w:rPr>
          <w:rFonts w:hint="eastAsia" w:ascii="宋体" w:hAnsi="宋体" w:eastAsia="宋体" w:cs="宋体"/>
          <w:b w:val="0"/>
          <w:bCs w:val="0"/>
          <w:snapToGrid w:val="0"/>
          <w:color w:val="auto"/>
          <w:kern w:val="0"/>
          <w:sz w:val="24"/>
          <w:szCs w:val="24"/>
          <w:highlight w:val="none"/>
        </w:rPr>
        <w:t>拟派项目技术负责人须具备</w:t>
      </w:r>
      <w:r>
        <w:rPr>
          <w:rFonts w:hint="eastAsia" w:ascii="宋体" w:hAnsi="宋体" w:eastAsia="宋体" w:cs="宋体"/>
          <w:b/>
          <w:bCs/>
          <w:snapToGrid w:val="0"/>
          <w:color w:val="auto"/>
          <w:kern w:val="0"/>
          <w:sz w:val="24"/>
          <w:szCs w:val="24"/>
          <w:highlight w:val="none"/>
          <w:u w:val="single"/>
          <w:lang w:val="en-US" w:eastAsia="zh-CN"/>
        </w:rPr>
        <w:t>中级以上（含中级）技术职称</w:t>
      </w:r>
      <w:r>
        <w:rPr>
          <w:rFonts w:hint="eastAsia" w:ascii="宋体" w:hAnsi="宋体" w:eastAsia="宋体" w:cs="宋体"/>
          <w:b w:val="0"/>
          <w:bCs w:val="0"/>
          <w:snapToGrid w:val="0"/>
          <w:color w:val="auto"/>
          <w:kern w:val="0"/>
          <w:sz w:val="24"/>
          <w:szCs w:val="24"/>
          <w:highlight w:val="none"/>
        </w:rPr>
        <w:t>。</w:t>
      </w:r>
    </w:p>
    <w:p w14:paraId="0C2DFAEE">
      <w:pPr>
        <w:wordWrap w:val="0"/>
        <w:adjustRightInd w:val="0"/>
        <w:snapToGrid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2.3.3 </w:t>
      </w:r>
      <w:r>
        <w:rPr>
          <w:rFonts w:hint="eastAsia" w:ascii="宋体" w:hAnsi="宋体" w:eastAsia="宋体" w:cs="宋体"/>
          <w:b w:val="0"/>
          <w:bCs w:val="0"/>
          <w:color w:val="auto"/>
          <w:sz w:val="24"/>
          <w:szCs w:val="24"/>
          <w:highlight w:val="none"/>
          <w:lang w:val="en-US" w:eastAsia="zh-CN"/>
        </w:rPr>
        <w:t>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b/>
          <w:bCs/>
          <w:color w:val="auto"/>
          <w:sz w:val="24"/>
          <w:szCs w:val="24"/>
          <w:highlight w:val="none"/>
          <w:u w:val="single"/>
          <w:lang w:val="en-US" w:eastAsia="zh-CN"/>
        </w:rPr>
        <w:t>1</w:t>
      </w:r>
      <w:r>
        <w:rPr>
          <w:rFonts w:hint="eastAsia" w:ascii="宋体" w:hAnsi="宋体" w:eastAsia="宋体" w:cs="宋体"/>
          <w:b w:val="0"/>
          <w:bCs w:val="0"/>
          <w:color w:val="auto"/>
          <w:sz w:val="24"/>
          <w:szCs w:val="24"/>
          <w:highlight w:val="none"/>
          <w:lang w:val="en-US" w:eastAsia="zh-CN"/>
        </w:rPr>
        <w:t xml:space="preserve">人。 </w:t>
      </w:r>
    </w:p>
    <w:p w14:paraId="3EC82F78">
      <w:pPr>
        <w:wordWrap w:val="0"/>
        <w:adjustRightInd w:val="0"/>
        <w:snapToGrid w:val="0"/>
        <w:spacing w:line="360" w:lineRule="auto"/>
        <w:ind w:firstLine="482" w:firstLineChars="200"/>
        <w:rPr>
          <w:rFonts w:hint="eastAsia" w:ascii="宋体" w:hAnsi="宋体" w:eastAsia="宋体" w:cs="宋体"/>
          <w:b w:val="0"/>
          <w:bCs w:val="0"/>
          <w:color w:val="auto"/>
          <w:sz w:val="24"/>
          <w:szCs w:val="24"/>
          <w:highlight w:val="none"/>
          <w:lang w:val="en-US" w:eastAsia="zh-CN"/>
        </w:rPr>
      </w:pPr>
      <w:r>
        <w:rPr>
          <w:rStyle w:val="21"/>
          <w:rFonts w:hint="eastAsia" w:ascii="宋体" w:hAnsi="宋体" w:eastAsia="宋体" w:cs="宋体"/>
          <w:b/>
          <w:bCs/>
          <w:color w:val="auto"/>
          <w:kern w:val="0"/>
          <w:sz w:val="24"/>
          <w:szCs w:val="24"/>
          <w:highlight w:val="none"/>
          <w:lang w:val="en-US" w:eastAsia="zh-CN"/>
        </w:rPr>
        <w:t xml:space="preserve">2.3.4 </w:t>
      </w:r>
      <w:r>
        <w:rPr>
          <w:rFonts w:hint="eastAsia" w:ascii="宋体" w:hAnsi="宋体" w:eastAsia="宋体" w:cs="宋体"/>
          <w:b w:val="0"/>
          <w:bCs w:val="0"/>
          <w:color w:val="auto"/>
          <w:sz w:val="24"/>
          <w:szCs w:val="24"/>
          <w:highlight w:val="none"/>
          <w:lang w:val="en-US" w:eastAsia="zh-CN"/>
        </w:rPr>
        <w:t>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390DDE10">
      <w:pPr>
        <w:spacing w:before="78"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  </w:t>
      </w:r>
      <w:r>
        <w:rPr>
          <w:rFonts w:hint="eastAsia" w:ascii="宋体" w:hAnsi="宋体" w:eastAsia="宋体" w:cs="宋体"/>
          <w:color w:val="auto"/>
          <w:spacing w:val="-1"/>
          <w:sz w:val="24"/>
          <w:szCs w:val="24"/>
          <w:highlight w:val="none"/>
        </w:rPr>
        <w:t>禁止投标条款</w:t>
      </w:r>
    </w:p>
    <w:p w14:paraId="06D1D3EA">
      <w:pPr>
        <w:spacing w:before="153" w:line="220" w:lineRule="auto"/>
        <w:ind w:left="48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2.4.1  </w:t>
      </w:r>
      <w:r>
        <w:rPr>
          <w:rFonts w:hint="eastAsia" w:ascii="宋体" w:hAnsi="宋体" w:eastAsia="宋体" w:cs="宋体"/>
          <w:color w:val="auto"/>
          <w:spacing w:val="-1"/>
          <w:sz w:val="24"/>
          <w:szCs w:val="24"/>
          <w:highlight w:val="none"/>
        </w:rPr>
        <w:t>投标人不得存在下列情形之一：</w:t>
      </w:r>
    </w:p>
    <w:p w14:paraId="3E5CCC45">
      <w:pPr>
        <w:spacing w:before="153"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（1）为招标人不具有独立法人资格的附属机构（单位</w:t>
      </w:r>
      <w:r>
        <w:rPr>
          <w:rFonts w:hint="eastAsia" w:ascii="宋体" w:hAnsi="宋体" w:eastAsia="宋体" w:cs="宋体"/>
          <w:color w:val="auto"/>
          <w:spacing w:val="1"/>
          <w:sz w:val="24"/>
          <w:szCs w:val="24"/>
          <w:highlight w:val="none"/>
        </w:rPr>
        <w:t>）；</w:t>
      </w:r>
    </w:p>
    <w:p w14:paraId="16678467">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（2）为本招标项目前期准备提供设计或咨询服务的；</w:t>
      </w:r>
    </w:p>
    <w:p w14:paraId="5DFF6242">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（3）与本招标项目的其他投标人为同一个单位负责人；</w:t>
      </w:r>
    </w:p>
    <w:p w14:paraId="17078E26">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（4）与本招标项目的其他投标人存在控股、管理关系；</w:t>
      </w:r>
    </w:p>
    <w:p w14:paraId="2AE295DB">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（5）为本招标项目的监理人；</w:t>
      </w:r>
    </w:p>
    <w:p w14:paraId="3F7FFAD1">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（6）为本招标项目的代建人；</w:t>
      </w:r>
    </w:p>
    <w:p w14:paraId="0877A5E5">
      <w:pPr>
        <w:spacing w:before="155"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（7）为本招标项目的招标代理机构；</w:t>
      </w:r>
    </w:p>
    <w:p w14:paraId="7D23E0F9">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（8）与本招标项目的监理人或代建人或招标代理机构同为一个法定代表人；</w:t>
      </w:r>
    </w:p>
    <w:p w14:paraId="63FAB54C">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（9）与本招标项目的监理人或代建人或招标代理机构存在控股或参股关系；</w:t>
      </w:r>
    </w:p>
    <w:p w14:paraId="1275DB45">
      <w:pPr>
        <w:spacing w:before="155" w:line="219" w:lineRule="auto"/>
        <w:ind w:firstLine="468"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（10）与本招标项目的监理人或代建人或招标代理机构存在相互</w:t>
      </w:r>
      <w:r>
        <w:rPr>
          <w:rFonts w:hint="eastAsia" w:ascii="宋体" w:hAnsi="宋体" w:eastAsia="宋体" w:cs="宋体"/>
          <w:color w:val="auto"/>
          <w:spacing w:val="-4"/>
          <w:sz w:val="24"/>
          <w:szCs w:val="24"/>
          <w:highlight w:val="none"/>
        </w:rPr>
        <w:t>任职或工作关系；</w:t>
      </w:r>
    </w:p>
    <w:p w14:paraId="6C0F71C6">
      <w:pPr>
        <w:spacing w:before="157"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（11）被依法暂停或者取消投标资格；</w:t>
      </w:r>
    </w:p>
    <w:p w14:paraId="228B28A4">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（12）被责令停产停业、暂扣或者吊销许可证、暂扣或者吊销执照；</w:t>
      </w:r>
    </w:p>
    <w:p w14:paraId="366BE637">
      <w:pPr>
        <w:spacing w:before="154" w:line="219" w:lineRule="auto"/>
        <w:ind w:left="50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（13）进入清算程序，或被宣告破产，或其他丧失履约能力的情形；</w:t>
      </w:r>
    </w:p>
    <w:p w14:paraId="1EB464C8">
      <w:pPr>
        <w:pStyle w:val="23"/>
        <w:wordWrap w:val="0"/>
        <w:adjustRightInd w:val="0"/>
        <w:snapToGrid w:val="0"/>
        <w:spacing w:line="440" w:lineRule="exact"/>
        <w:ind w:firstLine="480"/>
        <w:jc w:val="left"/>
        <w:rPr>
          <w:rFonts w:hint="eastAsia" w:ascii="宋体" w:hAnsi="宋体" w:eastAsia="宋体" w:cs="宋体"/>
          <w:color w:val="auto"/>
          <w:spacing w:val="2"/>
          <w:sz w:val="24"/>
          <w:szCs w:val="24"/>
          <w:highlight w:val="none"/>
        </w:rPr>
      </w:pPr>
      <w:bookmarkStart w:id="19" w:name="bookmark116"/>
      <w:bookmarkEnd w:id="19"/>
      <w:r>
        <w:rPr>
          <w:rFonts w:hint="eastAsia" w:ascii="宋体" w:hAnsi="宋体" w:eastAsia="宋体" w:cs="宋体"/>
          <w:color w:val="auto"/>
          <w:spacing w:val="-1"/>
          <w:sz w:val="24"/>
          <w:szCs w:val="24"/>
          <w:highlight w:val="none"/>
        </w:rPr>
        <w:t>处罚决定或司法机关出具的有关法律文书为准</w:t>
      </w:r>
      <w:r>
        <w:rPr>
          <w:rFonts w:hint="eastAsia" w:ascii="宋体" w:hAnsi="宋体" w:eastAsia="宋体" w:cs="宋体"/>
          <w:color w:val="auto"/>
          <w:spacing w:val="2"/>
          <w:sz w:val="24"/>
          <w:szCs w:val="24"/>
          <w:highlight w:val="none"/>
        </w:rPr>
        <w:t>）；</w:t>
      </w:r>
    </w:p>
    <w:p w14:paraId="54C119DA">
      <w:pPr>
        <w:pStyle w:val="23"/>
        <w:wordWrap w:val="0"/>
        <w:adjustRightInd w:val="0"/>
        <w:snapToGrid w:val="0"/>
        <w:spacing w:line="440" w:lineRule="exact"/>
        <w:ind w:firstLine="480"/>
        <w:jc w:val="lef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（14）在最近三年内发生重大工程质量或安全问题（以相关行业主管部门的行政处罚决定或司法机关出具的有关法律文书为准）；</w:t>
      </w:r>
    </w:p>
    <w:p w14:paraId="71DB056F">
      <w:pPr>
        <w:spacing w:before="118" w:line="293" w:lineRule="auto"/>
        <w:ind w:left="232" w:right="99" w:firstLine="36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（15）被“信用中国</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”网站（https://www.creditchina.gov.cn）发布的《法人和</w:t>
      </w:r>
      <w:r>
        <w:rPr>
          <w:rFonts w:hint="eastAsia" w:ascii="宋体" w:hAnsi="宋体" w:eastAsia="宋体" w:cs="宋体"/>
          <w:color w:val="auto"/>
          <w:spacing w:val="-3"/>
          <w:sz w:val="24"/>
          <w:szCs w:val="24"/>
          <w:highlight w:val="none"/>
        </w:rPr>
        <w:t>非法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3"/>
          <w:sz w:val="24"/>
          <w:szCs w:val="24"/>
          <w:highlight w:val="none"/>
        </w:rPr>
        <w:t>人组织公共信用信息报告</w:t>
      </w:r>
      <w:r>
        <w:rPr>
          <w:rFonts w:hint="eastAsia" w:ascii="宋体" w:hAnsi="宋体" w:eastAsia="宋体" w:cs="宋体"/>
          <w:snapToGrid w:val="0"/>
          <w:color w:val="auto"/>
          <w:kern w:val="0"/>
          <w:sz w:val="24"/>
          <w:szCs w:val="24"/>
          <w:highlight w:val="none"/>
          <w:lang w:val="en-US" w:eastAsia="zh-CN" w:bidi="ar-SA"/>
        </w:rPr>
        <w:t>》列为严重失信主体名单的</w:t>
      </w:r>
      <w:r>
        <w:rPr>
          <w:rFonts w:hint="eastAsia" w:ascii="宋体" w:hAnsi="宋体" w:eastAsia="宋体" w:cs="宋体"/>
          <w:color w:val="auto"/>
          <w:spacing w:val="2"/>
          <w:sz w:val="24"/>
          <w:szCs w:val="24"/>
          <w:highlight w:val="none"/>
        </w:rPr>
        <w:t>。</w:t>
      </w:r>
    </w:p>
    <w:p w14:paraId="421AB695">
      <w:pPr>
        <w:spacing w:before="155" w:line="219" w:lineRule="auto"/>
        <w:ind w:left="706"/>
        <w:rPr>
          <w:rFonts w:hint="eastAsia" w:ascii="宋体" w:hAnsi="宋体" w:eastAsia="宋体" w:cs="宋体"/>
          <w:color w:val="auto"/>
          <w:spacing w:val="-1"/>
          <w:sz w:val="24"/>
          <w:szCs w:val="24"/>
          <w:highlight w:val="none"/>
        </w:rPr>
      </w:pPr>
      <w:r>
        <w:rPr>
          <w:rFonts w:hint="eastAsia" w:ascii="宋体" w:hAnsi="宋体" w:eastAsia="宋体" w:cs="宋体"/>
          <w:b/>
          <w:bCs/>
          <w:color w:val="auto"/>
          <w:sz w:val="24"/>
          <w:szCs w:val="24"/>
          <w:highlight w:val="none"/>
        </w:rPr>
        <w:t xml:space="preserve">2.4.2  </w:t>
      </w:r>
      <w:r>
        <w:rPr>
          <w:rFonts w:hint="eastAsia" w:ascii="宋体" w:hAnsi="宋体" w:eastAsia="宋体" w:cs="宋体"/>
          <w:color w:val="auto"/>
          <w:sz w:val="24"/>
          <w:szCs w:val="24"/>
          <w:highlight w:val="none"/>
        </w:rPr>
        <w:t>招标人拒绝以下名单中的单位</w:t>
      </w:r>
      <w:r>
        <w:rPr>
          <w:rFonts w:hint="eastAsia" w:ascii="宋体" w:hAnsi="宋体" w:eastAsia="宋体" w:cs="宋体"/>
          <w:color w:val="auto"/>
          <w:spacing w:val="-1"/>
          <w:sz w:val="24"/>
          <w:szCs w:val="24"/>
          <w:highlight w:val="none"/>
        </w:rPr>
        <w:t>参加本次投标：</w:t>
      </w:r>
    </w:p>
    <w:tbl>
      <w:tblPr>
        <w:tblStyle w:val="15"/>
        <w:tblpPr w:leftFromText="180" w:rightFromText="180" w:vertAnchor="page" w:horzAnchor="page" w:tblpX="1478" w:tblpY="3495"/>
        <w:tblOverlap w:val="never"/>
        <w:tblW w:w="92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4331"/>
        <w:gridCol w:w="4082"/>
      </w:tblGrid>
      <w:tr w14:paraId="4303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86" w:type="dxa"/>
            <w:vAlign w:val="center"/>
          </w:tcPr>
          <w:p w14:paraId="2D109D01">
            <w:pPr>
              <w:pageBreakBefore w:val="0"/>
              <w:widowControl w:val="0"/>
              <w:kinsoku/>
              <w:wordWrap w:val="0"/>
              <w:overflowPunct/>
              <w:topLinePunct w:val="0"/>
              <w:autoSpaceDE/>
              <w:autoSpaceDN/>
              <w:bidi w:val="0"/>
              <w:adjustRightInd w:val="0"/>
              <w:snapToGrid w:val="0"/>
              <w:spacing w:line="240" w:lineRule="auto"/>
              <w:jc w:val="both"/>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序号</w:t>
            </w:r>
          </w:p>
        </w:tc>
        <w:tc>
          <w:tcPr>
            <w:tcW w:w="4331" w:type="dxa"/>
            <w:vAlign w:val="center"/>
          </w:tcPr>
          <w:p w14:paraId="615ABB3D">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单位名称</w:t>
            </w:r>
          </w:p>
        </w:tc>
        <w:tc>
          <w:tcPr>
            <w:tcW w:w="4082" w:type="dxa"/>
            <w:vAlign w:val="center"/>
          </w:tcPr>
          <w:p w14:paraId="0A878AF7">
            <w:pPr>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eastAsia="zh-CN"/>
              </w:rPr>
              <w:t>拒绝原因</w:t>
            </w:r>
          </w:p>
        </w:tc>
      </w:tr>
      <w:tr w14:paraId="410E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86" w:type="dxa"/>
            <w:vAlign w:val="center"/>
          </w:tcPr>
          <w:p w14:paraId="6BD71142">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w:t>
            </w:r>
          </w:p>
        </w:tc>
        <w:tc>
          <w:tcPr>
            <w:tcW w:w="4331" w:type="dxa"/>
            <w:vAlign w:val="center"/>
          </w:tcPr>
          <w:p w14:paraId="4BC14392">
            <w:pPr>
              <w:pStyle w:val="23"/>
              <w:wordWrap w:val="0"/>
              <w:adjustRightInd w:val="0"/>
              <w:snapToGrid w:val="0"/>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仁化县林业局</w:t>
            </w:r>
          </w:p>
        </w:tc>
        <w:tc>
          <w:tcPr>
            <w:tcW w:w="4082" w:type="dxa"/>
            <w:vAlign w:val="center"/>
          </w:tcPr>
          <w:p w14:paraId="1D8F06E2">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为本招标项目的招标人</w:t>
            </w:r>
          </w:p>
        </w:tc>
      </w:tr>
      <w:tr w14:paraId="0B86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86" w:type="dxa"/>
            <w:vAlign w:val="center"/>
          </w:tcPr>
          <w:p w14:paraId="40BB4904">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2</w:t>
            </w:r>
          </w:p>
        </w:tc>
        <w:tc>
          <w:tcPr>
            <w:tcW w:w="4331" w:type="dxa"/>
            <w:vAlign w:val="center"/>
          </w:tcPr>
          <w:p w14:paraId="3703A7C8">
            <w:pPr>
              <w:pStyle w:val="23"/>
              <w:wordWrap w:val="0"/>
              <w:adjustRightInd w:val="0"/>
              <w:snapToGrid w:val="0"/>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中晋工程项目管理有限公司</w:t>
            </w:r>
          </w:p>
        </w:tc>
        <w:tc>
          <w:tcPr>
            <w:tcW w:w="4082" w:type="dxa"/>
            <w:vAlign w:val="center"/>
          </w:tcPr>
          <w:p w14:paraId="4F4969EE">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为本招标项目的招标代理机构</w:t>
            </w:r>
          </w:p>
        </w:tc>
      </w:tr>
      <w:tr w14:paraId="3334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86" w:type="dxa"/>
            <w:vAlign w:val="center"/>
          </w:tcPr>
          <w:p w14:paraId="72892F3A">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3</w:t>
            </w:r>
          </w:p>
        </w:tc>
        <w:tc>
          <w:tcPr>
            <w:tcW w:w="4331" w:type="dxa"/>
            <w:vAlign w:val="center"/>
          </w:tcPr>
          <w:p w14:paraId="288174CA">
            <w:pPr>
              <w:pStyle w:val="23"/>
              <w:wordWrap w:val="0"/>
              <w:adjustRightInd w:val="0"/>
              <w:snapToGrid w:val="0"/>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广东鸿禹工程设计有限公司</w:t>
            </w:r>
          </w:p>
        </w:tc>
        <w:tc>
          <w:tcPr>
            <w:tcW w:w="4082" w:type="dxa"/>
            <w:vAlign w:val="center"/>
          </w:tcPr>
          <w:p w14:paraId="445717C8">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造价咨询单位</w:t>
            </w:r>
          </w:p>
        </w:tc>
      </w:tr>
      <w:tr w14:paraId="0BFD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86" w:type="dxa"/>
            <w:vAlign w:val="center"/>
          </w:tcPr>
          <w:p w14:paraId="7959F734">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4</w:t>
            </w:r>
          </w:p>
        </w:tc>
        <w:tc>
          <w:tcPr>
            <w:tcW w:w="4331" w:type="dxa"/>
            <w:vAlign w:val="center"/>
          </w:tcPr>
          <w:p w14:paraId="24F804E7">
            <w:pPr>
              <w:pStyle w:val="23"/>
              <w:wordWrap w:val="0"/>
              <w:adjustRightInd w:val="0"/>
              <w:snapToGrid w:val="0"/>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佳风工程设计有限公司</w:t>
            </w:r>
          </w:p>
        </w:tc>
        <w:tc>
          <w:tcPr>
            <w:tcW w:w="4082" w:type="dxa"/>
            <w:vAlign w:val="center"/>
          </w:tcPr>
          <w:p w14:paraId="618E6C39">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设计单位</w:t>
            </w:r>
          </w:p>
        </w:tc>
      </w:tr>
      <w:tr w14:paraId="2B7A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86" w:type="dxa"/>
            <w:vAlign w:val="center"/>
          </w:tcPr>
          <w:p w14:paraId="1B5DB705">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5</w:t>
            </w:r>
          </w:p>
        </w:tc>
        <w:tc>
          <w:tcPr>
            <w:tcW w:w="4331" w:type="dxa"/>
            <w:vAlign w:val="center"/>
          </w:tcPr>
          <w:p w14:paraId="4C16F324">
            <w:pPr>
              <w:pStyle w:val="23"/>
              <w:wordWrap w:val="0"/>
              <w:adjustRightInd w:val="0"/>
              <w:snapToGrid w:val="0"/>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广东省岭南院勘察设计有限公司</w:t>
            </w:r>
          </w:p>
        </w:tc>
        <w:tc>
          <w:tcPr>
            <w:tcW w:w="4082" w:type="dxa"/>
            <w:vAlign w:val="center"/>
          </w:tcPr>
          <w:p w14:paraId="67222F19">
            <w:pPr>
              <w:pStyle w:val="23"/>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为</w:t>
            </w:r>
            <w:r>
              <w:rPr>
                <w:rFonts w:hint="eastAsia" w:ascii="宋体" w:hAnsi="宋体" w:eastAsia="宋体" w:cs="宋体"/>
                <w:snapToGrid w:val="0"/>
                <w:color w:val="auto"/>
                <w:kern w:val="0"/>
                <w:sz w:val="24"/>
                <w:szCs w:val="24"/>
                <w:highlight w:val="none"/>
              </w:rPr>
              <w:t>本招标项目的</w:t>
            </w:r>
            <w:r>
              <w:rPr>
                <w:rFonts w:hint="eastAsia" w:ascii="宋体" w:hAnsi="宋体" w:eastAsia="宋体" w:cs="宋体"/>
                <w:snapToGrid w:val="0"/>
                <w:color w:val="auto"/>
                <w:kern w:val="0"/>
                <w:sz w:val="24"/>
                <w:szCs w:val="24"/>
                <w:highlight w:val="none"/>
                <w:lang w:val="en-US" w:eastAsia="zh-CN"/>
              </w:rPr>
              <w:t>可行性研究报告编制单位</w:t>
            </w:r>
          </w:p>
        </w:tc>
      </w:tr>
    </w:tbl>
    <w:p w14:paraId="6895251A">
      <w:pPr>
        <w:pStyle w:val="8"/>
        <w:rPr>
          <w:rFonts w:hint="eastAsia" w:ascii="宋体" w:hAnsi="宋体" w:eastAsia="宋体" w:cs="宋体"/>
          <w:color w:val="auto"/>
          <w:sz w:val="24"/>
          <w:szCs w:val="24"/>
          <w:highlight w:val="none"/>
        </w:rPr>
      </w:pPr>
    </w:p>
    <w:p w14:paraId="24117CFF">
      <w:pPr>
        <w:spacing w:line="93" w:lineRule="auto"/>
        <w:rPr>
          <w:rFonts w:hint="eastAsia" w:ascii="宋体" w:hAnsi="宋体" w:eastAsia="宋体" w:cs="宋体"/>
          <w:color w:val="auto"/>
          <w:sz w:val="24"/>
          <w:szCs w:val="24"/>
          <w:highlight w:val="none"/>
        </w:rPr>
      </w:pPr>
    </w:p>
    <w:p w14:paraId="0E5D39AE">
      <w:pPr>
        <w:spacing w:before="153" w:line="221" w:lineRule="auto"/>
        <w:ind w:left="70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其他要求</w:t>
      </w:r>
    </w:p>
    <w:p w14:paraId="513698FE">
      <w:pPr>
        <w:spacing w:before="150" w:line="334" w:lineRule="auto"/>
        <w:ind w:left="232" w:right="99" w:firstLine="48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省外企业及其拟派往本项目管理机构的所有</w:t>
      </w:r>
      <w:r>
        <w:rPr>
          <w:rFonts w:hint="eastAsia" w:ascii="宋体" w:hAnsi="宋体" w:eastAsia="宋体" w:cs="宋体"/>
          <w:color w:val="auto"/>
          <w:spacing w:val="-2"/>
          <w:sz w:val="24"/>
          <w:szCs w:val="24"/>
          <w:highlight w:val="none"/>
        </w:rPr>
        <w:t>人员均须按照《广东省住房和城乡建</w:t>
      </w:r>
      <w:r>
        <w:rPr>
          <w:rFonts w:hint="eastAsia" w:ascii="宋体" w:hAnsi="宋体" w:eastAsia="宋体" w:cs="宋体"/>
          <w:color w:val="auto"/>
          <w:spacing w:val="-1"/>
          <w:sz w:val="24"/>
          <w:szCs w:val="24"/>
          <w:highlight w:val="none"/>
        </w:rPr>
        <w:t>设厅关于取消省外建筑企业和人员进粤信息备案有关工作的通知》</w:t>
      </w:r>
      <w:r>
        <w:rPr>
          <w:rFonts w:hint="eastAsia" w:ascii="宋体" w:hAnsi="宋体" w:eastAsia="宋体" w:cs="宋体"/>
          <w:color w:val="auto"/>
          <w:spacing w:val="-2"/>
          <w:sz w:val="24"/>
          <w:szCs w:val="24"/>
          <w:highlight w:val="none"/>
        </w:rPr>
        <w:t>（粤建市﹝2015﹞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52</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4"/>
          <w:sz w:val="24"/>
          <w:szCs w:val="24"/>
          <w:highlight w:val="none"/>
        </w:rPr>
        <w:t>号）规定在“进粤企业和人员诚信信息登记平台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”录入相关信息并通过数</w:t>
      </w:r>
      <w:r>
        <w:rPr>
          <w:rFonts w:hint="eastAsia" w:ascii="宋体" w:hAnsi="宋体" w:eastAsia="宋体" w:cs="宋体"/>
          <w:color w:val="auto"/>
          <w:spacing w:val="-5"/>
          <w:sz w:val="24"/>
          <w:szCs w:val="24"/>
          <w:highlight w:val="none"/>
        </w:rPr>
        <w:t>据规范检</w:t>
      </w:r>
      <w:r>
        <w:rPr>
          <w:rFonts w:hint="eastAsia" w:ascii="宋体" w:hAnsi="宋体" w:eastAsia="宋体" w:cs="宋体"/>
          <w:color w:val="auto"/>
          <w:spacing w:val="-6"/>
          <w:sz w:val="24"/>
          <w:szCs w:val="24"/>
          <w:highlight w:val="none"/>
        </w:rPr>
        <w:t>查。</w:t>
      </w:r>
    </w:p>
    <w:p w14:paraId="52958258">
      <w:pPr>
        <w:spacing w:before="79" w:line="220" w:lineRule="auto"/>
        <w:ind w:left="715"/>
        <w:outlineLvl w:val="2"/>
        <w:rPr>
          <w:rFonts w:hint="eastAsia" w:ascii="宋体" w:hAnsi="宋体" w:eastAsia="宋体" w:cs="宋体"/>
          <w:color w:val="auto"/>
          <w:sz w:val="24"/>
          <w:szCs w:val="24"/>
          <w:highlight w:val="none"/>
        </w:rPr>
      </w:pPr>
      <w:bookmarkStart w:id="20" w:name="_Toc23243"/>
      <w:bookmarkStart w:id="21" w:name="_Toc21490"/>
      <w:r>
        <w:rPr>
          <w:rFonts w:hint="eastAsia" w:ascii="宋体" w:hAnsi="宋体" w:eastAsia="宋体" w:cs="宋体"/>
          <w:b/>
          <w:bCs/>
          <w:color w:val="auto"/>
          <w:spacing w:val="-4"/>
          <w:sz w:val="24"/>
          <w:szCs w:val="24"/>
          <w:highlight w:val="none"/>
        </w:rPr>
        <w:t>3．招标文件的获取</w:t>
      </w:r>
      <w:bookmarkEnd w:id="20"/>
      <w:bookmarkEnd w:id="21"/>
    </w:p>
    <w:p w14:paraId="6BA39D71">
      <w:pPr>
        <w:spacing w:before="182" w:line="219" w:lineRule="auto"/>
        <w:ind w:left="70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3.1  </w:t>
      </w:r>
      <w:r>
        <w:rPr>
          <w:rFonts w:hint="eastAsia" w:ascii="宋体" w:hAnsi="宋体" w:eastAsia="宋体" w:cs="宋体"/>
          <w:color w:val="auto"/>
          <w:spacing w:val="-1"/>
          <w:sz w:val="24"/>
          <w:szCs w:val="24"/>
          <w:highlight w:val="none"/>
        </w:rPr>
        <w:t>本次招标实行电子投标。</w:t>
      </w:r>
    </w:p>
    <w:p w14:paraId="3ABD5E16">
      <w:pPr>
        <w:spacing w:before="178" w:line="355" w:lineRule="auto"/>
        <w:ind w:left="229" w:firstLine="48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本次招标实行电子投标。本项目招标文件随招标公</w:t>
      </w:r>
      <w:r>
        <w:rPr>
          <w:rFonts w:hint="eastAsia" w:ascii="宋体" w:hAnsi="宋体" w:eastAsia="宋体" w:cs="宋体"/>
          <w:color w:val="auto"/>
          <w:spacing w:val="-2"/>
          <w:sz w:val="24"/>
          <w:szCs w:val="24"/>
          <w:highlight w:val="none"/>
        </w:rPr>
        <w:t>告一并在全国公共资源交易平台（广东省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56"/>
          <w:sz w:val="24"/>
          <w:szCs w:val="24"/>
          <w:highlight w:val="none"/>
        </w:rPr>
        <w:t>）（</w:t>
      </w:r>
      <w:r>
        <w:rPr>
          <w:rFonts w:hint="eastAsia" w:ascii="宋体" w:hAnsi="宋体" w:eastAsia="宋体" w:cs="宋体"/>
          <w:color w:val="auto"/>
          <w:spacing w:val="-56"/>
          <w:sz w:val="24"/>
          <w:szCs w:val="24"/>
          <w:highlight w:val="none"/>
          <w:lang w:val="en-US" w:eastAsia="zh-CN"/>
        </w:rPr>
        <w:t xml:space="preserve">              </w:t>
      </w:r>
      <w:r>
        <w:rPr>
          <w:rFonts w:hint="eastAsia" w:ascii="宋体" w:hAnsi="宋体" w:eastAsia="宋体" w:cs="宋体"/>
          <w:color w:val="auto"/>
          <w:spacing w:val="-2"/>
          <w:sz w:val="24"/>
          <w:szCs w:val="24"/>
          <w:highlight w:val="none"/>
        </w:rPr>
        <w:t>https://yg</w:t>
      </w:r>
      <w:r>
        <w:rPr>
          <w:rFonts w:hint="eastAsia" w:ascii="宋体" w:hAnsi="宋体" w:eastAsia="宋体" w:cs="宋体"/>
          <w:color w:val="auto"/>
          <w:spacing w:val="-3"/>
          <w:sz w:val="24"/>
          <w:szCs w:val="24"/>
          <w:highlight w:val="none"/>
        </w:rPr>
        <w:t>p.gdzwfw.gov.cn/ggzy-portal/#/440200/index）</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网站发布。招标文件一经发布，视为发送投标人，招标文件及相</w:t>
      </w:r>
      <w:r>
        <w:rPr>
          <w:rFonts w:hint="eastAsia" w:ascii="宋体" w:hAnsi="宋体" w:eastAsia="宋体" w:cs="宋体"/>
          <w:color w:val="auto"/>
          <w:spacing w:val="-2"/>
          <w:sz w:val="24"/>
          <w:szCs w:val="24"/>
          <w:highlight w:val="none"/>
        </w:rPr>
        <w:t>关附件由投标人自行</w:t>
      </w:r>
      <w:r>
        <w:rPr>
          <w:rFonts w:hint="eastAsia" w:ascii="宋体" w:hAnsi="宋体" w:eastAsia="宋体" w:cs="宋体"/>
          <w:color w:val="auto"/>
          <w:spacing w:val="-7"/>
          <w:sz w:val="24"/>
          <w:szCs w:val="24"/>
          <w:highlight w:val="none"/>
        </w:rPr>
        <w:t>在全国公共资源交易平台（广东省</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7"/>
          <w:sz w:val="24"/>
          <w:szCs w:val="24"/>
          <w:highlight w:val="none"/>
        </w:rPr>
        <w:t>·韶关市）网站下载。请于招标文件获取期间,（见</w:t>
      </w:r>
      <w:r>
        <w:rPr>
          <w:rFonts w:hint="eastAsia" w:ascii="宋体" w:hAnsi="宋体" w:eastAsia="宋体" w:cs="宋体"/>
          <w:color w:val="auto"/>
          <w:spacing w:val="-2"/>
          <w:sz w:val="24"/>
          <w:szCs w:val="24"/>
          <w:highlight w:val="none"/>
        </w:rPr>
        <w:t>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”）招标文件获取期间与招标公告发</w:t>
      </w:r>
      <w:r>
        <w:rPr>
          <w:rFonts w:hint="eastAsia" w:ascii="宋体" w:hAnsi="宋体" w:eastAsia="宋体" w:cs="宋体"/>
          <w:color w:val="auto"/>
          <w:spacing w:val="-3"/>
          <w:sz w:val="24"/>
          <w:szCs w:val="24"/>
          <w:highlight w:val="none"/>
        </w:rPr>
        <w:t>布时间一</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4"/>
          <w:sz w:val="24"/>
          <w:szCs w:val="24"/>
          <w:highlight w:val="none"/>
        </w:rPr>
        <w:t>致，投标人须登录全国公共资源交易平台（广东省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pacing w:val="-40"/>
          <w:sz w:val="24"/>
          <w:szCs w:val="24"/>
          <w:highlight w:val="none"/>
        </w:rPr>
        <w:t>）（</w:t>
      </w:r>
      <w:r>
        <w:rPr>
          <w:rFonts w:hint="eastAsia" w:ascii="宋体" w:hAnsi="宋体" w:eastAsia="宋体" w:cs="宋体"/>
          <w:color w:val="auto"/>
          <w:spacing w:val="-40"/>
          <w:sz w:val="24"/>
          <w:szCs w:val="24"/>
          <w:highlight w:val="none"/>
          <w:lang w:val="en-US" w:eastAsia="zh-CN"/>
        </w:rPr>
        <w:t xml:space="preserve">   </w:t>
      </w:r>
      <w:r>
        <w:rPr>
          <w:rFonts w:hint="eastAsia" w:ascii="宋体" w:hAnsi="宋体" w:eastAsia="宋体" w:cs="宋体"/>
          <w:color w:val="auto"/>
          <w:spacing w:val="-4"/>
          <w:sz w:val="24"/>
          <w:szCs w:val="24"/>
          <w:highlight w:val="none"/>
        </w:rPr>
        <w:t>https://ygp.gdzwfw.</w:t>
      </w:r>
      <w:r>
        <w:rPr>
          <w:rFonts w:hint="eastAsia" w:ascii="宋体" w:hAnsi="宋体" w:eastAsia="宋体" w:cs="宋体"/>
          <w:color w:val="auto"/>
          <w:sz w:val="24"/>
          <w:szCs w:val="24"/>
          <w:highlight w:val="none"/>
        </w:rPr>
        <w:t xml:space="preserve">  gov</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cn</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ggzy</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portal</w:t>
      </w:r>
      <w:r>
        <w:rPr>
          <w:rFonts w:hint="eastAsia" w:ascii="宋体" w:hAnsi="宋体" w:eastAsia="宋体" w:cs="宋体"/>
          <w:color w:val="auto"/>
          <w:spacing w:val="2"/>
          <w:sz w:val="24"/>
          <w:szCs w:val="24"/>
          <w:highlight w:val="none"/>
        </w:rPr>
        <w:t>/#/440200/</w:t>
      </w:r>
      <w:r>
        <w:rPr>
          <w:rFonts w:hint="eastAsia" w:ascii="宋体" w:hAnsi="宋体" w:eastAsia="宋体" w:cs="宋体"/>
          <w:color w:val="auto"/>
          <w:sz w:val="24"/>
          <w:szCs w:val="24"/>
          <w:highlight w:val="none"/>
        </w:rPr>
        <w:t>index</w:t>
      </w:r>
      <w:r>
        <w:rPr>
          <w:rFonts w:hint="eastAsia" w:ascii="宋体" w:hAnsi="宋体" w:eastAsia="宋体" w:cs="宋体"/>
          <w:color w:val="auto"/>
          <w:spacing w:val="7"/>
          <w:sz w:val="24"/>
          <w:szCs w:val="24"/>
          <w:highlight w:val="none"/>
        </w:rPr>
        <w:t>），</w:t>
      </w:r>
      <w:r>
        <w:rPr>
          <w:rFonts w:hint="eastAsia" w:ascii="宋体" w:hAnsi="宋体" w:eastAsia="宋体" w:cs="宋体"/>
          <w:color w:val="auto"/>
          <w:spacing w:val="2"/>
          <w:sz w:val="24"/>
          <w:szCs w:val="24"/>
          <w:highlight w:val="none"/>
        </w:rPr>
        <w:t>使用新建设工程交易系统进行下载</w:t>
      </w:r>
      <w:r>
        <w:rPr>
          <w:rFonts w:hint="eastAsia" w:ascii="宋体" w:hAnsi="宋体" w:eastAsia="宋体" w:cs="宋体"/>
          <w:color w:val="auto"/>
          <w:spacing w:val="1"/>
          <w:sz w:val="24"/>
          <w:szCs w:val="24"/>
          <w:highlight w:val="none"/>
        </w:rPr>
        <w:t>招标文</w:t>
      </w:r>
      <w:r>
        <w:rPr>
          <w:rFonts w:hint="eastAsia" w:ascii="宋体" w:hAnsi="宋体" w:eastAsia="宋体" w:cs="宋体"/>
          <w:color w:val="auto"/>
          <w:spacing w:val="-6"/>
          <w:sz w:val="24"/>
          <w:szCs w:val="24"/>
          <w:highlight w:val="none"/>
        </w:rPr>
        <w:t>件及相关附件，并于电子投标截止时间（见本章第二节“重要事项时间地点一览表</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前完成电子投标。投标人可登录全国公共资源交易平</w:t>
      </w:r>
      <w:r>
        <w:rPr>
          <w:rFonts w:hint="eastAsia" w:ascii="宋体" w:hAnsi="宋体" w:eastAsia="宋体" w:cs="宋体"/>
          <w:color w:val="auto"/>
          <w:spacing w:val="-3"/>
          <w:sz w:val="24"/>
          <w:szCs w:val="24"/>
          <w:highlight w:val="none"/>
        </w:rPr>
        <w:t>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·韶关市</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5"/>
          <w:sz w:val="24"/>
          <w:szCs w:val="24"/>
          <w:highlight w:val="none"/>
          <w:lang w:val="en-US" w:eastAsia="zh-CN"/>
        </w:rPr>
        <w:t xml:space="preserve">   </w:t>
      </w:r>
      <w:r>
        <w:rPr>
          <w:rFonts w:hint="eastAsia" w:ascii="宋体" w:hAnsi="宋体" w:eastAsia="宋体" w:cs="宋体"/>
          <w:color w:val="auto"/>
          <w:spacing w:val="-3"/>
          <w:sz w:val="24"/>
          <w:szCs w:val="24"/>
          <w:highlight w:val="none"/>
        </w:rPr>
        <w:t>https:</w:t>
      </w:r>
      <w:r>
        <w:rPr>
          <w:rFonts w:hint="eastAsia" w:ascii="宋体" w:hAnsi="宋体" w:eastAsia="宋体" w:cs="宋体"/>
          <w:color w:val="auto"/>
          <w:sz w:val="24"/>
          <w:szCs w:val="24"/>
          <w:highlight w:val="none"/>
        </w:rPr>
        <w:t>//ygp.gdzwfw.gov.cn/ggz</w:t>
      </w:r>
      <w:r>
        <w:rPr>
          <w:rFonts w:hint="eastAsia" w:ascii="宋体" w:hAnsi="宋体" w:eastAsia="宋体" w:cs="宋体"/>
          <w:color w:val="auto"/>
          <w:spacing w:val="-1"/>
          <w:sz w:val="24"/>
          <w:szCs w:val="24"/>
          <w:highlight w:val="none"/>
        </w:rPr>
        <w:t>y-portal/#/440200/index</w:t>
      </w:r>
      <w:r>
        <w:rPr>
          <w:rFonts w:hint="eastAsia" w:ascii="宋体" w:hAnsi="宋体" w:eastAsia="宋体" w:cs="宋体"/>
          <w:color w:val="auto"/>
          <w:spacing w:val="-6"/>
          <w:sz w:val="24"/>
          <w:szCs w:val="24"/>
          <w:highlight w:val="none"/>
        </w:rPr>
        <w:t>），</w:t>
      </w:r>
      <w:r>
        <w:rPr>
          <w:rFonts w:hint="eastAsia" w:ascii="宋体" w:hAnsi="宋体" w:eastAsia="宋体" w:cs="宋体"/>
          <w:color w:val="auto"/>
          <w:spacing w:val="-1"/>
          <w:sz w:val="24"/>
          <w:szCs w:val="24"/>
          <w:highlight w:val="none"/>
        </w:rPr>
        <w:t>在【服务指南】栏目中建设</w:t>
      </w:r>
      <w:r>
        <w:rPr>
          <w:rFonts w:hint="eastAsia" w:ascii="宋体" w:hAnsi="宋体" w:eastAsia="宋体" w:cs="宋体"/>
          <w:color w:val="auto"/>
          <w:spacing w:val="-2"/>
          <w:sz w:val="24"/>
          <w:szCs w:val="24"/>
          <w:highlight w:val="none"/>
        </w:rPr>
        <w:t>工程交易中下载《韶关市公共资源建设工程交易系统-投</w:t>
      </w:r>
      <w:r>
        <w:rPr>
          <w:rFonts w:hint="eastAsia" w:ascii="宋体" w:hAnsi="宋体" w:eastAsia="宋体" w:cs="宋体"/>
          <w:color w:val="auto"/>
          <w:spacing w:val="-1"/>
          <w:sz w:val="24"/>
          <w:szCs w:val="24"/>
          <w:highlight w:val="none"/>
        </w:rPr>
        <w:t>标人操作指南（电子评标）》 （附件 2），了解网上获取招标文件操作流程。技术咨询电话：0751-837</w:t>
      </w:r>
      <w:r>
        <w:rPr>
          <w:rFonts w:hint="eastAsia" w:ascii="宋体" w:hAnsi="宋体" w:eastAsia="宋体" w:cs="宋体"/>
          <w:color w:val="auto"/>
          <w:spacing w:val="-4"/>
          <w:sz w:val="24"/>
          <w:szCs w:val="24"/>
          <w:highlight w:val="none"/>
        </w:rPr>
        <w:t>9671 伍</w:t>
      </w:r>
      <w:r>
        <w:rPr>
          <w:rFonts w:hint="eastAsia" w:ascii="宋体" w:hAnsi="宋体" w:eastAsia="宋体" w:cs="宋体"/>
          <w:color w:val="auto"/>
          <w:spacing w:val="-5"/>
          <w:sz w:val="24"/>
          <w:szCs w:val="24"/>
          <w:highlight w:val="none"/>
        </w:rPr>
        <w:t>先生，</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业务咨询电话：0751-8633211。</w:t>
      </w:r>
    </w:p>
    <w:p w14:paraId="772F64E5">
      <w:pPr>
        <w:spacing w:before="142" w:line="330" w:lineRule="auto"/>
        <w:ind w:left="11" w:right="105" w:firstLine="473"/>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3.2  </w:t>
      </w:r>
      <w:r>
        <w:rPr>
          <w:rFonts w:hint="eastAsia" w:ascii="宋体" w:hAnsi="宋体" w:eastAsia="宋体" w:cs="宋体"/>
          <w:color w:val="auto"/>
          <w:spacing w:val="-1"/>
          <w:sz w:val="24"/>
          <w:szCs w:val="24"/>
          <w:highlight w:val="none"/>
        </w:rPr>
        <w:t>只有申领了数字证书（CA）、“粤企签</w:t>
      </w:r>
      <w:r>
        <w:rPr>
          <w:rFonts w:hint="eastAsia" w:ascii="宋体" w:hAnsi="宋体" w:eastAsia="宋体" w:cs="宋体"/>
          <w:color w:val="auto"/>
          <w:spacing w:val="-76"/>
          <w:sz w:val="24"/>
          <w:szCs w:val="24"/>
          <w:highlight w:val="none"/>
        </w:rPr>
        <w:t xml:space="preserve"> </w:t>
      </w:r>
      <w:r>
        <w:rPr>
          <w:rFonts w:hint="eastAsia" w:ascii="宋体" w:hAnsi="宋体" w:eastAsia="宋体" w:cs="宋体"/>
          <w:color w:val="auto"/>
          <w:spacing w:val="-1"/>
          <w:sz w:val="24"/>
          <w:szCs w:val="24"/>
          <w:highlight w:val="none"/>
        </w:rPr>
        <w:t>”或</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GDCA/SZCA/NETCA</w:t>
      </w:r>
      <w:r>
        <w:rPr>
          <w:rFonts w:hint="eastAsia" w:ascii="宋体" w:hAnsi="宋体" w:eastAsia="宋体" w:cs="宋体"/>
          <w:color w:val="auto"/>
          <w:spacing w:val="-46"/>
          <w:sz w:val="24"/>
          <w:szCs w:val="24"/>
          <w:highlight w:val="none"/>
        </w:rPr>
        <w:t xml:space="preserve"> </w:t>
      </w:r>
      <w:r>
        <w:rPr>
          <w:rFonts w:hint="eastAsia" w:ascii="宋体" w:hAnsi="宋体" w:eastAsia="宋体" w:cs="宋体"/>
          <w:color w:val="auto"/>
          <w:spacing w:val="-1"/>
          <w:sz w:val="24"/>
          <w:szCs w:val="24"/>
          <w:highlight w:val="none"/>
        </w:rPr>
        <w:t>等符合法律法规规定的电子印章，并在交易系统中完成企业信息数据入库</w:t>
      </w:r>
      <w:r>
        <w:rPr>
          <w:rFonts w:hint="eastAsia" w:ascii="宋体" w:hAnsi="宋体" w:eastAsia="宋体" w:cs="宋体"/>
          <w:color w:val="auto"/>
          <w:spacing w:val="-2"/>
          <w:sz w:val="24"/>
          <w:szCs w:val="24"/>
          <w:highlight w:val="none"/>
        </w:rPr>
        <w:t>的投标人，方可使用建设</w:t>
      </w:r>
      <w:r>
        <w:rPr>
          <w:rFonts w:hint="eastAsia" w:ascii="宋体" w:hAnsi="宋体" w:eastAsia="宋体" w:cs="宋体"/>
          <w:color w:val="auto"/>
          <w:spacing w:val="-1"/>
          <w:sz w:val="24"/>
          <w:szCs w:val="24"/>
          <w:highlight w:val="none"/>
        </w:rPr>
        <w:t>工程交易系统进行招标文件及附件获取和电子投标。</w:t>
      </w:r>
    </w:p>
    <w:p w14:paraId="76AAA589">
      <w:pPr>
        <w:spacing w:before="32" w:line="332" w:lineRule="auto"/>
        <w:ind w:left="10" w:right="90"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首次在韶关市参与建设工程招标投标活动的</w:t>
      </w:r>
      <w:r>
        <w:rPr>
          <w:rFonts w:hint="eastAsia" w:ascii="宋体" w:hAnsi="宋体" w:eastAsia="宋体" w:cs="宋体"/>
          <w:color w:val="auto"/>
          <w:spacing w:val="-2"/>
          <w:sz w:val="24"/>
          <w:szCs w:val="24"/>
          <w:highlight w:val="none"/>
        </w:rPr>
        <w:t>投标人，必须在平台系统上传企业相</w:t>
      </w:r>
      <w:r>
        <w:rPr>
          <w:rFonts w:hint="eastAsia" w:ascii="宋体" w:hAnsi="宋体" w:eastAsia="宋体" w:cs="宋体"/>
          <w:color w:val="auto"/>
          <w:spacing w:val="-3"/>
          <w:sz w:val="24"/>
          <w:szCs w:val="24"/>
          <w:highlight w:val="none"/>
        </w:rPr>
        <w:t>关资料办理企业入库事宜。投标人可登录全国公共资源</w:t>
      </w:r>
      <w:r>
        <w:rPr>
          <w:rFonts w:hint="eastAsia" w:ascii="宋体" w:hAnsi="宋体" w:eastAsia="宋体" w:cs="宋体"/>
          <w:color w:val="auto"/>
          <w:spacing w:val="-4"/>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4"/>
          <w:sz w:val="24"/>
          <w:szCs w:val="24"/>
          <w:highlight w:val="none"/>
        </w:rPr>
        <w:t>·韶关市）</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"https://ygp.gdzwfw.gov.cn/ggzy-portal/#/440200/index"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pacing w:val="-1"/>
          <w:sz w:val="24"/>
          <w:szCs w:val="24"/>
          <w:highlight w:val="none"/>
        </w:rPr>
        <w:t>https://ygp.gdzwfw.gov.cn/ggzy-portal/#/440200/index</w:t>
      </w:r>
      <w:r>
        <w:rPr>
          <w:rFonts w:hint="eastAsia" w:ascii="宋体" w:hAnsi="宋体" w:eastAsia="宋体" w:cs="宋体"/>
          <w:color w:val="auto"/>
          <w:spacing w:val="-1"/>
          <w:sz w:val="24"/>
          <w:szCs w:val="24"/>
          <w:highlight w:val="none"/>
        </w:rPr>
        <w:fldChar w:fldCharType="end"/>
      </w:r>
      <w:r>
        <w:rPr>
          <w:rFonts w:hint="eastAsia" w:ascii="宋体" w:hAnsi="宋体" w:eastAsia="宋体" w:cs="宋体"/>
          <w:color w:val="auto"/>
          <w:spacing w:val="-1"/>
          <w:sz w:val="24"/>
          <w:szCs w:val="24"/>
          <w:highlight w:val="none"/>
        </w:rPr>
        <w:t>）办理企业入库、数字证书及电子印章事宜，具体请在平台查阅相应的交易指引。</w:t>
      </w:r>
    </w:p>
    <w:p w14:paraId="7ABA17A1">
      <w:pPr>
        <w:spacing w:before="37" w:line="329" w:lineRule="auto"/>
        <w:ind w:left="9" w:right="105"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已入库企业有关信息（如单位名称、基本账号、资质、人员等）发生变化</w:t>
      </w:r>
      <w:r>
        <w:rPr>
          <w:rFonts w:hint="eastAsia" w:ascii="宋体" w:hAnsi="宋体" w:eastAsia="宋体" w:cs="宋体"/>
          <w:color w:val="auto"/>
          <w:spacing w:val="-3"/>
          <w:sz w:val="24"/>
          <w:szCs w:val="24"/>
          <w:highlight w:val="none"/>
        </w:rPr>
        <w:t>的，须</w:t>
      </w:r>
      <w:r>
        <w:rPr>
          <w:rFonts w:hint="eastAsia" w:ascii="宋体" w:hAnsi="宋体" w:eastAsia="宋体" w:cs="宋体"/>
          <w:color w:val="auto"/>
          <w:spacing w:val="-1"/>
          <w:sz w:val="24"/>
          <w:szCs w:val="24"/>
          <w:highlight w:val="none"/>
        </w:rPr>
        <w:t>及时在交易系统进行相应变更。投标人未及时变更信息而造成的</w:t>
      </w:r>
      <w:r>
        <w:rPr>
          <w:rFonts w:hint="eastAsia" w:ascii="宋体" w:hAnsi="宋体" w:eastAsia="宋体" w:cs="宋体"/>
          <w:color w:val="auto"/>
          <w:spacing w:val="-2"/>
          <w:sz w:val="24"/>
          <w:szCs w:val="24"/>
          <w:highlight w:val="none"/>
        </w:rPr>
        <w:t>损失和后果，由投标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人自行承担。</w:t>
      </w:r>
    </w:p>
    <w:p w14:paraId="73A40149">
      <w:pPr>
        <w:spacing w:before="33" w:line="335" w:lineRule="auto"/>
        <w:ind w:left="10" w:right="105" w:firstLine="508"/>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电子印章：是指获得国家工业和信息化部颁发的《电子认证服务许可</w:t>
      </w:r>
      <w:r>
        <w:rPr>
          <w:rFonts w:hint="eastAsia" w:ascii="宋体" w:hAnsi="宋体" w:eastAsia="宋体" w:cs="宋体"/>
          <w:color w:val="auto"/>
          <w:spacing w:val="-3"/>
          <w:sz w:val="24"/>
          <w:szCs w:val="24"/>
          <w:highlight w:val="none"/>
        </w:rPr>
        <w:t>证》、国家</w:t>
      </w:r>
      <w:r>
        <w:rPr>
          <w:rFonts w:hint="eastAsia" w:ascii="宋体" w:hAnsi="宋体" w:eastAsia="宋体" w:cs="宋体"/>
          <w:color w:val="auto"/>
          <w:spacing w:val="-1"/>
          <w:sz w:val="24"/>
          <w:szCs w:val="24"/>
          <w:highlight w:val="none"/>
        </w:rPr>
        <w:t>密码管理局颁发的《电子认证服务使用密码许可证》等资质，</w:t>
      </w:r>
      <w:r>
        <w:rPr>
          <w:rFonts w:hint="eastAsia" w:ascii="宋体" w:hAnsi="宋体" w:eastAsia="宋体" w:cs="宋体"/>
          <w:color w:val="auto"/>
          <w:spacing w:val="-2"/>
          <w:sz w:val="24"/>
          <w:szCs w:val="24"/>
          <w:highlight w:val="none"/>
        </w:rPr>
        <w:t>具备承担因数字证书原</w:t>
      </w:r>
      <w:r>
        <w:rPr>
          <w:rFonts w:hint="eastAsia" w:ascii="宋体" w:hAnsi="宋体" w:eastAsia="宋体" w:cs="宋体"/>
          <w:color w:val="auto"/>
          <w:spacing w:val="-1"/>
          <w:sz w:val="24"/>
          <w:szCs w:val="24"/>
          <w:highlight w:val="none"/>
        </w:rPr>
        <w:t>因产生纠纷的相关责任的能力，且在广东省内具有数量基础和</w:t>
      </w:r>
      <w:r>
        <w:rPr>
          <w:rFonts w:hint="eastAsia" w:ascii="宋体" w:hAnsi="宋体" w:eastAsia="宋体" w:cs="宋体"/>
          <w:color w:val="auto"/>
          <w:spacing w:val="-2"/>
          <w:sz w:val="24"/>
          <w:szCs w:val="24"/>
          <w:highlight w:val="none"/>
        </w:rPr>
        <w:t>服务能力的依法设立的</w:t>
      </w:r>
      <w:r>
        <w:rPr>
          <w:rFonts w:hint="eastAsia" w:ascii="宋体" w:hAnsi="宋体" w:eastAsia="宋体" w:cs="宋体"/>
          <w:color w:val="auto"/>
          <w:spacing w:val="3"/>
          <w:sz w:val="24"/>
          <w:szCs w:val="24"/>
          <w:highlight w:val="none"/>
        </w:rPr>
        <w:t>电子认证服务机构签发的电子签章认证证书（即</w:t>
      </w:r>
      <w:r>
        <w:rPr>
          <w:rFonts w:hint="eastAsia" w:ascii="宋体" w:hAnsi="宋体" w:eastAsia="宋体" w:cs="宋体"/>
          <w:color w:val="auto"/>
          <w:sz w:val="24"/>
          <w:szCs w:val="24"/>
          <w:highlight w:val="none"/>
        </w:rPr>
        <w:t>CA</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数字证书）。投标人应当到相关</w:t>
      </w:r>
      <w:r>
        <w:rPr>
          <w:rFonts w:hint="eastAsia" w:ascii="宋体" w:hAnsi="宋体" w:eastAsia="宋体" w:cs="宋体"/>
          <w:color w:val="auto"/>
          <w:spacing w:val="-1"/>
          <w:sz w:val="24"/>
          <w:szCs w:val="24"/>
          <w:highlight w:val="none"/>
        </w:rPr>
        <w:t>服务机构办理并取得数字证书介质和应用。电子印章包括机构</w:t>
      </w:r>
      <w:r>
        <w:rPr>
          <w:rFonts w:hint="eastAsia" w:ascii="宋体" w:hAnsi="宋体" w:eastAsia="宋体" w:cs="宋体"/>
          <w:color w:val="auto"/>
          <w:spacing w:val="-2"/>
          <w:sz w:val="24"/>
          <w:szCs w:val="24"/>
          <w:highlight w:val="none"/>
        </w:rPr>
        <w:t>法人电子形式印章，单</w:t>
      </w:r>
      <w:r>
        <w:rPr>
          <w:rFonts w:hint="eastAsia" w:ascii="宋体" w:hAnsi="宋体" w:eastAsia="宋体" w:cs="宋体"/>
          <w:color w:val="auto"/>
          <w:spacing w:val="-1"/>
          <w:sz w:val="24"/>
          <w:szCs w:val="24"/>
          <w:highlight w:val="none"/>
        </w:rPr>
        <w:t>位法定代表人、被委托人及其他个人的电子形式印章。电子印</w:t>
      </w:r>
      <w:r>
        <w:rPr>
          <w:rFonts w:hint="eastAsia" w:ascii="宋体" w:hAnsi="宋体" w:eastAsia="宋体" w:cs="宋体"/>
          <w:color w:val="auto"/>
          <w:spacing w:val="-2"/>
          <w:sz w:val="24"/>
          <w:szCs w:val="24"/>
          <w:highlight w:val="none"/>
        </w:rPr>
        <w:t>章与手写签名或者盖章</w:t>
      </w:r>
      <w:r>
        <w:rPr>
          <w:rFonts w:hint="eastAsia" w:ascii="宋体" w:hAnsi="宋体" w:eastAsia="宋体" w:cs="宋体"/>
          <w:color w:val="auto"/>
          <w:spacing w:val="-1"/>
          <w:sz w:val="24"/>
          <w:szCs w:val="24"/>
          <w:highlight w:val="none"/>
        </w:rPr>
        <w:t>具有同等的法律效力。</w:t>
      </w:r>
    </w:p>
    <w:p w14:paraId="1296078A">
      <w:pPr>
        <w:spacing w:before="33" w:line="221"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3.3</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3"/>
          <w:sz w:val="24"/>
          <w:szCs w:val="24"/>
          <w:highlight w:val="none"/>
        </w:rPr>
        <w:t>投标保证</w:t>
      </w:r>
    </w:p>
    <w:p w14:paraId="70FE9E8C">
      <w:pPr>
        <w:spacing w:before="152" w:line="280" w:lineRule="auto"/>
        <w:ind w:left="8" w:right="105"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3.3.1  </w:t>
      </w:r>
      <w:r>
        <w:rPr>
          <w:rFonts w:hint="eastAsia" w:ascii="宋体" w:hAnsi="宋体" w:eastAsia="宋体" w:cs="宋体"/>
          <w:color w:val="auto"/>
          <w:spacing w:val="-1"/>
          <w:sz w:val="24"/>
          <w:szCs w:val="24"/>
          <w:highlight w:val="none"/>
        </w:rPr>
        <w:t>投标人须缴纳金额为</w:t>
      </w:r>
      <w:r>
        <w:rPr>
          <w:rFonts w:hint="eastAsia" w:ascii="宋体" w:hAnsi="宋体" w:eastAsia="宋体" w:cs="宋体"/>
          <w:color w:val="auto"/>
          <w:spacing w:val="-1"/>
          <w:sz w:val="24"/>
          <w:szCs w:val="24"/>
          <w:highlight w:val="none"/>
          <w:u w:val="single"/>
          <w:lang w:val="en-US" w:eastAsia="zh-CN"/>
        </w:rPr>
        <w:t>20万元</w:t>
      </w:r>
      <w:r>
        <w:rPr>
          <w:rFonts w:hint="eastAsia" w:ascii="宋体" w:hAnsi="宋体" w:eastAsia="宋体" w:cs="宋体"/>
          <w:color w:val="auto"/>
          <w:spacing w:val="-1"/>
          <w:sz w:val="24"/>
          <w:szCs w:val="24"/>
          <w:highlight w:val="none"/>
        </w:rPr>
        <w:t xml:space="preserve">人民币的投标保证。 </w:t>
      </w:r>
    </w:p>
    <w:p w14:paraId="77827FA8">
      <w:pPr>
        <w:spacing w:before="35" w:line="325" w:lineRule="auto"/>
        <w:ind w:left="12" w:right="108" w:firstLine="471"/>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3.3.2  </w:t>
      </w:r>
      <w:r>
        <w:rPr>
          <w:rFonts w:hint="eastAsia" w:ascii="宋体" w:hAnsi="宋体" w:eastAsia="宋体" w:cs="宋体"/>
          <w:color w:val="auto"/>
          <w:spacing w:val="2"/>
          <w:sz w:val="24"/>
          <w:szCs w:val="24"/>
          <w:highlight w:val="none"/>
        </w:rPr>
        <w:t>投标保证的形式包括投标保证金、投标保证担保、投标保证保险三种</w:t>
      </w:r>
      <w:r>
        <w:rPr>
          <w:rFonts w:hint="eastAsia" w:ascii="宋体" w:hAnsi="宋体" w:eastAsia="宋体" w:cs="宋体"/>
          <w:color w:val="auto"/>
          <w:spacing w:val="1"/>
          <w:sz w:val="24"/>
          <w:szCs w:val="24"/>
          <w:highlight w:val="none"/>
        </w:rPr>
        <w:t>，由</w:t>
      </w:r>
      <w:r>
        <w:rPr>
          <w:rFonts w:hint="eastAsia" w:ascii="宋体" w:hAnsi="宋体" w:eastAsia="宋体" w:cs="宋体"/>
          <w:color w:val="auto"/>
          <w:spacing w:val="-2"/>
          <w:sz w:val="24"/>
          <w:szCs w:val="24"/>
          <w:highlight w:val="none"/>
        </w:rPr>
        <w:t>投标人自主选择。</w:t>
      </w:r>
    </w:p>
    <w:p w14:paraId="4459D6DD">
      <w:pPr>
        <w:spacing w:before="78" w:line="334" w:lineRule="auto"/>
        <w:ind w:left="12" w:right="2" w:firstLine="490"/>
        <w:jc w:val="both"/>
        <w:rPr>
          <w:rFonts w:hint="eastAsia" w:ascii="宋体" w:hAnsi="宋体" w:eastAsia="宋体" w:cs="宋体"/>
          <w:color w:val="auto"/>
          <w:spacing w:val="-1"/>
          <w:sz w:val="24"/>
          <w:szCs w:val="24"/>
          <w:highlight w:val="none"/>
        </w:rPr>
      </w:pPr>
      <w:bookmarkStart w:id="22" w:name="bookmark117"/>
      <w:bookmarkEnd w:id="22"/>
      <w:r>
        <w:rPr>
          <w:rFonts w:hint="eastAsia" w:ascii="宋体" w:hAnsi="宋体" w:eastAsia="宋体" w:cs="宋体"/>
          <w:color w:val="auto"/>
          <w:spacing w:val="2"/>
          <w:sz w:val="24"/>
          <w:szCs w:val="24"/>
          <w:highlight w:val="none"/>
        </w:rPr>
        <w:t>（1）采用投标保证金的，投标人在建设工程交易系统获取招</w:t>
      </w:r>
      <w:r>
        <w:rPr>
          <w:rFonts w:hint="eastAsia" w:ascii="宋体" w:hAnsi="宋体" w:eastAsia="宋体" w:cs="宋体"/>
          <w:color w:val="auto"/>
          <w:spacing w:val="1"/>
          <w:sz w:val="24"/>
          <w:szCs w:val="24"/>
          <w:highlight w:val="none"/>
        </w:rPr>
        <w:t>标文件完毕后，即</w:t>
      </w:r>
      <w:r>
        <w:rPr>
          <w:rFonts w:hint="eastAsia" w:ascii="宋体" w:hAnsi="宋体" w:eastAsia="宋体" w:cs="宋体"/>
          <w:color w:val="auto"/>
          <w:spacing w:val="-1"/>
          <w:sz w:val="24"/>
          <w:szCs w:val="24"/>
          <w:highlight w:val="none"/>
        </w:rPr>
        <w:t>可在系统申请缴纳投标保证金，获取本次招标投标保证金缴</w:t>
      </w:r>
      <w:r>
        <w:rPr>
          <w:rFonts w:hint="eastAsia" w:ascii="宋体" w:hAnsi="宋体" w:eastAsia="宋体" w:cs="宋体"/>
          <w:color w:val="auto"/>
          <w:spacing w:val="-2"/>
          <w:sz w:val="24"/>
          <w:szCs w:val="24"/>
          <w:highlight w:val="none"/>
        </w:rPr>
        <w:t>纳账号。投标人必须于投标保证金到账截</w:t>
      </w:r>
      <w:r>
        <w:rPr>
          <w:rFonts w:hint="eastAsia" w:ascii="宋体" w:hAnsi="宋体" w:eastAsia="宋体" w:cs="宋体"/>
          <w:color w:val="auto"/>
          <w:spacing w:val="-1"/>
          <w:sz w:val="24"/>
          <w:szCs w:val="24"/>
          <w:highlight w:val="none"/>
        </w:rPr>
        <w:t>止时间（见本招标文件“重要事项时间地点一览表 ”）前，从其基本账户将投标保证金转账到指定的缴纳账号。逾期到账的、从非投标人基本账户转出的，其投标无效。</w:t>
      </w:r>
    </w:p>
    <w:p w14:paraId="19B8D669">
      <w:pPr>
        <w:spacing w:before="78" w:line="334" w:lineRule="auto"/>
        <w:ind w:left="12" w:right="2" w:firstLine="490"/>
        <w:jc w:val="both"/>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59A2CBC2">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w:t>
      </w:r>
      <w:r>
        <w:rPr>
          <w:rFonts w:hint="eastAsia" w:ascii="宋体" w:hAnsi="宋体" w:eastAsia="宋体" w:cs="宋体"/>
          <w:color w:val="auto"/>
          <w:spacing w:val="-2"/>
          <w:sz w:val="24"/>
          <w:szCs w:val="24"/>
          <w:highlight w:val="none"/>
        </w:rPr>
        <w:t>电子保单，电子保单的有</w:t>
      </w:r>
      <w:r>
        <w:rPr>
          <w:rFonts w:hint="eastAsia" w:ascii="宋体" w:hAnsi="宋体" w:eastAsia="宋体" w:cs="宋体"/>
          <w:color w:val="auto"/>
          <w:spacing w:val="-3"/>
          <w:sz w:val="24"/>
          <w:szCs w:val="24"/>
          <w:highlight w:val="none"/>
        </w:rPr>
        <w:t>效期不得短于投标有效期。投标人可登录全国公共资源交易平台（广东省 ·韶关市） （</w:t>
      </w:r>
      <w:r>
        <w:rPr>
          <w:rFonts w:hint="eastAsia" w:ascii="宋体" w:hAnsi="宋体" w:eastAsia="宋体" w:cs="宋体"/>
          <w:color w:val="auto"/>
          <w:spacing w:val="-3"/>
          <w:sz w:val="24"/>
          <w:szCs w:val="24"/>
          <w:highlight w:val="none"/>
        </w:rPr>
        <w:fldChar w:fldCharType="begin"/>
      </w:r>
      <w:r>
        <w:rPr>
          <w:rFonts w:hint="eastAsia" w:ascii="宋体" w:hAnsi="宋体" w:eastAsia="宋体" w:cs="宋体"/>
          <w:color w:val="auto"/>
          <w:spacing w:val="-3"/>
          <w:sz w:val="24"/>
          <w:szCs w:val="24"/>
          <w:highlight w:val="none"/>
        </w:rPr>
        <w:instrText xml:space="preserve"> HYPERLINK "https://ygp.gdzwfw.gov.cn/ggzy-portal/#/440200/index" </w:instrText>
      </w:r>
      <w:r>
        <w:rPr>
          <w:rFonts w:hint="eastAsia" w:ascii="宋体" w:hAnsi="宋体" w:eastAsia="宋体" w:cs="宋体"/>
          <w:color w:val="auto"/>
          <w:spacing w:val="-3"/>
          <w:sz w:val="24"/>
          <w:szCs w:val="24"/>
          <w:highlight w:val="none"/>
        </w:rPr>
        <w:fldChar w:fldCharType="separate"/>
      </w:r>
      <w:r>
        <w:rPr>
          <w:rFonts w:hint="eastAsia" w:ascii="宋体" w:hAnsi="宋体" w:eastAsia="宋体" w:cs="宋体"/>
          <w:color w:val="auto"/>
          <w:spacing w:val="-3"/>
          <w:sz w:val="24"/>
          <w:szCs w:val="24"/>
          <w:highlight w:val="none"/>
        </w:rPr>
        <w:t>https://ygp.gdzwfw.gov.cn/ggzy-portal/#/440200/index</w:t>
      </w:r>
      <w:r>
        <w:rPr>
          <w:rFonts w:hint="eastAsia" w:ascii="宋体" w:hAnsi="宋体" w:eastAsia="宋体" w:cs="宋体"/>
          <w:color w:val="auto"/>
          <w:spacing w:val="-3"/>
          <w:sz w:val="24"/>
          <w:szCs w:val="24"/>
          <w:highlight w:val="none"/>
        </w:rPr>
        <w:fldChar w:fldCharType="end"/>
      </w:r>
      <w:r>
        <w:rPr>
          <w:rFonts w:hint="eastAsia" w:ascii="宋体" w:hAnsi="宋体" w:eastAsia="宋体" w:cs="宋体"/>
          <w:color w:val="auto"/>
          <w:spacing w:val="-3"/>
          <w:sz w:val="24"/>
          <w:szCs w:val="24"/>
          <w:highlight w:val="none"/>
        </w:rPr>
        <w:t>），在【服务指南】栏 目中下载《建设工程网上交易系统保险保证金缴纳操作指南》，了解网上投保具体操 作流程。逾期投保的，其投标无效。</w:t>
      </w:r>
    </w:p>
    <w:p w14:paraId="0C95A37A">
      <w:pPr>
        <w:spacing w:before="78" w:line="334" w:lineRule="auto"/>
        <w:ind w:left="12" w:right="2" w:firstLine="490"/>
        <w:jc w:val="both"/>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39A5AF30">
      <w:pPr>
        <w:spacing w:before="78" w:line="334" w:lineRule="auto"/>
        <w:ind w:left="12" w:right="2" w:firstLine="49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3.4 </w:t>
      </w:r>
      <w:r>
        <w:rPr>
          <w:rFonts w:hint="eastAsia" w:ascii="宋体" w:hAnsi="宋体" w:eastAsia="宋体" w:cs="宋体"/>
          <w:color w:val="auto"/>
          <w:spacing w:val="-3"/>
          <w:sz w:val="24"/>
          <w:szCs w:val="24"/>
          <w:highlight w:val="none"/>
        </w:rPr>
        <w:t xml:space="preserve"> 若投标人因自身原因未能正确完成获取招标文件</w:t>
      </w:r>
      <w:r>
        <w:rPr>
          <w:rFonts w:hint="eastAsia" w:ascii="宋体" w:hAnsi="宋体" w:eastAsia="宋体" w:cs="宋体"/>
          <w:color w:val="auto"/>
          <w:sz w:val="24"/>
          <w:szCs w:val="24"/>
          <w:highlight w:val="none"/>
        </w:rPr>
        <w:t>、电子投标、缴纳投标保证</w:t>
      </w:r>
      <w:r>
        <w:rPr>
          <w:rFonts w:hint="eastAsia" w:ascii="宋体" w:hAnsi="宋体" w:eastAsia="宋体" w:cs="宋体"/>
          <w:color w:val="auto"/>
          <w:spacing w:val="-4"/>
          <w:sz w:val="24"/>
          <w:szCs w:val="24"/>
          <w:highlight w:val="none"/>
        </w:rPr>
        <w:t>的，其投标无效。</w:t>
      </w:r>
    </w:p>
    <w:p w14:paraId="7C7CE3F6">
      <w:pPr>
        <w:spacing w:before="79" w:line="221" w:lineRule="auto"/>
        <w:ind w:left="487"/>
        <w:outlineLvl w:val="2"/>
        <w:rPr>
          <w:rFonts w:hint="eastAsia" w:ascii="宋体" w:hAnsi="宋体" w:eastAsia="宋体" w:cs="宋体"/>
          <w:color w:val="auto"/>
          <w:sz w:val="24"/>
          <w:szCs w:val="24"/>
          <w:highlight w:val="none"/>
        </w:rPr>
      </w:pPr>
      <w:bookmarkStart w:id="23" w:name="bookmark78"/>
      <w:bookmarkEnd w:id="23"/>
      <w:bookmarkStart w:id="24" w:name="bookmark64"/>
      <w:bookmarkEnd w:id="24"/>
      <w:bookmarkStart w:id="25" w:name="_Toc15498"/>
      <w:bookmarkStart w:id="26" w:name="_Toc8255"/>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8"/>
          <w:sz w:val="24"/>
          <w:szCs w:val="24"/>
          <w:highlight w:val="none"/>
          <w:lang w:val="en-US" w:eastAsia="zh-CN"/>
        </w:rPr>
        <w:t xml:space="preserve"> </w:t>
      </w:r>
      <w:r>
        <w:rPr>
          <w:rFonts w:hint="eastAsia" w:ascii="宋体" w:hAnsi="宋体" w:eastAsia="宋体" w:cs="宋体"/>
          <w:b/>
          <w:bCs/>
          <w:color w:val="auto"/>
          <w:spacing w:val="-8"/>
          <w:sz w:val="24"/>
          <w:szCs w:val="24"/>
          <w:highlight w:val="none"/>
        </w:rPr>
        <w:t>．工期要求</w:t>
      </w:r>
      <w:bookmarkEnd w:id="25"/>
      <w:bookmarkEnd w:id="26"/>
    </w:p>
    <w:p w14:paraId="533C7AA5">
      <w:pPr>
        <w:spacing w:before="153" w:line="324" w:lineRule="auto"/>
        <w:ind w:left="30" w:right="65" w:firstLine="46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本招标项目招标工期为</w:t>
      </w:r>
      <w:r>
        <w:rPr>
          <w:rFonts w:hint="eastAsia" w:ascii="宋体" w:hAnsi="宋体" w:eastAsia="宋体" w:cs="宋体"/>
          <w:color w:val="auto"/>
          <w:spacing w:val="-2"/>
          <w:sz w:val="24"/>
          <w:szCs w:val="24"/>
          <w:highlight w:val="none"/>
          <w:u w:val="single"/>
          <w:lang w:val="en-US" w:eastAsia="zh-CN"/>
        </w:rPr>
        <w:t>45个日历天</w:t>
      </w:r>
      <w:r>
        <w:rPr>
          <w:rFonts w:hint="eastAsia" w:ascii="宋体" w:hAnsi="宋体" w:eastAsia="宋体" w:cs="宋体"/>
          <w:color w:val="auto"/>
          <w:spacing w:val="-2"/>
          <w:sz w:val="24"/>
          <w:szCs w:val="24"/>
          <w:highlight w:val="none"/>
        </w:rPr>
        <w:t>，中标人必须在招标工期内完成招标范围内</w:t>
      </w:r>
      <w:r>
        <w:rPr>
          <w:rFonts w:hint="eastAsia" w:ascii="宋体" w:hAnsi="宋体" w:eastAsia="宋体" w:cs="宋体"/>
          <w:color w:val="auto"/>
          <w:spacing w:val="-5"/>
          <w:sz w:val="24"/>
          <w:szCs w:val="24"/>
          <w:highlight w:val="none"/>
        </w:rPr>
        <w:t>的全部内容。</w:t>
      </w:r>
    </w:p>
    <w:p w14:paraId="20DC87FE">
      <w:pPr>
        <w:spacing w:before="78" w:line="219" w:lineRule="auto"/>
        <w:ind w:left="488"/>
        <w:outlineLvl w:val="2"/>
        <w:rPr>
          <w:rFonts w:hint="eastAsia" w:ascii="宋体" w:hAnsi="宋体" w:eastAsia="宋体" w:cs="宋体"/>
          <w:color w:val="auto"/>
          <w:sz w:val="24"/>
          <w:szCs w:val="24"/>
          <w:highlight w:val="none"/>
        </w:rPr>
      </w:pPr>
      <w:bookmarkStart w:id="27" w:name="_Toc11449"/>
      <w:bookmarkStart w:id="28" w:name="_Toc4154"/>
      <w:r>
        <w:rPr>
          <w:rFonts w:hint="eastAsia" w:ascii="宋体" w:hAnsi="宋体" w:eastAsia="宋体" w:cs="宋体"/>
          <w:b/>
          <w:bCs/>
          <w:color w:val="auto"/>
          <w:spacing w:val="-5"/>
          <w:sz w:val="24"/>
          <w:szCs w:val="24"/>
          <w:highlight w:val="none"/>
        </w:rPr>
        <w:t>5</w:t>
      </w:r>
      <w:r>
        <w:rPr>
          <w:rFonts w:hint="eastAsia" w:ascii="宋体" w:hAnsi="宋体" w:eastAsia="宋体" w:cs="宋体"/>
          <w:b/>
          <w:bCs/>
          <w:color w:val="auto"/>
          <w:spacing w:val="-5"/>
          <w:sz w:val="24"/>
          <w:szCs w:val="24"/>
          <w:highlight w:val="none"/>
          <w:lang w:val="en-US" w:eastAsia="zh-CN"/>
        </w:rPr>
        <w:t xml:space="preserve"> </w:t>
      </w:r>
      <w:r>
        <w:rPr>
          <w:rFonts w:hint="eastAsia" w:ascii="宋体" w:hAnsi="宋体" w:eastAsia="宋体" w:cs="宋体"/>
          <w:b/>
          <w:bCs/>
          <w:color w:val="auto"/>
          <w:spacing w:val="-5"/>
          <w:sz w:val="24"/>
          <w:szCs w:val="24"/>
          <w:highlight w:val="none"/>
        </w:rPr>
        <w:t>．质量标准和材料、机械要求</w:t>
      </w:r>
      <w:bookmarkEnd w:id="27"/>
      <w:bookmarkEnd w:id="28"/>
    </w:p>
    <w:p w14:paraId="3BC3191A">
      <w:pPr>
        <w:keepNext w:val="0"/>
        <w:keepLines w:val="0"/>
        <w:widowControl/>
        <w:suppressLineNumbers w:val="0"/>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5.1  </w:t>
      </w:r>
      <w:r>
        <w:rPr>
          <w:rFonts w:hint="eastAsia" w:ascii="宋体" w:hAnsi="宋体" w:eastAsia="宋体" w:cs="宋体"/>
          <w:color w:val="auto"/>
          <w:sz w:val="24"/>
          <w:szCs w:val="24"/>
          <w:highlight w:val="none"/>
        </w:rPr>
        <w:t>施工工艺严格按照国家和广东省的有关现行施工技术规范及标准执行，工程</w:t>
      </w:r>
      <w:r>
        <w:rPr>
          <w:rFonts w:hint="eastAsia" w:ascii="宋体" w:hAnsi="宋体" w:eastAsia="宋体" w:cs="宋体"/>
          <w:color w:val="auto"/>
          <w:spacing w:val="-1"/>
          <w:sz w:val="24"/>
          <w:szCs w:val="24"/>
          <w:highlight w:val="none"/>
        </w:rPr>
        <w:t>质量标准须达到</w:t>
      </w:r>
      <w:r>
        <w:rPr>
          <w:rFonts w:hint="eastAsia" w:ascii="宋体" w:hAnsi="宋体" w:eastAsia="宋体" w:cs="宋体"/>
          <w:snapToGrid w:val="0"/>
          <w:color w:val="auto"/>
          <w:kern w:val="0"/>
          <w:sz w:val="24"/>
          <w:szCs w:val="24"/>
          <w:highlight w:val="none"/>
          <w:lang w:val="en-US" w:eastAsia="zh-CN" w:bidi="ar"/>
        </w:rPr>
        <w:t>须符合现行国家有关工程施工质量验收规范和标准的要求。</w:t>
      </w:r>
    </w:p>
    <w:p w14:paraId="5197C550">
      <w:pPr>
        <w:spacing w:before="154" w:line="279" w:lineRule="auto"/>
        <w:ind w:left="10" w:right="99"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5.2</w:t>
      </w:r>
      <w:r>
        <w:rPr>
          <w:rFonts w:hint="eastAsia" w:ascii="宋体" w:hAnsi="宋体" w:eastAsia="宋体" w:cs="宋体"/>
          <w:b/>
          <w:bCs/>
          <w:color w:val="auto"/>
          <w:spacing w:val="21"/>
          <w:w w:val="101"/>
          <w:sz w:val="24"/>
          <w:szCs w:val="24"/>
          <w:highlight w:val="none"/>
        </w:rPr>
        <w:t xml:space="preserve">  </w:t>
      </w:r>
      <w:r>
        <w:rPr>
          <w:rFonts w:hint="eastAsia" w:ascii="宋体" w:hAnsi="宋体" w:eastAsia="宋体" w:cs="宋体"/>
          <w:color w:val="auto"/>
          <w:spacing w:val="-3"/>
          <w:sz w:val="24"/>
          <w:szCs w:val="24"/>
          <w:highlight w:val="none"/>
        </w:rPr>
        <w:t>中标人在施工中如果工程质量不符合设计要求和有关规定，招标人或监理单</w:t>
      </w:r>
      <w:r>
        <w:rPr>
          <w:rFonts w:hint="eastAsia" w:ascii="宋体" w:hAnsi="宋体" w:eastAsia="宋体" w:cs="宋体"/>
          <w:color w:val="auto"/>
          <w:sz w:val="24"/>
          <w:szCs w:val="24"/>
          <w:highlight w:val="none"/>
        </w:rPr>
        <w:t>位要求停工和返工的必须立即执行，并承担由此产生的各</w:t>
      </w:r>
      <w:r>
        <w:rPr>
          <w:rFonts w:hint="eastAsia" w:ascii="宋体" w:hAnsi="宋体" w:eastAsia="宋体" w:cs="宋体"/>
          <w:color w:val="auto"/>
          <w:spacing w:val="-1"/>
          <w:sz w:val="24"/>
          <w:szCs w:val="24"/>
          <w:highlight w:val="none"/>
        </w:rPr>
        <w:t>种费用，工期不予顺延。</w:t>
      </w:r>
    </w:p>
    <w:p w14:paraId="1B1D3255">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6"/>
          <w:sz w:val="24"/>
          <w:szCs w:val="24"/>
          <w:highlight w:val="none"/>
        </w:rPr>
        <w:t xml:space="preserve">5.3  </w:t>
      </w:r>
      <w:r>
        <w:rPr>
          <w:rFonts w:hint="eastAsia" w:ascii="宋体" w:hAnsi="宋体" w:eastAsia="宋体" w:cs="宋体"/>
          <w:color w:val="auto"/>
          <w:spacing w:val="-6"/>
          <w:sz w:val="24"/>
          <w:szCs w:val="24"/>
          <w:highlight w:val="none"/>
        </w:rPr>
        <w:t>保修期限按《建设工程质量管理条例》（中华人民共和国国务院令第</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6"/>
          <w:sz w:val="24"/>
          <w:szCs w:val="24"/>
          <w:highlight w:val="none"/>
        </w:rPr>
        <w:t>279</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6"/>
          <w:sz w:val="24"/>
          <w:szCs w:val="24"/>
          <w:highlight w:val="none"/>
        </w:rPr>
        <w:t>号）</w:t>
      </w:r>
      <w:r>
        <w:rPr>
          <w:rFonts w:hint="eastAsia" w:ascii="宋体" w:hAnsi="宋体" w:eastAsia="宋体" w:cs="宋体"/>
          <w:color w:val="auto"/>
          <w:spacing w:val="-1"/>
          <w:sz w:val="24"/>
          <w:szCs w:val="24"/>
          <w:highlight w:val="none"/>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2D8C80FB">
      <w:pPr>
        <w:spacing w:before="152" w:line="309" w:lineRule="auto"/>
        <w:ind w:left="9" w:firstLine="568"/>
        <w:rPr>
          <w:rFonts w:hint="eastAsia" w:ascii="宋体" w:hAnsi="宋体" w:eastAsia="宋体" w:cs="宋体"/>
          <w:color w:val="auto"/>
          <w:spacing w:val="-6"/>
          <w:sz w:val="24"/>
          <w:szCs w:val="24"/>
          <w:highlight w:val="none"/>
        </w:rPr>
      </w:pPr>
      <w:r>
        <w:rPr>
          <w:rFonts w:hint="eastAsia" w:ascii="宋体" w:hAnsi="宋体" w:eastAsia="宋体" w:cs="宋体"/>
          <w:b/>
          <w:bCs/>
          <w:color w:val="auto"/>
          <w:spacing w:val="-1"/>
          <w:sz w:val="24"/>
          <w:szCs w:val="24"/>
          <w:highlight w:val="none"/>
        </w:rPr>
        <w:t>5.4</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6"/>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6"/>
          <w:sz w:val="24"/>
          <w:szCs w:val="24"/>
          <w:highlight w:val="none"/>
        </w:rPr>
        <w:t>本招标项目</w:t>
      </w:r>
      <w:r>
        <w:rPr>
          <w:rFonts w:hint="eastAsia" w:ascii="宋体" w:hAnsi="宋体" w:eastAsia="宋体" w:cs="宋体"/>
          <w:color w:val="auto"/>
          <w:spacing w:val="-6"/>
          <w:sz w:val="24"/>
          <w:szCs w:val="24"/>
          <w:highlight w:val="none"/>
          <w:lang w:val="en-US" w:eastAsia="zh-CN"/>
        </w:rPr>
        <w:t>不</w:t>
      </w:r>
      <w:r>
        <w:rPr>
          <w:rFonts w:hint="eastAsia" w:ascii="宋体" w:hAnsi="宋体" w:eastAsia="宋体" w:cs="宋体"/>
          <w:color w:val="auto"/>
          <w:spacing w:val="-6"/>
          <w:sz w:val="24"/>
          <w:szCs w:val="24"/>
          <w:highlight w:val="none"/>
        </w:rPr>
        <w:t>纳入绿色建设实施范围</w:t>
      </w:r>
      <w:r>
        <w:rPr>
          <w:rFonts w:hint="eastAsia" w:ascii="宋体" w:hAnsi="宋体" w:eastAsia="宋体" w:cs="宋体"/>
          <w:color w:val="auto"/>
          <w:spacing w:val="-6"/>
          <w:sz w:val="24"/>
          <w:szCs w:val="24"/>
          <w:highlight w:val="none"/>
          <w:lang w:eastAsia="zh-CN"/>
        </w:rPr>
        <w:t>。</w:t>
      </w:r>
    </w:p>
    <w:p w14:paraId="67F07540">
      <w:pPr>
        <w:spacing w:before="152" w:line="309" w:lineRule="auto"/>
        <w:ind w:left="9" w:firstLine="568"/>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rPr>
        <w:t>5.5</w:t>
      </w:r>
      <w:r>
        <w:rPr>
          <w:rFonts w:hint="eastAsia" w:ascii="宋体" w:hAnsi="宋体" w:eastAsia="宋体" w:cs="宋体"/>
          <w:color w:val="auto"/>
          <w:spacing w:val="-1"/>
          <w:sz w:val="24"/>
          <w:szCs w:val="24"/>
          <w:highlight w:val="none"/>
        </w:rPr>
        <w:t xml:space="preserve">  其它：</w:t>
      </w:r>
      <w:r>
        <w:rPr>
          <w:rFonts w:hint="eastAsia" w:ascii="宋体" w:hAnsi="宋体" w:eastAsia="宋体" w:cs="宋体"/>
          <w:color w:val="auto"/>
          <w:spacing w:val="-1"/>
          <w:sz w:val="24"/>
          <w:szCs w:val="24"/>
          <w:highlight w:val="none"/>
          <w:lang w:eastAsia="zh-CN"/>
        </w:rPr>
        <w:t>本招标项目</w:t>
      </w:r>
      <w:r>
        <w:rPr>
          <w:rFonts w:hint="eastAsia" w:ascii="宋体" w:hAnsi="宋体" w:eastAsia="宋体" w:cs="宋体"/>
          <w:color w:val="auto"/>
          <w:spacing w:val="-1"/>
          <w:sz w:val="24"/>
          <w:szCs w:val="24"/>
          <w:highlight w:val="none"/>
          <w:lang w:val="en-US" w:eastAsia="zh-CN"/>
        </w:rPr>
        <w:t>不</w:t>
      </w:r>
      <w:r>
        <w:rPr>
          <w:rFonts w:hint="eastAsia" w:ascii="宋体" w:hAnsi="宋体" w:eastAsia="宋体" w:cs="宋体"/>
          <w:color w:val="auto"/>
          <w:spacing w:val="-1"/>
          <w:sz w:val="24"/>
          <w:szCs w:val="24"/>
          <w:highlight w:val="none"/>
          <w:lang w:eastAsia="zh-CN"/>
        </w:rPr>
        <w:t>纳入装配式建造建设实施范围。</w:t>
      </w:r>
    </w:p>
    <w:p w14:paraId="06C479B1">
      <w:pPr>
        <w:spacing w:before="152" w:line="309" w:lineRule="auto"/>
        <w:ind w:left="9" w:firstLine="568"/>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5.6</w:t>
      </w:r>
      <w:r>
        <w:rPr>
          <w:rFonts w:hint="eastAsia" w:ascii="宋体" w:hAnsi="宋体" w:eastAsia="宋体" w:cs="宋体"/>
          <w:color w:val="auto"/>
          <w:spacing w:val="-1"/>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则中标人必须使用合格材料或设备。</w:t>
      </w:r>
    </w:p>
    <w:p w14:paraId="65D6044A">
      <w:pPr>
        <w:spacing w:before="152" w:line="309" w:lineRule="auto"/>
        <w:ind w:left="9" w:firstLine="56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5.</w:t>
      </w:r>
      <w:r>
        <w:rPr>
          <w:rFonts w:hint="eastAsia" w:ascii="宋体" w:hAnsi="宋体" w:eastAsia="宋体" w:cs="宋体"/>
          <w:b/>
          <w:bCs/>
          <w:color w:val="auto"/>
          <w:spacing w:val="-1"/>
          <w:sz w:val="24"/>
          <w:szCs w:val="24"/>
          <w:highlight w:val="none"/>
          <w:lang w:eastAsia="zh-CN"/>
        </w:rPr>
        <w:t>7</w:t>
      </w:r>
      <w:r>
        <w:rPr>
          <w:rFonts w:hint="eastAsia" w:ascii="宋体" w:hAnsi="宋体" w:eastAsia="宋体" w:cs="宋体"/>
          <w:color w:val="auto"/>
          <w:spacing w:val="-1"/>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370C3495">
      <w:pPr>
        <w:spacing w:before="78" w:line="220" w:lineRule="auto"/>
        <w:ind w:left="489"/>
        <w:outlineLvl w:val="2"/>
        <w:rPr>
          <w:rFonts w:hint="eastAsia" w:ascii="宋体" w:hAnsi="宋体" w:eastAsia="宋体" w:cs="宋体"/>
          <w:color w:val="auto"/>
          <w:sz w:val="24"/>
          <w:szCs w:val="24"/>
          <w:highlight w:val="none"/>
        </w:rPr>
      </w:pPr>
      <w:bookmarkStart w:id="29" w:name="_Toc21146"/>
      <w:bookmarkStart w:id="30" w:name="_Toc7763"/>
      <w:r>
        <w:rPr>
          <w:rFonts w:hint="eastAsia" w:ascii="宋体" w:hAnsi="宋体" w:eastAsia="宋体" w:cs="宋体"/>
          <w:b/>
          <w:bCs/>
          <w:color w:val="auto"/>
          <w:spacing w:val="-6"/>
          <w:sz w:val="24"/>
          <w:szCs w:val="24"/>
          <w:highlight w:val="none"/>
        </w:rPr>
        <w:t>6</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b/>
          <w:bCs/>
          <w:color w:val="auto"/>
          <w:spacing w:val="-6"/>
          <w:sz w:val="24"/>
          <w:szCs w:val="24"/>
          <w:highlight w:val="none"/>
        </w:rPr>
        <w:t>．施工条件及现场踏勘</w:t>
      </w:r>
      <w:bookmarkEnd w:id="29"/>
      <w:bookmarkEnd w:id="30"/>
    </w:p>
    <w:p w14:paraId="65C882D9">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6.1  </w:t>
      </w:r>
      <w:r>
        <w:rPr>
          <w:rFonts w:hint="eastAsia" w:ascii="宋体" w:hAnsi="宋体" w:eastAsia="宋体" w:cs="宋体"/>
          <w:color w:val="auto"/>
          <w:spacing w:val="-2"/>
          <w:sz w:val="24"/>
          <w:szCs w:val="24"/>
          <w:highlight w:val="none"/>
        </w:rPr>
        <w:t>招标人仅在本招标项目征地红线范围内提供场地，其他一切场地费用由中标人自行负责（含临时道路）。</w:t>
      </w:r>
    </w:p>
    <w:p w14:paraId="49C1BAAE">
      <w:pPr>
        <w:spacing w:before="155" w:line="324" w:lineRule="auto"/>
        <w:ind w:left="12" w:right="99" w:firstLine="556"/>
        <w:rPr>
          <w:rFonts w:hint="eastAsia" w:ascii="宋体" w:hAnsi="宋体" w:eastAsia="宋体" w:cs="宋体"/>
          <w:color w:val="auto"/>
          <w:spacing w:val="-2"/>
          <w:sz w:val="24"/>
          <w:szCs w:val="24"/>
          <w:highlight w:val="none"/>
        </w:rPr>
      </w:pPr>
      <w:bookmarkStart w:id="31" w:name="bookmark118"/>
      <w:bookmarkEnd w:id="31"/>
      <w:r>
        <w:rPr>
          <w:rFonts w:hint="eastAsia" w:ascii="宋体" w:hAnsi="宋体" w:eastAsia="宋体" w:cs="宋体"/>
          <w:b/>
          <w:bCs/>
          <w:color w:val="auto"/>
          <w:spacing w:val="-2"/>
          <w:sz w:val="24"/>
          <w:szCs w:val="24"/>
          <w:highlight w:val="none"/>
        </w:rPr>
        <w:t>6.2</w:t>
      </w:r>
      <w:r>
        <w:rPr>
          <w:rFonts w:hint="eastAsia" w:ascii="宋体" w:hAnsi="宋体" w:eastAsia="宋体" w:cs="宋体"/>
          <w:color w:val="auto"/>
          <w:spacing w:val="-2"/>
          <w:sz w:val="24"/>
          <w:szCs w:val="24"/>
          <w:highlight w:val="none"/>
        </w:rPr>
        <w:t xml:space="preserve">  施工用水：</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416B05D2">
      <w:pPr>
        <w:spacing w:before="155" w:line="324" w:lineRule="auto"/>
        <w:ind w:left="12" w:right="99" w:firstLine="55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6.3</w:t>
      </w:r>
      <w:r>
        <w:rPr>
          <w:rFonts w:hint="eastAsia" w:ascii="宋体" w:hAnsi="宋体" w:eastAsia="宋体" w:cs="宋体"/>
          <w:color w:val="auto"/>
          <w:spacing w:val="-2"/>
          <w:sz w:val="24"/>
          <w:szCs w:val="24"/>
          <w:highlight w:val="none"/>
        </w:rPr>
        <w:t xml:space="preserve">  施工用电：</w:t>
      </w:r>
      <w:r>
        <w:rPr>
          <w:rFonts w:hint="eastAsia" w:ascii="宋体" w:hAnsi="宋体" w:eastAsia="宋体" w:cs="宋体"/>
          <w:color w:val="auto"/>
          <w:spacing w:val="-2"/>
          <w:sz w:val="24"/>
          <w:szCs w:val="24"/>
          <w:highlight w:val="none"/>
          <w:u w:val="single"/>
        </w:rPr>
        <w:t xml:space="preserve"> 由中标人自行解决，费用考虑在投标报价中</w:t>
      </w:r>
      <w:r>
        <w:rPr>
          <w:rFonts w:hint="eastAsia" w:ascii="宋体" w:hAnsi="宋体" w:eastAsia="宋体" w:cs="宋体"/>
          <w:color w:val="auto"/>
          <w:spacing w:val="-2"/>
          <w:sz w:val="24"/>
          <w:szCs w:val="24"/>
          <w:highlight w:val="none"/>
        </w:rPr>
        <w:t>。</w:t>
      </w:r>
    </w:p>
    <w:p w14:paraId="17DBA3CD">
      <w:pPr>
        <w:spacing w:before="154" w:line="299" w:lineRule="auto"/>
        <w:ind w:left="9" w:right="16" w:firstLine="558"/>
        <w:rPr>
          <w:rFonts w:hint="eastAsia" w:ascii="宋体" w:hAnsi="宋体" w:eastAsia="宋体" w:cs="宋体"/>
          <w:b/>
          <w:bCs/>
          <w:color w:val="auto"/>
          <w:spacing w:val="-2"/>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4</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b w:val="0"/>
          <w:bCs w:val="0"/>
          <w:color w:val="auto"/>
          <w:spacing w:val="-2"/>
          <w:sz w:val="24"/>
          <w:szCs w:val="24"/>
          <w:highlight w:val="none"/>
        </w:rPr>
        <w:t>施工用水、用电各提供一驳接点到现场边缘。要求中标人单独安装水表、电表，其水、电费按项目所在地</w:t>
      </w:r>
      <w:r>
        <w:rPr>
          <w:rFonts w:hint="eastAsia" w:ascii="宋体" w:hAnsi="宋体" w:eastAsia="宋体" w:cs="宋体"/>
          <w:b w:val="0"/>
          <w:bCs w:val="0"/>
          <w:color w:val="auto"/>
          <w:spacing w:val="-2"/>
          <w:sz w:val="24"/>
          <w:szCs w:val="24"/>
          <w:highlight w:val="none"/>
          <w:u w:val="single"/>
          <w:lang w:val="en-US" w:eastAsia="zh-CN"/>
        </w:rPr>
        <w:t>韶关市仁化县</w:t>
      </w:r>
      <w:r>
        <w:rPr>
          <w:rFonts w:hint="eastAsia" w:ascii="宋体" w:hAnsi="宋体" w:eastAsia="宋体" w:cs="宋体"/>
          <w:b w:val="0"/>
          <w:bCs w:val="0"/>
          <w:color w:val="auto"/>
          <w:spacing w:val="-2"/>
          <w:sz w:val="24"/>
          <w:szCs w:val="24"/>
          <w:highlight w:val="none"/>
        </w:rPr>
        <w:t>基建工程水、电计费标准计算并由中标人缴纳。</w:t>
      </w:r>
    </w:p>
    <w:p w14:paraId="324254FC">
      <w:pPr>
        <w:spacing w:before="154" w:line="29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val="en-US" w:eastAsia="zh-CN"/>
        </w:rPr>
        <w:t>6.5</w:t>
      </w:r>
      <w:r>
        <w:rPr>
          <w:rFonts w:hint="eastAsia" w:ascii="宋体" w:hAnsi="宋体" w:eastAsia="宋体" w:cs="宋体"/>
          <w:color w:val="auto"/>
          <w:spacing w:val="-2"/>
          <w:sz w:val="24"/>
          <w:szCs w:val="24"/>
          <w:highlight w:val="none"/>
        </w:rPr>
        <w:t>招标人不组织现场踏勘，</w:t>
      </w:r>
      <w:r>
        <w:rPr>
          <w:rFonts w:hint="eastAsia" w:ascii="宋体" w:hAnsi="宋体" w:eastAsia="宋体" w:cs="宋体"/>
          <w:color w:val="auto"/>
          <w:sz w:val="24"/>
          <w:szCs w:val="24"/>
          <w:highlight w:val="none"/>
        </w:rPr>
        <w:t>投标人需要了解现场情况的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1"/>
          <w:sz w:val="24"/>
          <w:szCs w:val="24"/>
          <w:highlight w:val="none"/>
        </w:rPr>
        <w:t>可自行进行现场踏勘。</w:t>
      </w:r>
    </w:p>
    <w:p w14:paraId="1B0B1AFE">
      <w:pPr>
        <w:spacing w:before="153" w:line="280"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6.</w:t>
      </w:r>
      <w:r>
        <w:rPr>
          <w:rFonts w:hint="eastAsia" w:ascii="宋体" w:hAnsi="宋体" w:eastAsia="宋体" w:cs="宋体"/>
          <w:b/>
          <w:bCs/>
          <w:color w:val="auto"/>
          <w:spacing w:val="-2"/>
          <w:sz w:val="24"/>
          <w:szCs w:val="24"/>
          <w:highlight w:val="none"/>
          <w:lang w:val="en-US" w:eastAsia="zh-CN"/>
        </w:rPr>
        <w:t>6</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在现场踏勘过程中，投标人应确保自身安全，投标人如果发生人身伤亡、财</w:t>
      </w:r>
      <w:r>
        <w:rPr>
          <w:rFonts w:hint="eastAsia" w:ascii="宋体" w:hAnsi="宋体" w:eastAsia="宋体" w:cs="宋体"/>
          <w:color w:val="auto"/>
          <w:spacing w:val="-1"/>
          <w:sz w:val="24"/>
          <w:szCs w:val="24"/>
          <w:highlight w:val="none"/>
        </w:rPr>
        <w:t>物或其他损失，法律法规有规定的按有关规定处理，没有规定</w:t>
      </w:r>
      <w:r>
        <w:rPr>
          <w:rFonts w:hint="eastAsia" w:ascii="宋体" w:hAnsi="宋体" w:eastAsia="宋体" w:cs="宋体"/>
          <w:color w:val="auto"/>
          <w:spacing w:val="-2"/>
          <w:sz w:val="24"/>
          <w:szCs w:val="24"/>
          <w:highlight w:val="none"/>
        </w:rPr>
        <w:t>的由投标人自行负责。</w:t>
      </w:r>
    </w:p>
    <w:p w14:paraId="5F9F4616">
      <w:pPr>
        <w:spacing w:before="153" w:line="220" w:lineRule="auto"/>
        <w:ind w:left="56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6.</w:t>
      </w: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现场踏勘期间的交通、食宿由投标人</w:t>
      </w:r>
      <w:r>
        <w:rPr>
          <w:rFonts w:hint="eastAsia" w:ascii="宋体" w:hAnsi="宋体" w:eastAsia="宋体" w:cs="宋体"/>
          <w:color w:val="auto"/>
          <w:spacing w:val="-1"/>
          <w:sz w:val="24"/>
          <w:szCs w:val="24"/>
          <w:highlight w:val="none"/>
        </w:rPr>
        <w:t>自行安排，费用自理。</w:t>
      </w:r>
    </w:p>
    <w:p w14:paraId="235FFA49">
      <w:pPr>
        <w:spacing w:before="78" w:line="220" w:lineRule="auto"/>
        <w:ind w:left="488"/>
        <w:outlineLvl w:val="2"/>
        <w:rPr>
          <w:rFonts w:hint="eastAsia" w:ascii="宋体" w:hAnsi="宋体" w:eastAsia="宋体" w:cs="宋体"/>
          <w:color w:val="auto"/>
          <w:sz w:val="24"/>
          <w:szCs w:val="24"/>
          <w:highlight w:val="none"/>
        </w:rPr>
      </w:pPr>
      <w:bookmarkStart w:id="32" w:name="bookmark67"/>
      <w:bookmarkEnd w:id="32"/>
      <w:bookmarkStart w:id="33" w:name="bookmark69"/>
      <w:bookmarkEnd w:id="33"/>
      <w:bookmarkStart w:id="34" w:name="bookmark81"/>
      <w:bookmarkEnd w:id="34"/>
      <w:bookmarkStart w:id="35" w:name="_Toc24768"/>
      <w:bookmarkStart w:id="36" w:name="_Toc15543"/>
      <w:r>
        <w:rPr>
          <w:rFonts w:hint="eastAsia" w:ascii="宋体" w:hAnsi="宋体" w:eastAsia="宋体" w:cs="宋体"/>
          <w:b/>
          <w:bCs/>
          <w:color w:val="auto"/>
          <w:spacing w:val="-5"/>
          <w:sz w:val="24"/>
          <w:szCs w:val="24"/>
          <w:highlight w:val="none"/>
        </w:rPr>
        <w:t>7</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5"/>
          <w:sz w:val="24"/>
          <w:szCs w:val="24"/>
          <w:highlight w:val="none"/>
        </w:rPr>
        <w:t>．招标文件的提问和答疑</w:t>
      </w:r>
      <w:bookmarkEnd w:id="35"/>
      <w:bookmarkEnd w:id="36"/>
    </w:p>
    <w:p w14:paraId="75CFCE47">
      <w:pPr>
        <w:spacing w:before="153" w:line="299" w:lineRule="auto"/>
        <w:ind w:left="9" w:right="16" w:firstLine="478"/>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7.1  </w:t>
      </w:r>
      <w:r>
        <w:rPr>
          <w:rFonts w:hint="eastAsia" w:ascii="宋体" w:hAnsi="宋体" w:eastAsia="宋体" w:cs="宋体"/>
          <w:color w:val="auto"/>
          <w:sz w:val="24"/>
          <w:szCs w:val="24"/>
          <w:highlight w:val="none"/>
        </w:rPr>
        <w:t>投标人若对招标文件（含施工图、招标工程量清单）有疑问，应在提问截止</w:t>
      </w:r>
      <w:r>
        <w:rPr>
          <w:rFonts w:hint="eastAsia" w:ascii="宋体" w:hAnsi="宋体" w:eastAsia="宋体" w:cs="宋体"/>
          <w:color w:val="auto"/>
          <w:spacing w:val="-2"/>
          <w:sz w:val="24"/>
          <w:szCs w:val="24"/>
          <w:highlight w:val="none"/>
        </w:rPr>
        <w:t>时间（见本章第二节“重要事项时间地点一览表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”）前使用建设工程交易</w:t>
      </w:r>
      <w:r>
        <w:rPr>
          <w:rFonts w:hint="eastAsia" w:ascii="宋体" w:hAnsi="宋体" w:eastAsia="宋体" w:cs="宋体"/>
          <w:color w:val="auto"/>
          <w:spacing w:val="-3"/>
          <w:sz w:val="24"/>
          <w:szCs w:val="24"/>
          <w:highlight w:val="none"/>
        </w:rPr>
        <w:t>系统提出问</w:t>
      </w:r>
      <w:r>
        <w:rPr>
          <w:rFonts w:hint="eastAsia" w:ascii="宋体" w:hAnsi="宋体" w:eastAsia="宋体" w:cs="宋体"/>
          <w:color w:val="auto"/>
          <w:spacing w:val="-1"/>
          <w:sz w:val="24"/>
          <w:szCs w:val="24"/>
          <w:highlight w:val="none"/>
        </w:rPr>
        <w:t>题。未在指定时间前、未采用指定方式提出的，招标人不予受理。</w:t>
      </w:r>
    </w:p>
    <w:p w14:paraId="1D96D998">
      <w:pPr>
        <w:spacing w:before="154" w:line="309" w:lineRule="auto"/>
        <w:ind w:left="9" w:right="16"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7.2  </w:t>
      </w:r>
      <w:r>
        <w:rPr>
          <w:rFonts w:hint="eastAsia" w:ascii="宋体" w:hAnsi="宋体" w:eastAsia="宋体" w:cs="宋体"/>
          <w:color w:val="auto"/>
          <w:spacing w:val="-1"/>
          <w:sz w:val="24"/>
          <w:szCs w:val="24"/>
          <w:highlight w:val="none"/>
        </w:rPr>
        <w:t>招标人在提问截止时间（见本章第二节“重要</w:t>
      </w:r>
      <w:r>
        <w:rPr>
          <w:rFonts w:hint="eastAsia" w:ascii="宋体" w:hAnsi="宋体" w:eastAsia="宋体" w:cs="宋体"/>
          <w:color w:val="auto"/>
          <w:spacing w:val="-2"/>
          <w:sz w:val="24"/>
          <w:szCs w:val="24"/>
          <w:highlight w:val="none"/>
        </w:rPr>
        <w:t>事项时间地点一览表</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2"/>
          <w:sz w:val="24"/>
          <w:szCs w:val="24"/>
          <w:highlight w:val="none"/>
        </w:rPr>
        <w:t>”）后</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日内，一次性对收到的所有问题作出答复，并形成答疑（或修</w:t>
      </w:r>
      <w:r>
        <w:rPr>
          <w:rFonts w:hint="eastAsia" w:ascii="宋体" w:hAnsi="宋体" w:eastAsia="宋体" w:cs="宋体"/>
          <w:color w:val="auto"/>
          <w:spacing w:val="-2"/>
          <w:sz w:val="24"/>
          <w:szCs w:val="24"/>
          <w:highlight w:val="none"/>
        </w:rPr>
        <w:t>改）公告在发布招标公</w:t>
      </w:r>
      <w:r>
        <w:rPr>
          <w:rFonts w:hint="eastAsia" w:ascii="宋体" w:hAnsi="宋体" w:eastAsia="宋体" w:cs="宋体"/>
          <w:color w:val="auto"/>
          <w:spacing w:val="-1"/>
          <w:sz w:val="24"/>
          <w:szCs w:val="24"/>
          <w:highlight w:val="none"/>
        </w:rPr>
        <w:t>告的媒介上公开发布。答疑（或修改）公告一旦发布，即视所</w:t>
      </w:r>
      <w:r>
        <w:rPr>
          <w:rFonts w:hint="eastAsia" w:ascii="宋体" w:hAnsi="宋体" w:eastAsia="宋体" w:cs="宋体"/>
          <w:color w:val="auto"/>
          <w:spacing w:val="-2"/>
          <w:sz w:val="24"/>
          <w:szCs w:val="24"/>
          <w:highlight w:val="none"/>
        </w:rPr>
        <w:t>有潜在投标人已经知悉</w:t>
      </w:r>
      <w:r>
        <w:rPr>
          <w:rFonts w:hint="eastAsia" w:ascii="宋体" w:hAnsi="宋体" w:eastAsia="宋体" w:cs="宋体"/>
          <w:color w:val="auto"/>
          <w:spacing w:val="-1"/>
          <w:sz w:val="24"/>
          <w:szCs w:val="24"/>
          <w:highlight w:val="none"/>
        </w:rPr>
        <w:t>答疑（或修改）内容，投标人未及时关注而造成的损失和后果</w:t>
      </w:r>
      <w:r>
        <w:rPr>
          <w:rFonts w:hint="eastAsia" w:ascii="宋体" w:hAnsi="宋体" w:eastAsia="宋体" w:cs="宋体"/>
          <w:color w:val="auto"/>
          <w:spacing w:val="-2"/>
          <w:sz w:val="24"/>
          <w:szCs w:val="24"/>
          <w:highlight w:val="none"/>
        </w:rPr>
        <w:t>，由投标人自行承担。</w:t>
      </w:r>
    </w:p>
    <w:p w14:paraId="2E76E133">
      <w:pPr>
        <w:spacing w:before="152" w:line="219" w:lineRule="auto"/>
        <w:ind w:firstLine="47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7.3  </w:t>
      </w:r>
      <w:r>
        <w:rPr>
          <w:rFonts w:hint="eastAsia" w:ascii="宋体" w:hAnsi="宋体" w:eastAsia="宋体" w:cs="宋体"/>
          <w:color w:val="auto"/>
          <w:spacing w:val="-1"/>
          <w:sz w:val="24"/>
          <w:szCs w:val="24"/>
          <w:highlight w:val="none"/>
        </w:rPr>
        <w:t>招标人对招标文件所作的答疑（或修改）公告，构成</w:t>
      </w:r>
      <w:r>
        <w:rPr>
          <w:rFonts w:hint="eastAsia" w:ascii="宋体" w:hAnsi="宋体" w:eastAsia="宋体" w:cs="宋体"/>
          <w:color w:val="auto"/>
          <w:spacing w:val="-2"/>
          <w:sz w:val="24"/>
          <w:szCs w:val="24"/>
          <w:highlight w:val="none"/>
        </w:rPr>
        <w:t>招标文件的组成部分。</w:t>
      </w:r>
    </w:p>
    <w:p w14:paraId="27B5D21C">
      <w:pPr>
        <w:spacing w:before="79" w:line="219" w:lineRule="auto"/>
        <w:ind w:left="488"/>
        <w:outlineLvl w:val="2"/>
        <w:rPr>
          <w:rFonts w:hint="eastAsia" w:ascii="宋体" w:hAnsi="宋体" w:eastAsia="宋体" w:cs="宋体"/>
          <w:color w:val="auto"/>
          <w:sz w:val="24"/>
          <w:szCs w:val="24"/>
          <w:highlight w:val="none"/>
          <w:lang w:eastAsia="zh-CN"/>
        </w:rPr>
      </w:pPr>
      <w:bookmarkStart w:id="37" w:name="_Toc20958"/>
      <w:bookmarkStart w:id="38" w:name="_Toc6897"/>
      <w:r>
        <w:rPr>
          <w:rFonts w:hint="eastAsia" w:ascii="宋体" w:hAnsi="宋体" w:eastAsia="宋体" w:cs="宋体"/>
          <w:b/>
          <w:bCs/>
          <w:color w:val="auto"/>
          <w:spacing w:val="-5"/>
          <w:sz w:val="24"/>
          <w:szCs w:val="24"/>
          <w:highlight w:val="none"/>
        </w:rPr>
        <w:t>8</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5"/>
          <w:sz w:val="24"/>
          <w:szCs w:val="24"/>
          <w:highlight w:val="none"/>
        </w:rPr>
        <w:t>．</w:t>
      </w:r>
      <w:r>
        <w:rPr>
          <w:rFonts w:hint="eastAsia" w:ascii="宋体" w:hAnsi="宋体" w:eastAsia="宋体" w:cs="宋体"/>
          <w:b/>
          <w:bCs/>
          <w:color w:val="auto"/>
          <w:spacing w:val="-1"/>
          <w:sz w:val="24"/>
          <w:szCs w:val="24"/>
          <w:highlight w:val="none"/>
          <w:lang w:eastAsia="zh-CN"/>
        </w:rPr>
        <w:t>最高投标限价</w:t>
      </w:r>
      <w:bookmarkEnd w:id="37"/>
      <w:bookmarkEnd w:id="38"/>
    </w:p>
    <w:p w14:paraId="575A60B6">
      <w:pPr>
        <w:spacing w:before="155"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8.1  </w:t>
      </w:r>
      <w:r>
        <w:rPr>
          <w:rFonts w:hint="eastAsia" w:ascii="宋体" w:hAnsi="宋体" w:eastAsia="宋体" w:cs="宋体"/>
          <w:color w:val="auto"/>
          <w:spacing w:val="-1"/>
          <w:sz w:val="24"/>
          <w:szCs w:val="24"/>
          <w:highlight w:val="none"/>
        </w:rPr>
        <w:t>本招标项目按照以下依据编制</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w:t>
      </w:r>
    </w:p>
    <w:p w14:paraId="3CF70373">
      <w:pPr>
        <w:keepNext w:val="0"/>
        <w:keepLines w:val="0"/>
        <w:pageBreakBefore w:val="0"/>
        <w:widowControl/>
        <w:kinsoku w:val="0"/>
        <w:wordWrap/>
        <w:overflowPunct/>
        <w:topLinePunct w:val="0"/>
        <w:autoSpaceDE w:val="0"/>
        <w:autoSpaceDN w:val="0"/>
        <w:bidi w:val="0"/>
        <w:adjustRightInd w:val="0"/>
        <w:snapToGrid w:val="0"/>
        <w:spacing w:before="157" w:line="360" w:lineRule="auto"/>
        <w:ind w:left="50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》（GB/T 50500-2024）；</w:t>
      </w:r>
    </w:p>
    <w:p w14:paraId="400B07CC">
      <w:pPr>
        <w:keepNext w:val="0"/>
        <w:keepLines w:val="0"/>
        <w:pageBreakBefore w:val="0"/>
        <w:widowControl/>
        <w:kinsoku w:val="0"/>
        <w:wordWrap/>
        <w:overflowPunct/>
        <w:topLinePunct w:val="0"/>
        <w:autoSpaceDE w:val="0"/>
        <w:autoSpaceDN w:val="0"/>
        <w:bidi w:val="0"/>
        <w:adjustRightInd w:val="0"/>
        <w:snapToGrid w:val="0"/>
        <w:spacing w:line="360" w:lineRule="auto"/>
        <w:ind w:left="11" w:right="17"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工程工程量计算标准》(GB/T50857-2024）、《园林绿化工程工程量计算标准》(GB/T50858-2024）、2018年《广东省市政工程综合定额》、2018年《广东省园林绿化工程综合定额》及现行的建筑施工规范和省市有关文件、规定为编制依据进行编制。</w:t>
      </w:r>
    </w:p>
    <w:p w14:paraId="1BF8F48A">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（3）施工图及相关资料；</w:t>
      </w:r>
    </w:p>
    <w:p w14:paraId="32B213E1">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bookmarkStart w:id="39" w:name="bookmark119"/>
      <w:bookmarkEnd w:id="39"/>
      <w:r>
        <w:rPr>
          <w:rFonts w:hint="eastAsia" w:ascii="宋体" w:hAnsi="宋体" w:eastAsia="宋体" w:cs="宋体"/>
          <w:color w:val="auto"/>
          <w:spacing w:val="-2"/>
          <w:sz w:val="24"/>
          <w:szCs w:val="24"/>
          <w:highlight w:val="none"/>
        </w:rPr>
        <w:t>（4）招标文件及招标工程量清单；</w:t>
      </w:r>
    </w:p>
    <w:p w14:paraId="177D9338">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（5）施工现场情况、工程特点及常规施工方案；</w:t>
      </w:r>
    </w:p>
    <w:p w14:paraId="00FB1D3E">
      <w:pPr>
        <w:keepNext w:val="0"/>
        <w:keepLines w:val="0"/>
        <w:pageBreakBefore w:val="0"/>
        <w:widowControl/>
        <w:kinsoku w:val="0"/>
        <w:wordWrap/>
        <w:overflowPunct/>
        <w:topLinePunct w:val="0"/>
        <w:autoSpaceDE w:val="0"/>
        <w:autoSpaceDN w:val="0"/>
        <w:bidi w:val="0"/>
        <w:adjustRightInd w:val="0"/>
        <w:snapToGrid w:val="0"/>
        <w:spacing w:line="360" w:lineRule="auto"/>
        <w:ind w:left="12" w:right="136" w:firstLine="48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（6）项目所在地工程造价管理机构发布的工程造价信息，工程造</w:t>
      </w:r>
      <w:r>
        <w:rPr>
          <w:rFonts w:hint="eastAsia" w:ascii="宋体" w:hAnsi="宋体" w:eastAsia="宋体" w:cs="宋体"/>
          <w:color w:val="auto"/>
          <w:spacing w:val="-4"/>
          <w:sz w:val="24"/>
          <w:szCs w:val="24"/>
          <w:highlight w:val="none"/>
        </w:rPr>
        <w:t>价信息缺项的，</w:t>
      </w:r>
      <w:r>
        <w:rPr>
          <w:rFonts w:hint="eastAsia" w:ascii="宋体" w:hAnsi="宋体" w:eastAsia="宋体" w:cs="宋体"/>
          <w:color w:val="auto"/>
          <w:spacing w:val="-2"/>
          <w:sz w:val="24"/>
          <w:szCs w:val="24"/>
          <w:highlight w:val="none"/>
        </w:rPr>
        <w:t>参照市场价格；</w:t>
      </w:r>
    </w:p>
    <w:p w14:paraId="24969273">
      <w:pPr>
        <w:keepNext w:val="0"/>
        <w:keepLines w:val="0"/>
        <w:pageBreakBefore w:val="0"/>
        <w:widowControl/>
        <w:kinsoku w:val="0"/>
        <w:wordWrap/>
        <w:overflowPunct/>
        <w:topLinePunct w:val="0"/>
        <w:autoSpaceDE w:val="0"/>
        <w:autoSpaceDN w:val="0"/>
        <w:bidi w:val="0"/>
        <w:adjustRightInd w:val="0"/>
        <w:snapToGrid w:val="0"/>
        <w:spacing w:line="360" w:lineRule="auto"/>
        <w:ind w:left="50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（7）与建设项目相关的标准、规范、技术资料。</w:t>
      </w:r>
    </w:p>
    <w:p w14:paraId="5D017348">
      <w:pPr>
        <w:spacing w:before="79" w:line="333" w:lineRule="auto"/>
        <w:ind w:firstLine="482" w:firstLineChars="200"/>
        <w:jc w:val="both"/>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color w:val="auto"/>
          <w:sz w:val="24"/>
          <w:szCs w:val="24"/>
          <w:highlight w:val="none"/>
        </w:rPr>
        <w:t>8.2</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本招标项目的最高投标限价、工程量清单在投标截止时间15天前以补充公告的形式在广东省招标投标监管网（https://www.gdzwfw.gov.cn/ztbjg-portal/#/index）、全国公共资源交易平台（广东省·韶关市）（https://ygp.gdzwfw.gov.cn/ggzy-portal/#/440200/index）网站公布。</w:t>
      </w:r>
    </w:p>
    <w:p w14:paraId="354CD1E5">
      <w:pPr>
        <w:spacing w:before="79"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3</w:t>
      </w:r>
      <w:r>
        <w:rPr>
          <w:rFonts w:hint="eastAsia" w:ascii="宋体" w:hAnsi="宋体" w:eastAsia="宋体" w:cs="宋体"/>
          <w:color w:val="auto"/>
          <w:sz w:val="24"/>
          <w:szCs w:val="24"/>
          <w:highlight w:val="none"/>
        </w:rPr>
        <w:t>暂估价指招标工程量清单中提供的用于支付必然发生但暂时不能确定价格的</w:t>
      </w:r>
      <w:r>
        <w:rPr>
          <w:rFonts w:hint="eastAsia" w:ascii="宋体" w:hAnsi="宋体" w:eastAsia="宋体" w:cs="宋体"/>
          <w:color w:val="auto"/>
          <w:spacing w:val="-1"/>
          <w:sz w:val="24"/>
          <w:szCs w:val="24"/>
          <w:highlight w:val="none"/>
        </w:rPr>
        <w:t>材料、工程设备的单价以及专业工程的金额；暂列金额指招标</w:t>
      </w:r>
      <w:r>
        <w:rPr>
          <w:rFonts w:hint="eastAsia" w:ascii="宋体" w:hAnsi="宋体" w:eastAsia="宋体" w:cs="宋体"/>
          <w:color w:val="auto"/>
          <w:spacing w:val="-2"/>
          <w:sz w:val="24"/>
          <w:szCs w:val="24"/>
          <w:highlight w:val="none"/>
        </w:rPr>
        <w:t>工程量清单中暂定并包括在合同价款中的一笔款项，用于工程合同签订时尚未确定或</w:t>
      </w:r>
      <w:r>
        <w:rPr>
          <w:rFonts w:hint="eastAsia" w:ascii="宋体" w:hAnsi="宋体" w:eastAsia="宋体" w:cs="宋体"/>
          <w:color w:val="auto"/>
          <w:spacing w:val="-3"/>
          <w:sz w:val="24"/>
          <w:szCs w:val="24"/>
          <w:highlight w:val="none"/>
        </w:rPr>
        <w:t>者不可预见的所需材料、</w:t>
      </w:r>
      <w:r>
        <w:rPr>
          <w:rFonts w:hint="eastAsia" w:ascii="宋体" w:hAnsi="宋体" w:eastAsia="宋体" w:cs="宋体"/>
          <w:color w:val="auto"/>
          <w:spacing w:val="-1"/>
          <w:sz w:val="24"/>
          <w:szCs w:val="24"/>
          <w:highlight w:val="none"/>
        </w:rPr>
        <w:t>工程设备、服务的采购，施工中可能发生的工程变更、合同约</w:t>
      </w:r>
      <w:r>
        <w:rPr>
          <w:rFonts w:hint="eastAsia" w:ascii="宋体" w:hAnsi="宋体" w:eastAsia="宋体" w:cs="宋体"/>
          <w:color w:val="auto"/>
          <w:spacing w:val="-2"/>
          <w:sz w:val="24"/>
          <w:szCs w:val="24"/>
          <w:highlight w:val="none"/>
        </w:rPr>
        <w:t>定调整因素出现时的合</w:t>
      </w:r>
      <w:r>
        <w:rPr>
          <w:rFonts w:hint="eastAsia" w:ascii="宋体" w:hAnsi="宋体" w:eastAsia="宋体" w:cs="宋体"/>
          <w:color w:val="auto"/>
          <w:spacing w:val="-1"/>
          <w:sz w:val="24"/>
          <w:szCs w:val="24"/>
          <w:highlight w:val="none"/>
        </w:rPr>
        <w:t>同价款调整以及发生的索赔、现场签证确认等的费用。</w:t>
      </w:r>
    </w:p>
    <w:p w14:paraId="2D63794A">
      <w:pPr>
        <w:spacing w:before="36" w:line="360" w:lineRule="auto"/>
        <w:ind w:left="10" w:right="200" w:firstLine="48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4</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本招标项目以暂估价形式列入招标工程量清单中的材料、工程设备、专业工</w:t>
      </w:r>
      <w:r>
        <w:rPr>
          <w:rFonts w:hint="eastAsia" w:ascii="宋体" w:hAnsi="宋体" w:eastAsia="宋体" w:cs="宋体"/>
          <w:color w:val="auto"/>
          <w:spacing w:val="-2"/>
          <w:sz w:val="24"/>
          <w:szCs w:val="24"/>
          <w:highlight w:val="none"/>
        </w:rPr>
        <w:t>程（以下统称“暂估价项目</w:t>
      </w:r>
      <w:r>
        <w:rPr>
          <w:rFonts w:hint="eastAsia" w:ascii="宋体" w:hAnsi="宋体" w:eastAsia="宋体" w:cs="宋体"/>
          <w:color w:val="auto"/>
          <w:spacing w:val="-80"/>
          <w:sz w:val="24"/>
          <w:szCs w:val="24"/>
          <w:highlight w:val="none"/>
        </w:rPr>
        <w:t xml:space="preserve"> </w:t>
      </w:r>
      <w:r>
        <w:rPr>
          <w:rFonts w:hint="eastAsia" w:ascii="宋体" w:hAnsi="宋体" w:eastAsia="宋体" w:cs="宋体"/>
          <w:color w:val="auto"/>
          <w:spacing w:val="-2"/>
          <w:sz w:val="24"/>
          <w:szCs w:val="24"/>
          <w:highlight w:val="none"/>
        </w:rPr>
        <w:t>”）包括：</w:t>
      </w:r>
      <w:r>
        <w:rPr>
          <w:rFonts w:hint="eastAsia" w:ascii="宋体" w:hAnsi="宋体" w:eastAsia="宋体" w:cs="宋体"/>
          <w:color w:val="auto"/>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p>
    <w:p w14:paraId="0B134047">
      <w:pPr>
        <w:spacing w:before="154" w:line="360" w:lineRule="auto"/>
        <w:ind w:left="12" w:right="200" w:firstLine="47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eastAsia="zh-CN"/>
        </w:rPr>
        <w:t>5</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当暂估价项目的内容、标准、要求在项目实施过程中得以深化、明确、固定</w:t>
      </w:r>
      <w:r>
        <w:rPr>
          <w:rFonts w:hint="eastAsia" w:ascii="宋体" w:hAnsi="宋体" w:eastAsia="宋体" w:cs="宋体"/>
          <w:color w:val="auto"/>
          <w:spacing w:val="-2"/>
          <w:sz w:val="24"/>
          <w:szCs w:val="24"/>
          <w:highlight w:val="none"/>
        </w:rPr>
        <w:t>后，按以下原则发包：</w:t>
      </w:r>
    </w:p>
    <w:p w14:paraId="497A481B">
      <w:pPr>
        <w:spacing w:before="153" w:line="360" w:lineRule="auto"/>
        <w:ind w:left="-3" w:leftChars="0"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（1）暂估价项目按工程、货物（指材料或工程设备，下同）的类别分类汇总的金额，达到必须</w:t>
      </w:r>
      <w:r>
        <w:rPr>
          <w:rFonts w:hint="eastAsia" w:ascii="宋体" w:hAnsi="宋体" w:eastAsia="宋体" w:cs="宋体"/>
          <w:color w:val="auto"/>
          <w:spacing w:val="-3"/>
          <w:sz w:val="24"/>
          <w:szCs w:val="24"/>
          <w:highlight w:val="none"/>
        </w:rPr>
        <w:t>招标规模标准的，由</w:t>
      </w:r>
      <w:r>
        <w:rPr>
          <w:rFonts w:hint="eastAsia" w:ascii="宋体" w:hAnsi="宋体" w:eastAsia="宋体" w:cs="宋体"/>
          <w:bCs/>
          <w:color w:val="auto"/>
          <w:spacing w:val="-1"/>
          <w:sz w:val="24"/>
          <w:szCs w:val="24"/>
          <w:highlight w:val="none"/>
          <w:u w:val="single"/>
        </w:rPr>
        <w:t>中标人招标，招标人参与管理</w:t>
      </w:r>
      <w:r>
        <w:rPr>
          <w:rFonts w:hint="eastAsia" w:ascii="宋体" w:hAnsi="宋体" w:eastAsia="宋体" w:cs="宋体"/>
          <w:bCs/>
          <w:color w:val="auto"/>
          <w:spacing w:val="-1"/>
          <w:sz w:val="24"/>
          <w:szCs w:val="24"/>
          <w:highlight w:val="none"/>
        </w:rPr>
        <w:t>，</w:t>
      </w:r>
      <w:r>
        <w:rPr>
          <w:rFonts w:hint="eastAsia" w:ascii="宋体" w:hAnsi="宋体" w:eastAsia="宋体" w:cs="宋体"/>
          <w:color w:val="auto"/>
          <w:spacing w:val="-1"/>
          <w:sz w:val="24"/>
          <w:szCs w:val="24"/>
          <w:highlight w:val="none"/>
        </w:rPr>
        <w:t>确定专业工程承包人（或材料、工程</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设备供应商）和合同价格。</w:t>
      </w:r>
    </w:p>
    <w:p w14:paraId="5EEE8160">
      <w:pPr>
        <w:spacing w:before="30" w:line="360"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准但适用政府采购规定的，按照政府采购规定确定专业工</w:t>
      </w:r>
      <w:r>
        <w:rPr>
          <w:rFonts w:hint="eastAsia" w:ascii="宋体" w:hAnsi="宋体" w:eastAsia="宋体" w:cs="宋体"/>
          <w:color w:val="auto"/>
          <w:spacing w:val="-2"/>
          <w:sz w:val="24"/>
          <w:szCs w:val="24"/>
          <w:highlight w:val="none"/>
        </w:rPr>
        <w:t>程承包人（或材料、工程设备供应商）和合同价格。</w:t>
      </w:r>
    </w:p>
    <w:p w14:paraId="414D5F0A">
      <w:pPr>
        <w:spacing w:before="154" w:line="360"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准也不适用政府采购规定，中标人具备相应资格条件的，</w:t>
      </w:r>
      <w:r>
        <w:rPr>
          <w:rFonts w:hint="eastAsia" w:ascii="宋体" w:hAnsi="宋体" w:eastAsia="宋体" w:cs="宋体"/>
          <w:color w:val="auto"/>
          <w:spacing w:val="-2"/>
          <w:sz w:val="24"/>
          <w:szCs w:val="24"/>
          <w:highlight w:val="none"/>
        </w:rPr>
        <w:t>由中标人承包；中标人不具</w:t>
      </w:r>
      <w:r>
        <w:rPr>
          <w:rFonts w:hint="eastAsia" w:ascii="宋体" w:hAnsi="宋体" w:eastAsia="宋体" w:cs="宋体"/>
          <w:color w:val="auto"/>
          <w:spacing w:val="-1"/>
          <w:sz w:val="24"/>
          <w:szCs w:val="24"/>
          <w:highlight w:val="none"/>
        </w:rPr>
        <w:t>备相应资格条件但具备分包权的，由中标人分包，招标人</w:t>
      </w:r>
      <w:r>
        <w:rPr>
          <w:rFonts w:hint="eastAsia" w:ascii="宋体" w:hAnsi="宋体" w:eastAsia="宋体" w:cs="宋体"/>
          <w:color w:val="auto"/>
          <w:spacing w:val="-2"/>
          <w:sz w:val="24"/>
          <w:szCs w:val="24"/>
          <w:highlight w:val="none"/>
        </w:rPr>
        <w:t>同中标人结算原则按本招标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文件相关条款执行。</w:t>
      </w:r>
    </w:p>
    <w:p w14:paraId="411CD8B2">
      <w:pPr>
        <w:spacing w:before="154" w:line="360" w:lineRule="auto"/>
        <w:ind w:left="11" w:right="65"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（4）暂估价项目按工程、货物的类别分类汇总的金额，未</w:t>
      </w:r>
      <w:r>
        <w:rPr>
          <w:rFonts w:hint="eastAsia" w:ascii="宋体" w:hAnsi="宋体" w:eastAsia="宋体" w:cs="宋体"/>
          <w:color w:val="auto"/>
          <w:spacing w:val="1"/>
          <w:sz w:val="24"/>
          <w:szCs w:val="24"/>
          <w:highlight w:val="none"/>
        </w:rPr>
        <w:t>达到必须招标规模标</w:t>
      </w:r>
      <w:r>
        <w:rPr>
          <w:rFonts w:hint="eastAsia" w:ascii="宋体" w:hAnsi="宋体" w:eastAsia="宋体" w:cs="宋体"/>
          <w:color w:val="auto"/>
          <w:spacing w:val="-1"/>
          <w:sz w:val="24"/>
          <w:szCs w:val="24"/>
          <w:highlight w:val="none"/>
        </w:rPr>
        <w:t>准也不适用政府采购规定，中标人既不具备相应资格条件</w:t>
      </w:r>
      <w:r>
        <w:rPr>
          <w:rFonts w:hint="eastAsia" w:ascii="宋体" w:hAnsi="宋体" w:eastAsia="宋体" w:cs="宋体"/>
          <w:color w:val="auto"/>
          <w:spacing w:val="-2"/>
          <w:sz w:val="24"/>
          <w:szCs w:val="24"/>
          <w:highlight w:val="none"/>
        </w:rPr>
        <w:t>又不具备分包权的，由招标人另行发包。</w:t>
      </w:r>
    </w:p>
    <w:p w14:paraId="14D894B7">
      <w:pPr>
        <w:spacing w:before="155" w:line="360" w:lineRule="auto"/>
        <w:ind w:left="9" w:right="66"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（5）暂估价项目由其他承包人承包的，纳入中标人的管理</w:t>
      </w:r>
      <w:r>
        <w:rPr>
          <w:rFonts w:hint="eastAsia" w:ascii="宋体" w:hAnsi="宋体" w:eastAsia="宋体" w:cs="宋体"/>
          <w:color w:val="auto"/>
          <w:spacing w:val="1"/>
          <w:sz w:val="24"/>
          <w:szCs w:val="24"/>
          <w:highlight w:val="none"/>
        </w:rPr>
        <w:t>和协调范围，由其他</w:t>
      </w:r>
      <w:r>
        <w:rPr>
          <w:rFonts w:hint="eastAsia" w:ascii="宋体" w:hAnsi="宋体" w:eastAsia="宋体" w:cs="宋体"/>
          <w:color w:val="auto"/>
          <w:spacing w:val="-1"/>
          <w:sz w:val="24"/>
          <w:szCs w:val="24"/>
          <w:highlight w:val="none"/>
        </w:rPr>
        <w:t>承包人向中标人承担质量、安全、文明施工、工期责任，中标</w:t>
      </w:r>
      <w:r>
        <w:rPr>
          <w:rFonts w:hint="eastAsia" w:ascii="宋体" w:hAnsi="宋体" w:eastAsia="宋体" w:cs="宋体"/>
          <w:color w:val="auto"/>
          <w:spacing w:val="-2"/>
          <w:sz w:val="24"/>
          <w:szCs w:val="24"/>
          <w:highlight w:val="none"/>
        </w:rPr>
        <w:t>人向招标人承担责任。</w:t>
      </w:r>
    </w:p>
    <w:p w14:paraId="32E42486">
      <w:pPr>
        <w:spacing w:before="155" w:line="360" w:lineRule="auto"/>
        <w:ind w:left="10" w:right="65" w:firstLine="478"/>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8</w:t>
      </w: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 xml:space="preserve"> </w:t>
      </w:r>
      <w:r>
        <w:rPr>
          <w:rFonts w:hint="eastAsia" w:ascii="宋体" w:hAnsi="宋体" w:eastAsia="宋体" w:cs="宋体"/>
          <w:color w:val="auto"/>
          <w:sz w:val="24"/>
          <w:szCs w:val="24"/>
          <w:highlight w:val="none"/>
        </w:rPr>
        <w:t>本招标项目以暂列金额形式列入招标工程量清单中的所需货物和服务的采购</w:t>
      </w:r>
      <w:r>
        <w:rPr>
          <w:rFonts w:hint="eastAsia" w:ascii="宋体" w:hAnsi="宋体" w:eastAsia="宋体" w:cs="宋体"/>
          <w:color w:val="auto"/>
          <w:spacing w:val="-1"/>
          <w:sz w:val="24"/>
          <w:szCs w:val="24"/>
          <w:highlight w:val="none"/>
        </w:rPr>
        <w:t>（以下统称“暂列金额项目</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”）若有发生，按照本节第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pacing w:val="-1"/>
          <w:sz w:val="24"/>
          <w:szCs w:val="24"/>
          <w:highlight w:val="none"/>
        </w:rPr>
        <w:t xml:space="preserve">8.5 </w:t>
      </w:r>
      <w:r>
        <w:rPr>
          <w:rFonts w:hint="eastAsia" w:ascii="宋体" w:hAnsi="宋体" w:eastAsia="宋体" w:cs="宋体"/>
          <w:color w:val="auto"/>
          <w:spacing w:val="-1"/>
          <w:sz w:val="24"/>
          <w:szCs w:val="24"/>
          <w:highlight w:val="none"/>
        </w:rPr>
        <w:t>条的规定确定货物（或服务）供应商和合同价格。暂列金额项目由其他承包人承包的</w:t>
      </w:r>
      <w:r>
        <w:rPr>
          <w:rFonts w:hint="eastAsia" w:ascii="宋体" w:hAnsi="宋体" w:eastAsia="宋体" w:cs="宋体"/>
          <w:color w:val="auto"/>
          <w:spacing w:val="-2"/>
          <w:sz w:val="24"/>
          <w:szCs w:val="24"/>
          <w:highlight w:val="none"/>
        </w:rPr>
        <w:t>，纳入中标人的管理和协</w:t>
      </w:r>
      <w:r>
        <w:rPr>
          <w:rFonts w:hint="eastAsia" w:ascii="宋体" w:hAnsi="宋体" w:eastAsia="宋体" w:cs="宋体"/>
          <w:color w:val="auto"/>
          <w:spacing w:val="-1"/>
          <w:sz w:val="24"/>
          <w:szCs w:val="24"/>
          <w:highlight w:val="none"/>
        </w:rPr>
        <w:t>调范围</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由其他承包人向中标人承担质量、安全、文明</w:t>
      </w:r>
      <w:r>
        <w:rPr>
          <w:rFonts w:hint="eastAsia" w:ascii="宋体" w:hAnsi="宋体" w:eastAsia="宋体" w:cs="宋体"/>
          <w:color w:val="auto"/>
          <w:spacing w:val="-2"/>
          <w:sz w:val="24"/>
          <w:szCs w:val="24"/>
          <w:highlight w:val="none"/>
        </w:rPr>
        <w:t>施工、工期责任，中标人向招标人承担责任。</w:t>
      </w:r>
    </w:p>
    <w:p w14:paraId="5743915F">
      <w:pPr>
        <w:spacing w:before="79" w:line="219" w:lineRule="auto"/>
        <w:ind w:left="487"/>
        <w:outlineLvl w:val="2"/>
        <w:rPr>
          <w:rFonts w:hint="eastAsia" w:ascii="宋体" w:hAnsi="宋体" w:eastAsia="宋体" w:cs="宋体"/>
          <w:color w:val="auto"/>
          <w:sz w:val="24"/>
          <w:szCs w:val="24"/>
          <w:highlight w:val="none"/>
        </w:rPr>
      </w:pPr>
      <w:bookmarkStart w:id="40" w:name="_Toc22978"/>
      <w:bookmarkStart w:id="41" w:name="_Toc6911"/>
      <w:r>
        <w:rPr>
          <w:rFonts w:hint="eastAsia" w:ascii="宋体" w:hAnsi="宋体" w:eastAsia="宋体" w:cs="宋体"/>
          <w:b/>
          <w:bCs/>
          <w:color w:val="auto"/>
          <w:spacing w:val="-8"/>
          <w:sz w:val="24"/>
          <w:szCs w:val="24"/>
          <w:highlight w:val="none"/>
        </w:rPr>
        <w:t>9</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8"/>
          <w:sz w:val="24"/>
          <w:szCs w:val="24"/>
          <w:highlight w:val="none"/>
        </w:rPr>
        <w:t>．投标报价</w:t>
      </w:r>
      <w:bookmarkEnd w:id="40"/>
      <w:bookmarkEnd w:id="41"/>
    </w:p>
    <w:p w14:paraId="3DE643F3">
      <w:pPr>
        <w:spacing w:before="157" w:line="219"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9.1  </w:t>
      </w:r>
      <w:r>
        <w:rPr>
          <w:rFonts w:hint="eastAsia" w:ascii="宋体" w:hAnsi="宋体" w:eastAsia="宋体" w:cs="宋体"/>
          <w:color w:val="auto"/>
          <w:spacing w:val="-1"/>
          <w:sz w:val="24"/>
          <w:szCs w:val="24"/>
          <w:highlight w:val="none"/>
        </w:rPr>
        <w:t>投标人应按照以下依据编制投标报价：</w:t>
      </w:r>
    </w:p>
    <w:p w14:paraId="23909BF3">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（1）《建设工程工程量清单计价标准》（GB/T 50500-2024）</w:t>
      </w:r>
      <w:r>
        <w:rPr>
          <w:rFonts w:hint="eastAsia" w:ascii="宋体" w:hAnsi="宋体" w:eastAsia="宋体" w:cs="宋体"/>
          <w:color w:val="auto"/>
          <w:spacing w:val="4"/>
          <w:sz w:val="24"/>
          <w:szCs w:val="24"/>
          <w:highlight w:val="none"/>
        </w:rPr>
        <w:t>；</w:t>
      </w:r>
    </w:p>
    <w:p w14:paraId="637E8D36">
      <w:pPr>
        <w:spacing w:before="153" w:line="309" w:lineRule="auto"/>
        <w:ind w:left="9" w:right="65"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工程工程量计算标准》(GB/T50857-2024）、《园林绿化工程工程量计算标准》(GB/T50858-2024）、2018年《广东省市政工程综合定额》、2018年《广东省园林绿化工程综合定额》及现行的建筑施工规范和省市有关文件、规定为编制依据进行编制</w:t>
      </w:r>
      <w:r>
        <w:rPr>
          <w:rFonts w:hint="eastAsia" w:ascii="宋体" w:hAnsi="宋体" w:eastAsia="宋体" w:cs="宋体"/>
          <w:color w:val="auto"/>
          <w:spacing w:val="-1"/>
          <w:sz w:val="24"/>
          <w:szCs w:val="24"/>
          <w:highlight w:val="none"/>
        </w:rPr>
        <w:t>；</w:t>
      </w:r>
    </w:p>
    <w:p w14:paraId="094744D0">
      <w:pPr>
        <w:spacing w:before="78" w:line="220" w:lineRule="auto"/>
        <w:ind w:left="501"/>
        <w:rPr>
          <w:rFonts w:hint="eastAsia" w:ascii="宋体" w:hAnsi="宋体" w:eastAsia="宋体" w:cs="宋体"/>
          <w:color w:val="auto"/>
          <w:sz w:val="24"/>
          <w:szCs w:val="24"/>
          <w:highlight w:val="none"/>
        </w:rPr>
      </w:pPr>
      <w:bookmarkStart w:id="42" w:name="bookmark120"/>
      <w:bookmarkEnd w:id="42"/>
      <w:r>
        <w:rPr>
          <w:rFonts w:hint="eastAsia" w:ascii="宋体" w:hAnsi="宋体" w:eastAsia="宋体" w:cs="宋体"/>
          <w:color w:val="auto"/>
          <w:spacing w:val="-3"/>
          <w:sz w:val="24"/>
          <w:szCs w:val="24"/>
          <w:highlight w:val="none"/>
        </w:rPr>
        <w:t>（3）企业定额；</w:t>
      </w:r>
    </w:p>
    <w:p w14:paraId="7217D9D3">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（4）招标文件及其答疑（或修改）公告、招标工程量清单；</w:t>
      </w:r>
    </w:p>
    <w:p w14:paraId="20138A69">
      <w:pPr>
        <w:spacing w:before="154"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（5）施工图及相关资料；</w:t>
      </w:r>
    </w:p>
    <w:p w14:paraId="563DD3EC">
      <w:pPr>
        <w:spacing w:before="152"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（6）施工现场情况、工程特点及投标时拟定的施工组织设计或施工方案；</w:t>
      </w:r>
    </w:p>
    <w:p w14:paraId="03088ADA">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（7）市场价格信息或项目所在地工程造价管理机构发布的工程造价信息；</w:t>
      </w:r>
    </w:p>
    <w:p w14:paraId="177F8FD6">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（8）与建设项目相关的标准、规范、技术资料。</w:t>
      </w:r>
    </w:p>
    <w:p w14:paraId="5572B660">
      <w:pPr>
        <w:spacing w:before="153" w:line="309" w:lineRule="auto"/>
        <w:ind w:left="8" w:right="150" w:firstLine="558"/>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9.2  </w:t>
      </w:r>
      <w:r>
        <w:rPr>
          <w:rFonts w:hint="eastAsia" w:ascii="宋体" w:hAnsi="宋体" w:eastAsia="宋体" w:cs="宋体"/>
          <w:color w:val="auto"/>
          <w:spacing w:val="-2"/>
          <w:sz w:val="24"/>
          <w:szCs w:val="24"/>
          <w:highlight w:val="none"/>
        </w:rPr>
        <w:t>投标人应根据招标工程量清单、工程量清单计价规范中的工作内容、设计文</w:t>
      </w:r>
      <w:r>
        <w:rPr>
          <w:rFonts w:hint="eastAsia" w:ascii="宋体" w:hAnsi="宋体" w:eastAsia="宋体" w:cs="宋体"/>
          <w:color w:val="auto"/>
          <w:spacing w:val="-1"/>
          <w:sz w:val="24"/>
          <w:szCs w:val="24"/>
          <w:highlight w:val="none"/>
        </w:rPr>
        <w:t>件和有关要求、施工现场实际情况、投标人拟定的施工组织设计</w:t>
      </w:r>
      <w:r>
        <w:rPr>
          <w:rFonts w:hint="eastAsia" w:ascii="宋体" w:hAnsi="宋体" w:eastAsia="宋体" w:cs="宋体"/>
          <w:color w:val="auto"/>
          <w:spacing w:val="-2"/>
          <w:sz w:val="24"/>
          <w:szCs w:val="24"/>
          <w:highlight w:val="none"/>
        </w:rPr>
        <w:t>、本单位的企业定额</w:t>
      </w:r>
      <w:r>
        <w:rPr>
          <w:rFonts w:hint="eastAsia" w:ascii="宋体" w:hAnsi="宋体" w:eastAsia="宋体" w:cs="宋体"/>
          <w:color w:val="auto"/>
          <w:spacing w:val="-1"/>
          <w:sz w:val="24"/>
          <w:szCs w:val="24"/>
          <w:highlight w:val="none"/>
        </w:rPr>
        <w:t>和市场价格进行编制，自行报价，并承担一定范围内的风险费用</w:t>
      </w:r>
      <w:r>
        <w:rPr>
          <w:rFonts w:hint="eastAsia" w:ascii="宋体" w:hAnsi="宋体" w:eastAsia="宋体" w:cs="宋体"/>
          <w:color w:val="auto"/>
          <w:spacing w:val="-2"/>
          <w:sz w:val="24"/>
          <w:szCs w:val="24"/>
          <w:highlight w:val="none"/>
        </w:rPr>
        <w:t>。所谓“一定范围内</w:t>
      </w:r>
      <w:r>
        <w:rPr>
          <w:rFonts w:hint="eastAsia" w:ascii="宋体" w:hAnsi="宋体" w:eastAsia="宋体" w:cs="宋体"/>
          <w:color w:val="auto"/>
          <w:spacing w:val="-3"/>
          <w:sz w:val="24"/>
          <w:szCs w:val="24"/>
          <w:highlight w:val="none"/>
        </w:rPr>
        <w:t>的风险</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”是指合同约定的风险。</w:t>
      </w:r>
    </w:p>
    <w:p w14:paraId="2A4D7491">
      <w:pPr>
        <w:spacing w:before="152" w:line="309"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9.3  </w:t>
      </w:r>
      <w:r>
        <w:rPr>
          <w:rFonts w:hint="eastAsia" w:ascii="宋体" w:hAnsi="宋体" w:eastAsia="宋体" w:cs="宋体"/>
          <w:color w:val="auto"/>
          <w:spacing w:val="-2"/>
          <w:sz w:val="24"/>
          <w:szCs w:val="24"/>
          <w:highlight w:val="none"/>
        </w:rPr>
        <w:t>招标人及招标代理机构不集中组织现场踏勘，投标人需要了解现场情况的，</w:t>
      </w:r>
      <w:r>
        <w:rPr>
          <w:rFonts w:hint="eastAsia" w:ascii="宋体" w:hAnsi="宋体" w:eastAsia="宋体" w:cs="宋体"/>
          <w:color w:val="auto"/>
          <w:spacing w:val="-1"/>
          <w:sz w:val="24"/>
          <w:szCs w:val="24"/>
          <w:highlight w:val="none"/>
        </w:rPr>
        <w:t>可自行进行现场踏勘。各投标人应勘察施工现场及周围环</w:t>
      </w:r>
      <w:r>
        <w:rPr>
          <w:rFonts w:hint="eastAsia" w:ascii="宋体" w:hAnsi="宋体" w:eastAsia="宋体" w:cs="宋体"/>
          <w:color w:val="auto"/>
          <w:spacing w:val="-2"/>
          <w:sz w:val="24"/>
          <w:szCs w:val="24"/>
          <w:highlight w:val="none"/>
        </w:rPr>
        <w:t>境、地形、地貌、水文、交</w:t>
      </w:r>
      <w:r>
        <w:rPr>
          <w:rFonts w:hint="eastAsia" w:ascii="宋体" w:hAnsi="宋体" w:eastAsia="宋体" w:cs="宋体"/>
          <w:color w:val="auto"/>
          <w:spacing w:val="-1"/>
          <w:sz w:val="24"/>
          <w:szCs w:val="24"/>
          <w:highlight w:val="none"/>
        </w:rPr>
        <w:t>通等情况，以获得一切可能影响到投标的直接资料。投标人应</w:t>
      </w:r>
      <w:r>
        <w:rPr>
          <w:rFonts w:hint="eastAsia" w:ascii="宋体" w:hAnsi="宋体" w:eastAsia="宋体" w:cs="宋体"/>
          <w:color w:val="auto"/>
          <w:spacing w:val="-2"/>
          <w:sz w:val="24"/>
          <w:szCs w:val="24"/>
          <w:highlight w:val="none"/>
        </w:rPr>
        <w:t>针对现场情况编制施工</w:t>
      </w:r>
      <w:r>
        <w:rPr>
          <w:rFonts w:hint="eastAsia" w:ascii="宋体" w:hAnsi="宋体" w:eastAsia="宋体" w:cs="宋体"/>
          <w:color w:val="auto"/>
          <w:spacing w:val="-1"/>
          <w:sz w:val="24"/>
          <w:szCs w:val="24"/>
          <w:highlight w:val="none"/>
        </w:rPr>
        <w:t>组织设计，并在编制投标报价时考虑现场情况的影响。</w:t>
      </w:r>
    </w:p>
    <w:p w14:paraId="3CC853E1">
      <w:pPr>
        <w:spacing w:before="155" w:line="279" w:lineRule="auto"/>
        <w:ind w:left="10" w:right="150" w:firstLine="55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9.4  </w:t>
      </w:r>
      <w:r>
        <w:rPr>
          <w:rFonts w:hint="eastAsia" w:ascii="宋体" w:hAnsi="宋体" w:eastAsia="宋体" w:cs="宋体"/>
          <w:color w:val="auto"/>
          <w:spacing w:val="-2"/>
          <w:sz w:val="24"/>
          <w:szCs w:val="24"/>
          <w:highlight w:val="none"/>
        </w:rPr>
        <w:t>招标人向投标人提供的有关现场的数据和资料，是招标人现有的能被投标人</w:t>
      </w:r>
      <w:r>
        <w:rPr>
          <w:rFonts w:hint="eastAsia" w:ascii="宋体" w:hAnsi="宋体" w:eastAsia="宋体" w:cs="宋体"/>
          <w:color w:val="auto"/>
          <w:sz w:val="24"/>
          <w:szCs w:val="24"/>
          <w:highlight w:val="none"/>
        </w:rPr>
        <w:t>利用的资料，招标人对投标人做出的任何推论</w:t>
      </w:r>
      <w:r>
        <w:rPr>
          <w:rFonts w:hint="eastAsia" w:ascii="宋体" w:hAnsi="宋体" w:eastAsia="宋体" w:cs="宋体"/>
          <w:color w:val="auto"/>
          <w:spacing w:val="-1"/>
          <w:sz w:val="24"/>
          <w:szCs w:val="24"/>
          <w:highlight w:val="none"/>
        </w:rPr>
        <w:t>、理解和结论均不负责任。</w:t>
      </w:r>
    </w:p>
    <w:p w14:paraId="428C97DB">
      <w:pPr>
        <w:spacing w:before="154" w:line="299" w:lineRule="auto"/>
        <w:ind w:left="12" w:firstLine="55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9.5  </w:t>
      </w:r>
      <w:r>
        <w:rPr>
          <w:rFonts w:hint="eastAsia" w:ascii="宋体" w:hAnsi="宋体" w:eastAsia="宋体" w:cs="宋体"/>
          <w:color w:val="auto"/>
          <w:spacing w:val="-2"/>
          <w:sz w:val="24"/>
          <w:szCs w:val="24"/>
          <w:highlight w:val="none"/>
        </w:rPr>
        <w:t>投标人必须按照招标工程量清单及表格填报价格。项目编码、项目名称、项</w:t>
      </w:r>
      <w:r>
        <w:rPr>
          <w:rFonts w:hint="eastAsia" w:ascii="宋体" w:hAnsi="宋体" w:eastAsia="宋体" w:cs="宋体"/>
          <w:color w:val="auto"/>
          <w:spacing w:val="2"/>
          <w:sz w:val="24"/>
          <w:szCs w:val="24"/>
          <w:highlight w:val="none"/>
        </w:rPr>
        <w:t>目特征、计量单位、工程量必须与招标工程量清单一致。所有报价均以人</w:t>
      </w:r>
      <w:r>
        <w:rPr>
          <w:rFonts w:hint="eastAsia" w:ascii="宋体" w:hAnsi="宋体" w:eastAsia="宋体" w:cs="宋体"/>
          <w:color w:val="auto"/>
          <w:spacing w:val="1"/>
          <w:sz w:val="24"/>
          <w:szCs w:val="24"/>
          <w:highlight w:val="none"/>
        </w:rPr>
        <w:t>民币“元</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1"/>
          <w:sz w:val="24"/>
          <w:szCs w:val="24"/>
          <w:highlight w:val="none"/>
        </w:rPr>
        <w:t>为单位，并保留小数点后两位。</w:t>
      </w:r>
    </w:p>
    <w:p w14:paraId="2BD5CB95">
      <w:pPr>
        <w:spacing w:before="158" w:line="314" w:lineRule="auto"/>
        <w:ind w:left="9" w:right="150" w:firstLine="55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9.6  </w:t>
      </w:r>
      <w:r>
        <w:rPr>
          <w:rFonts w:hint="eastAsia" w:ascii="宋体" w:hAnsi="宋体" w:eastAsia="宋体" w:cs="宋体"/>
          <w:color w:val="auto"/>
          <w:spacing w:val="-2"/>
          <w:sz w:val="24"/>
          <w:szCs w:val="24"/>
          <w:highlight w:val="none"/>
        </w:rPr>
        <w:t>投标人只允许有一个投标总价。投标总价必须同时用大、小写表示，大、小</w:t>
      </w:r>
      <w:r>
        <w:rPr>
          <w:rFonts w:hint="eastAsia" w:ascii="宋体" w:hAnsi="宋体" w:eastAsia="宋体" w:cs="宋体"/>
          <w:color w:val="auto"/>
          <w:spacing w:val="-1"/>
          <w:sz w:val="24"/>
          <w:szCs w:val="24"/>
          <w:highlight w:val="none"/>
        </w:rPr>
        <w:t>写报价应保持一致，若不一致，以大写报价为准。招标工程量</w:t>
      </w:r>
      <w:r>
        <w:rPr>
          <w:rFonts w:hint="eastAsia" w:ascii="宋体" w:hAnsi="宋体" w:eastAsia="宋体" w:cs="宋体"/>
          <w:color w:val="auto"/>
          <w:spacing w:val="-2"/>
          <w:sz w:val="24"/>
          <w:szCs w:val="24"/>
          <w:highlight w:val="none"/>
        </w:rPr>
        <w:t>清单与计价表中列明的</w:t>
      </w:r>
      <w:r>
        <w:rPr>
          <w:rFonts w:hint="eastAsia" w:ascii="宋体" w:hAnsi="宋体" w:eastAsia="宋体" w:cs="宋体"/>
          <w:color w:val="auto"/>
          <w:spacing w:val="-1"/>
          <w:sz w:val="24"/>
          <w:szCs w:val="24"/>
          <w:highlight w:val="none"/>
        </w:rPr>
        <w:t>所有需要填写单价和合价的项目，投标人均应填写且只允许有</w:t>
      </w:r>
      <w:r>
        <w:rPr>
          <w:rFonts w:hint="eastAsia" w:ascii="宋体" w:hAnsi="宋体" w:eastAsia="宋体" w:cs="宋体"/>
          <w:color w:val="auto"/>
          <w:spacing w:val="-2"/>
          <w:sz w:val="24"/>
          <w:szCs w:val="24"/>
          <w:highlight w:val="none"/>
        </w:rPr>
        <w:t>一个报价。未填写单价</w:t>
      </w:r>
      <w:r>
        <w:rPr>
          <w:rFonts w:hint="eastAsia" w:ascii="宋体" w:hAnsi="宋体" w:eastAsia="宋体" w:cs="宋体"/>
          <w:color w:val="auto"/>
          <w:spacing w:val="-1"/>
          <w:sz w:val="24"/>
          <w:szCs w:val="24"/>
          <w:highlight w:val="none"/>
        </w:rPr>
        <w:t>和合价的项目，视为此项费用已包含在已标价工程量清单其他</w:t>
      </w:r>
      <w:r>
        <w:rPr>
          <w:rFonts w:hint="eastAsia" w:ascii="宋体" w:hAnsi="宋体" w:eastAsia="宋体" w:cs="宋体"/>
          <w:color w:val="auto"/>
          <w:spacing w:val="-2"/>
          <w:sz w:val="24"/>
          <w:szCs w:val="24"/>
          <w:highlight w:val="none"/>
        </w:rPr>
        <w:t>项目的单价和合价中，</w:t>
      </w:r>
      <w:r>
        <w:rPr>
          <w:rFonts w:hint="eastAsia" w:ascii="宋体" w:hAnsi="宋体" w:eastAsia="宋体" w:cs="宋体"/>
          <w:color w:val="auto"/>
          <w:spacing w:val="-1"/>
          <w:sz w:val="24"/>
          <w:szCs w:val="24"/>
          <w:highlight w:val="none"/>
        </w:rPr>
        <w:t>竣工结算时不得重新组价和调整。</w:t>
      </w:r>
    </w:p>
    <w:p w14:paraId="029B3C3E">
      <w:pPr>
        <w:spacing w:before="152" w:line="309" w:lineRule="auto"/>
        <w:ind w:left="7" w:right="120" w:firstLine="480"/>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z w:val="24"/>
          <w:szCs w:val="24"/>
          <w:highlight w:val="none"/>
        </w:rPr>
        <w:t xml:space="preserve">9.7  </w:t>
      </w:r>
      <w:r>
        <w:rPr>
          <w:rFonts w:hint="eastAsia" w:ascii="宋体" w:hAnsi="宋体" w:eastAsia="宋体" w:cs="宋体"/>
          <w:color w:val="auto"/>
          <w:sz w:val="24"/>
          <w:szCs w:val="24"/>
          <w:highlight w:val="none"/>
        </w:rPr>
        <w:t>投标人的投标总价不得高于</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color w:val="auto"/>
          <w:sz w:val="24"/>
          <w:szCs w:val="24"/>
          <w:highlight w:val="none"/>
        </w:rPr>
        <w:t>，也不得低于工程成本。投标人对</w:t>
      </w:r>
      <w:r>
        <w:rPr>
          <w:rFonts w:hint="eastAsia" w:ascii="宋体" w:hAnsi="宋体" w:eastAsia="宋体" w:cs="宋体"/>
          <w:color w:val="auto"/>
          <w:spacing w:val="-1"/>
          <w:sz w:val="24"/>
          <w:szCs w:val="24"/>
          <w:highlight w:val="none"/>
        </w:rPr>
        <w:t>投标总价的所有优惠（降价、让利等</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1"/>
          <w:sz w:val="24"/>
          <w:szCs w:val="24"/>
          <w:highlight w:val="none"/>
        </w:rPr>
        <w:t>均应当反映在具体清单项目或其综合</w:t>
      </w:r>
      <w:r>
        <w:rPr>
          <w:rFonts w:hint="eastAsia" w:ascii="宋体" w:hAnsi="宋体" w:eastAsia="宋体" w:cs="宋体"/>
          <w:color w:val="auto"/>
          <w:spacing w:val="-2"/>
          <w:sz w:val="24"/>
          <w:szCs w:val="24"/>
          <w:highlight w:val="none"/>
        </w:rPr>
        <w:t>单价的</w:t>
      </w:r>
      <w:r>
        <w:rPr>
          <w:rFonts w:hint="eastAsia" w:ascii="宋体" w:hAnsi="宋体" w:eastAsia="宋体" w:cs="宋体"/>
          <w:color w:val="auto"/>
          <w:spacing w:val="1"/>
          <w:sz w:val="24"/>
          <w:szCs w:val="24"/>
          <w:highlight w:val="none"/>
        </w:rPr>
        <w:t>报价上。</w:t>
      </w:r>
      <w:r>
        <w:rPr>
          <w:rFonts w:hint="eastAsia" w:ascii="宋体" w:hAnsi="宋体" w:eastAsia="宋体" w:cs="宋体"/>
          <w:b/>
          <w:bCs/>
          <w:color w:val="auto"/>
          <w:spacing w:val="1"/>
          <w:sz w:val="24"/>
          <w:szCs w:val="24"/>
          <w:highlight w:val="none"/>
        </w:rPr>
        <w:t>如果投标人的投标总价下浮率高于</w:t>
      </w:r>
      <w:r>
        <w:rPr>
          <w:rFonts w:hint="eastAsia" w:ascii="宋体" w:hAnsi="宋体" w:eastAsia="宋体" w:cs="宋体"/>
          <w:color w:val="auto"/>
          <w:spacing w:val="-40"/>
          <w:sz w:val="24"/>
          <w:szCs w:val="24"/>
          <w:highlight w:val="none"/>
        </w:rPr>
        <w:t xml:space="preserve"> </w:t>
      </w:r>
      <w:r>
        <w:rPr>
          <w:rFonts w:hint="eastAsia" w:ascii="宋体" w:hAnsi="宋体" w:eastAsia="宋体" w:cs="宋体"/>
          <w:b/>
          <w:bCs/>
          <w:color w:val="auto"/>
          <w:spacing w:val="1"/>
          <w:sz w:val="24"/>
          <w:szCs w:val="24"/>
          <w:highlight w:val="none"/>
        </w:rPr>
        <w:t>15%时，投标人必须在投标文件中专项</w:t>
      </w:r>
      <w:r>
        <w:rPr>
          <w:rFonts w:hint="eastAsia" w:ascii="宋体" w:hAnsi="宋体" w:eastAsia="宋体" w:cs="宋体"/>
          <w:b/>
          <w:bCs/>
          <w:color w:val="auto"/>
          <w:spacing w:val="-3"/>
          <w:sz w:val="24"/>
          <w:szCs w:val="24"/>
          <w:highlight w:val="none"/>
        </w:rPr>
        <w:t>作出详细合理的书面说明并提供以往类似工程详细成本分析报告供评标委员会审查。</w:t>
      </w:r>
    </w:p>
    <w:p w14:paraId="0A95A81C">
      <w:pPr>
        <w:outlineLvl w:val="9"/>
        <w:rPr>
          <w:rFonts w:hint="eastAsia" w:ascii="宋体" w:hAnsi="宋体" w:eastAsia="宋体" w:cs="宋体"/>
          <w:color w:val="auto"/>
          <w:sz w:val="24"/>
          <w:szCs w:val="24"/>
          <w:highlight w:val="none"/>
          <w:lang w:eastAsia="zh-CN"/>
        </w:rPr>
      </w:pPr>
      <w:r>
        <w:rPr>
          <w:rFonts w:hint="eastAsia" w:ascii="宋体" w:hAnsi="宋体" w:eastAsia="宋体" w:cs="宋体"/>
          <w:b/>
          <w:bCs/>
          <w:color w:val="auto"/>
          <w:spacing w:val="-3"/>
          <w:sz w:val="24"/>
          <w:szCs w:val="24"/>
          <w:highlight w:val="none"/>
          <w:lang w:eastAsia="zh-CN"/>
        </w:rPr>
        <w:t>投标总价下浮率=（1-投标总价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最高投标限价）</w:t>
      </w:r>
      <w:r>
        <w:rPr>
          <w:rFonts w:hint="eastAsia" w:ascii="宋体" w:hAnsi="宋体" w:eastAsia="宋体" w:cs="宋体"/>
          <w:b/>
          <w:bCs/>
          <w:color w:val="auto"/>
          <w:spacing w:val="-1"/>
          <w:sz w:val="24"/>
          <w:szCs w:val="24"/>
          <w:highlight w:val="none"/>
        </w:rPr>
        <w:t>×</w:t>
      </w:r>
      <w:r>
        <w:rPr>
          <w:rFonts w:hint="eastAsia" w:ascii="宋体" w:hAnsi="宋体" w:eastAsia="宋体" w:cs="宋体"/>
          <w:b/>
          <w:bCs/>
          <w:color w:val="auto"/>
          <w:spacing w:val="-1"/>
          <w:sz w:val="24"/>
          <w:szCs w:val="24"/>
          <w:highlight w:val="none"/>
          <w:lang w:eastAsia="zh-CN"/>
        </w:rPr>
        <w:t>100%</w:t>
      </w:r>
    </w:p>
    <w:p w14:paraId="5E9F36E8">
      <w:pPr>
        <w:spacing w:before="146" w:line="360" w:lineRule="auto"/>
        <w:ind w:left="29" w:right="153" w:firstLine="458"/>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9.8  投标人的安全生产措施费报价必须达到或超过</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b/>
          <w:bCs/>
          <w:color w:val="auto"/>
          <w:sz w:val="24"/>
          <w:szCs w:val="24"/>
          <w:highlight w:val="none"/>
        </w:rPr>
        <w:t>中</w:t>
      </w:r>
      <w:r>
        <w:rPr>
          <w:rFonts w:hint="eastAsia" w:ascii="宋体" w:hAnsi="宋体" w:eastAsia="宋体" w:cs="宋体"/>
          <w:b/>
          <w:bCs/>
          <w:color w:val="auto"/>
          <w:spacing w:val="-1"/>
          <w:sz w:val="24"/>
          <w:szCs w:val="24"/>
          <w:highlight w:val="none"/>
        </w:rPr>
        <w:t>提供</w:t>
      </w:r>
      <w:r>
        <w:rPr>
          <w:rFonts w:hint="eastAsia" w:ascii="宋体" w:hAnsi="宋体" w:eastAsia="宋体" w:cs="宋体"/>
          <w:b/>
          <w:bCs/>
          <w:color w:val="auto"/>
          <w:spacing w:val="-3"/>
          <w:sz w:val="24"/>
          <w:szCs w:val="24"/>
          <w:highlight w:val="none"/>
        </w:rPr>
        <w:t>的安全生产措施费。</w:t>
      </w:r>
    </w:p>
    <w:p w14:paraId="5C6ABF7B">
      <w:pPr>
        <w:spacing w:before="78" w:line="360" w:lineRule="auto"/>
        <w:ind w:right="99"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9.9  </w:t>
      </w:r>
      <w:r>
        <w:rPr>
          <w:rFonts w:hint="eastAsia" w:ascii="宋体" w:hAnsi="宋体" w:eastAsia="宋体" w:cs="宋体"/>
          <w:color w:val="auto"/>
          <w:sz w:val="24"/>
          <w:szCs w:val="24"/>
          <w:highlight w:val="none"/>
        </w:rPr>
        <w:t>投标人必须按照招标工程量清单中提供的暂列金额和暂估价统一报价。投标</w:t>
      </w:r>
      <w:r>
        <w:rPr>
          <w:rFonts w:hint="eastAsia" w:ascii="宋体" w:hAnsi="宋体" w:eastAsia="宋体" w:cs="宋体"/>
          <w:color w:val="auto"/>
          <w:spacing w:val="-1"/>
          <w:sz w:val="24"/>
          <w:szCs w:val="24"/>
          <w:highlight w:val="none"/>
        </w:rPr>
        <w:t>人应充分考虑暂估价项目（或暂列金额项目）的管理和协调所发</w:t>
      </w:r>
      <w:r>
        <w:rPr>
          <w:rFonts w:hint="eastAsia" w:ascii="宋体" w:hAnsi="宋体" w:eastAsia="宋体" w:cs="宋体"/>
          <w:color w:val="auto"/>
          <w:spacing w:val="-2"/>
          <w:sz w:val="24"/>
          <w:szCs w:val="24"/>
          <w:highlight w:val="none"/>
        </w:rPr>
        <w:t>生的费用，并将其纳</w:t>
      </w:r>
      <w:r>
        <w:rPr>
          <w:rFonts w:hint="eastAsia" w:ascii="宋体" w:hAnsi="宋体" w:eastAsia="宋体" w:cs="宋体"/>
          <w:color w:val="auto"/>
          <w:spacing w:val="-1"/>
          <w:sz w:val="24"/>
          <w:szCs w:val="24"/>
          <w:highlight w:val="none"/>
        </w:rPr>
        <w:t>入已标价工程量清单中的适当项目。招标人视该项管理和协调所</w:t>
      </w:r>
      <w:r>
        <w:rPr>
          <w:rFonts w:hint="eastAsia" w:ascii="宋体" w:hAnsi="宋体" w:eastAsia="宋体" w:cs="宋体"/>
          <w:color w:val="auto"/>
          <w:spacing w:val="-2"/>
          <w:sz w:val="24"/>
          <w:szCs w:val="24"/>
          <w:highlight w:val="none"/>
        </w:rPr>
        <w:t>发生的费用已包含在</w:t>
      </w:r>
      <w:r>
        <w:rPr>
          <w:rFonts w:hint="eastAsia" w:ascii="宋体" w:hAnsi="宋体" w:eastAsia="宋体" w:cs="宋体"/>
          <w:color w:val="auto"/>
          <w:spacing w:val="-1"/>
          <w:sz w:val="24"/>
          <w:szCs w:val="24"/>
          <w:highlight w:val="none"/>
        </w:rPr>
        <w:t>其它有价款的竞争性报价内，不再另行支付。</w:t>
      </w:r>
    </w:p>
    <w:p w14:paraId="7AE3073F">
      <w:pPr>
        <w:pStyle w:val="6"/>
        <w:keepNext w:val="0"/>
        <w:keepLines w:val="0"/>
        <w:pageBreakBefore w:val="0"/>
        <w:widowControl/>
        <w:kinsoku w:val="0"/>
        <w:wordWrap/>
        <w:overflowPunct/>
        <w:topLinePunct w:val="0"/>
        <w:autoSpaceDE w:val="0"/>
        <w:autoSpaceDN w:val="0"/>
        <w:bidi w:val="0"/>
        <w:adjustRightInd w:val="0"/>
        <w:snapToGrid w:val="0"/>
        <w:spacing w:line="300" w:lineRule="auto"/>
        <w:ind w:firstLine="48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9.10 </w:t>
      </w:r>
      <w:r>
        <w:rPr>
          <w:rFonts w:hint="eastAsia" w:ascii="宋体" w:hAnsi="宋体" w:eastAsia="宋体" w:cs="宋体"/>
          <w:snapToGrid w:val="0"/>
          <w:color w:val="auto"/>
          <w:sz w:val="24"/>
          <w:szCs w:val="24"/>
          <w:highlight w:val="none"/>
          <w:lang w:val="en-US" w:eastAsia="en-US" w:bidi="ar-SA"/>
        </w:rPr>
        <w:t>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投标报价时，应按《广东省建设工程计价依据（2018）》规定的费率报价，若招标工程量清单明确说明不计算预算包干费或另外确定预算包干费费率的，则按招标工程量清单报价。</w:t>
      </w:r>
    </w:p>
    <w:p w14:paraId="4574DACF">
      <w:pPr>
        <w:pStyle w:val="6"/>
        <w:spacing w:line="360" w:lineRule="auto"/>
        <w:rPr>
          <w:rFonts w:hint="eastAsia" w:ascii="宋体" w:hAnsi="宋体" w:eastAsia="宋体" w:cs="宋体"/>
          <w:snapToGrid w:val="0"/>
          <w:color w:val="auto"/>
          <w:sz w:val="24"/>
          <w:szCs w:val="24"/>
          <w:highlight w:val="none"/>
          <w:lang w:val="en-US" w:eastAsia="en-US" w:bidi="ar-SA"/>
        </w:rPr>
      </w:pPr>
    </w:p>
    <w:p w14:paraId="20F7818E">
      <w:pPr>
        <w:spacing w:before="78" w:line="220" w:lineRule="auto"/>
        <w:ind w:left="496"/>
        <w:outlineLvl w:val="2"/>
        <w:rPr>
          <w:rFonts w:hint="eastAsia" w:ascii="宋体" w:hAnsi="宋体" w:eastAsia="宋体" w:cs="宋体"/>
          <w:color w:val="auto"/>
          <w:sz w:val="24"/>
          <w:szCs w:val="24"/>
          <w:highlight w:val="none"/>
        </w:rPr>
      </w:pPr>
      <w:bookmarkStart w:id="43" w:name="_Toc23711"/>
      <w:bookmarkStart w:id="44" w:name="_Toc16322"/>
      <w:r>
        <w:rPr>
          <w:rFonts w:hint="eastAsia" w:ascii="宋体" w:hAnsi="宋体" w:eastAsia="宋体" w:cs="宋体"/>
          <w:b/>
          <w:bCs/>
          <w:color w:val="auto"/>
          <w:spacing w:val="-6"/>
          <w:sz w:val="24"/>
          <w:szCs w:val="24"/>
          <w:highlight w:val="none"/>
        </w:rPr>
        <w:t>10</w:t>
      </w:r>
      <w:r>
        <w:rPr>
          <w:rFonts w:hint="eastAsia" w:ascii="宋体" w:hAnsi="宋体" w:eastAsia="宋体" w:cs="宋体"/>
          <w:b/>
          <w:bCs/>
          <w:color w:val="auto"/>
          <w:spacing w:val="-21"/>
          <w:sz w:val="24"/>
          <w:szCs w:val="24"/>
          <w:highlight w:val="none"/>
        </w:rPr>
        <w:t xml:space="preserve"> </w:t>
      </w:r>
      <w:r>
        <w:rPr>
          <w:rFonts w:hint="eastAsia" w:ascii="宋体" w:hAnsi="宋体" w:eastAsia="宋体" w:cs="宋体"/>
          <w:b/>
          <w:bCs/>
          <w:color w:val="auto"/>
          <w:spacing w:val="-6"/>
          <w:sz w:val="24"/>
          <w:szCs w:val="24"/>
          <w:highlight w:val="none"/>
        </w:rPr>
        <w:t>．投标文件的编制要求</w:t>
      </w:r>
      <w:bookmarkEnd w:id="43"/>
      <w:bookmarkEnd w:id="44"/>
    </w:p>
    <w:p w14:paraId="4C719819">
      <w:pPr>
        <w:spacing w:before="152" w:line="222" w:lineRule="auto"/>
        <w:ind w:left="496"/>
        <w:outlineLvl w:val="3"/>
        <w:rPr>
          <w:rFonts w:hint="eastAsia" w:ascii="宋体" w:hAnsi="宋体" w:eastAsia="宋体" w:cs="宋体"/>
          <w:color w:val="auto"/>
          <w:sz w:val="24"/>
          <w:szCs w:val="24"/>
          <w:highlight w:val="none"/>
        </w:rPr>
      </w:pPr>
      <w:bookmarkStart w:id="45" w:name="_Toc22937"/>
      <w:bookmarkStart w:id="46" w:name="_Toc20590"/>
      <w:r>
        <w:rPr>
          <w:rFonts w:hint="eastAsia" w:ascii="宋体" w:hAnsi="宋体" w:eastAsia="宋体" w:cs="宋体"/>
          <w:b/>
          <w:bCs/>
          <w:color w:val="auto"/>
          <w:spacing w:val="-4"/>
          <w:sz w:val="24"/>
          <w:szCs w:val="24"/>
          <w:highlight w:val="none"/>
        </w:rPr>
        <w:t>10.1</w:t>
      </w:r>
      <w:r>
        <w:rPr>
          <w:rFonts w:hint="eastAsia" w:ascii="宋体" w:hAnsi="宋体" w:eastAsia="宋体" w:cs="宋体"/>
          <w:b/>
          <w:bCs/>
          <w:color w:val="auto"/>
          <w:spacing w:val="7"/>
          <w:sz w:val="24"/>
          <w:szCs w:val="24"/>
          <w:highlight w:val="none"/>
        </w:rPr>
        <w:t xml:space="preserve">  </w:t>
      </w:r>
      <w:r>
        <w:rPr>
          <w:rFonts w:hint="eastAsia" w:ascii="宋体" w:hAnsi="宋体" w:eastAsia="宋体" w:cs="宋体"/>
          <w:color w:val="auto"/>
          <w:spacing w:val="-4"/>
          <w:sz w:val="24"/>
          <w:szCs w:val="24"/>
          <w:highlight w:val="none"/>
        </w:rPr>
        <w:t>一般要求</w:t>
      </w:r>
      <w:bookmarkEnd w:id="45"/>
      <w:bookmarkEnd w:id="46"/>
    </w:p>
    <w:p w14:paraId="27321D71">
      <w:pPr>
        <w:spacing w:before="118" w:line="295" w:lineRule="auto"/>
        <w:ind w:left="11" w:right="99"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投标文件应按第六章投标文件格式规定的内容，投标人提交的投标文件应当使</w:t>
      </w:r>
      <w:r>
        <w:rPr>
          <w:rFonts w:hint="eastAsia" w:ascii="宋体" w:hAnsi="宋体" w:eastAsia="宋体" w:cs="宋体"/>
          <w:color w:val="auto"/>
          <w:spacing w:val="-1"/>
          <w:sz w:val="24"/>
          <w:szCs w:val="24"/>
          <w:highlight w:val="none"/>
        </w:rPr>
        <w:t>用招标文件所提供的投标文件全部格式。</w:t>
      </w:r>
    </w:p>
    <w:p w14:paraId="3DD2CA9E">
      <w:pPr>
        <w:spacing w:before="68" w:line="299" w:lineRule="auto"/>
        <w:ind w:left="11" w:right="99" w:firstLine="563"/>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10.1.1  </w:t>
      </w:r>
      <w:r>
        <w:rPr>
          <w:rFonts w:hint="eastAsia" w:ascii="宋体" w:hAnsi="宋体" w:eastAsia="宋体" w:cs="宋体"/>
          <w:color w:val="auto"/>
          <w:spacing w:val="-3"/>
          <w:sz w:val="24"/>
          <w:szCs w:val="24"/>
          <w:highlight w:val="none"/>
        </w:rPr>
        <w:t>投标人必须响应招标文件，并在充分理解招</w:t>
      </w:r>
      <w:r>
        <w:rPr>
          <w:rFonts w:hint="eastAsia" w:ascii="宋体" w:hAnsi="宋体" w:eastAsia="宋体" w:cs="宋体"/>
          <w:color w:val="auto"/>
          <w:spacing w:val="-4"/>
          <w:sz w:val="24"/>
          <w:szCs w:val="24"/>
          <w:highlight w:val="none"/>
        </w:rPr>
        <w:t>标人提供的全部文件、设计图</w:t>
      </w:r>
      <w:r>
        <w:rPr>
          <w:rFonts w:hint="eastAsia" w:ascii="宋体" w:hAnsi="宋体" w:eastAsia="宋体" w:cs="宋体"/>
          <w:color w:val="auto"/>
          <w:spacing w:val="-1"/>
          <w:sz w:val="24"/>
          <w:szCs w:val="24"/>
          <w:highlight w:val="none"/>
        </w:rPr>
        <w:t>纸、资料及现场条件的基础上编制投标文件。因投标文件</w:t>
      </w:r>
      <w:r>
        <w:rPr>
          <w:rFonts w:hint="eastAsia" w:ascii="宋体" w:hAnsi="宋体" w:eastAsia="宋体" w:cs="宋体"/>
          <w:color w:val="auto"/>
          <w:spacing w:val="-2"/>
          <w:sz w:val="24"/>
          <w:szCs w:val="24"/>
          <w:highlight w:val="none"/>
        </w:rPr>
        <w:t>不符合招标文件的要求而造</w:t>
      </w:r>
      <w:r>
        <w:rPr>
          <w:rFonts w:hint="eastAsia" w:ascii="宋体" w:hAnsi="宋体" w:eastAsia="宋体" w:cs="宋体"/>
          <w:color w:val="auto"/>
          <w:spacing w:val="-1"/>
          <w:sz w:val="24"/>
          <w:szCs w:val="24"/>
          <w:highlight w:val="none"/>
        </w:rPr>
        <w:t>成的损失和后果，由投标人自行承担。</w:t>
      </w:r>
    </w:p>
    <w:p w14:paraId="057155C1">
      <w:pPr>
        <w:spacing w:before="123" w:line="290" w:lineRule="auto"/>
        <w:ind w:left="8" w:firstLine="566"/>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10.1.2  投标文件包括商务标书、经济标书、施工组织设计和定标文件四个分册，</w:t>
      </w:r>
      <w:r>
        <w:rPr>
          <w:rFonts w:hint="eastAsia" w:ascii="宋体" w:hAnsi="宋体" w:eastAsia="宋体" w:cs="宋体"/>
          <w:color w:val="auto"/>
          <w:spacing w:val="-3"/>
          <w:sz w:val="24"/>
          <w:szCs w:val="24"/>
          <w:highlight w:val="none"/>
        </w:rPr>
        <w:t>投标文件全部采用电子文档，投标文件所附</w:t>
      </w:r>
      <w:r>
        <w:rPr>
          <w:rFonts w:hint="eastAsia" w:ascii="宋体" w:hAnsi="宋体" w:eastAsia="宋体" w:cs="宋体"/>
          <w:color w:val="auto"/>
          <w:spacing w:val="-4"/>
          <w:sz w:val="24"/>
          <w:szCs w:val="24"/>
          <w:highlight w:val="none"/>
        </w:rPr>
        <w:t>证书证件均为原件扫描件，并</w:t>
      </w:r>
      <w:r>
        <w:rPr>
          <w:rFonts w:hint="eastAsia" w:ascii="宋体" w:hAnsi="宋体" w:eastAsia="宋体" w:cs="宋体"/>
          <w:color w:val="auto"/>
          <w:spacing w:val="-1"/>
          <w:sz w:val="24"/>
          <w:szCs w:val="24"/>
          <w:highlight w:val="none"/>
        </w:rPr>
        <w:t>采用单位数字证书，按招标文件要求在相应位置加盖电子印章。</w:t>
      </w:r>
      <w:r>
        <w:rPr>
          <w:rFonts w:hint="eastAsia" w:ascii="宋体" w:hAnsi="宋体" w:eastAsia="宋体" w:cs="宋体"/>
          <w:color w:val="auto"/>
          <w:spacing w:val="-2"/>
          <w:sz w:val="24"/>
          <w:szCs w:val="24"/>
          <w:highlight w:val="none"/>
        </w:rPr>
        <w:t>投标文件中需个人签</w:t>
      </w:r>
      <w:r>
        <w:rPr>
          <w:rFonts w:hint="eastAsia" w:ascii="宋体" w:hAnsi="宋体" w:eastAsia="宋体" w:cs="宋体"/>
          <w:color w:val="auto"/>
          <w:spacing w:val="-1"/>
          <w:sz w:val="24"/>
          <w:szCs w:val="24"/>
          <w:highlight w:val="none"/>
        </w:rPr>
        <w:t>字或盖章的，应加盖个人电子印章或在线下完成后扫描上传。按</w:t>
      </w:r>
      <w:r>
        <w:rPr>
          <w:rFonts w:hint="eastAsia" w:ascii="宋体" w:hAnsi="宋体" w:eastAsia="宋体" w:cs="宋体"/>
          <w:color w:val="auto"/>
          <w:spacing w:val="-2"/>
          <w:sz w:val="24"/>
          <w:szCs w:val="24"/>
          <w:highlight w:val="none"/>
        </w:rPr>
        <w:t>照交易平台关于全流</w:t>
      </w:r>
      <w:r>
        <w:rPr>
          <w:rFonts w:hint="eastAsia" w:ascii="宋体" w:hAnsi="宋体" w:eastAsia="宋体" w:cs="宋体"/>
          <w:color w:val="auto"/>
          <w:spacing w:val="-7"/>
          <w:sz w:val="24"/>
          <w:szCs w:val="24"/>
          <w:highlight w:val="none"/>
        </w:rPr>
        <w:t>程电子化项目的相关指南进行操作。详见：全国公共资源</w:t>
      </w:r>
      <w:r>
        <w:rPr>
          <w:rFonts w:hint="eastAsia" w:ascii="宋体" w:hAnsi="宋体" w:eastAsia="宋体" w:cs="宋体"/>
          <w:color w:val="auto"/>
          <w:spacing w:val="-8"/>
          <w:sz w:val="24"/>
          <w:szCs w:val="24"/>
          <w:highlight w:val="none"/>
        </w:rPr>
        <w:t>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8"/>
          <w:sz w:val="24"/>
          <w:szCs w:val="24"/>
          <w:highlight w:val="none"/>
        </w:rPr>
        <w:t>·韶关市）</w:t>
      </w:r>
      <w:r>
        <w:rPr>
          <w:rFonts w:hint="eastAsia" w:ascii="宋体" w:hAnsi="宋体" w:eastAsia="宋体" w:cs="宋体"/>
          <w:color w:val="auto"/>
          <w:spacing w:val="-2"/>
          <w:sz w:val="24"/>
          <w:szCs w:val="24"/>
          <w:highlight w:val="none"/>
        </w:rPr>
        <w:t>交易指引。</w:t>
      </w:r>
    </w:p>
    <w:p w14:paraId="13A74F35">
      <w:pPr>
        <w:spacing w:before="1" w:line="219" w:lineRule="auto"/>
        <w:ind w:left="57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10.1.3  </w:t>
      </w:r>
      <w:r>
        <w:rPr>
          <w:rFonts w:hint="eastAsia" w:ascii="宋体" w:hAnsi="宋体" w:eastAsia="宋体" w:cs="宋体"/>
          <w:color w:val="auto"/>
          <w:spacing w:val="-1"/>
          <w:sz w:val="24"/>
          <w:szCs w:val="24"/>
          <w:highlight w:val="none"/>
        </w:rPr>
        <w:t>投标文件需按以下要求签字、盖章：电子投标文件：</w:t>
      </w:r>
    </w:p>
    <w:p w14:paraId="2DBC6B6B">
      <w:pPr>
        <w:spacing w:before="111" w:line="279" w:lineRule="auto"/>
        <w:ind w:right="133" w:firstLine="57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"10.1.3.1"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b/>
          <w:bCs/>
          <w:color w:val="auto"/>
          <w:spacing w:val="-2"/>
          <w:sz w:val="24"/>
          <w:szCs w:val="24"/>
          <w:highlight w:val="none"/>
        </w:rPr>
        <w:t>10.1.3.1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w:t>
      </w:r>
      <w:r>
        <w:rPr>
          <w:rFonts w:hint="eastAsia" w:ascii="宋体" w:hAnsi="宋体" w:eastAsia="宋体" w:cs="宋体"/>
          <w:color w:val="auto"/>
          <w:spacing w:val="-3"/>
          <w:sz w:val="24"/>
          <w:szCs w:val="24"/>
          <w:highlight w:val="none"/>
        </w:rPr>
        <w:t>内容中凡注明“签字</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3"/>
          <w:sz w:val="24"/>
          <w:szCs w:val="24"/>
          <w:highlight w:val="none"/>
        </w:rPr>
        <w:t>”处由要求的人员签字或电子</w:t>
      </w:r>
      <w:r>
        <w:rPr>
          <w:rFonts w:hint="eastAsia" w:ascii="宋体" w:hAnsi="宋体" w:eastAsia="宋体" w:cs="宋体"/>
          <w:color w:val="auto"/>
          <w:spacing w:val="-2"/>
          <w:sz w:val="24"/>
          <w:szCs w:val="24"/>
          <w:highlight w:val="none"/>
        </w:rPr>
        <w:t>签章；凡注明“签字或盖章</w:t>
      </w:r>
      <w:r>
        <w:rPr>
          <w:rFonts w:hint="eastAsia" w:ascii="宋体" w:hAnsi="宋体" w:eastAsia="宋体" w:cs="宋体"/>
          <w:color w:val="auto"/>
          <w:spacing w:val="-87"/>
          <w:sz w:val="24"/>
          <w:szCs w:val="24"/>
          <w:highlight w:val="none"/>
        </w:rPr>
        <w:t xml:space="preserve"> </w:t>
      </w:r>
      <w:r>
        <w:rPr>
          <w:rFonts w:hint="eastAsia" w:ascii="宋体" w:hAnsi="宋体" w:eastAsia="宋体" w:cs="宋体"/>
          <w:color w:val="auto"/>
          <w:spacing w:val="-2"/>
          <w:sz w:val="24"/>
          <w:szCs w:val="24"/>
          <w:highlight w:val="none"/>
        </w:rPr>
        <w:t>”处由要求的人员签字或盖其私章（</w:t>
      </w:r>
      <w:r>
        <w:rPr>
          <w:rFonts w:hint="eastAsia" w:ascii="宋体" w:hAnsi="宋体" w:eastAsia="宋体" w:cs="宋体"/>
          <w:color w:val="auto"/>
          <w:spacing w:val="-2"/>
          <w:sz w:val="24"/>
          <w:szCs w:val="24"/>
          <w:highlight w:val="none"/>
          <w:lang w:val="en-US" w:eastAsia="zh-CN"/>
        </w:rPr>
        <w:t>含</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rPr>
        <w:t>凡注明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“签字并盖执业印章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”处由要求的人员签字并盖其执业印</w:t>
      </w:r>
      <w:r>
        <w:rPr>
          <w:rFonts w:hint="eastAsia" w:ascii="宋体" w:hAnsi="宋体" w:eastAsia="宋体" w:cs="宋体"/>
          <w:color w:val="auto"/>
          <w:spacing w:val="-2"/>
          <w:sz w:val="24"/>
          <w:szCs w:val="24"/>
          <w:highlight w:val="none"/>
        </w:rPr>
        <w:t>章。</w:t>
      </w:r>
    </w:p>
    <w:p w14:paraId="2324B4CD">
      <w:pPr>
        <w:spacing w:before="112" w:line="264" w:lineRule="auto"/>
        <w:ind w:left="13" w:right="133" w:firstLine="56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"10.1.3.2" </w:instrText>
      </w:r>
      <w:r>
        <w:rPr>
          <w:rFonts w:hint="eastAsia" w:ascii="宋体" w:hAnsi="宋体" w:eastAsia="宋体" w:cs="宋体"/>
          <w:color w:val="auto"/>
          <w:sz w:val="24"/>
          <w:szCs w:val="24"/>
          <w:highlight w:val="none"/>
        </w:rPr>
        <w:fldChar w:fldCharType="separate"/>
      </w:r>
      <w:r>
        <w:rPr>
          <w:rFonts w:hint="eastAsia" w:ascii="宋体" w:hAnsi="宋体" w:eastAsia="宋体" w:cs="宋体"/>
          <w:b/>
          <w:bCs/>
          <w:color w:val="auto"/>
          <w:spacing w:val="-2"/>
          <w:sz w:val="24"/>
          <w:szCs w:val="24"/>
          <w:highlight w:val="none"/>
        </w:rPr>
        <w:t>10.1.3.2</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投标文件封面、组成内容中凡要求录入投标人名称且注明“盖单</w:t>
      </w:r>
      <w:r>
        <w:rPr>
          <w:rFonts w:hint="eastAsia" w:ascii="宋体" w:hAnsi="宋体" w:eastAsia="宋体" w:cs="宋体"/>
          <w:color w:val="auto"/>
          <w:spacing w:val="-3"/>
          <w:sz w:val="24"/>
          <w:szCs w:val="24"/>
          <w:highlight w:val="none"/>
        </w:rPr>
        <w:t>位章</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3"/>
          <w:sz w:val="24"/>
          <w:szCs w:val="24"/>
          <w:highlight w:val="none"/>
        </w:rPr>
        <w:t>”处盖单位法人公章（</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3"/>
          <w:sz w:val="24"/>
          <w:szCs w:val="24"/>
          <w:highlight w:val="none"/>
        </w:rPr>
        <w:t>电子印章）。</w:t>
      </w:r>
    </w:p>
    <w:p w14:paraId="05343DCE">
      <w:pPr>
        <w:spacing w:before="146" w:line="279" w:lineRule="auto"/>
        <w:ind w:left="16" w:right="135" w:firstLine="56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"10.1.3.3"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
          <w:bCs/>
          <w:color w:val="auto"/>
          <w:spacing w:val="-1"/>
          <w:sz w:val="24"/>
          <w:szCs w:val="24"/>
          <w:highlight w:val="none"/>
        </w:rPr>
        <w:t>10.1.3.3</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投标文件的签字均为签字人本人亲笔署名或签章</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2"/>
          <w:sz w:val="24"/>
          <w:szCs w:val="24"/>
          <w:highlight w:val="none"/>
        </w:rPr>
        <w:t>电子印章</w:t>
      </w:r>
      <w:r>
        <w:rPr>
          <w:rFonts w:hint="eastAsia" w:ascii="宋体" w:hAnsi="宋体" w:eastAsia="宋体" w:cs="宋体"/>
          <w:color w:val="auto"/>
          <w:spacing w:val="-14"/>
          <w:sz w:val="24"/>
          <w:szCs w:val="24"/>
          <w:highlight w:val="none"/>
        </w:rPr>
        <w:t>），</w:t>
      </w:r>
      <w:r>
        <w:rPr>
          <w:rFonts w:hint="eastAsia" w:ascii="宋体" w:hAnsi="宋体" w:eastAsia="宋体" w:cs="宋体"/>
          <w:color w:val="auto"/>
          <w:spacing w:val="-2"/>
          <w:sz w:val="24"/>
          <w:szCs w:val="24"/>
          <w:highlight w:val="none"/>
        </w:rPr>
        <w:t>其余部</w:t>
      </w:r>
      <w:r>
        <w:rPr>
          <w:rFonts w:hint="eastAsia" w:ascii="宋体" w:hAnsi="宋体" w:eastAsia="宋体" w:cs="宋体"/>
          <w:color w:val="auto"/>
          <w:spacing w:val="-1"/>
          <w:sz w:val="24"/>
          <w:szCs w:val="24"/>
          <w:highlight w:val="none"/>
        </w:rPr>
        <w:t>分的复印件无须另行签字、盖章。</w:t>
      </w:r>
    </w:p>
    <w:p w14:paraId="0328EA8C">
      <w:pPr>
        <w:spacing w:before="155" w:line="219" w:lineRule="auto"/>
        <w:ind w:left="0" w:leftChars="0" w:firstLine="474" w:firstLineChars="200"/>
        <w:outlineLvl w:val="3"/>
        <w:rPr>
          <w:rFonts w:hint="eastAsia" w:ascii="宋体" w:hAnsi="宋体" w:eastAsia="宋体" w:cs="宋体"/>
          <w:b w:val="0"/>
          <w:bCs w:val="0"/>
          <w:color w:val="auto"/>
          <w:spacing w:val="-2"/>
          <w:sz w:val="24"/>
          <w:szCs w:val="24"/>
          <w:highlight w:val="none"/>
        </w:rPr>
      </w:pPr>
      <w:bookmarkStart w:id="47" w:name="_Toc20223"/>
      <w:bookmarkStart w:id="48" w:name="_Toc21271"/>
      <w:r>
        <w:rPr>
          <w:rFonts w:hint="eastAsia" w:ascii="宋体" w:hAnsi="宋体" w:eastAsia="宋体" w:cs="宋体"/>
          <w:b/>
          <w:bCs/>
          <w:color w:val="auto"/>
          <w:spacing w:val="-2"/>
          <w:sz w:val="24"/>
          <w:szCs w:val="24"/>
          <w:highlight w:val="none"/>
        </w:rPr>
        <w:t xml:space="preserve">10.1.3.4 </w:t>
      </w:r>
      <w:r>
        <w:rPr>
          <w:rFonts w:hint="eastAsia" w:ascii="宋体" w:hAnsi="宋体" w:eastAsia="宋体" w:cs="宋体"/>
          <w:color w:val="auto"/>
          <w:spacing w:val="-3"/>
          <w:sz w:val="24"/>
          <w:szCs w:val="24"/>
          <w:highlight w:val="none"/>
        </w:rPr>
        <w:t>联合体投标的，除《联合体协议书》外，由联合体牵头人按以上要求签亲笔署名或签章（</w:t>
      </w:r>
      <w:r>
        <w:rPr>
          <w:rFonts w:hint="eastAsia" w:ascii="宋体" w:hAnsi="宋体" w:eastAsia="宋体" w:cs="宋体"/>
          <w:color w:val="auto"/>
          <w:spacing w:val="-3"/>
          <w:sz w:val="24"/>
          <w:szCs w:val="24"/>
          <w:highlight w:val="none"/>
          <w:lang w:val="en-US" w:eastAsia="zh-CN"/>
        </w:rPr>
        <w:t>含</w:t>
      </w:r>
      <w:r>
        <w:rPr>
          <w:rFonts w:hint="eastAsia" w:ascii="宋体" w:hAnsi="宋体" w:eastAsia="宋体" w:cs="宋体"/>
          <w:color w:val="auto"/>
          <w:spacing w:val="-3"/>
          <w:sz w:val="24"/>
          <w:szCs w:val="24"/>
          <w:highlight w:val="none"/>
        </w:rPr>
        <w:t>电子印章）即可。</w:t>
      </w:r>
    </w:p>
    <w:p w14:paraId="77217396">
      <w:pPr>
        <w:spacing w:before="155" w:line="219" w:lineRule="auto"/>
        <w:ind w:left="500"/>
        <w:outlineLvl w:val="3"/>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10.2  商务标书的编制要求</w:t>
      </w:r>
      <w:bookmarkEnd w:id="47"/>
      <w:bookmarkEnd w:id="48"/>
    </w:p>
    <w:p w14:paraId="3F39F9CA">
      <w:pPr>
        <w:spacing w:before="157" w:line="219" w:lineRule="auto"/>
        <w:ind w:left="581"/>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10.2.1 </w:t>
      </w:r>
      <w:r>
        <w:rPr>
          <w:rFonts w:hint="eastAsia" w:ascii="宋体" w:hAnsi="宋体" w:eastAsia="宋体" w:cs="宋体"/>
          <w:color w:val="auto"/>
          <w:spacing w:val="-1"/>
          <w:sz w:val="24"/>
          <w:szCs w:val="24"/>
          <w:highlight w:val="none"/>
        </w:rPr>
        <w:t>商务标书包括但不限于以下内容：</w:t>
      </w:r>
    </w:p>
    <w:p w14:paraId="5C1D7577">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2F006AC4">
      <w:pPr>
        <w:spacing w:before="153" w:line="222"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05BF4253">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（3）《投标函》（格式二</w:t>
      </w:r>
      <w:r>
        <w:rPr>
          <w:rFonts w:hint="eastAsia" w:ascii="宋体" w:hAnsi="宋体" w:eastAsia="宋体" w:cs="宋体"/>
          <w:color w:val="auto"/>
          <w:spacing w:val="1"/>
          <w:sz w:val="24"/>
          <w:szCs w:val="24"/>
          <w:highlight w:val="none"/>
        </w:rPr>
        <w:t>）；</w:t>
      </w:r>
    </w:p>
    <w:p w14:paraId="008F2B70">
      <w:pPr>
        <w:spacing w:before="153"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（4）《各项承诺一览表》（格式三</w:t>
      </w:r>
      <w:r>
        <w:rPr>
          <w:rFonts w:hint="eastAsia" w:ascii="宋体" w:hAnsi="宋体" w:eastAsia="宋体" w:cs="宋体"/>
          <w:color w:val="auto"/>
          <w:spacing w:val="5"/>
          <w:sz w:val="24"/>
          <w:szCs w:val="24"/>
          <w:highlight w:val="none"/>
        </w:rPr>
        <w:t>）；</w:t>
      </w:r>
    </w:p>
    <w:p w14:paraId="4C11F4DE">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（5）《授权委托书》（格式四</w:t>
      </w:r>
      <w:r>
        <w:rPr>
          <w:rFonts w:hint="eastAsia" w:ascii="宋体" w:hAnsi="宋体" w:eastAsia="宋体" w:cs="宋体"/>
          <w:color w:val="auto"/>
          <w:spacing w:val="3"/>
          <w:sz w:val="24"/>
          <w:szCs w:val="24"/>
          <w:highlight w:val="none"/>
        </w:rPr>
        <w:t>）；</w:t>
      </w:r>
    </w:p>
    <w:p w14:paraId="3AA824F5">
      <w:pPr>
        <w:spacing w:before="156"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（6）《法定代表人身份证明》（格式五</w:t>
      </w:r>
      <w:r>
        <w:rPr>
          <w:rFonts w:hint="eastAsia" w:ascii="宋体" w:hAnsi="宋体" w:eastAsia="宋体" w:cs="宋体"/>
          <w:color w:val="auto"/>
          <w:spacing w:val="7"/>
          <w:sz w:val="24"/>
          <w:szCs w:val="24"/>
          <w:highlight w:val="none"/>
        </w:rPr>
        <w:t>）；</w:t>
      </w:r>
    </w:p>
    <w:p w14:paraId="1349ECBD">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（7）《联合体协议书》（格式六）及所附资料；</w:t>
      </w:r>
    </w:p>
    <w:p w14:paraId="21D31AE5">
      <w:pPr>
        <w:spacing w:before="153" w:line="309" w:lineRule="auto"/>
        <w:ind w:left="13" w:right="133"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（8）投标保证缴纳证明（投标人采用投标保证金的，附建</w:t>
      </w:r>
      <w:r>
        <w:rPr>
          <w:rFonts w:hint="eastAsia" w:ascii="宋体" w:hAnsi="宋体" w:eastAsia="宋体" w:cs="宋体"/>
          <w:color w:val="auto"/>
          <w:spacing w:val="1"/>
          <w:sz w:val="24"/>
          <w:szCs w:val="24"/>
          <w:highlight w:val="none"/>
        </w:rPr>
        <w:t>设工程交易系统《缴</w:t>
      </w:r>
      <w:r>
        <w:rPr>
          <w:rFonts w:hint="eastAsia" w:ascii="宋体" w:hAnsi="宋体" w:eastAsia="宋体" w:cs="宋体"/>
          <w:color w:val="auto"/>
          <w:spacing w:val="-1"/>
          <w:sz w:val="24"/>
          <w:szCs w:val="24"/>
          <w:highlight w:val="none"/>
        </w:rPr>
        <w:t>纳投标保证金通知书》页面截图和银行转账单彩色扫描件；采</w:t>
      </w:r>
      <w:r>
        <w:rPr>
          <w:rFonts w:hint="eastAsia" w:ascii="宋体" w:hAnsi="宋体" w:eastAsia="宋体" w:cs="宋体"/>
          <w:color w:val="auto"/>
          <w:spacing w:val="-2"/>
          <w:sz w:val="24"/>
          <w:szCs w:val="24"/>
          <w:highlight w:val="none"/>
        </w:rPr>
        <w:t>用投标保证担保的，附银行保函彩色扫描件；采用投标保证保险的，附电子保单和</w:t>
      </w:r>
      <w:r>
        <w:rPr>
          <w:rFonts w:hint="eastAsia" w:ascii="宋体" w:hAnsi="宋体" w:eastAsia="宋体" w:cs="宋体"/>
          <w:b/>
          <w:bCs/>
          <w:color w:val="auto"/>
          <w:spacing w:val="-2"/>
          <w:sz w:val="24"/>
          <w:szCs w:val="24"/>
          <w:highlight w:val="none"/>
        </w:rPr>
        <w:t>《韶关市公共资源交易一</w:t>
      </w:r>
      <w:r>
        <w:rPr>
          <w:rFonts w:hint="eastAsia" w:ascii="宋体" w:hAnsi="宋体" w:eastAsia="宋体" w:cs="宋体"/>
          <w:b/>
          <w:bCs/>
          <w:color w:val="auto"/>
          <w:spacing w:val="-3"/>
          <w:sz w:val="24"/>
          <w:szCs w:val="24"/>
          <w:highlight w:val="none"/>
        </w:rPr>
        <w:t>体化平台保证金缴纳信息》页面截图</w:t>
      </w:r>
      <w:r>
        <w:rPr>
          <w:rFonts w:hint="eastAsia" w:ascii="宋体" w:hAnsi="宋体" w:eastAsia="宋体" w:cs="宋体"/>
          <w:color w:val="auto"/>
          <w:spacing w:val="4"/>
          <w:sz w:val="24"/>
          <w:szCs w:val="24"/>
          <w:highlight w:val="none"/>
        </w:rPr>
        <w:t>）；</w:t>
      </w:r>
    </w:p>
    <w:p w14:paraId="1F2864F5">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（9）《投标人基本情况表》（格式七）及所附资料；</w:t>
      </w:r>
    </w:p>
    <w:p w14:paraId="64BC752D">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（10）《项目经理简历表》（格式八）及所附资料；</w:t>
      </w:r>
    </w:p>
    <w:p w14:paraId="10819BE7">
      <w:pPr>
        <w:spacing w:before="154" w:line="220"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（11）《项目经理任职声明》（格式九</w:t>
      </w:r>
      <w:r>
        <w:rPr>
          <w:rFonts w:hint="eastAsia" w:ascii="宋体" w:hAnsi="宋体" w:eastAsia="宋体" w:cs="宋体"/>
          <w:color w:val="auto"/>
          <w:spacing w:val="7"/>
          <w:sz w:val="24"/>
          <w:szCs w:val="24"/>
          <w:highlight w:val="none"/>
        </w:rPr>
        <w:t>）；</w:t>
      </w:r>
    </w:p>
    <w:p w14:paraId="0891306A">
      <w:pPr>
        <w:spacing w:before="156"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（12）《项目技术负责人简历表》（格式十）及所附资料；</w:t>
      </w:r>
    </w:p>
    <w:p w14:paraId="60800BB4">
      <w:pPr>
        <w:spacing w:before="154"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（13）《项</w:t>
      </w:r>
      <w:bookmarkStart w:id="49" w:name="OLE_LINK7"/>
      <w:r>
        <w:rPr>
          <w:rFonts w:hint="eastAsia" w:ascii="宋体" w:hAnsi="宋体" w:eastAsia="宋体" w:cs="宋体"/>
          <w:color w:val="auto"/>
          <w:spacing w:val="-1"/>
          <w:sz w:val="24"/>
          <w:szCs w:val="24"/>
          <w:highlight w:val="none"/>
        </w:rPr>
        <w:t>目管理机构组成表》（格式十一）及</w:t>
      </w:r>
      <w:bookmarkEnd w:id="49"/>
      <w:r>
        <w:rPr>
          <w:rFonts w:hint="eastAsia" w:ascii="宋体" w:hAnsi="宋体" w:eastAsia="宋体" w:cs="宋体"/>
          <w:color w:val="auto"/>
          <w:spacing w:val="-1"/>
          <w:sz w:val="24"/>
          <w:szCs w:val="24"/>
          <w:highlight w:val="none"/>
        </w:rPr>
        <w:t>所附资料；</w:t>
      </w:r>
    </w:p>
    <w:p w14:paraId="7B74DB0B">
      <w:pPr>
        <w:spacing w:before="155" w:line="219" w:lineRule="auto"/>
        <w:ind w:left="505"/>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（14）本节第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4"/>
          <w:sz w:val="24"/>
          <w:szCs w:val="24"/>
          <w:highlight w:val="none"/>
        </w:rPr>
        <w:t>15.</w:t>
      </w:r>
      <w:r>
        <w:rPr>
          <w:rFonts w:hint="eastAsia" w:ascii="宋体" w:hAnsi="宋体" w:eastAsia="宋体" w:cs="宋体"/>
          <w:b/>
          <w:bCs/>
          <w:color w:val="auto"/>
          <w:spacing w:val="-4"/>
          <w:sz w:val="24"/>
          <w:szCs w:val="24"/>
          <w:highlight w:val="none"/>
          <w:lang w:val="en-US" w:eastAsia="zh-CN"/>
        </w:rPr>
        <w:t>6</w:t>
      </w:r>
      <w:r>
        <w:rPr>
          <w:rFonts w:hint="eastAsia" w:ascii="宋体" w:hAnsi="宋体" w:eastAsia="宋体" w:cs="宋体"/>
          <w:b/>
          <w:bCs/>
          <w:color w:val="auto"/>
          <w:spacing w:val="-4"/>
          <w:sz w:val="24"/>
          <w:szCs w:val="24"/>
          <w:highlight w:val="none"/>
        </w:rPr>
        <w:t>.1</w:t>
      </w:r>
      <w:r>
        <w:rPr>
          <w:rFonts w:hint="eastAsia" w:ascii="宋体" w:hAnsi="宋体" w:eastAsia="宋体" w:cs="宋体"/>
          <w:color w:val="auto"/>
          <w:spacing w:val="-4"/>
          <w:sz w:val="24"/>
          <w:szCs w:val="24"/>
          <w:highlight w:val="none"/>
        </w:rPr>
        <w:t>目“综合评分表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”要求提供的</w:t>
      </w:r>
      <w:r>
        <w:rPr>
          <w:rFonts w:hint="eastAsia" w:ascii="宋体" w:hAnsi="宋体" w:eastAsia="宋体" w:cs="宋体"/>
          <w:color w:val="auto"/>
          <w:spacing w:val="-5"/>
          <w:sz w:val="24"/>
          <w:szCs w:val="24"/>
          <w:highlight w:val="none"/>
        </w:rPr>
        <w:t>评审资料；</w:t>
      </w:r>
    </w:p>
    <w:p w14:paraId="4D717B1B">
      <w:pPr>
        <w:spacing w:before="78" w:line="299" w:lineRule="auto"/>
        <w:ind w:left="8" w:right="61" w:firstLine="492"/>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（15）投标人认为有必要补充的其他资料。（例如投标人已经工商变更，但其企</w:t>
      </w:r>
      <w:r>
        <w:rPr>
          <w:rFonts w:hint="eastAsia" w:ascii="宋体" w:hAnsi="宋体" w:eastAsia="宋体" w:cs="宋体"/>
          <w:color w:val="auto"/>
          <w:spacing w:val="-1"/>
          <w:sz w:val="24"/>
          <w:szCs w:val="24"/>
          <w:highlight w:val="none"/>
        </w:rPr>
        <w:t>业资质证书、安全生产许可证或其员工执业资格注册证书上的企</w:t>
      </w:r>
      <w:r>
        <w:rPr>
          <w:rFonts w:hint="eastAsia" w:ascii="宋体" w:hAnsi="宋体" w:eastAsia="宋体" w:cs="宋体"/>
          <w:color w:val="auto"/>
          <w:spacing w:val="-2"/>
          <w:sz w:val="24"/>
          <w:szCs w:val="24"/>
          <w:highlight w:val="none"/>
        </w:rPr>
        <w:t>业名称未能在投标期</w:t>
      </w:r>
      <w:r>
        <w:rPr>
          <w:rFonts w:hint="eastAsia" w:ascii="宋体" w:hAnsi="宋体" w:eastAsia="宋体" w:cs="宋体"/>
          <w:color w:val="auto"/>
          <w:spacing w:val="-1"/>
          <w:sz w:val="24"/>
          <w:szCs w:val="24"/>
          <w:highlight w:val="none"/>
        </w:rPr>
        <w:t>间完成变更的书面说明和佐证材料等）</w:t>
      </w:r>
    </w:p>
    <w:p w14:paraId="535D0001">
      <w:pPr>
        <w:spacing w:before="155" w:line="262" w:lineRule="auto"/>
        <w:ind w:left="9" w:right="61" w:firstLine="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10.2.2  </w:t>
      </w:r>
      <w:r>
        <w:rPr>
          <w:rFonts w:hint="eastAsia" w:ascii="宋体" w:hAnsi="宋体" w:eastAsia="宋体" w:cs="宋体"/>
          <w:color w:val="auto"/>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z w:val="24"/>
          <w:szCs w:val="24"/>
          <w:highlight w:val="none"/>
        </w:rPr>
        <w:t>10.2.1</w:t>
      </w:r>
      <w:r>
        <w:rPr>
          <w:rFonts w:hint="eastAsia" w:ascii="宋体" w:hAnsi="宋体" w:eastAsia="宋体" w:cs="宋体"/>
          <w:color w:val="auto"/>
          <w:sz w:val="24"/>
          <w:szCs w:val="24"/>
          <w:highlight w:val="none"/>
        </w:rPr>
        <w:t>目中所列出的商务标书组成内容中，第（</w:t>
      </w:r>
      <w:r>
        <w:rPr>
          <w:rFonts w:hint="eastAsia" w:ascii="宋体" w:hAnsi="宋体" w:eastAsia="宋体" w:cs="宋体"/>
          <w:color w:val="auto"/>
          <w:spacing w:val="-1"/>
          <w:sz w:val="24"/>
          <w:szCs w:val="24"/>
          <w:highlight w:val="none"/>
        </w:rPr>
        <w:t>1）至第（13）项</w:t>
      </w:r>
      <w:r>
        <w:rPr>
          <w:rFonts w:hint="eastAsia" w:ascii="宋体" w:hAnsi="宋体" w:eastAsia="宋体" w:cs="宋体"/>
          <w:color w:val="auto"/>
          <w:sz w:val="24"/>
          <w:szCs w:val="24"/>
          <w:highlight w:val="none"/>
        </w:rPr>
        <w:t>所有投标人均应提供，</w:t>
      </w:r>
      <w:r>
        <w:rPr>
          <w:rFonts w:hint="eastAsia" w:ascii="宋体" w:hAnsi="宋体" w:eastAsia="宋体" w:cs="宋体"/>
          <w:b/>
          <w:bCs/>
          <w:color w:val="auto"/>
          <w:sz w:val="24"/>
          <w:szCs w:val="24"/>
          <w:highlight w:val="none"/>
        </w:rPr>
        <w:t>但非联合体投标的，</w:t>
      </w:r>
      <w:r>
        <w:rPr>
          <w:rFonts w:hint="eastAsia" w:ascii="宋体" w:hAnsi="宋体" w:eastAsia="宋体" w:cs="宋体"/>
          <w:b/>
          <w:bCs/>
          <w:color w:val="auto"/>
          <w:spacing w:val="-1"/>
          <w:sz w:val="24"/>
          <w:szCs w:val="24"/>
          <w:highlight w:val="none"/>
        </w:rPr>
        <w:t>无需提供第（7）项内容。</w:t>
      </w:r>
    </w:p>
    <w:p w14:paraId="2E952296">
      <w:pPr>
        <w:spacing w:before="199" w:line="279" w:lineRule="auto"/>
        <w:ind w:right="61"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10.2.3 </w:t>
      </w:r>
      <w:r>
        <w:rPr>
          <w:rFonts w:hint="eastAsia" w:ascii="宋体" w:hAnsi="宋体" w:eastAsia="宋体" w:cs="宋体"/>
          <w:color w:val="auto"/>
          <w:spacing w:val="-8"/>
          <w:sz w:val="24"/>
          <w:szCs w:val="24"/>
          <w:highlight w:val="none"/>
        </w:rPr>
        <w:t>商务标书的组成内容按本节第 10.2.1 目规定的顺序整理、编排后，逐页（页</w:t>
      </w:r>
      <w:r>
        <w:rPr>
          <w:rFonts w:hint="eastAsia" w:ascii="宋体" w:hAnsi="宋体" w:eastAsia="宋体" w:cs="宋体"/>
          <w:color w:val="auto"/>
          <w:spacing w:val="-1"/>
          <w:sz w:val="24"/>
          <w:szCs w:val="24"/>
          <w:highlight w:val="none"/>
        </w:rPr>
        <w:t>码起始从封面开始）连续标记页码。</w:t>
      </w:r>
    </w:p>
    <w:p w14:paraId="217F5B26">
      <w:pPr>
        <w:pStyle w:val="6"/>
        <w:spacing w:line="257" w:lineRule="auto"/>
        <w:rPr>
          <w:rFonts w:hint="eastAsia" w:ascii="宋体" w:hAnsi="宋体" w:eastAsia="宋体" w:cs="宋体"/>
          <w:color w:val="auto"/>
          <w:sz w:val="24"/>
          <w:szCs w:val="24"/>
          <w:highlight w:val="none"/>
        </w:rPr>
      </w:pPr>
    </w:p>
    <w:p w14:paraId="69818CE4">
      <w:pPr>
        <w:spacing w:before="78" w:line="219" w:lineRule="auto"/>
        <w:ind w:left="496"/>
        <w:outlineLvl w:val="3"/>
        <w:rPr>
          <w:rFonts w:hint="eastAsia" w:ascii="宋体" w:hAnsi="宋体" w:eastAsia="宋体" w:cs="宋体"/>
          <w:b/>
          <w:bCs/>
          <w:color w:val="auto"/>
          <w:sz w:val="24"/>
          <w:szCs w:val="24"/>
          <w:highlight w:val="none"/>
        </w:rPr>
      </w:pPr>
      <w:bookmarkStart w:id="50" w:name="_Toc29370"/>
      <w:bookmarkStart w:id="51" w:name="_Toc10602"/>
      <w:r>
        <w:rPr>
          <w:rFonts w:hint="eastAsia" w:ascii="宋体" w:hAnsi="宋体" w:eastAsia="宋体" w:cs="宋体"/>
          <w:b/>
          <w:bCs/>
          <w:color w:val="auto"/>
          <w:spacing w:val="-2"/>
          <w:sz w:val="24"/>
          <w:szCs w:val="24"/>
          <w:highlight w:val="none"/>
        </w:rPr>
        <w:t>10.3  经济标书的编制要求</w:t>
      </w:r>
      <w:bookmarkEnd w:id="50"/>
      <w:bookmarkEnd w:id="51"/>
    </w:p>
    <w:p w14:paraId="60C387BC">
      <w:pPr>
        <w:spacing w:before="154"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10.3.1  </w:t>
      </w:r>
      <w:r>
        <w:rPr>
          <w:rFonts w:hint="eastAsia" w:ascii="宋体" w:hAnsi="宋体" w:eastAsia="宋体" w:cs="宋体"/>
          <w:color w:val="auto"/>
          <w:spacing w:val="-1"/>
          <w:sz w:val="24"/>
          <w:szCs w:val="24"/>
          <w:highlight w:val="none"/>
        </w:rPr>
        <w:t>经济标书包括以下内容：</w:t>
      </w:r>
    </w:p>
    <w:p w14:paraId="268DB103">
      <w:pPr>
        <w:spacing w:before="156"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00F8FF75">
      <w:pPr>
        <w:spacing w:before="153"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4A81E499">
      <w:pPr>
        <w:spacing w:before="150"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（3）《投标总价》；</w:t>
      </w:r>
    </w:p>
    <w:p w14:paraId="47AF82C9">
      <w:pPr>
        <w:spacing w:before="157" w:line="219" w:lineRule="auto"/>
        <w:ind w:left="49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说明：《投标总价》的格式按照《建设工程工程量</w:t>
      </w:r>
      <w:r>
        <w:rPr>
          <w:rFonts w:hint="eastAsia" w:ascii="宋体" w:hAnsi="宋体" w:eastAsia="宋体" w:cs="宋体"/>
          <w:color w:val="auto"/>
          <w:spacing w:val="-1"/>
          <w:sz w:val="24"/>
          <w:szCs w:val="24"/>
          <w:highlight w:val="none"/>
        </w:rPr>
        <w:t>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w:t>
      </w:r>
    </w:p>
    <w:p w14:paraId="00EB23A8">
      <w:pPr>
        <w:spacing w:before="155" w:line="220" w:lineRule="auto"/>
        <w:ind w:left="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）执行，并应满足以下要求：</w:t>
      </w:r>
    </w:p>
    <w:p w14:paraId="77E3949A">
      <w:pPr>
        <w:spacing w:before="150" w:line="309" w:lineRule="auto"/>
        <w:ind w:left="8"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a</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color w:val="auto"/>
          <w:spacing w:val="-2"/>
          <w:sz w:val="24"/>
          <w:szCs w:val="24"/>
          <w:highlight w:val="none"/>
        </w:rPr>
        <w:t>．《投标总价扉页》(即表</w:t>
      </w:r>
      <w:r>
        <w:rPr>
          <w:rFonts w:hint="eastAsia" w:ascii="宋体" w:hAnsi="宋体" w:eastAsia="宋体" w:cs="宋体"/>
          <w:color w:val="auto"/>
          <w:spacing w:val="-2"/>
          <w:sz w:val="24"/>
          <w:szCs w:val="24"/>
          <w:highlight w:val="none"/>
          <w:lang w:val="en-US" w:eastAsia="zh-CN"/>
        </w:rPr>
        <w:t>C</w:t>
      </w:r>
      <w:r>
        <w:rPr>
          <w:rFonts w:hint="eastAsia" w:ascii="宋体" w:hAnsi="宋体" w:eastAsia="宋体" w:cs="宋体"/>
          <w:color w:val="auto"/>
          <w:spacing w:val="-2"/>
          <w:sz w:val="24"/>
          <w:szCs w:val="24"/>
          <w:highlight w:val="none"/>
        </w:rPr>
        <w:t>.3.1)后应附编制人的造价工程师注册证书彩色扫描件（须扫描至变更注册栏，</w:t>
      </w:r>
      <w:r>
        <w:rPr>
          <w:rFonts w:hint="eastAsia" w:ascii="宋体" w:hAnsi="宋体" w:eastAsia="宋体" w:cs="宋体"/>
          <w:b/>
          <w:bCs/>
          <w:color w:val="auto"/>
          <w:spacing w:val="-2"/>
          <w:sz w:val="24"/>
          <w:szCs w:val="24"/>
          <w:highlight w:val="none"/>
        </w:rPr>
        <w:t>一级造价师或二级造价师均可提供电子证书</w:t>
      </w:r>
      <w:r>
        <w:rPr>
          <w:rFonts w:hint="eastAsia" w:ascii="宋体" w:hAnsi="宋体" w:eastAsia="宋体" w:cs="宋体"/>
          <w:color w:val="auto"/>
          <w:spacing w:val="-2"/>
          <w:sz w:val="24"/>
          <w:szCs w:val="24"/>
          <w:highlight w:val="none"/>
        </w:rPr>
        <w:t>）；投标人委托造价咨询单位编制《投标总价》的，在该扉页“投标人 ”栏目加盖造价</w:t>
      </w:r>
      <w:r>
        <w:rPr>
          <w:rFonts w:hint="eastAsia" w:ascii="宋体" w:hAnsi="宋体" w:eastAsia="宋体" w:cs="宋体"/>
          <w:color w:val="auto"/>
          <w:spacing w:val="-7"/>
          <w:sz w:val="24"/>
          <w:szCs w:val="24"/>
          <w:highlight w:val="none"/>
        </w:rPr>
        <w:t>咨询人公章，</w:t>
      </w:r>
      <w:r>
        <w:rPr>
          <w:rFonts w:hint="eastAsia" w:ascii="宋体" w:hAnsi="宋体" w:eastAsia="宋体" w:cs="宋体"/>
          <w:color w:val="auto"/>
          <w:spacing w:val="-1"/>
          <w:sz w:val="24"/>
          <w:szCs w:val="24"/>
          <w:highlight w:val="none"/>
        </w:rPr>
        <w:t>并在该扉页后附造价咨询人的营业执照副本彩色扫描件。</w:t>
      </w:r>
    </w:p>
    <w:p w14:paraId="722B1CB1">
      <w:pPr>
        <w:spacing w:before="119" w:line="314" w:lineRule="auto"/>
        <w:ind w:left="10" w:right="61" w:firstLine="474"/>
        <w:rPr>
          <w:rFonts w:hint="eastAsia" w:ascii="宋体" w:hAnsi="宋体" w:eastAsia="宋体" w:cs="宋体"/>
          <w:b/>
          <w:bCs/>
          <w:color w:val="auto"/>
          <w:spacing w:val="2"/>
          <w:sz w:val="24"/>
          <w:szCs w:val="24"/>
          <w:highlight w:val="none"/>
          <w:lang w:val="en-US" w:eastAsia="zh-CN"/>
        </w:rPr>
      </w:pPr>
      <w:r>
        <w:rPr>
          <w:rFonts w:hint="eastAsia" w:ascii="宋体" w:hAnsi="宋体" w:eastAsia="宋体" w:cs="宋体"/>
          <w:b/>
          <w:bCs/>
          <w:color w:val="auto"/>
          <w:spacing w:val="2"/>
          <w:sz w:val="24"/>
          <w:szCs w:val="24"/>
          <w:highlight w:val="none"/>
        </w:rPr>
        <w:t xml:space="preserve">b.  </w:t>
      </w:r>
      <w:r>
        <w:rPr>
          <w:rFonts w:hint="eastAsia" w:ascii="宋体" w:hAnsi="宋体" w:eastAsia="宋体" w:cs="宋体"/>
          <w:b w:val="0"/>
          <w:bCs w:val="0"/>
          <w:color w:val="auto"/>
          <w:spacing w:val="2"/>
          <w:sz w:val="24"/>
          <w:szCs w:val="24"/>
          <w:highlight w:val="none"/>
        </w:rPr>
        <w:t>《投标报价填报说明》(即表D.2.1)中的填写内容除按照《建设工程工程量清单计价标准》(GB/T50500一2024)附录D工程计价说明D.2.1款执行外，尚应就造价软件的名称、版本、加密锁编号作出专项说明。</w:t>
      </w:r>
      <w:r>
        <w:rPr>
          <w:rFonts w:hint="eastAsia" w:ascii="宋体" w:hAnsi="宋体" w:eastAsia="宋体" w:cs="宋体"/>
          <w:b w:val="0"/>
          <w:bCs w:val="0"/>
          <w:color w:val="auto"/>
          <w:spacing w:val="2"/>
          <w:sz w:val="24"/>
          <w:szCs w:val="24"/>
          <w:highlight w:val="none"/>
          <w:lang w:val="en-US" w:eastAsia="zh-CN"/>
        </w:rPr>
        <w:tab/>
      </w:r>
    </w:p>
    <w:p w14:paraId="5A9B40CD">
      <w:pPr>
        <w:spacing w:before="119" w:line="314" w:lineRule="auto"/>
        <w:ind w:left="10" w:right="6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4</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2"/>
          <w:sz w:val="24"/>
          <w:szCs w:val="24"/>
          <w:highlight w:val="none"/>
        </w:rPr>
        <w:t>投标人认为有必要补充的其他资料(例如关于投标报价低于招标项目的成本警示价的书面说明和佐证材料)</w:t>
      </w:r>
      <w:r>
        <w:rPr>
          <w:rFonts w:hint="eastAsia" w:ascii="宋体" w:hAnsi="宋体" w:eastAsia="宋体" w:cs="宋体"/>
          <w:color w:val="auto"/>
          <w:spacing w:val="-2"/>
          <w:sz w:val="24"/>
          <w:szCs w:val="24"/>
          <w:highlight w:val="none"/>
        </w:rPr>
        <w:t>。</w:t>
      </w:r>
    </w:p>
    <w:p w14:paraId="4401C419">
      <w:pPr>
        <w:spacing w:before="99" w:line="280" w:lineRule="auto"/>
        <w:ind w:left="10" w:right="63"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10.3.2  </w:t>
      </w:r>
      <w:r>
        <w:rPr>
          <w:rFonts w:hint="eastAsia" w:ascii="宋体" w:hAnsi="宋体" w:eastAsia="宋体" w:cs="宋体"/>
          <w:color w:val="auto"/>
          <w:spacing w:val="-3"/>
          <w:sz w:val="24"/>
          <w:szCs w:val="24"/>
          <w:highlight w:val="none"/>
        </w:rPr>
        <w:t>本节第</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3"/>
          <w:sz w:val="24"/>
          <w:szCs w:val="24"/>
          <w:highlight w:val="none"/>
        </w:rPr>
        <w:t>10.3.1</w:t>
      </w:r>
      <w:r>
        <w:rPr>
          <w:rFonts w:hint="eastAsia" w:ascii="宋体" w:hAnsi="宋体" w:eastAsia="宋体" w:cs="宋体"/>
          <w:color w:val="auto"/>
          <w:spacing w:val="-3"/>
          <w:sz w:val="24"/>
          <w:szCs w:val="24"/>
          <w:highlight w:val="none"/>
        </w:rPr>
        <w:t>目中所列出的经济标书组成内容中，第（1）至第（</w:t>
      </w:r>
      <w:r>
        <w:rPr>
          <w:rFonts w:hint="eastAsia" w:ascii="宋体" w:hAnsi="宋体" w:eastAsia="宋体" w:cs="宋体"/>
          <w:color w:val="auto"/>
          <w:spacing w:val="-3"/>
          <w:sz w:val="24"/>
          <w:szCs w:val="24"/>
          <w:highlight w:val="none"/>
          <w:lang w:val="en-US" w:eastAsia="zh-CN"/>
        </w:rPr>
        <w:t>3</w:t>
      </w:r>
      <w:r>
        <w:rPr>
          <w:rFonts w:hint="eastAsia" w:ascii="宋体" w:hAnsi="宋体" w:eastAsia="宋体" w:cs="宋体"/>
          <w:color w:val="auto"/>
          <w:spacing w:val="-3"/>
          <w:sz w:val="24"/>
          <w:szCs w:val="24"/>
          <w:highlight w:val="none"/>
        </w:rPr>
        <w:t>）项所</w:t>
      </w:r>
      <w:r>
        <w:rPr>
          <w:rFonts w:hint="eastAsia" w:ascii="宋体" w:hAnsi="宋体" w:eastAsia="宋体" w:cs="宋体"/>
          <w:color w:val="auto"/>
          <w:spacing w:val="-2"/>
          <w:sz w:val="24"/>
          <w:szCs w:val="24"/>
          <w:highlight w:val="none"/>
        </w:rPr>
        <w:t>有投标人均应提供。</w:t>
      </w:r>
    </w:p>
    <w:p w14:paraId="1CC63C36">
      <w:pPr>
        <w:spacing w:before="155" w:line="279" w:lineRule="auto"/>
        <w:ind w:left="8" w:right="61"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0"/>
          <w:sz w:val="24"/>
          <w:szCs w:val="24"/>
          <w:highlight w:val="none"/>
        </w:rPr>
        <w:t>10.3.3</w:t>
      </w:r>
      <w:r>
        <w:rPr>
          <w:rFonts w:hint="eastAsia" w:ascii="宋体" w:hAnsi="宋体" w:eastAsia="宋体" w:cs="宋体"/>
          <w:b/>
          <w:bCs/>
          <w:color w:val="auto"/>
          <w:spacing w:val="12"/>
          <w:sz w:val="24"/>
          <w:szCs w:val="24"/>
          <w:highlight w:val="none"/>
        </w:rPr>
        <w:t xml:space="preserve"> </w:t>
      </w:r>
      <w:r>
        <w:rPr>
          <w:rFonts w:hint="eastAsia" w:ascii="宋体" w:hAnsi="宋体" w:eastAsia="宋体" w:cs="宋体"/>
          <w:color w:val="auto"/>
          <w:spacing w:val="-10"/>
          <w:sz w:val="24"/>
          <w:szCs w:val="24"/>
          <w:highlight w:val="none"/>
        </w:rPr>
        <w:t>经济标书的组成内容按本节第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10"/>
          <w:sz w:val="24"/>
          <w:szCs w:val="24"/>
          <w:highlight w:val="none"/>
        </w:rPr>
        <w:t>10</w:t>
      </w:r>
      <w:r>
        <w:rPr>
          <w:rFonts w:hint="eastAsia" w:ascii="宋体" w:hAnsi="宋体" w:eastAsia="宋体" w:cs="宋体"/>
          <w:color w:val="auto"/>
          <w:spacing w:val="-11"/>
          <w:sz w:val="24"/>
          <w:szCs w:val="24"/>
          <w:highlight w:val="none"/>
        </w:rPr>
        <w:t>.3.1 目规定的顺序整理、编排后，逐页（页</w:t>
      </w:r>
      <w:r>
        <w:rPr>
          <w:rFonts w:hint="eastAsia" w:ascii="宋体" w:hAnsi="宋体" w:eastAsia="宋体" w:cs="宋体"/>
          <w:color w:val="auto"/>
          <w:spacing w:val="-1"/>
          <w:sz w:val="24"/>
          <w:szCs w:val="24"/>
          <w:highlight w:val="none"/>
        </w:rPr>
        <w:t>码起始从封面开始）连续标记页码。</w:t>
      </w:r>
    </w:p>
    <w:p w14:paraId="0B1B2F50">
      <w:pPr>
        <w:spacing w:before="82" w:line="213" w:lineRule="auto"/>
        <w:ind w:left="496"/>
        <w:outlineLvl w:val="3"/>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10.4  施工组织设计的编制要求</w:t>
      </w:r>
    </w:p>
    <w:p w14:paraId="17BD1E03">
      <w:pPr>
        <w:spacing w:before="151"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10.4.1 </w:t>
      </w:r>
      <w:r>
        <w:rPr>
          <w:rFonts w:hint="eastAsia" w:ascii="宋体" w:hAnsi="宋体" w:eastAsia="宋体" w:cs="宋体"/>
          <w:color w:val="auto"/>
          <w:spacing w:val="-1"/>
          <w:sz w:val="24"/>
          <w:szCs w:val="24"/>
          <w:highlight w:val="none"/>
        </w:rPr>
        <w:t>施工组织设计的编制依据包括且不限于：</w:t>
      </w:r>
    </w:p>
    <w:p w14:paraId="689C3E79">
      <w:pPr>
        <w:spacing w:before="156"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（1）招标文件及其答疑（或修改）公告；</w:t>
      </w:r>
    </w:p>
    <w:p w14:paraId="2DC47AC1">
      <w:pPr>
        <w:spacing w:before="155" w:line="221"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（2）施工图及相关资料；</w:t>
      </w:r>
    </w:p>
    <w:p w14:paraId="3D59EE93">
      <w:pPr>
        <w:spacing w:before="152"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（3）施工现场情况、工程特点；</w:t>
      </w:r>
    </w:p>
    <w:p w14:paraId="1648F126">
      <w:pPr>
        <w:spacing w:before="78"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（4）相关法律、法规、规定；</w:t>
      </w:r>
    </w:p>
    <w:p w14:paraId="2A7FD145">
      <w:pPr>
        <w:spacing w:before="153" w:line="299" w:lineRule="auto"/>
        <w:ind w:left="10" w:right="21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（5）国家、广东省、韶关市关于施工现场管理、施工工艺</w:t>
      </w:r>
      <w:r>
        <w:rPr>
          <w:rFonts w:hint="eastAsia" w:ascii="宋体" w:hAnsi="宋体" w:eastAsia="宋体" w:cs="宋体"/>
          <w:color w:val="auto"/>
          <w:spacing w:val="1"/>
          <w:sz w:val="24"/>
          <w:szCs w:val="24"/>
          <w:highlight w:val="none"/>
        </w:rPr>
        <w:t>、绿色施工、安全防</w:t>
      </w:r>
      <w:r>
        <w:rPr>
          <w:rFonts w:hint="eastAsia" w:ascii="宋体" w:hAnsi="宋体" w:eastAsia="宋体" w:cs="宋体"/>
          <w:color w:val="auto"/>
          <w:spacing w:val="-1"/>
          <w:sz w:val="24"/>
          <w:szCs w:val="24"/>
          <w:highlight w:val="none"/>
        </w:rPr>
        <w:t>护、文明施工、环境保护等方面的标准、规范、技术资料。</w:t>
      </w:r>
      <w:r>
        <w:rPr>
          <w:rFonts w:hint="eastAsia" w:ascii="宋体" w:hAnsi="宋体" w:eastAsia="宋体" w:cs="宋体"/>
          <w:color w:val="auto"/>
          <w:spacing w:val="-2"/>
          <w:sz w:val="24"/>
          <w:szCs w:val="24"/>
          <w:highlight w:val="none"/>
        </w:rPr>
        <w:t>如《广东省住房和城乡建</w:t>
      </w:r>
      <w:r>
        <w:rPr>
          <w:rFonts w:hint="eastAsia" w:ascii="宋体" w:hAnsi="宋体" w:eastAsia="宋体" w:cs="宋体"/>
          <w:color w:val="auto"/>
          <w:sz w:val="24"/>
          <w:szCs w:val="24"/>
          <w:highlight w:val="none"/>
        </w:rPr>
        <w:t>设厅绿色施工导则》《广东省建设工程施工扬尘污染防</w:t>
      </w:r>
      <w:r>
        <w:rPr>
          <w:rFonts w:hint="eastAsia" w:ascii="宋体" w:hAnsi="宋体" w:eastAsia="宋体" w:cs="宋体"/>
          <w:color w:val="auto"/>
          <w:spacing w:val="-1"/>
          <w:sz w:val="24"/>
          <w:szCs w:val="24"/>
          <w:highlight w:val="none"/>
        </w:rPr>
        <w:t>治管理办法（试行）》等；</w:t>
      </w:r>
    </w:p>
    <w:p w14:paraId="0414405A">
      <w:pPr>
        <w:spacing w:before="155"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（6）企业内部标准、工法。</w:t>
      </w:r>
    </w:p>
    <w:p w14:paraId="04BCFA9F">
      <w:pPr>
        <w:spacing w:before="15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10.4.2 </w:t>
      </w:r>
      <w:r>
        <w:rPr>
          <w:rFonts w:hint="eastAsia" w:ascii="宋体" w:hAnsi="宋体" w:eastAsia="宋体" w:cs="宋体"/>
          <w:color w:val="auto"/>
          <w:spacing w:val="-1"/>
          <w:sz w:val="24"/>
          <w:szCs w:val="24"/>
          <w:highlight w:val="none"/>
        </w:rPr>
        <w:t>施工组织设计包括但不限于以下内容：</w:t>
      </w:r>
    </w:p>
    <w:p w14:paraId="76C10851">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（1）封面（格式一</w:t>
      </w:r>
      <w:r>
        <w:rPr>
          <w:rFonts w:hint="eastAsia" w:ascii="宋体" w:hAnsi="宋体" w:eastAsia="宋体" w:cs="宋体"/>
          <w:color w:val="auto"/>
          <w:spacing w:val="2"/>
          <w:sz w:val="24"/>
          <w:szCs w:val="24"/>
          <w:highlight w:val="none"/>
        </w:rPr>
        <w:t>）；</w:t>
      </w:r>
    </w:p>
    <w:p w14:paraId="0A01C952">
      <w:pPr>
        <w:spacing w:before="156" w:line="222"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3"/>
          <w:sz w:val="24"/>
          <w:szCs w:val="24"/>
          <w:highlight w:val="none"/>
        </w:rPr>
        <w:t>（2）</w:t>
      </w:r>
      <w:r>
        <w:rPr>
          <w:rFonts w:hint="eastAsia" w:ascii="宋体" w:hAnsi="宋体" w:eastAsia="宋体" w:cs="宋体"/>
          <w:color w:val="auto"/>
          <w:spacing w:val="-64"/>
          <w:sz w:val="24"/>
          <w:szCs w:val="24"/>
          <w:highlight w:val="none"/>
        </w:rPr>
        <w:t xml:space="preserve"> </w:t>
      </w:r>
      <w:r>
        <w:rPr>
          <w:rFonts w:hint="eastAsia" w:ascii="宋体" w:hAnsi="宋体" w:eastAsia="宋体" w:cs="宋体"/>
          <w:color w:val="auto"/>
          <w:spacing w:val="-13"/>
          <w:sz w:val="24"/>
          <w:szCs w:val="24"/>
          <w:highlight w:val="none"/>
        </w:rPr>
        <w:t>目录；</w:t>
      </w:r>
    </w:p>
    <w:p w14:paraId="1106CEB1">
      <w:pPr>
        <w:spacing w:before="150"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（3）总体概述（包括施工程序总体设想及施工段划分等内容</w:t>
      </w:r>
      <w:r>
        <w:rPr>
          <w:rFonts w:hint="eastAsia" w:ascii="宋体" w:hAnsi="宋体" w:eastAsia="宋体" w:cs="宋体"/>
          <w:color w:val="auto"/>
          <w:spacing w:val="2"/>
          <w:sz w:val="24"/>
          <w:szCs w:val="24"/>
          <w:highlight w:val="none"/>
        </w:rPr>
        <w:t>）；</w:t>
      </w:r>
    </w:p>
    <w:p w14:paraId="6F074A0D">
      <w:pPr>
        <w:spacing w:before="154" w:line="299" w:lineRule="auto"/>
        <w:ind w:left="9" w:right="21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（4）施工总进度计划及保证措施（包括进度管理目标；以</w:t>
      </w:r>
      <w:r>
        <w:rPr>
          <w:rFonts w:hint="eastAsia" w:ascii="宋体" w:hAnsi="宋体" w:eastAsia="宋体" w:cs="宋体"/>
          <w:color w:val="auto"/>
          <w:spacing w:val="1"/>
          <w:sz w:val="24"/>
          <w:szCs w:val="24"/>
          <w:highlight w:val="none"/>
        </w:rPr>
        <w:t>横道图或标明关键线</w:t>
      </w:r>
      <w:r>
        <w:rPr>
          <w:rFonts w:hint="eastAsia" w:ascii="宋体" w:hAnsi="宋体" w:eastAsia="宋体" w:cs="宋体"/>
          <w:color w:val="auto"/>
          <w:spacing w:val="-1"/>
          <w:sz w:val="24"/>
          <w:szCs w:val="24"/>
          <w:highlight w:val="none"/>
        </w:rPr>
        <w:t>路的网络进度计划；保障进度计划需要的人、材、机需求计划</w:t>
      </w:r>
      <w:r>
        <w:rPr>
          <w:rFonts w:hint="eastAsia" w:ascii="宋体" w:hAnsi="宋体" w:eastAsia="宋体" w:cs="宋体"/>
          <w:color w:val="auto"/>
          <w:spacing w:val="-2"/>
          <w:sz w:val="24"/>
          <w:szCs w:val="24"/>
          <w:highlight w:val="none"/>
        </w:rPr>
        <w:t>及保证措施；违约责任承诺等内容</w:t>
      </w:r>
      <w:r>
        <w:rPr>
          <w:rFonts w:hint="eastAsia" w:ascii="宋体" w:hAnsi="宋体" w:eastAsia="宋体" w:cs="宋体"/>
          <w:color w:val="auto"/>
          <w:sz w:val="24"/>
          <w:szCs w:val="24"/>
          <w:highlight w:val="none"/>
        </w:rPr>
        <w:t>）；</w:t>
      </w:r>
    </w:p>
    <w:p w14:paraId="41E9AB7A">
      <w:pPr>
        <w:spacing w:before="153" w:line="220"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（5）质量保证措施（包括质量管理目标；相应保证措施；违约责任承诺</w:t>
      </w:r>
      <w:r>
        <w:rPr>
          <w:rFonts w:hint="eastAsia" w:ascii="宋体" w:hAnsi="宋体" w:eastAsia="宋体" w:cs="宋体"/>
          <w:color w:val="auto"/>
          <w:spacing w:val="-6"/>
          <w:sz w:val="24"/>
          <w:szCs w:val="24"/>
          <w:highlight w:val="none"/>
        </w:rPr>
        <w:t>等内容</w:t>
      </w:r>
      <w:r>
        <w:rPr>
          <w:rFonts w:hint="eastAsia" w:ascii="宋体" w:hAnsi="宋体" w:eastAsia="宋体" w:cs="宋体"/>
          <w:color w:val="auto"/>
          <w:spacing w:val="-62"/>
          <w:w w:val="97"/>
          <w:sz w:val="24"/>
          <w:szCs w:val="24"/>
          <w:highlight w:val="none"/>
        </w:rPr>
        <w:t>）；</w:t>
      </w:r>
    </w:p>
    <w:p w14:paraId="2F149866">
      <w:pPr>
        <w:spacing w:before="156" w:line="279" w:lineRule="auto"/>
        <w:ind w:left="11" w:right="21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（6）施工技术措施（包括关键施工技术、工艺及工程项目</w:t>
      </w:r>
      <w:r>
        <w:rPr>
          <w:rFonts w:hint="eastAsia" w:ascii="宋体" w:hAnsi="宋体" w:eastAsia="宋体" w:cs="宋体"/>
          <w:color w:val="auto"/>
          <w:spacing w:val="1"/>
          <w:sz w:val="24"/>
          <w:szCs w:val="24"/>
          <w:highlight w:val="none"/>
        </w:rPr>
        <w:t>实施的重点、难点分</w:t>
      </w:r>
      <w:r>
        <w:rPr>
          <w:rFonts w:hint="eastAsia" w:ascii="宋体" w:hAnsi="宋体" w:eastAsia="宋体" w:cs="宋体"/>
          <w:color w:val="auto"/>
          <w:spacing w:val="-1"/>
          <w:sz w:val="24"/>
          <w:szCs w:val="24"/>
          <w:highlight w:val="none"/>
        </w:rPr>
        <w:t>析和解决方案；新技术应用与承诺等内容</w:t>
      </w:r>
      <w:r>
        <w:rPr>
          <w:rFonts w:hint="eastAsia" w:ascii="宋体" w:hAnsi="宋体" w:eastAsia="宋体" w:cs="宋体"/>
          <w:color w:val="auto"/>
          <w:spacing w:val="2"/>
          <w:sz w:val="24"/>
          <w:szCs w:val="24"/>
          <w:highlight w:val="none"/>
        </w:rPr>
        <w:t>）；</w:t>
      </w:r>
    </w:p>
    <w:p w14:paraId="63CBA42D">
      <w:pPr>
        <w:spacing w:before="118" w:line="297" w:lineRule="auto"/>
        <w:ind w:left="11" w:right="31" w:firstLine="489"/>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（7）绿色施工、安全防护、文明施工措施计划(应对建设单位组织的勘察设计等单位在施工招标文件中列出的危大工程清单(详见格式十三)进行投标文件回应，如有)</w:t>
      </w:r>
      <w:r>
        <w:rPr>
          <w:rFonts w:hint="eastAsia" w:ascii="宋体" w:hAnsi="宋体" w:eastAsia="宋体" w:cs="宋体"/>
          <w:color w:val="auto"/>
          <w:spacing w:val="-3"/>
          <w:sz w:val="24"/>
          <w:szCs w:val="24"/>
          <w:highlight w:val="none"/>
        </w:rPr>
        <w:t>；</w:t>
      </w:r>
    </w:p>
    <w:p w14:paraId="5A9ADDC5">
      <w:pPr>
        <w:spacing w:before="118" w:line="297" w:lineRule="auto"/>
        <w:ind w:left="11" w:right="31" w:firstLine="48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（8）施工现场总平面布置（</w:t>
      </w:r>
      <w:bookmarkStart w:id="52" w:name="OLE_LINK8"/>
      <w:r>
        <w:rPr>
          <w:rFonts w:hint="eastAsia" w:ascii="宋体" w:hAnsi="宋体" w:eastAsia="宋体" w:cs="宋体"/>
          <w:color w:val="auto"/>
          <w:spacing w:val="2"/>
          <w:sz w:val="24"/>
          <w:szCs w:val="24"/>
          <w:highlight w:val="none"/>
        </w:rPr>
        <w:t>投标人应递交一份施工现场总</w:t>
      </w:r>
      <w:r>
        <w:rPr>
          <w:rFonts w:hint="eastAsia" w:ascii="宋体" w:hAnsi="宋体" w:eastAsia="宋体" w:cs="宋体"/>
          <w:color w:val="auto"/>
          <w:spacing w:val="1"/>
          <w:sz w:val="24"/>
          <w:szCs w:val="24"/>
          <w:highlight w:val="none"/>
        </w:rPr>
        <w:t>平面布置图，绘出现</w:t>
      </w:r>
      <w:r>
        <w:rPr>
          <w:rFonts w:hint="eastAsia" w:ascii="宋体" w:hAnsi="宋体" w:eastAsia="宋体" w:cs="宋体"/>
          <w:color w:val="auto"/>
          <w:spacing w:val="-1"/>
          <w:sz w:val="24"/>
          <w:szCs w:val="24"/>
          <w:highlight w:val="none"/>
        </w:rPr>
        <w:t>场临时设施布置图表并附文字说明，说明临时设施、加工车间、</w:t>
      </w:r>
      <w:r>
        <w:rPr>
          <w:rFonts w:hint="eastAsia" w:ascii="宋体" w:hAnsi="宋体" w:eastAsia="宋体" w:cs="宋体"/>
          <w:color w:val="auto"/>
          <w:spacing w:val="-2"/>
          <w:sz w:val="24"/>
          <w:szCs w:val="24"/>
          <w:highlight w:val="none"/>
        </w:rPr>
        <w:t>现场办公、设备及仓</w:t>
      </w:r>
      <w:r>
        <w:rPr>
          <w:rFonts w:hint="eastAsia" w:ascii="宋体" w:hAnsi="宋体" w:eastAsia="宋体" w:cs="宋体"/>
          <w:color w:val="auto"/>
          <w:spacing w:val="-1"/>
          <w:sz w:val="24"/>
          <w:szCs w:val="24"/>
          <w:highlight w:val="none"/>
        </w:rPr>
        <w:t>储、供电、供水、卫生、生活、道路、消防等设施的情况和布置</w:t>
      </w:r>
      <w:bookmarkEnd w:id="52"/>
      <w:r>
        <w:rPr>
          <w:rFonts w:hint="eastAsia" w:ascii="宋体" w:hAnsi="宋体" w:eastAsia="宋体" w:cs="宋体"/>
          <w:color w:val="auto"/>
          <w:spacing w:val="9"/>
          <w:sz w:val="24"/>
          <w:szCs w:val="24"/>
          <w:highlight w:val="none"/>
        </w:rPr>
        <w:t>）；</w:t>
      </w:r>
    </w:p>
    <w:p w14:paraId="78B5436D">
      <w:pPr>
        <w:spacing w:before="155" w:line="219" w:lineRule="auto"/>
        <w:ind w:left="501"/>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（9）项目管理机构。</w:t>
      </w:r>
    </w:p>
    <w:p w14:paraId="00699F00">
      <w:pPr>
        <w:spacing w:before="154" w:line="280" w:lineRule="auto"/>
        <w:ind w:right="211" w:firstLine="47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（10）投标人认为有必要补充的其他内容（例如对总包管理的认识以及对专业分</w:t>
      </w:r>
      <w:r>
        <w:rPr>
          <w:rFonts w:hint="eastAsia" w:ascii="宋体" w:hAnsi="宋体" w:eastAsia="宋体" w:cs="宋体"/>
          <w:color w:val="auto"/>
          <w:spacing w:val="-1"/>
          <w:sz w:val="24"/>
          <w:szCs w:val="24"/>
          <w:highlight w:val="none"/>
        </w:rPr>
        <w:t>包工程的管理、协调、配合、服务方案）。</w:t>
      </w:r>
    </w:p>
    <w:p w14:paraId="62A7E1B8">
      <w:pPr>
        <w:spacing w:before="152" w:line="279" w:lineRule="auto"/>
        <w:ind w:right="196"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10.4.3  </w:t>
      </w:r>
      <w:r>
        <w:rPr>
          <w:rFonts w:hint="eastAsia" w:ascii="宋体" w:hAnsi="宋体" w:eastAsia="宋体" w:cs="宋体"/>
          <w:color w:val="auto"/>
          <w:spacing w:val="-2"/>
          <w:sz w:val="24"/>
          <w:szCs w:val="24"/>
          <w:highlight w:val="none"/>
        </w:rPr>
        <w:t>本节第</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2"/>
          <w:sz w:val="24"/>
          <w:szCs w:val="24"/>
          <w:highlight w:val="none"/>
        </w:rPr>
        <w:t>10.4.2</w:t>
      </w:r>
      <w:r>
        <w:rPr>
          <w:rFonts w:hint="eastAsia" w:ascii="宋体" w:hAnsi="宋体" w:eastAsia="宋体" w:cs="宋体"/>
          <w:color w:val="auto"/>
          <w:spacing w:val="-2"/>
          <w:sz w:val="24"/>
          <w:szCs w:val="24"/>
          <w:highlight w:val="none"/>
        </w:rPr>
        <w:t>目中所列出</w:t>
      </w:r>
      <w:r>
        <w:rPr>
          <w:rFonts w:hint="eastAsia" w:ascii="宋体" w:hAnsi="宋体" w:eastAsia="宋体" w:cs="宋体"/>
          <w:color w:val="auto"/>
          <w:spacing w:val="-3"/>
          <w:sz w:val="24"/>
          <w:szCs w:val="24"/>
          <w:highlight w:val="none"/>
        </w:rPr>
        <w:t>的施工组织设计组成内容中，第（1）至第（</w:t>
      </w:r>
      <w:r>
        <w:rPr>
          <w:rFonts w:hint="eastAsia" w:ascii="宋体" w:hAnsi="宋体" w:eastAsia="宋体" w:cs="宋体"/>
          <w:color w:val="auto"/>
          <w:spacing w:val="-3"/>
          <w:sz w:val="24"/>
          <w:szCs w:val="24"/>
          <w:highlight w:val="none"/>
          <w:lang w:val="en-US" w:eastAsia="zh-CN"/>
        </w:rPr>
        <w:t>2</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2"/>
          <w:sz w:val="24"/>
          <w:szCs w:val="24"/>
          <w:highlight w:val="none"/>
        </w:rPr>
        <w:t>项所有投标人均应提供。</w:t>
      </w:r>
    </w:p>
    <w:p w14:paraId="75D954DF">
      <w:pPr>
        <w:spacing w:before="157" w:line="279" w:lineRule="auto"/>
        <w:ind w:right="211" w:firstLine="462" w:firstLineChars="200"/>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5"/>
          <w:sz w:val="24"/>
          <w:szCs w:val="24"/>
          <w:highlight w:val="none"/>
        </w:rPr>
        <w:t xml:space="preserve">10.4.4 </w:t>
      </w:r>
      <w:r>
        <w:rPr>
          <w:rFonts w:hint="eastAsia" w:ascii="宋体" w:hAnsi="宋体" w:eastAsia="宋体" w:cs="宋体"/>
          <w:color w:val="auto"/>
          <w:spacing w:val="-5"/>
          <w:sz w:val="24"/>
          <w:szCs w:val="24"/>
          <w:highlight w:val="none"/>
        </w:rPr>
        <w:t>施工组织设计的组成内容按本节第</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5"/>
          <w:sz w:val="24"/>
          <w:szCs w:val="24"/>
          <w:highlight w:val="none"/>
        </w:rPr>
        <w:t>10.4.2 目规定的顺序整理、编排后，逐</w:t>
      </w:r>
      <w:r>
        <w:rPr>
          <w:rFonts w:hint="eastAsia" w:ascii="宋体" w:hAnsi="宋体" w:eastAsia="宋体" w:cs="宋体"/>
          <w:color w:val="auto"/>
          <w:spacing w:val="-1"/>
          <w:sz w:val="24"/>
          <w:szCs w:val="24"/>
          <w:highlight w:val="none"/>
        </w:rPr>
        <w:t>页（页码起始从封面开始）连续标记页码。</w:t>
      </w:r>
    </w:p>
    <w:p w14:paraId="006B850B">
      <w:pPr>
        <w:ind w:firstLine="472"/>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b/>
          <w:bCs/>
          <w:color w:val="auto"/>
          <w:spacing w:val="-1"/>
          <w:sz w:val="24"/>
          <w:szCs w:val="24"/>
          <w:highlight w:val="none"/>
        </w:rPr>
        <w:t>10.4.5</w:t>
      </w:r>
      <w:bookmarkStart w:id="53" w:name="OLE_LINK9"/>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施工组织设计的正文不得超过</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u w:val="single"/>
          <w:lang w:val="en-US" w:eastAsia="zh-CN"/>
        </w:rPr>
        <w:t>150</w:t>
      </w:r>
      <w:r>
        <w:rPr>
          <w:rFonts w:hint="eastAsia" w:ascii="宋体" w:hAnsi="宋体" w:eastAsia="宋体" w:cs="宋体"/>
          <w:color w:val="auto"/>
          <w:spacing w:val="-1"/>
          <w:sz w:val="24"/>
          <w:szCs w:val="24"/>
          <w:highlight w:val="none"/>
          <w:u w:val="single"/>
        </w:rPr>
        <w:t xml:space="preserve"> </w:t>
      </w:r>
      <w:r>
        <w:rPr>
          <w:rFonts w:hint="eastAsia" w:ascii="宋体" w:hAnsi="宋体" w:eastAsia="宋体" w:cs="宋体"/>
          <w:color w:val="auto"/>
          <w:spacing w:val="-1"/>
          <w:sz w:val="24"/>
          <w:szCs w:val="24"/>
          <w:highlight w:val="none"/>
        </w:rPr>
        <w:t>页</w:t>
      </w:r>
      <w:r>
        <w:rPr>
          <w:rFonts w:hint="eastAsia" w:ascii="宋体" w:hAnsi="宋体" w:eastAsia="宋体" w:cs="宋体"/>
          <w:color w:val="auto"/>
          <w:spacing w:val="-1"/>
          <w:sz w:val="24"/>
          <w:szCs w:val="24"/>
          <w:highlight w:val="none"/>
          <w:lang w:eastAsia="zh-CN"/>
        </w:rPr>
        <w:t>。</w:t>
      </w:r>
      <w:bookmarkEnd w:id="53"/>
      <w:bookmarkStart w:id="54" w:name="bookmark121"/>
      <w:bookmarkEnd w:id="54"/>
    </w:p>
    <w:p w14:paraId="24AF6BAC">
      <w:pPr>
        <w:keepNext w:val="0"/>
        <w:keepLines w:val="0"/>
        <w:pageBreakBefore w:val="0"/>
        <w:widowControl w:val="0"/>
        <w:kinsoku/>
        <w:wordWrap w:val="0"/>
        <w:overflowPunct/>
        <w:topLinePunct w:val="0"/>
        <w:autoSpaceDE/>
        <w:autoSpaceDN/>
        <w:bidi w:val="0"/>
        <w:adjustRightInd/>
        <w:snapToGrid/>
        <w:spacing w:line="400" w:lineRule="exact"/>
        <w:ind w:firstLine="482" w:firstLineChars="200"/>
        <w:textAlignment w:val="baseline"/>
        <w:rPr>
          <w:rFonts w:hint="eastAsia" w:ascii="宋体" w:hAnsi="宋体" w:eastAsia="宋体" w:cs="宋体"/>
          <w:b/>
          <w:bCs/>
          <w:snapToGrid w:val="0"/>
          <w:color w:val="auto"/>
          <w:kern w:val="0"/>
          <w:sz w:val="24"/>
          <w:szCs w:val="24"/>
          <w:highlight w:val="none"/>
          <w:lang w:val="en-US" w:eastAsia="zh-CN"/>
        </w:rPr>
      </w:pPr>
      <w:bookmarkStart w:id="55" w:name="_Toc20579"/>
      <w:r>
        <w:rPr>
          <w:rFonts w:hint="eastAsia" w:ascii="宋体" w:hAnsi="宋体" w:eastAsia="宋体" w:cs="宋体"/>
          <w:b/>
          <w:bCs/>
          <w:snapToGrid w:val="0"/>
          <w:color w:val="auto"/>
          <w:kern w:val="0"/>
          <w:sz w:val="24"/>
          <w:szCs w:val="24"/>
          <w:highlight w:val="none"/>
          <w:lang w:val="en-US" w:eastAsia="zh-CN"/>
        </w:rPr>
        <w:t>10.5定标文件的编制要求：</w:t>
      </w:r>
    </w:p>
    <w:p w14:paraId="39D86431">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 xml:space="preserve">.1 </w:t>
      </w:r>
      <w:r>
        <w:rPr>
          <w:rFonts w:hint="eastAsia" w:ascii="宋体" w:hAnsi="宋体" w:eastAsia="宋体" w:cs="宋体"/>
          <w:snapToGrid w:val="0"/>
          <w:color w:val="auto"/>
          <w:kern w:val="0"/>
          <w:sz w:val="24"/>
          <w:szCs w:val="24"/>
          <w:highlight w:val="none"/>
          <w:lang w:val="en-US" w:eastAsia="zh-CN"/>
        </w:rPr>
        <w:t>定标文件</w:t>
      </w:r>
      <w:r>
        <w:rPr>
          <w:rFonts w:hint="eastAsia" w:ascii="宋体" w:hAnsi="宋体" w:eastAsia="宋体" w:cs="宋体"/>
          <w:snapToGrid w:val="0"/>
          <w:color w:val="auto"/>
          <w:kern w:val="0"/>
          <w:sz w:val="24"/>
          <w:szCs w:val="24"/>
          <w:highlight w:val="none"/>
        </w:rPr>
        <w:t>包括以下内容：</w:t>
      </w:r>
    </w:p>
    <w:p w14:paraId="42A52BE5">
      <w:pPr>
        <w:keepNext w:val="0"/>
        <w:keepLines w:val="0"/>
        <w:pageBreakBefore w:val="0"/>
        <w:widowControl w:val="0"/>
        <w:kinsoku/>
        <w:wordWrap w:val="0"/>
        <w:overflowPunct/>
        <w:topLinePunct w:val="0"/>
        <w:autoSpaceDE/>
        <w:autoSpaceDN/>
        <w:bidi w:val="0"/>
        <w:adjustRightInd/>
        <w:snapToGrid/>
        <w:spacing w:line="400" w:lineRule="exact"/>
        <w:ind w:left="479" w:leftChars="228" w:firstLine="0" w:firstLineChars="0"/>
        <w:textAlignment w:val="baseline"/>
        <w:rPr>
          <w:rFonts w:hint="eastAsia" w:ascii="宋体" w:hAnsi="宋体" w:eastAsia="宋体" w:cs="宋体"/>
          <w:snapToGrid w:val="0"/>
          <w:color w:val="auto"/>
          <w:kern w:val="0"/>
          <w:sz w:val="24"/>
          <w:szCs w:val="24"/>
          <w:highlight w:val="none"/>
          <w:lang w:val="en-US"/>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 封面（格式一）</w:t>
      </w:r>
      <w:r>
        <w:rPr>
          <w:rFonts w:hint="eastAsia" w:ascii="宋体" w:hAnsi="宋体" w:eastAsia="宋体" w:cs="宋体"/>
          <w:snapToGrid w:val="0"/>
          <w:color w:val="auto"/>
          <w:kern w:val="0"/>
          <w:sz w:val="24"/>
          <w:szCs w:val="24"/>
          <w:highlight w:val="none"/>
          <w:lang w:val="en-US" w:eastAsia="zh-CN"/>
        </w:rPr>
        <w:br w:type="textWrapping"/>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 目录</w:t>
      </w:r>
    </w:p>
    <w:p w14:paraId="06AC0FE8">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3) 定标因素评审资料（格式十七）</w:t>
      </w:r>
    </w:p>
    <w:p w14:paraId="747B148E">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 xml:space="preserve"> 本节第1</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目中所列出的组成内容中，第（1）</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项所有投标人均应提供。</w:t>
      </w:r>
    </w:p>
    <w:bookmarkEnd w:id="55"/>
    <w:p w14:paraId="38C8B072">
      <w:pPr>
        <w:spacing w:before="78" w:line="221" w:lineRule="auto"/>
        <w:ind w:left="496"/>
        <w:outlineLvl w:val="2"/>
        <w:rPr>
          <w:rFonts w:hint="eastAsia" w:ascii="宋体" w:hAnsi="宋体" w:eastAsia="宋体" w:cs="宋体"/>
          <w:color w:val="auto"/>
          <w:sz w:val="24"/>
          <w:szCs w:val="24"/>
          <w:highlight w:val="none"/>
        </w:rPr>
      </w:pPr>
      <w:bookmarkStart w:id="56" w:name="_Toc10599"/>
      <w:bookmarkStart w:id="57" w:name="_Toc21936"/>
      <w:r>
        <w:rPr>
          <w:rFonts w:hint="eastAsia" w:ascii="宋体" w:hAnsi="宋体" w:eastAsia="宋体" w:cs="宋体"/>
          <w:b/>
          <w:bCs/>
          <w:color w:val="auto"/>
          <w:spacing w:val="-9"/>
          <w:sz w:val="24"/>
          <w:szCs w:val="24"/>
          <w:highlight w:val="none"/>
        </w:rPr>
        <w:t>11.</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pacing w:val="-9"/>
          <w:sz w:val="24"/>
          <w:szCs w:val="24"/>
          <w:highlight w:val="none"/>
        </w:rPr>
        <w:t>电子投标：</w:t>
      </w:r>
      <w:bookmarkEnd w:id="56"/>
      <w:bookmarkEnd w:id="57"/>
    </w:p>
    <w:p w14:paraId="72CD6A5B">
      <w:pPr>
        <w:spacing w:before="112" w:line="295" w:lineRule="auto"/>
        <w:ind w:left="10"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11.1  </w:t>
      </w:r>
      <w:r>
        <w:rPr>
          <w:rFonts w:hint="eastAsia" w:ascii="宋体" w:hAnsi="宋体" w:eastAsia="宋体" w:cs="宋体"/>
          <w:color w:val="auto"/>
          <w:spacing w:val="-3"/>
          <w:sz w:val="24"/>
          <w:szCs w:val="24"/>
          <w:highlight w:val="none"/>
        </w:rPr>
        <w:t>在建设工程交易系统上传加盖了电子印章的投标文件、录入相关信息及标书</w:t>
      </w:r>
      <w:r>
        <w:rPr>
          <w:rFonts w:hint="eastAsia" w:ascii="宋体" w:hAnsi="宋体" w:eastAsia="宋体" w:cs="宋体"/>
          <w:color w:val="auto"/>
          <w:spacing w:val="2"/>
          <w:sz w:val="24"/>
          <w:szCs w:val="24"/>
          <w:highlight w:val="none"/>
        </w:rPr>
        <w:t>页码信息</w:t>
      </w:r>
      <w:r>
        <w:rPr>
          <w:rFonts w:hint="eastAsia" w:ascii="宋体" w:hAnsi="宋体" w:eastAsia="宋体" w:cs="宋体"/>
          <w:color w:val="auto"/>
          <w:spacing w:val="-25"/>
          <w:sz w:val="24"/>
          <w:szCs w:val="24"/>
          <w:highlight w:val="none"/>
        </w:rPr>
        <w:t>，（</w:t>
      </w:r>
      <w:r>
        <w:rPr>
          <w:rFonts w:hint="eastAsia" w:ascii="宋体" w:hAnsi="宋体" w:eastAsia="宋体" w:cs="宋体"/>
          <w:color w:val="auto"/>
          <w:spacing w:val="2"/>
          <w:sz w:val="24"/>
          <w:szCs w:val="24"/>
          <w:highlight w:val="none"/>
        </w:rPr>
        <w:t>页码起始从封面开始）并提交投标标书。提交标书为已加密投标文件。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具体操作参照《韶关市公共资源建设工程交易系统-投标人操</w:t>
      </w:r>
      <w:r>
        <w:rPr>
          <w:rFonts w:hint="eastAsia" w:ascii="宋体" w:hAnsi="宋体" w:eastAsia="宋体" w:cs="宋体"/>
          <w:color w:val="auto"/>
          <w:spacing w:val="-3"/>
          <w:sz w:val="24"/>
          <w:szCs w:val="24"/>
          <w:highlight w:val="none"/>
        </w:rPr>
        <w:t>作指南（电子评标）》。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本项目评标采用全流程电子化进行招标投标（投标人应根据</w:t>
      </w:r>
      <w:r>
        <w:rPr>
          <w:rFonts w:hint="eastAsia" w:ascii="宋体" w:hAnsi="宋体" w:eastAsia="宋体" w:cs="宋体"/>
          <w:color w:val="auto"/>
          <w:spacing w:val="-2"/>
          <w:sz w:val="24"/>
          <w:szCs w:val="24"/>
          <w:highlight w:val="none"/>
        </w:rPr>
        <w:t>韶关市公共资源建设工程</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交易系统进行编辑投标相关内容、按招标文件电子投标要求</w:t>
      </w:r>
      <w:r>
        <w:rPr>
          <w:rFonts w:hint="eastAsia" w:ascii="宋体" w:hAnsi="宋体" w:eastAsia="宋体" w:cs="宋体"/>
          <w:color w:val="auto"/>
          <w:spacing w:val="-2"/>
          <w:sz w:val="24"/>
          <w:szCs w:val="24"/>
          <w:highlight w:val="none"/>
        </w:rPr>
        <w:t>上传已加盖电子印章投标</w:t>
      </w:r>
      <w:r>
        <w:rPr>
          <w:rFonts w:hint="eastAsia" w:ascii="宋体" w:hAnsi="宋体" w:eastAsia="宋体" w:cs="宋体"/>
          <w:color w:val="auto"/>
          <w:spacing w:val="-1"/>
          <w:sz w:val="24"/>
          <w:szCs w:val="24"/>
          <w:highlight w:val="none"/>
        </w:rPr>
        <w:t>文件，否则将自行承担不利后果）。投标文件完成上传后，投标人应</w:t>
      </w:r>
      <w:r>
        <w:rPr>
          <w:rFonts w:hint="eastAsia" w:ascii="宋体" w:hAnsi="宋体" w:eastAsia="宋体" w:cs="宋体"/>
          <w:color w:val="auto"/>
          <w:spacing w:val="-2"/>
          <w:sz w:val="24"/>
          <w:szCs w:val="24"/>
          <w:highlight w:val="none"/>
        </w:rPr>
        <w:t>使用 CA 数字证</w:t>
      </w:r>
      <w:r>
        <w:rPr>
          <w:rFonts w:hint="eastAsia" w:ascii="宋体" w:hAnsi="宋体" w:eastAsia="宋体" w:cs="宋体"/>
          <w:color w:val="auto"/>
          <w:spacing w:val="-1"/>
          <w:sz w:val="24"/>
          <w:szCs w:val="24"/>
          <w:highlight w:val="none"/>
        </w:rPr>
        <w:t>书对投标文件进行文件加密，形成加密的投标文件并提交标书。</w:t>
      </w:r>
    </w:p>
    <w:p w14:paraId="77028D55">
      <w:pPr>
        <w:spacing w:before="115" w:line="286" w:lineRule="auto"/>
        <w:ind w:left="10" w:right="81" w:firstLine="485"/>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11.2</w:t>
      </w:r>
      <w:r>
        <w:rPr>
          <w:rFonts w:hint="eastAsia" w:ascii="宋体" w:hAnsi="宋体" w:eastAsia="宋体" w:cs="宋体"/>
          <w:b/>
          <w:bCs/>
          <w:color w:val="auto"/>
          <w:spacing w:val="19"/>
          <w:sz w:val="24"/>
          <w:szCs w:val="24"/>
          <w:highlight w:val="none"/>
        </w:rPr>
        <w:t xml:space="preserve">  </w:t>
      </w:r>
      <w:r>
        <w:rPr>
          <w:rFonts w:hint="eastAsia" w:ascii="宋体" w:hAnsi="宋体" w:eastAsia="宋体" w:cs="宋体"/>
          <w:color w:val="auto"/>
          <w:spacing w:val="-4"/>
          <w:sz w:val="24"/>
          <w:szCs w:val="24"/>
          <w:highlight w:val="none"/>
        </w:rPr>
        <w:t>电子投标文件的修改、撤回：在提交投标文件截止时间前，投标人可</w:t>
      </w:r>
      <w:r>
        <w:rPr>
          <w:rFonts w:hint="eastAsia" w:ascii="宋体" w:hAnsi="宋体" w:eastAsia="宋体" w:cs="宋体"/>
          <w:color w:val="auto"/>
          <w:spacing w:val="-5"/>
          <w:sz w:val="24"/>
          <w:szCs w:val="24"/>
          <w:highlight w:val="none"/>
        </w:rPr>
        <w:t>以修改</w:t>
      </w:r>
      <w:r>
        <w:rPr>
          <w:rFonts w:hint="eastAsia" w:ascii="宋体" w:hAnsi="宋体" w:eastAsia="宋体" w:cs="宋体"/>
          <w:color w:val="auto"/>
          <w:spacing w:val="-1"/>
          <w:sz w:val="24"/>
          <w:szCs w:val="24"/>
          <w:highlight w:val="none"/>
        </w:rPr>
        <w:t>或撤回未解密的电子投标文件，并于提交投标文件截止时间</w:t>
      </w:r>
      <w:r>
        <w:rPr>
          <w:rFonts w:hint="eastAsia" w:ascii="宋体" w:hAnsi="宋体" w:eastAsia="宋体" w:cs="宋体"/>
          <w:color w:val="auto"/>
          <w:spacing w:val="-2"/>
          <w:sz w:val="24"/>
          <w:szCs w:val="24"/>
          <w:highlight w:val="none"/>
        </w:rPr>
        <w:t>前将重新上传修改后的电</w:t>
      </w:r>
      <w:r>
        <w:rPr>
          <w:rFonts w:hint="eastAsia" w:ascii="宋体" w:hAnsi="宋体" w:eastAsia="宋体" w:cs="宋体"/>
          <w:color w:val="auto"/>
          <w:spacing w:val="-1"/>
          <w:sz w:val="24"/>
          <w:szCs w:val="24"/>
          <w:highlight w:val="none"/>
        </w:rPr>
        <w:t>子投标文件至系统，到达投标文件提交截止时间后投标人不</w:t>
      </w:r>
      <w:r>
        <w:rPr>
          <w:rFonts w:hint="eastAsia" w:ascii="宋体" w:hAnsi="宋体" w:eastAsia="宋体" w:cs="宋体"/>
          <w:color w:val="auto"/>
          <w:spacing w:val="-2"/>
          <w:sz w:val="24"/>
          <w:szCs w:val="24"/>
          <w:highlight w:val="none"/>
        </w:rPr>
        <w:t>得撤回、补充、修改和更换投标文件。</w:t>
      </w:r>
    </w:p>
    <w:p w14:paraId="7B99AE63">
      <w:pPr>
        <w:numPr>
          <w:ilvl w:val="0"/>
          <w:numId w:val="0"/>
        </w:numPr>
        <w:spacing w:before="78" w:line="220" w:lineRule="auto"/>
        <w:ind w:firstLine="446" w:firstLineChars="200"/>
        <w:outlineLvl w:val="2"/>
        <w:rPr>
          <w:rFonts w:hint="eastAsia" w:ascii="宋体" w:hAnsi="宋体" w:eastAsia="宋体" w:cs="宋体"/>
          <w:b/>
          <w:bCs/>
          <w:color w:val="auto"/>
          <w:spacing w:val="-4"/>
          <w:sz w:val="24"/>
          <w:szCs w:val="24"/>
          <w:highlight w:val="none"/>
        </w:rPr>
      </w:pPr>
      <w:bookmarkStart w:id="58" w:name="_Toc5126"/>
      <w:r>
        <w:rPr>
          <w:rFonts w:hint="eastAsia" w:ascii="宋体" w:hAnsi="宋体" w:eastAsia="宋体" w:cs="宋体"/>
          <w:b/>
          <w:bCs/>
          <w:color w:val="auto"/>
          <w:spacing w:val="-9"/>
          <w:sz w:val="24"/>
          <w:szCs w:val="24"/>
          <w:highlight w:val="none"/>
          <w:lang w:val="en-US" w:eastAsia="zh-CN"/>
        </w:rPr>
        <w:t>12.</w:t>
      </w:r>
      <w:r>
        <w:rPr>
          <w:rFonts w:hint="eastAsia" w:ascii="宋体" w:hAnsi="宋体" w:eastAsia="宋体" w:cs="宋体"/>
          <w:b/>
          <w:bCs/>
          <w:color w:val="auto"/>
          <w:spacing w:val="22"/>
          <w:w w:val="101"/>
          <w:sz w:val="24"/>
          <w:szCs w:val="24"/>
          <w:highlight w:val="none"/>
        </w:rPr>
        <w:t xml:space="preserve"> </w:t>
      </w:r>
      <w:bookmarkStart w:id="59" w:name="_Toc29834"/>
      <w:r>
        <w:rPr>
          <w:rFonts w:hint="eastAsia" w:ascii="宋体" w:hAnsi="宋体" w:eastAsia="宋体" w:cs="宋体"/>
          <w:b/>
          <w:bCs/>
          <w:color w:val="auto"/>
          <w:spacing w:val="-4"/>
          <w:sz w:val="24"/>
          <w:szCs w:val="24"/>
          <w:highlight w:val="none"/>
        </w:rPr>
        <w:t>电子投标及投标解密失败及突发情况的补救方案</w:t>
      </w:r>
      <w:bookmarkEnd w:id="58"/>
      <w:bookmarkEnd w:id="59"/>
    </w:p>
    <w:p w14:paraId="31E42F74">
      <w:pPr>
        <w:keepNext w:val="0"/>
        <w:keepLines w:val="0"/>
        <w:pageBreakBefore w:val="0"/>
        <w:widowControl/>
        <w:kinsoku w:val="0"/>
        <w:wordWrap/>
        <w:overflowPunct/>
        <w:topLinePunct w:val="0"/>
        <w:autoSpaceDE w:val="0"/>
        <w:autoSpaceDN w:val="0"/>
        <w:bidi w:val="0"/>
        <w:adjustRightInd w:val="0"/>
        <w:snapToGrid w:val="0"/>
        <w:spacing w:before="78" w:line="360" w:lineRule="auto"/>
        <w:ind w:firstLine="478"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12.1 </w:t>
      </w:r>
      <w:r>
        <w:rPr>
          <w:rFonts w:hint="eastAsia" w:ascii="宋体" w:hAnsi="宋体" w:eastAsia="宋体" w:cs="宋体"/>
          <w:color w:val="auto"/>
          <w:spacing w:val="-1"/>
          <w:sz w:val="24"/>
          <w:szCs w:val="24"/>
          <w:highlight w:val="none"/>
        </w:rPr>
        <w:t>按照交易平台关于全流程电子化项目的相</w:t>
      </w:r>
      <w:r>
        <w:rPr>
          <w:rFonts w:hint="eastAsia" w:ascii="宋体" w:hAnsi="宋体" w:eastAsia="宋体" w:cs="宋体"/>
          <w:color w:val="auto"/>
          <w:spacing w:val="-2"/>
          <w:sz w:val="24"/>
          <w:szCs w:val="24"/>
          <w:highlight w:val="none"/>
        </w:rPr>
        <w:t>关指南进行操作。详见：全国公共</w:t>
      </w:r>
      <w:r>
        <w:rPr>
          <w:rFonts w:hint="eastAsia" w:ascii="宋体" w:hAnsi="宋体" w:eastAsia="宋体" w:cs="宋体"/>
          <w:color w:val="auto"/>
          <w:spacing w:val="-1"/>
          <w:sz w:val="24"/>
          <w:szCs w:val="24"/>
          <w:highlight w:val="none"/>
        </w:rPr>
        <w:t>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·韶关市</w:t>
      </w:r>
      <w:r>
        <w:rPr>
          <w:rFonts w:hint="eastAsia" w:ascii="宋体" w:hAnsi="宋体" w:eastAsia="宋体" w:cs="宋体"/>
          <w:color w:val="auto"/>
          <w:spacing w:val="-26"/>
          <w:sz w:val="24"/>
          <w:szCs w:val="24"/>
          <w:highlight w:val="none"/>
        </w:rPr>
        <w:t>）（</w:t>
      </w:r>
      <w:r>
        <w:rPr>
          <w:rFonts w:hint="eastAsia" w:ascii="宋体" w:hAnsi="宋体" w:eastAsia="宋体" w:cs="宋体"/>
          <w:color w:val="auto"/>
          <w:spacing w:val="-1"/>
          <w:sz w:val="24"/>
          <w:szCs w:val="24"/>
          <w:highlight w:val="none"/>
        </w:rPr>
        <w:t>https://y</w:t>
      </w:r>
      <w:r>
        <w:rPr>
          <w:rFonts w:hint="eastAsia" w:ascii="宋体" w:hAnsi="宋体" w:eastAsia="宋体" w:cs="宋体"/>
          <w:color w:val="auto"/>
          <w:spacing w:val="-2"/>
          <w:sz w:val="24"/>
          <w:szCs w:val="24"/>
          <w:highlight w:val="none"/>
        </w:rPr>
        <w:t>gp.gdzwfw.gov.cn/ggzy-portal/#/44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0200/index）服务指南栏目发布的最新版操作指引。</w:t>
      </w:r>
    </w:p>
    <w:p w14:paraId="1227283F">
      <w:pPr>
        <w:spacing w:before="113"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补救方案：</w:t>
      </w:r>
    </w:p>
    <w:p w14:paraId="3DE0A96F">
      <w:pPr>
        <w:spacing w:before="115"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12.2.1  </w:t>
      </w:r>
      <w:r>
        <w:rPr>
          <w:rFonts w:hint="eastAsia" w:ascii="宋体" w:hAnsi="宋体" w:eastAsia="宋体" w:cs="宋体"/>
          <w:color w:val="auto"/>
          <w:spacing w:val="-1"/>
          <w:sz w:val="24"/>
          <w:szCs w:val="24"/>
          <w:highlight w:val="none"/>
        </w:rPr>
        <w:t>投标文件解密失败的补救方案：</w:t>
      </w:r>
    </w:p>
    <w:p w14:paraId="05D31897">
      <w:pPr>
        <w:spacing w:before="115" w:line="298" w:lineRule="auto"/>
        <w:ind w:right="81" w:firstLine="488"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在规定时间内，因投标人之外原因(指网络瘫痪、服务器损坏、交易系统故障短期无法恢复)等导致的电子投标文件解密失败，在开标现场解密环节由代理授权后，</w:t>
      </w:r>
      <w:r>
        <w:rPr>
          <w:rFonts w:hint="eastAsia" w:ascii="宋体" w:hAnsi="宋体" w:eastAsia="宋体" w:cs="宋体"/>
          <w:color w:val="auto"/>
          <w:spacing w:val="1"/>
          <w:sz w:val="24"/>
          <w:szCs w:val="24"/>
          <w:highlight w:val="none"/>
        </w:rPr>
        <w:t>解密失败投标人可在建设工程交易系统在规定时间（代理机构授权后</w:t>
      </w:r>
      <w:r>
        <w:rPr>
          <w:rFonts w:hint="eastAsia" w:ascii="宋体" w:hAnsi="宋体" w:eastAsia="宋体" w:cs="宋体"/>
          <w:color w:val="auto"/>
          <w:spacing w:val="-40"/>
          <w:sz w:val="24"/>
          <w:szCs w:val="24"/>
          <w:highlight w:val="none"/>
        </w:rPr>
        <w:t xml:space="preserve"> </w:t>
      </w:r>
      <w:r>
        <w:rPr>
          <w:rFonts w:hint="eastAsia" w:ascii="宋体" w:hAnsi="宋体" w:eastAsia="宋体" w:cs="宋体"/>
          <w:color w:val="auto"/>
          <w:spacing w:val="1"/>
          <w:sz w:val="24"/>
          <w:szCs w:val="24"/>
          <w:highlight w:val="none"/>
        </w:rPr>
        <w:t>30</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1"/>
          <w:sz w:val="24"/>
          <w:szCs w:val="24"/>
          <w:highlight w:val="none"/>
        </w:rPr>
        <w:t>分钟内）内</w:t>
      </w:r>
      <w:bookmarkStart w:id="60" w:name="bookmark122"/>
      <w:bookmarkEnd w:id="60"/>
      <w:r>
        <w:rPr>
          <w:rFonts w:hint="eastAsia" w:ascii="宋体" w:hAnsi="宋体" w:eastAsia="宋体" w:cs="宋体"/>
          <w:color w:val="auto"/>
          <w:spacing w:val="-1"/>
          <w:sz w:val="24"/>
          <w:szCs w:val="24"/>
          <w:highlight w:val="none"/>
        </w:rPr>
        <w:t>重新提交投标文件继续开标程序。</w:t>
      </w:r>
    </w:p>
    <w:p w14:paraId="688697B7">
      <w:pPr>
        <w:spacing w:before="114"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12.2.2  </w:t>
      </w:r>
      <w:r>
        <w:rPr>
          <w:rFonts w:hint="eastAsia" w:ascii="宋体" w:hAnsi="宋体" w:eastAsia="宋体" w:cs="宋体"/>
          <w:color w:val="auto"/>
          <w:spacing w:val="-1"/>
          <w:sz w:val="24"/>
          <w:szCs w:val="24"/>
          <w:highlight w:val="none"/>
        </w:rPr>
        <w:t>评标时突发情况的补救方案</w:t>
      </w:r>
    </w:p>
    <w:p w14:paraId="67C0AA88">
      <w:pPr>
        <w:spacing w:before="114" w:line="303" w:lineRule="auto"/>
        <w:ind w:right="81" w:firstLine="476"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在评标过程中，因主场或副场网络故障、电子设备或者</w:t>
      </w:r>
      <w:r>
        <w:rPr>
          <w:rFonts w:hint="eastAsia" w:ascii="宋体" w:hAnsi="宋体" w:eastAsia="宋体" w:cs="宋体"/>
          <w:color w:val="auto"/>
          <w:spacing w:val="-2"/>
          <w:sz w:val="24"/>
          <w:szCs w:val="24"/>
          <w:highlight w:val="none"/>
        </w:rPr>
        <w:t>评标系统故障，以及其他</w:t>
      </w:r>
      <w:r>
        <w:rPr>
          <w:rFonts w:hint="eastAsia" w:ascii="宋体" w:hAnsi="宋体" w:eastAsia="宋体" w:cs="宋体"/>
          <w:color w:val="auto"/>
          <w:spacing w:val="-3"/>
          <w:sz w:val="24"/>
          <w:szCs w:val="24"/>
          <w:highlight w:val="none"/>
        </w:rPr>
        <w:t>原因导致无法继续进行评标时，在</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小时以内解除故障的可继续评标，超过</w:t>
      </w:r>
      <w:r>
        <w:rPr>
          <w:rFonts w:hint="eastAsia" w:ascii="宋体" w:hAnsi="宋体" w:eastAsia="宋体" w:cs="宋体"/>
          <w:color w:val="auto"/>
          <w:spacing w:val="-52"/>
          <w:sz w:val="24"/>
          <w:szCs w:val="24"/>
          <w:highlight w:val="none"/>
        </w:rPr>
        <w:t xml:space="preserve"> </w:t>
      </w:r>
      <w:r>
        <w:rPr>
          <w:rFonts w:hint="eastAsia" w:ascii="宋体" w:hAnsi="宋体" w:eastAsia="宋体" w:cs="宋体"/>
          <w:color w:val="auto"/>
          <w:spacing w:val="-3"/>
          <w:sz w:val="24"/>
          <w:szCs w:val="24"/>
          <w:highlight w:val="none"/>
        </w:rPr>
        <w:t>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3"/>
          <w:sz w:val="24"/>
          <w:szCs w:val="24"/>
          <w:highlight w:val="none"/>
        </w:rPr>
        <w:t>小时无</w:t>
      </w:r>
      <w:r>
        <w:rPr>
          <w:rFonts w:hint="eastAsia" w:ascii="宋体" w:hAnsi="宋体" w:eastAsia="宋体" w:cs="宋体"/>
          <w:color w:val="auto"/>
          <w:spacing w:val="-1"/>
          <w:sz w:val="24"/>
          <w:szCs w:val="24"/>
          <w:highlight w:val="none"/>
        </w:rPr>
        <w:t>法解除故障的，由招标人确定是否进行评标。如延期评标，</w:t>
      </w:r>
      <w:r>
        <w:rPr>
          <w:rFonts w:hint="eastAsia" w:ascii="宋体" w:hAnsi="宋体" w:eastAsia="宋体" w:cs="宋体"/>
          <w:color w:val="auto"/>
          <w:spacing w:val="-2"/>
          <w:sz w:val="24"/>
          <w:szCs w:val="24"/>
          <w:highlight w:val="none"/>
        </w:rPr>
        <w:t>招标人及参与评标活动的</w:t>
      </w:r>
      <w:r>
        <w:rPr>
          <w:rFonts w:hint="eastAsia" w:ascii="宋体" w:hAnsi="宋体" w:eastAsia="宋体" w:cs="宋体"/>
          <w:color w:val="auto"/>
          <w:spacing w:val="-1"/>
          <w:sz w:val="24"/>
          <w:szCs w:val="24"/>
          <w:highlight w:val="none"/>
        </w:rPr>
        <w:t>各方主体及其有关工作人员应当配合主场、副场做好招投标</w:t>
      </w:r>
      <w:r>
        <w:rPr>
          <w:rFonts w:hint="eastAsia" w:ascii="宋体" w:hAnsi="宋体" w:eastAsia="宋体" w:cs="宋体"/>
          <w:color w:val="auto"/>
          <w:spacing w:val="-2"/>
          <w:sz w:val="24"/>
          <w:szCs w:val="24"/>
          <w:highlight w:val="none"/>
        </w:rPr>
        <w:t>资料的封存和保密工作，</w:t>
      </w:r>
      <w:r>
        <w:rPr>
          <w:rFonts w:hint="eastAsia" w:ascii="宋体" w:hAnsi="宋体" w:eastAsia="宋体" w:cs="宋体"/>
          <w:color w:val="auto"/>
          <w:spacing w:val="-1"/>
          <w:sz w:val="24"/>
          <w:szCs w:val="24"/>
          <w:highlight w:val="none"/>
        </w:rPr>
        <w:t>另行组建评标委员会重新评标。原评标委员会成员应当对评</w:t>
      </w:r>
      <w:r>
        <w:rPr>
          <w:rFonts w:hint="eastAsia" w:ascii="宋体" w:hAnsi="宋体" w:eastAsia="宋体" w:cs="宋体"/>
          <w:color w:val="auto"/>
          <w:spacing w:val="-2"/>
          <w:sz w:val="24"/>
          <w:szCs w:val="24"/>
          <w:highlight w:val="none"/>
        </w:rPr>
        <w:t>标情况保密，不得对外透</w:t>
      </w:r>
      <w:r>
        <w:rPr>
          <w:rFonts w:hint="eastAsia" w:ascii="宋体" w:hAnsi="宋体" w:eastAsia="宋体" w:cs="宋体"/>
          <w:color w:val="auto"/>
          <w:spacing w:val="-1"/>
          <w:sz w:val="24"/>
          <w:szCs w:val="24"/>
          <w:highlight w:val="none"/>
        </w:rPr>
        <w:t>露与评标有关的任何信息与情况。</w:t>
      </w:r>
    </w:p>
    <w:p w14:paraId="4CA581B7">
      <w:pPr>
        <w:spacing w:before="69" w:line="324" w:lineRule="auto"/>
        <w:ind w:left="11" w:right="81"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12.2.3  </w:t>
      </w:r>
      <w:r>
        <w:rPr>
          <w:rFonts w:hint="eastAsia" w:ascii="宋体" w:hAnsi="宋体" w:eastAsia="宋体" w:cs="宋体"/>
          <w:color w:val="auto"/>
          <w:spacing w:val="-1"/>
          <w:sz w:val="24"/>
          <w:szCs w:val="24"/>
          <w:highlight w:val="none"/>
        </w:rPr>
        <w:t>除发生上述情况外，开标评标均以投标人（联合体投标的，由联合体牵头人）通过交易平台网上递交的电子投标文件为准。</w:t>
      </w:r>
    </w:p>
    <w:p w14:paraId="0D4B1117">
      <w:pPr>
        <w:spacing w:before="78" w:line="220" w:lineRule="auto"/>
        <w:ind w:left="496"/>
        <w:outlineLvl w:val="2"/>
        <w:rPr>
          <w:rFonts w:hint="eastAsia" w:ascii="宋体" w:hAnsi="宋体" w:eastAsia="宋体" w:cs="宋体"/>
          <w:color w:val="auto"/>
          <w:sz w:val="24"/>
          <w:szCs w:val="24"/>
          <w:highlight w:val="none"/>
        </w:rPr>
      </w:pPr>
      <w:bookmarkStart w:id="61" w:name="_Toc27195"/>
      <w:bookmarkStart w:id="62" w:name="_Toc3957"/>
      <w:r>
        <w:rPr>
          <w:rFonts w:hint="eastAsia" w:ascii="宋体" w:hAnsi="宋体" w:eastAsia="宋体" w:cs="宋体"/>
          <w:b/>
          <w:bCs/>
          <w:color w:val="auto"/>
          <w:spacing w:val="-7"/>
          <w:sz w:val="24"/>
          <w:szCs w:val="24"/>
          <w:highlight w:val="none"/>
        </w:rPr>
        <w:t>13</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7"/>
          <w:sz w:val="24"/>
          <w:szCs w:val="24"/>
          <w:highlight w:val="none"/>
        </w:rPr>
        <w:t>．投标文件的提交</w:t>
      </w:r>
      <w:bookmarkEnd w:id="61"/>
      <w:bookmarkEnd w:id="62"/>
    </w:p>
    <w:p w14:paraId="6AC9D5AE">
      <w:pPr>
        <w:spacing w:before="123" w:line="278" w:lineRule="auto"/>
        <w:ind w:left="13" w:right="81" w:firstLine="482"/>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 xml:space="preserve">13.1  </w:t>
      </w:r>
      <w:r>
        <w:rPr>
          <w:rFonts w:hint="eastAsia" w:ascii="宋体" w:hAnsi="宋体" w:eastAsia="宋体" w:cs="宋体"/>
          <w:color w:val="auto"/>
          <w:spacing w:val="-11"/>
          <w:sz w:val="24"/>
          <w:szCs w:val="24"/>
          <w:highlight w:val="none"/>
        </w:rPr>
        <w:t>在投标文件提交截止时间前，投标人通过全国公共资源交易平台（</w:t>
      </w:r>
      <w:r>
        <w:rPr>
          <w:rFonts w:hint="eastAsia" w:ascii="宋体" w:hAnsi="宋体" w:eastAsia="宋体" w:cs="宋体"/>
          <w:color w:val="auto"/>
          <w:spacing w:val="-12"/>
          <w:sz w:val="24"/>
          <w:szCs w:val="24"/>
          <w:highlight w:val="none"/>
        </w:rPr>
        <w:t>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2"/>
          <w:sz w:val="24"/>
          <w:szCs w:val="24"/>
          <w:highlight w:val="none"/>
        </w:rPr>
        <w:t>·韶</w:t>
      </w:r>
      <w:r>
        <w:rPr>
          <w:rFonts w:hint="eastAsia" w:ascii="宋体" w:hAnsi="宋体" w:eastAsia="宋体" w:cs="宋体"/>
          <w:color w:val="auto"/>
          <w:spacing w:val="-1"/>
          <w:sz w:val="24"/>
          <w:szCs w:val="24"/>
          <w:highlight w:val="none"/>
        </w:rPr>
        <w:t>关市）提交已加密投标文件。逾期提交的电子投标文</w:t>
      </w:r>
      <w:r>
        <w:rPr>
          <w:rFonts w:hint="eastAsia" w:ascii="宋体" w:hAnsi="宋体" w:eastAsia="宋体" w:cs="宋体"/>
          <w:color w:val="auto"/>
          <w:spacing w:val="-2"/>
          <w:sz w:val="24"/>
          <w:szCs w:val="24"/>
          <w:highlight w:val="none"/>
        </w:rPr>
        <w:t>件，全国公共资源交易平台（广</w:t>
      </w:r>
      <w:r>
        <w:rPr>
          <w:rFonts w:hint="eastAsia" w:ascii="宋体" w:hAnsi="宋体" w:eastAsia="宋体" w:cs="宋体"/>
          <w:color w:val="auto"/>
          <w:spacing w:val="-9"/>
          <w:sz w:val="24"/>
          <w:szCs w:val="24"/>
          <w:highlight w:val="none"/>
        </w:rPr>
        <w:t>东省</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9"/>
          <w:sz w:val="24"/>
          <w:szCs w:val="24"/>
          <w:highlight w:val="none"/>
        </w:rPr>
        <w:t>·韶关市）将予以拒收。</w:t>
      </w:r>
    </w:p>
    <w:p w14:paraId="77138C74">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p>
    <w:p w14:paraId="3DA66111">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13.3  </w:t>
      </w:r>
      <w:r>
        <w:rPr>
          <w:rFonts w:hint="eastAsia" w:ascii="宋体" w:hAnsi="宋体" w:eastAsia="宋体" w:cs="宋体"/>
          <w:color w:val="auto"/>
          <w:spacing w:val="-1"/>
          <w:sz w:val="24"/>
          <w:szCs w:val="24"/>
          <w:highlight w:val="none"/>
        </w:rPr>
        <w:t>递交时间和地点：投标人如有招标</w:t>
      </w:r>
      <w:r>
        <w:rPr>
          <w:rFonts w:hint="eastAsia" w:ascii="宋体" w:hAnsi="宋体" w:eastAsia="宋体" w:cs="宋体"/>
          <w:color w:val="auto"/>
          <w:spacing w:val="-2"/>
          <w:sz w:val="24"/>
          <w:szCs w:val="24"/>
          <w:highlight w:val="none"/>
        </w:rPr>
        <w:t>文件要求提交的用于评审的证书、证件、证明原件（附一式两份清单</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由投标人法定代表人或其委托代理人在指定的时间和</w:t>
      </w:r>
      <w:r>
        <w:rPr>
          <w:rFonts w:hint="eastAsia" w:ascii="宋体" w:hAnsi="宋体" w:eastAsia="宋体" w:cs="宋体"/>
          <w:color w:val="auto"/>
          <w:spacing w:val="-1"/>
          <w:sz w:val="24"/>
          <w:szCs w:val="24"/>
          <w:highlight w:val="none"/>
        </w:rPr>
        <w:t>地点递交（见“重要事项时间地点一览表</w:t>
      </w:r>
      <w:r>
        <w:rPr>
          <w:rFonts w:hint="eastAsia" w:ascii="宋体" w:hAnsi="宋体" w:eastAsia="宋体" w:cs="宋体"/>
          <w:color w:val="auto"/>
          <w:spacing w:val="-77"/>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w:t>
      </w:r>
    </w:p>
    <w:p w14:paraId="4E749B93">
      <w:pPr>
        <w:spacing w:before="112" w:line="219" w:lineRule="auto"/>
        <w:ind w:firstLine="478"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13.4  </w:t>
      </w:r>
      <w:r>
        <w:rPr>
          <w:rFonts w:hint="eastAsia" w:ascii="宋体" w:hAnsi="宋体" w:eastAsia="宋体" w:cs="宋体"/>
          <w:color w:val="auto"/>
          <w:spacing w:val="-1"/>
          <w:sz w:val="24"/>
          <w:szCs w:val="24"/>
          <w:highlight w:val="none"/>
        </w:rPr>
        <w:t>代理机构对因不可抗力事件造成的投</w:t>
      </w:r>
      <w:r>
        <w:rPr>
          <w:rFonts w:hint="eastAsia" w:ascii="宋体" w:hAnsi="宋体" w:eastAsia="宋体" w:cs="宋体"/>
          <w:color w:val="auto"/>
          <w:spacing w:val="-2"/>
          <w:sz w:val="24"/>
          <w:szCs w:val="24"/>
          <w:highlight w:val="none"/>
        </w:rPr>
        <w:t>标文件的损坏、丢失的，不承担责任。</w:t>
      </w:r>
    </w:p>
    <w:p w14:paraId="0953908A">
      <w:pPr>
        <w:spacing w:before="116" w:line="22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13.5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1"/>
          <w:sz w:val="24"/>
          <w:szCs w:val="24"/>
          <w:highlight w:val="none"/>
        </w:rPr>
        <w:t>出现下述情形之一，属于未成功提</w:t>
      </w:r>
      <w:r>
        <w:rPr>
          <w:rFonts w:hint="eastAsia" w:ascii="宋体" w:hAnsi="宋体" w:eastAsia="宋体" w:cs="宋体"/>
          <w:color w:val="auto"/>
          <w:spacing w:val="-2"/>
          <w:sz w:val="24"/>
          <w:szCs w:val="24"/>
          <w:highlight w:val="none"/>
        </w:rPr>
        <w:t>交投标文件，按无效投标处理：</w:t>
      </w:r>
    </w:p>
    <w:p w14:paraId="4C1A04F2">
      <w:pPr>
        <w:spacing w:before="115" w:line="219"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（1）至提交投标文件截止时，投标文件未完整上传及提交标书；</w:t>
      </w:r>
    </w:p>
    <w:p w14:paraId="136EA809">
      <w:pPr>
        <w:spacing w:before="114"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（2）解密失败且在规定时间内未重新提交投标文件的；</w:t>
      </w:r>
    </w:p>
    <w:p w14:paraId="0AFE6670">
      <w:pPr>
        <w:spacing w:before="115" w:line="220" w:lineRule="auto"/>
        <w:ind w:left="74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664AC496">
      <w:pPr>
        <w:spacing w:before="115"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13.6  </w:t>
      </w:r>
      <w:r>
        <w:rPr>
          <w:rFonts w:hint="eastAsia" w:ascii="宋体" w:hAnsi="宋体" w:eastAsia="宋体" w:cs="宋体"/>
          <w:color w:val="auto"/>
          <w:spacing w:val="-1"/>
          <w:sz w:val="24"/>
          <w:szCs w:val="24"/>
          <w:highlight w:val="none"/>
        </w:rPr>
        <w:t>联合体投标的，由联合体牵头人按以上要求递交相关资料。</w:t>
      </w:r>
    </w:p>
    <w:p w14:paraId="1F03B17B">
      <w:pPr>
        <w:spacing w:before="113" w:line="279" w:lineRule="auto"/>
        <w:ind w:left="9" w:right="24" w:firstLine="486"/>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 xml:space="preserve">13.7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1"/>
          <w:sz w:val="24"/>
          <w:szCs w:val="24"/>
          <w:highlight w:val="none"/>
        </w:rPr>
        <w:t>应向投标人出具标明签收</w:t>
      </w:r>
      <w:r>
        <w:rPr>
          <w:rFonts w:hint="eastAsia" w:ascii="宋体" w:hAnsi="宋体" w:eastAsia="宋体" w:cs="宋体"/>
          <w:color w:val="auto"/>
          <w:spacing w:val="-2"/>
          <w:sz w:val="24"/>
          <w:szCs w:val="24"/>
          <w:highlight w:val="none"/>
        </w:rPr>
        <w:t>人和签收时间的凭证，并妥善保管。</w:t>
      </w:r>
    </w:p>
    <w:p w14:paraId="448545F1">
      <w:pPr>
        <w:spacing w:before="113" w:line="279" w:lineRule="auto"/>
        <w:ind w:left="9" w:right="24" w:firstLine="48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13.8 </w:t>
      </w:r>
      <w:r>
        <w:rPr>
          <w:rFonts w:hint="eastAsia" w:ascii="宋体" w:hAnsi="宋体" w:eastAsia="宋体" w:cs="宋体"/>
          <w:color w:val="auto"/>
          <w:spacing w:val="-2"/>
          <w:sz w:val="24"/>
          <w:szCs w:val="24"/>
          <w:highlight w:val="none"/>
        </w:rPr>
        <w:t xml:space="preserve"> 本次招标投标有效期为</w:t>
      </w:r>
      <w:r>
        <w:rPr>
          <w:rFonts w:hint="eastAsia" w:ascii="宋体" w:hAnsi="宋体" w:eastAsia="宋体" w:cs="宋体"/>
          <w:color w:val="auto"/>
          <w:spacing w:val="-2"/>
          <w:sz w:val="24"/>
          <w:szCs w:val="24"/>
          <w:highlight w:val="none"/>
          <w:u w:val="single"/>
          <w:lang w:eastAsia="zh-CN"/>
        </w:rPr>
        <w:t>90</w:t>
      </w:r>
      <w:r>
        <w:rPr>
          <w:rFonts w:hint="eastAsia" w:ascii="宋体" w:hAnsi="宋体" w:eastAsia="宋体" w:cs="宋体"/>
          <w:color w:val="auto"/>
          <w:spacing w:val="-2"/>
          <w:sz w:val="24"/>
          <w:szCs w:val="24"/>
          <w:highlight w:val="none"/>
        </w:rPr>
        <w:t>个日历天，投标有效期从提交投标文件的截止之日起计算。在此期间，投标人不得撤销或修改其</w:t>
      </w:r>
      <w:r>
        <w:rPr>
          <w:rFonts w:hint="eastAsia" w:ascii="宋体" w:hAnsi="宋体" w:eastAsia="宋体" w:cs="宋体"/>
          <w:color w:val="auto"/>
          <w:spacing w:val="-7"/>
          <w:sz w:val="24"/>
          <w:szCs w:val="24"/>
          <w:highlight w:val="none"/>
        </w:rPr>
        <w:t>投标文件，否则其投标保证不予退还。</w:t>
      </w:r>
    </w:p>
    <w:p w14:paraId="5EEAEF00">
      <w:pPr>
        <w:spacing w:before="145" w:line="221" w:lineRule="auto"/>
        <w:ind w:left="496"/>
        <w:outlineLvl w:val="2"/>
        <w:rPr>
          <w:rFonts w:hint="eastAsia" w:ascii="宋体" w:hAnsi="宋体" w:eastAsia="宋体" w:cs="宋体"/>
          <w:color w:val="auto"/>
          <w:sz w:val="24"/>
          <w:szCs w:val="24"/>
          <w:highlight w:val="none"/>
        </w:rPr>
      </w:pPr>
      <w:bookmarkStart w:id="63" w:name="_Toc8365"/>
      <w:bookmarkStart w:id="64" w:name="_Toc22047"/>
      <w:r>
        <w:rPr>
          <w:rFonts w:hint="eastAsia" w:ascii="宋体" w:hAnsi="宋体" w:eastAsia="宋体" w:cs="宋体"/>
          <w:b/>
          <w:bCs/>
          <w:color w:val="auto"/>
          <w:spacing w:val="-11"/>
          <w:sz w:val="24"/>
          <w:szCs w:val="24"/>
          <w:highlight w:val="none"/>
        </w:rPr>
        <w:t>14</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．开标</w:t>
      </w:r>
      <w:bookmarkEnd w:id="63"/>
      <w:bookmarkEnd w:id="64"/>
    </w:p>
    <w:p w14:paraId="0B0B4CC1">
      <w:pPr>
        <w:spacing w:before="155" w:line="329" w:lineRule="auto"/>
        <w:ind w:left="10" w:right="81" w:firstLine="48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14.1  </w:t>
      </w:r>
      <w:r>
        <w:rPr>
          <w:rFonts w:hint="eastAsia" w:ascii="宋体" w:hAnsi="宋体" w:eastAsia="宋体" w:cs="宋体"/>
          <w:color w:val="auto"/>
          <w:spacing w:val="-3"/>
          <w:sz w:val="24"/>
          <w:szCs w:val="24"/>
          <w:highlight w:val="none"/>
        </w:rPr>
        <w:t>招标人邀请所有正确获取招标文件、电子投标、缴纳投标保证的投标人参加</w:t>
      </w:r>
      <w:r>
        <w:rPr>
          <w:rFonts w:hint="eastAsia" w:ascii="宋体" w:hAnsi="宋体" w:eastAsia="宋体" w:cs="宋体"/>
          <w:color w:val="auto"/>
          <w:spacing w:val="-1"/>
          <w:sz w:val="24"/>
          <w:szCs w:val="24"/>
          <w:highlight w:val="none"/>
        </w:rPr>
        <w:t>开标，投标人可自主决定是否参加。投标人可登陆交易平台</w:t>
      </w:r>
      <w:r>
        <w:rPr>
          <w:rFonts w:hint="eastAsia" w:ascii="宋体" w:hAnsi="宋体" w:eastAsia="宋体" w:cs="宋体"/>
          <w:color w:val="auto"/>
          <w:spacing w:val="-2"/>
          <w:sz w:val="24"/>
          <w:szCs w:val="24"/>
          <w:highlight w:val="none"/>
        </w:rPr>
        <w:t>观看开标实况、提出异议</w:t>
      </w:r>
      <w:r>
        <w:rPr>
          <w:rFonts w:hint="eastAsia" w:ascii="宋体" w:hAnsi="宋体" w:eastAsia="宋体" w:cs="宋体"/>
          <w:color w:val="auto"/>
          <w:spacing w:val="-1"/>
          <w:sz w:val="24"/>
          <w:szCs w:val="24"/>
          <w:highlight w:val="none"/>
        </w:rPr>
        <w:t>或进行澄清、确认等操作（具体按招标文件和系统操作手册</w:t>
      </w:r>
      <w:r>
        <w:rPr>
          <w:rFonts w:hint="eastAsia" w:ascii="宋体" w:hAnsi="宋体" w:eastAsia="宋体" w:cs="宋体"/>
          <w:color w:val="auto"/>
          <w:spacing w:val="-2"/>
          <w:sz w:val="24"/>
          <w:szCs w:val="24"/>
          <w:highlight w:val="none"/>
        </w:rPr>
        <w:t>为准）。投标人不参加开</w:t>
      </w:r>
      <w:bookmarkStart w:id="65" w:name="bookmark123"/>
      <w:bookmarkEnd w:id="65"/>
      <w:r>
        <w:rPr>
          <w:rFonts w:hint="eastAsia" w:ascii="宋体" w:hAnsi="宋体" w:eastAsia="宋体" w:cs="宋体"/>
          <w:color w:val="auto"/>
          <w:sz w:val="24"/>
          <w:szCs w:val="24"/>
          <w:highlight w:val="none"/>
        </w:rPr>
        <w:t>标的，视其默认开标结果，以及放弃在开标期间见证、</w:t>
      </w:r>
      <w:r>
        <w:rPr>
          <w:rFonts w:hint="eastAsia" w:ascii="宋体" w:hAnsi="宋体" w:eastAsia="宋体" w:cs="宋体"/>
          <w:color w:val="auto"/>
          <w:spacing w:val="-1"/>
          <w:sz w:val="24"/>
          <w:szCs w:val="24"/>
          <w:highlight w:val="none"/>
        </w:rPr>
        <w:t>监督、投诉、申辩的权利。</w:t>
      </w:r>
    </w:p>
    <w:p w14:paraId="3406F8BE">
      <w:pPr>
        <w:spacing w:before="156" w:line="219"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14.1.1  </w:t>
      </w:r>
      <w:r>
        <w:rPr>
          <w:rFonts w:hint="eastAsia" w:ascii="宋体" w:hAnsi="宋体" w:eastAsia="宋体" w:cs="宋体"/>
          <w:color w:val="auto"/>
          <w:sz w:val="24"/>
          <w:szCs w:val="24"/>
          <w:highlight w:val="none"/>
        </w:rPr>
        <w:t>开标时间和地点：见本章第</w:t>
      </w:r>
      <w:r>
        <w:rPr>
          <w:rFonts w:hint="eastAsia" w:ascii="宋体" w:hAnsi="宋体" w:eastAsia="宋体" w:cs="宋体"/>
          <w:color w:val="auto"/>
          <w:spacing w:val="-1"/>
          <w:sz w:val="24"/>
          <w:szCs w:val="24"/>
          <w:highlight w:val="none"/>
        </w:rPr>
        <w:t>二节“重要事项时间地点一览表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w:t>
      </w:r>
    </w:p>
    <w:p w14:paraId="350BB8FC">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 xml:space="preserve">14.1.2 </w:t>
      </w:r>
      <w:r>
        <w:rPr>
          <w:rFonts w:hint="eastAsia" w:ascii="宋体" w:hAnsi="宋体" w:eastAsia="宋体" w:cs="宋体"/>
          <w:color w:val="auto"/>
          <w:spacing w:val="-7"/>
          <w:sz w:val="24"/>
          <w:szCs w:val="24"/>
          <w:highlight w:val="none"/>
        </w:rPr>
        <w:t>开标前</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7"/>
          <w:sz w:val="24"/>
          <w:szCs w:val="24"/>
          <w:highlight w:val="none"/>
        </w:rPr>
        <w:t>24</w:t>
      </w:r>
      <w:r>
        <w:rPr>
          <w:rFonts w:hint="eastAsia" w:ascii="宋体" w:hAnsi="宋体" w:eastAsia="宋体" w:cs="宋体"/>
          <w:color w:val="auto"/>
          <w:spacing w:val="-44"/>
          <w:sz w:val="24"/>
          <w:szCs w:val="24"/>
          <w:highlight w:val="none"/>
        </w:rPr>
        <w:t xml:space="preserve"> </w:t>
      </w:r>
      <w:r>
        <w:rPr>
          <w:rFonts w:hint="eastAsia" w:ascii="宋体" w:hAnsi="宋体" w:eastAsia="宋体" w:cs="宋体"/>
          <w:color w:val="auto"/>
          <w:spacing w:val="-7"/>
          <w:sz w:val="24"/>
          <w:szCs w:val="24"/>
          <w:highlight w:val="none"/>
        </w:rPr>
        <w:t>小时，若建设工程交易系统显示缴</w:t>
      </w:r>
      <w:r>
        <w:rPr>
          <w:rFonts w:hint="eastAsia" w:ascii="宋体" w:hAnsi="宋体" w:eastAsia="宋体" w:cs="宋体"/>
          <w:color w:val="auto"/>
          <w:spacing w:val="-8"/>
          <w:sz w:val="24"/>
          <w:szCs w:val="24"/>
          <w:highlight w:val="none"/>
        </w:rPr>
        <w:t>纳投标保证（包括投标保证金、</w:t>
      </w:r>
      <w:r>
        <w:rPr>
          <w:rFonts w:hint="eastAsia" w:ascii="宋体" w:hAnsi="宋体" w:eastAsia="宋体" w:cs="宋体"/>
          <w:color w:val="auto"/>
          <w:spacing w:val="-2"/>
          <w:sz w:val="24"/>
          <w:szCs w:val="24"/>
          <w:highlight w:val="none"/>
        </w:rPr>
        <w:t>投标保证担保、投标保证保险）的投标人数量不足</w:t>
      </w:r>
      <w:r>
        <w:rPr>
          <w:rFonts w:hint="eastAsia" w:ascii="宋体" w:hAnsi="宋体" w:eastAsia="宋体" w:cs="宋体"/>
          <w:color w:val="auto"/>
          <w:spacing w:val="-42"/>
          <w:sz w:val="24"/>
          <w:szCs w:val="24"/>
          <w:highlight w:val="none"/>
        </w:rPr>
        <w:t xml:space="preserve"> </w:t>
      </w:r>
      <w:r>
        <w:rPr>
          <w:rFonts w:hint="eastAsia" w:ascii="宋体" w:hAnsi="宋体" w:eastAsia="宋体" w:cs="宋体"/>
          <w:color w:val="auto"/>
          <w:spacing w:val="-2"/>
          <w:sz w:val="24"/>
          <w:szCs w:val="24"/>
          <w:highlight w:val="none"/>
        </w:rPr>
        <w:t>3</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2"/>
          <w:sz w:val="24"/>
          <w:szCs w:val="24"/>
          <w:highlight w:val="none"/>
        </w:rPr>
        <w:t>个时，招标人将取消原定于次日</w:t>
      </w:r>
      <w:r>
        <w:rPr>
          <w:rFonts w:hint="eastAsia" w:ascii="宋体" w:hAnsi="宋体" w:eastAsia="宋体" w:cs="宋体"/>
          <w:color w:val="auto"/>
          <w:spacing w:val="-1"/>
          <w:sz w:val="24"/>
          <w:szCs w:val="24"/>
          <w:highlight w:val="none"/>
        </w:rPr>
        <w:t>召开的开标活动。投标人可在投标保证缴纳截止时间（见本章</w:t>
      </w:r>
      <w:r>
        <w:rPr>
          <w:rFonts w:hint="eastAsia" w:ascii="宋体" w:hAnsi="宋体" w:eastAsia="宋体" w:cs="宋体"/>
          <w:color w:val="auto"/>
          <w:spacing w:val="-2"/>
          <w:sz w:val="24"/>
          <w:szCs w:val="24"/>
          <w:highlight w:val="none"/>
        </w:rPr>
        <w:t>第二节“重要事项时间</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地点一览表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”）至电子投标截止时间（见本章第二节“重要事项时间地点一览</w:t>
      </w:r>
      <w:r>
        <w:rPr>
          <w:rFonts w:hint="eastAsia" w:ascii="宋体" w:hAnsi="宋体" w:eastAsia="宋体" w:cs="宋体"/>
          <w:color w:val="auto"/>
          <w:spacing w:val="-2"/>
          <w:sz w:val="24"/>
          <w:szCs w:val="24"/>
          <w:highlight w:val="none"/>
        </w:rPr>
        <w:t>表</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期间登录全国公共资源交易平台（广东省</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22"/>
          <w:sz w:val="24"/>
          <w:szCs w:val="24"/>
          <w:highlight w:val="none"/>
        </w:rPr>
        <w:t>）（</w:t>
      </w:r>
      <w:r>
        <w:rPr>
          <w:rFonts w:hint="eastAsia" w:ascii="宋体" w:hAnsi="宋体" w:eastAsia="宋体" w:cs="宋体"/>
          <w:color w:val="auto"/>
          <w:spacing w:val="-2"/>
          <w:sz w:val="24"/>
          <w:szCs w:val="24"/>
          <w:highlight w:val="none"/>
        </w:rPr>
        <w:t>https://ygp.gdzwfw.gov.cn/</w:t>
      </w:r>
      <w:r>
        <w:rPr>
          <w:rFonts w:hint="eastAsia" w:ascii="宋体" w:hAnsi="宋体" w:eastAsia="宋体" w:cs="宋体"/>
          <w:color w:val="auto"/>
          <w:sz w:val="24"/>
          <w:szCs w:val="24"/>
          <w:highlight w:val="none"/>
        </w:rPr>
        <w:t xml:space="preserve"> ggzy-portal/#/440200/index）查询是否发布了取</w:t>
      </w:r>
      <w:r>
        <w:rPr>
          <w:rFonts w:hint="eastAsia" w:ascii="宋体" w:hAnsi="宋体" w:eastAsia="宋体" w:cs="宋体"/>
          <w:color w:val="auto"/>
          <w:spacing w:val="-1"/>
          <w:sz w:val="24"/>
          <w:szCs w:val="24"/>
          <w:highlight w:val="none"/>
        </w:rPr>
        <w:t>消开标活动的相关信息。</w:t>
      </w:r>
    </w:p>
    <w:p w14:paraId="4F0435AE">
      <w:pPr>
        <w:spacing w:before="159" w:line="319" w:lineRule="auto"/>
        <w:ind w:left="10" w:right="80" w:firstLine="49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14.1.3</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4"/>
          <w:sz w:val="24"/>
          <w:szCs w:val="24"/>
          <w:highlight w:val="none"/>
        </w:rPr>
        <w:t>本项目实行全流程电子化招标投标，投标人在交易平台按要求上传加盖电</w:t>
      </w:r>
      <w:r>
        <w:rPr>
          <w:rFonts w:hint="eastAsia" w:ascii="宋体" w:hAnsi="宋体" w:eastAsia="宋体" w:cs="宋体"/>
          <w:color w:val="auto"/>
          <w:spacing w:val="-1"/>
          <w:sz w:val="24"/>
          <w:szCs w:val="24"/>
          <w:highlight w:val="none"/>
        </w:rPr>
        <w:t>子印章并经加密的电子投标文件，并在交易平台录入准确的</w:t>
      </w:r>
      <w:r>
        <w:rPr>
          <w:rFonts w:hint="eastAsia" w:ascii="宋体" w:hAnsi="宋体" w:eastAsia="宋体" w:cs="宋体"/>
          <w:color w:val="auto"/>
          <w:spacing w:val="-2"/>
          <w:sz w:val="24"/>
          <w:szCs w:val="24"/>
          <w:highlight w:val="none"/>
        </w:rPr>
        <w:t>页码信息即可完成在线投</w:t>
      </w:r>
      <w:r>
        <w:rPr>
          <w:rFonts w:hint="eastAsia" w:ascii="宋体" w:hAnsi="宋体" w:eastAsia="宋体" w:cs="宋体"/>
          <w:color w:val="auto"/>
          <w:spacing w:val="-1"/>
          <w:sz w:val="24"/>
          <w:szCs w:val="24"/>
          <w:highlight w:val="none"/>
        </w:rPr>
        <w:t>标</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由于投标人原因导致未按投标截至时限上传完整投标文</w:t>
      </w:r>
      <w:r>
        <w:rPr>
          <w:rFonts w:hint="eastAsia" w:ascii="宋体" w:hAnsi="宋体" w:eastAsia="宋体" w:cs="宋体"/>
          <w:color w:val="auto"/>
          <w:spacing w:val="-2"/>
          <w:sz w:val="24"/>
          <w:szCs w:val="24"/>
          <w:highlight w:val="none"/>
        </w:rPr>
        <w:t>件、在交易平台中上传的</w:t>
      </w:r>
      <w:r>
        <w:rPr>
          <w:rFonts w:hint="eastAsia" w:ascii="宋体" w:hAnsi="宋体" w:eastAsia="宋体" w:cs="宋体"/>
          <w:color w:val="auto"/>
          <w:spacing w:val="-1"/>
          <w:sz w:val="24"/>
          <w:szCs w:val="24"/>
          <w:highlight w:val="none"/>
        </w:rPr>
        <w:t>投标文件无法解密、投标文件损坏或格式不正确、投标文件</w:t>
      </w:r>
      <w:r>
        <w:rPr>
          <w:rFonts w:hint="eastAsia" w:ascii="宋体" w:hAnsi="宋体" w:eastAsia="宋体" w:cs="宋体"/>
          <w:color w:val="auto"/>
          <w:spacing w:val="-2"/>
          <w:sz w:val="24"/>
          <w:szCs w:val="24"/>
          <w:highlight w:val="none"/>
        </w:rPr>
        <w:t>未按招标文件要求加盖电</w:t>
      </w:r>
      <w:r>
        <w:rPr>
          <w:rFonts w:hint="eastAsia" w:ascii="宋体" w:hAnsi="宋体" w:eastAsia="宋体" w:cs="宋体"/>
          <w:color w:val="auto"/>
          <w:spacing w:val="-1"/>
          <w:sz w:val="24"/>
          <w:szCs w:val="24"/>
          <w:highlight w:val="none"/>
        </w:rPr>
        <w:t>子印章或电子印章不完整、电子投标文件解密失败且未按要</w:t>
      </w:r>
      <w:r>
        <w:rPr>
          <w:rFonts w:hint="eastAsia" w:ascii="宋体" w:hAnsi="宋体" w:eastAsia="宋体" w:cs="宋体"/>
          <w:color w:val="auto"/>
          <w:spacing w:val="-2"/>
          <w:sz w:val="24"/>
          <w:szCs w:val="24"/>
          <w:highlight w:val="none"/>
        </w:rPr>
        <w:t>求上传备用投标文件等情</w:t>
      </w:r>
      <w:r>
        <w:rPr>
          <w:rFonts w:hint="eastAsia" w:ascii="宋体" w:hAnsi="宋体" w:eastAsia="宋体" w:cs="宋体"/>
          <w:color w:val="auto"/>
          <w:spacing w:val="-1"/>
          <w:sz w:val="24"/>
          <w:szCs w:val="24"/>
          <w:highlight w:val="none"/>
        </w:rPr>
        <w:t>形导致投标无效的，由投标人自行负责。</w:t>
      </w:r>
    </w:p>
    <w:p w14:paraId="01A13E25">
      <w:pPr>
        <w:spacing w:before="152" w:line="221"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14.2  </w:t>
      </w:r>
      <w:r>
        <w:rPr>
          <w:rFonts w:hint="eastAsia" w:ascii="宋体" w:hAnsi="宋体" w:eastAsia="宋体" w:cs="宋体"/>
          <w:color w:val="auto"/>
          <w:spacing w:val="-2"/>
          <w:sz w:val="24"/>
          <w:szCs w:val="24"/>
          <w:highlight w:val="none"/>
        </w:rPr>
        <w:t>开标程序</w:t>
      </w:r>
    </w:p>
    <w:p w14:paraId="3F266000">
      <w:pPr>
        <w:spacing w:before="42" w:line="219" w:lineRule="auto"/>
        <w:ind w:left="501"/>
        <w:outlineLvl w:val="9"/>
        <w:rPr>
          <w:rFonts w:hint="eastAsia" w:ascii="宋体" w:hAnsi="宋体" w:eastAsia="宋体" w:cs="宋体"/>
          <w:color w:val="auto"/>
          <w:sz w:val="24"/>
          <w:szCs w:val="24"/>
          <w:highlight w:val="none"/>
        </w:rPr>
      </w:pPr>
      <w:bookmarkStart w:id="66" w:name="_Toc8314"/>
      <w:bookmarkStart w:id="67" w:name="_Toc15587"/>
      <w:bookmarkStart w:id="68" w:name="_Toc10291"/>
      <w:bookmarkStart w:id="69" w:name="_Toc10685"/>
      <w:r>
        <w:rPr>
          <w:rFonts w:hint="eastAsia" w:ascii="宋体" w:hAnsi="宋体" w:eastAsia="宋体" w:cs="宋体"/>
          <w:color w:val="auto"/>
          <w:spacing w:val="-1"/>
          <w:sz w:val="24"/>
          <w:szCs w:val="24"/>
          <w:highlight w:val="none"/>
        </w:rPr>
        <w:t>（1）主持人（招标人代表或招标人授权的招标代理机构人员）宣读开标纪律。</w:t>
      </w:r>
      <w:bookmarkEnd w:id="66"/>
      <w:bookmarkEnd w:id="67"/>
      <w:bookmarkEnd w:id="68"/>
      <w:bookmarkEnd w:id="69"/>
    </w:p>
    <w:p w14:paraId="3C99B892">
      <w:pPr>
        <w:spacing w:before="181" w:line="219" w:lineRule="auto"/>
        <w:ind w:left="501"/>
        <w:outlineLvl w:val="9"/>
        <w:rPr>
          <w:rFonts w:hint="eastAsia" w:ascii="宋体" w:hAnsi="宋体" w:eastAsia="宋体" w:cs="宋体"/>
          <w:color w:val="auto"/>
          <w:sz w:val="24"/>
          <w:szCs w:val="24"/>
          <w:highlight w:val="none"/>
        </w:rPr>
      </w:pPr>
      <w:bookmarkStart w:id="70" w:name="_Toc2011"/>
      <w:bookmarkStart w:id="71" w:name="_Toc30853"/>
      <w:bookmarkStart w:id="72" w:name="_Toc16292"/>
      <w:bookmarkStart w:id="73" w:name="_Toc20238"/>
      <w:r>
        <w:rPr>
          <w:rFonts w:hint="eastAsia" w:ascii="宋体" w:hAnsi="宋体" w:eastAsia="宋体" w:cs="宋体"/>
          <w:color w:val="auto"/>
          <w:spacing w:val="-1"/>
          <w:sz w:val="24"/>
          <w:szCs w:val="24"/>
          <w:highlight w:val="none"/>
        </w:rPr>
        <w:t>（2）主持人宣布唱标人、记录人、见证人、监督人等有关人员姓名。</w:t>
      </w:r>
      <w:bookmarkEnd w:id="70"/>
      <w:bookmarkEnd w:id="71"/>
      <w:bookmarkEnd w:id="72"/>
      <w:bookmarkEnd w:id="73"/>
    </w:p>
    <w:p w14:paraId="19271947">
      <w:pPr>
        <w:spacing w:before="183" w:line="219" w:lineRule="auto"/>
        <w:ind w:left="501"/>
        <w:outlineLvl w:val="9"/>
        <w:rPr>
          <w:rFonts w:hint="eastAsia" w:ascii="宋体" w:hAnsi="宋体" w:eastAsia="宋体" w:cs="宋体"/>
          <w:color w:val="auto"/>
          <w:sz w:val="24"/>
          <w:szCs w:val="24"/>
          <w:highlight w:val="none"/>
        </w:rPr>
      </w:pPr>
      <w:bookmarkStart w:id="74" w:name="_Toc31716"/>
      <w:bookmarkStart w:id="75" w:name="_Toc17462"/>
      <w:bookmarkStart w:id="76" w:name="_Toc1974"/>
      <w:bookmarkStart w:id="77" w:name="_Toc26494"/>
      <w:r>
        <w:rPr>
          <w:rFonts w:hint="eastAsia" w:ascii="宋体" w:hAnsi="宋体" w:eastAsia="宋体" w:cs="宋体"/>
          <w:color w:val="auto"/>
          <w:spacing w:val="-1"/>
          <w:sz w:val="24"/>
          <w:szCs w:val="24"/>
          <w:highlight w:val="none"/>
        </w:rPr>
        <w:t>（3）唱标人公布在投标截止时间前进行投标文件的投标人数量和名称</w:t>
      </w:r>
      <w:bookmarkEnd w:id="74"/>
      <w:bookmarkEnd w:id="75"/>
      <w:bookmarkEnd w:id="76"/>
      <w:bookmarkEnd w:id="77"/>
    </w:p>
    <w:p w14:paraId="4195A8F3">
      <w:pPr>
        <w:spacing w:before="181" w:line="219" w:lineRule="auto"/>
        <w:ind w:left="501"/>
        <w:outlineLvl w:val="9"/>
        <w:rPr>
          <w:rFonts w:hint="eastAsia" w:ascii="宋体" w:hAnsi="宋体" w:eastAsia="宋体" w:cs="宋体"/>
          <w:color w:val="auto"/>
          <w:sz w:val="24"/>
          <w:szCs w:val="24"/>
          <w:highlight w:val="none"/>
        </w:rPr>
      </w:pPr>
      <w:bookmarkStart w:id="78" w:name="_Toc20559"/>
      <w:bookmarkStart w:id="79" w:name="_Toc15860"/>
      <w:bookmarkStart w:id="80" w:name="_Toc8179"/>
      <w:bookmarkStart w:id="81" w:name="_Toc27967"/>
      <w:r>
        <w:rPr>
          <w:rFonts w:hint="eastAsia" w:ascii="宋体" w:hAnsi="宋体" w:eastAsia="宋体" w:cs="宋体"/>
          <w:color w:val="auto"/>
          <w:spacing w:val="2"/>
          <w:sz w:val="24"/>
          <w:szCs w:val="24"/>
          <w:highlight w:val="none"/>
        </w:rPr>
        <w:t>（4）招标代理机构会同交易场所工作人员对投标人的</w:t>
      </w:r>
      <w:r>
        <w:rPr>
          <w:rFonts w:hint="eastAsia" w:ascii="宋体" w:hAnsi="宋体" w:eastAsia="宋体" w:cs="宋体"/>
          <w:color w:val="auto"/>
          <w:spacing w:val="1"/>
          <w:sz w:val="24"/>
          <w:szCs w:val="24"/>
          <w:highlight w:val="none"/>
        </w:rPr>
        <w:t>电子投标信息进行解密，</w:t>
      </w:r>
      <w:bookmarkEnd w:id="78"/>
      <w:bookmarkEnd w:id="79"/>
      <w:bookmarkEnd w:id="80"/>
      <w:bookmarkEnd w:id="81"/>
    </w:p>
    <w:p w14:paraId="4C6D83AB">
      <w:pPr>
        <w:spacing w:before="183" w:line="220" w:lineRule="auto"/>
        <w:ind w:left="1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建设工程交易系统自动生成《投标保证缴纳情况表》和《开标一览表》。</w:t>
      </w:r>
    </w:p>
    <w:p w14:paraId="0A1A93F2">
      <w:pPr>
        <w:spacing w:before="182" w:line="360" w:lineRule="auto"/>
        <w:ind w:firstLine="466" w:firstLineChars="200"/>
        <w:outlineLvl w:val="9"/>
        <w:rPr>
          <w:rFonts w:hint="eastAsia" w:ascii="宋体" w:hAnsi="宋体" w:eastAsia="宋体" w:cs="宋体"/>
          <w:color w:val="auto"/>
          <w:sz w:val="24"/>
          <w:szCs w:val="24"/>
          <w:highlight w:val="none"/>
        </w:rPr>
      </w:pPr>
      <w:bookmarkStart w:id="82" w:name="_Toc2199"/>
      <w:bookmarkStart w:id="83" w:name="_Toc28266"/>
      <w:bookmarkStart w:id="84" w:name="_Toc28812"/>
      <w:bookmarkStart w:id="85" w:name="_Toc26216"/>
      <w:r>
        <w:rPr>
          <w:rFonts w:hint="eastAsia" w:ascii="宋体" w:hAnsi="宋体" w:eastAsia="宋体" w:cs="宋体"/>
          <w:b/>
          <w:bCs/>
          <w:color w:val="auto"/>
          <w:spacing w:val="-4"/>
          <w:sz w:val="24"/>
          <w:szCs w:val="24"/>
          <w:highlight w:val="none"/>
        </w:rPr>
        <w:t>温馨提示：因本项目实行全流程电子化招标投标，投标人无须进行现场签到，可</w:t>
      </w:r>
      <w:bookmarkEnd w:id="82"/>
      <w:bookmarkEnd w:id="83"/>
      <w:bookmarkEnd w:id="84"/>
      <w:r>
        <w:rPr>
          <w:rFonts w:hint="eastAsia" w:ascii="宋体" w:hAnsi="宋体" w:eastAsia="宋体" w:cs="宋体"/>
          <w:b/>
          <w:bCs/>
          <w:color w:val="auto"/>
          <w:spacing w:val="-4"/>
          <w:sz w:val="24"/>
          <w:szCs w:val="24"/>
          <w:highlight w:val="none"/>
        </w:rPr>
        <w:t>登录交易平台观看开标实况、提出异议或进行澄清、确认等操作，对开标事项的异议</w:t>
      </w:r>
      <w:r>
        <w:rPr>
          <w:rFonts w:hint="eastAsia" w:ascii="宋体" w:hAnsi="宋体" w:eastAsia="宋体" w:cs="宋体"/>
          <w:b/>
          <w:bCs/>
          <w:color w:val="auto"/>
          <w:spacing w:val="-2"/>
          <w:sz w:val="24"/>
          <w:szCs w:val="24"/>
          <w:highlight w:val="none"/>
        </w:rPr>
        <w:t>未在开标期间提出的，招标</w:t>
      </w:r>
      <w:r>
        <w:rPr>
          <w:rFonts w:hint="eastAsia" w:ascii="宋体" w:hAnsi="宋体" w:eastAsia="宋体" w:cs="宋体"/>
          <w:b/>
          <w:bCs/>
          <w:color w:val="auto"/>
          <w:spacing w:val="-2"/>
          <w:sz w:val="24"/>
          <w:szCs w:val="24"/>
          <w:highlight w:val="none"/>
          <w:lang w:eastAsia="zh-CN"/>
        </w:rPr>
        <w:t>人不</w:t>
      </w:r>
      <w:r>
        <w:rPr>
          <w:rFonts w:hint="eastAsia" w:ascii="宋体" w:hAnsi="宋体" w:eastAsia="宋体" w:cs="宋体"/>
          <w:b/>
          <w:bCs/>
          <w:color w:val="auto"/>
          <w:spacing w:val="-2"/>
          <w:sz w:val="24"/>
          <w:szCs w:val="24"/>
          <w:highlight w:val="none"/>
        </w:rPr>
        <w:t>予受理。具体按招标文件和系统操作手册为</w:t>
      </w:r>
      <w:r>
        <w:rPr>
          <w:rFonts w:hint="eastAsia" w:ascii="宋体" w:hAnsi="宋体" w:eastAsia="宋体" w:cs="宋体"/>
          <w:b/>
          <w:bCs/>
          <w:color w:val="auto"/>
          <w:spacing w:val="-3"/>
          <w:sz w:val="24"/>
          <w:szCs w:val="24"/>
          <w:highlight w:val="none"/>
        </w:rPr>
        <w:t>准。</w:t>
      </w:r>
      <w:bookmarkEnd w:id="85"/>
    </w:p>
    <w:p w14:paraId="230C0802">
      <w:pPr>
        <w:spacing w:before="143" w:line="299" w:lineRule="auto"/>
        <w:ind w:left="11" w:right="80"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14.3  </w:t>
      </w:r>
      <w:r>
        <w:rPr>
          <w:rFonts w:hint="eastAsia" w:ascii="宋体" w:hAnsi="宋体" w:eastAsia="宋体" w:cs="宋体"/>
          <w:color w:val="auto"/>
          <w:spacing w:val="-3"/>
          <w:sz w:val="24"/>
          <w:szCs w:val="24"/>
          <w:highlight w:val="none"/>
        </w:rPr>
        <w:t>投标人对开标相关事项（如开标程序等）有异议的，必须在开标期间和开标</w:t>
      </w:r>
      <w:r>
        <w:rPr>
          <w:rFonts w:hint="eastAsia" w:ascii="宋体" w:hAnsi="宋体" w:eastAsia="宋体" w:cs="宋体"/>
          <w:color w:val="auto"/>
          <w:spacing w:val="-1"/>
          <w:sz w:val="24"/>
          <w:szCs w:val="24"/>
          <w:highlight w:val="none"/>
        </w:rPr>
        <w:t>现场提出，招标人或其授权的招标代理机构应当场作出答</w:t>
      </w:r>
      <w:r>
        <w:rPr>
          <w:rFonts w:hint="eastAsia" w:ascii="宋体" w:hAnsi="宋体" w:eastAsia="宋体" w:cs="宋体"/>
          <w:color w:val="auto"/>
          <w:spacing w:val="-2"/>
          <w:sz w:val="24"/>
          <w:szCs w:val="24"/>
          <w:highlight w:val="none"/>
        </w:rPr>
        <w:t>复，并记录在案。对开标事</w:t>
      </w:r>
      <w:r>
        <w:rPr>
          <w:rFonts w:hint="eastAsia" w:ascii="宋体" w:hAnsi="宋体" w:eastAsia="宋体" w:cs="宋体"/>
          <w:color w:val="auto"/>
          <w:spacing w:val="-1"/>
          <w:sz w:val="24"/>
          <w:szCs w:val="24"/>
          <w:highlight w:val="none"/>
        </w:rPr>
        <w:t>项的异议未在开标期间和开标现场提出的，招标人不予受理。</w:t>
      </w:r>
    </w:p>
    <w:p w14:paraId="3F93A9EF">
      <w:pPr>
        <w:spacing w:before="155" w:line="360" w:lineRule="auto"/>
        <w:ind w:left="8" w:right="82"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14.4 </w:t>
      </w:r>
      <w:r>
        <w:rPr>
          <w:rFonts w:hint="eastAsia" w:ascii="宋体" w:hAnsi="宋体" w:eastAsia="宋体" w:cs="宋体"/>
          <w:color w:val="auto"/>
          <w:spacing w:val="-1"/>
          <w:sz w:val="24"/>
          <w:szCs w:val="24"/>
          <w:highlight w:val="none"/>
        </w:rPr>
        <w:t>招标代理机构将资料原件（如有）</w:t>
      </w:r>
      <w:r>
        <w:rPr>
          <w:rFonts w:hint="eastAsia" w:ascii="宋体" w:hAnsi="宋体" w:eastAsia="宋体" w:cs="宋体"/>
          <w:color w:val="auto"/>
          <w:spacing w:val="-2"/>
          <w:sz w:val="24"/>
          <w:szCs w:val="24"/>
          <w:highlight w:val="none"/>
        </w:rPr>
        <w:t>、《开标一览表》以及其他有关资料移交评标委员会。</w:t>
      </w:r>
    </w:p>
    <w:p w14:paraId="59A5BE61">
      <w:pPr>
        <w:spacing w:before="78" w:line="360" w:lineRule="auto"/>
        <w:ind w:left="496"/>
        <w:outlineLvl w:val="2"/>
        <w:rPr>
          <w:rFonts w:hint="eastAsia" w:ascii="宋体" w:hAnsi="宋体" w:eastAsia="宋体" w:cs="宋体"/>
          <w:color w:val="auto"/>
          <w:sz w:val="24"/>
          <w:szCs w:val="24"/>
          <w:highlight w:val="none"/>
        </w:rPr>
      </w:pPr>
      <w:bookmarkStart w:id="86" w:name="_Toc554"/>
      <w:bookmarkStart w:id="87" w:name="_Toc961"/>
      <w:r>
        <w:rPr>
          <w:rFonts w:hint="eastAsia" w:ascii="宋体" w:hAnsi="宋体" w:eastAsia="宋体" w:cs="宋体"/>
          <w:b/>
          <w:bCs/>
          <w:color w:val="auto"/>
          <w:spacing w:val="-11"/>
          <w:sz w:val="24"/>
          <w:szCs w:val="24"/>
          <w:highlight w:val="none"/>
        </w:rPr>
        <w:t>15</w:t>
      </w:r>
      <w:r>
        <w:rPr>
          <w:rFonts w:hint="eastAsia" w:ascii="宋体" w:hAnsi="宋体" w:eastAsia="宋体" w:cs="宋体"/>
          <w:b/>
          <w:bCs/>
          <w:color w:val="auto"/>
          <w:spacing w:val="-28"/>
          <w:sz w:val="24"/>
          <w:szCs w:val="24"/>
          <w:highlight w:val="none"/>
        </w:rPr>
        <w:t xml:space="preserve"> </w:t>
      </w:r>
      <w:r>
        <w:rPr>
          <w:rFonts w:hint="eastAsia" w:ascii="宋体" w:hAnsi="宋体" w:eastAsia="宋体" w:cs="宋体"/>
          <w:b/>
          <w:bCs/>
          <w:color w:val="auto"/>
          <w:spacing w:val="-11"/>
          <w:sz w:val="24"/>
          <w:szCs w:val="24"/>
          <w:highlight w:val="none"/>
        </w:rPr>
        <w:t>．评标</w:t>
      </w:r>
      <w:bookmarkEnd w:id="86"/>
      <w:bookmarkEnd w:id="87"/>
    </w:p>
    <w:p w14:paraId="56C52FCC">
      <w:pPr>
        <w:keepNext w:val="0"/>
        <w:keepLines w:val="0"/>
        <w:pageBreakBefore w:val="0"/>
        <w:widowControl w:val="0"/>
        <w:kinsoku/>
        <w:wordWrap w:val="0"/>
        <w:overflowPunct/>
        <w:topLinePunct w:val="0"/>
        <w:autoSpaceDE w:val="0"/>
        <w:autoSpaceDN w:val="0"/>
        <w:bidi w:val="0"/>
        <w:adjustRightInd/>
        <w:snapToGrid/>
        <w:spacing w:before="0" w:beforeLines="50" w:line="360" w:lineRule="auto"/>
        <w:ind w:firstLine="480" w:firstLineChars="200"/>
        <w:textAlignment w:val="baseline"/>
        <w:rPr>
          <w:rFonts w:hint="eastAsia" w:ascii="宋体" w:hAnsi="宋体" w:eastAsia="宋体" w:cs="宋体"/>
          <w:snapToGrid w:val="0"/>
          <w:color w:val="auto"/>
          <w:kern w:val="0"/>
          <w:sz w:val="24"/>
          <w:szCs w:val="24"/>
          <w:highlight w:val="none"/>
        </w:rPr>
      </w:pPr>
      <w:bookmarkStart w:id="88" w:name="bookmark124"/>
      <w:bookmarkEnd w:id="88"/>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评标分为初步评审和详细评审两个阶段，由评标委员会在有关部门的监督下，严格按照本招标文件指定的评标方法，对投标人的投标文件进行审查、评审。评标委员会完成评标后，评标委员会按照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排序），并向招标人提交由全体评标委员会成员签字的评标报告。</w:t>
      </w:r>
    </w:p>
    <w:p w14:paraId="3F658121">
      <w:pPr>
        <w:spacing w:before="38" w:line="360" w:lineRule="auto"/>
        <w:ind w:left="49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15.1  </w:t>
      </w:r>
      <w:r>
        <w:rPr>
          <w:rFonts w:hint="eastAsia" w:ascii="宋体" w:hAnsi="宋体" w:eastAsia="宋体" w:cs="宋体"/>
          <w:color w:val="auto"/>
          <w:spacing w:val="-2"/>
          <w:sz w:val="24"/>
          <w:szCs w:val="24"/>
          <w:highlight w:val="none"/>
        </w:rPr>
        <w:t>评标委员会</w:t>
      </w:r>
    </w:p>
    <w:p w14:paraId="4D20598C">
      <w:pPr>
        <w:wordWrap w:val="0"/>
        <w:adjustRightInd w:val="0"/>
        <w:snapToGrid w:val="0"/>
        <w:spacing w:line="360" w:lineRule="auto"/>
        <w:ind w:firstLine="478"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spacing w:val="-1"/>
          <w:sz w:val="24"/>
          <w:szCs w:val="24"/>
          <w:highlight w:val="none"/>
        </w:rPr>
        <w:t xml:space="preserve">15.1.1 </w:t>
      </w:r>
      <w:r>
        <w:rPr>
          <w:rFonts w:hint="eastAsia" w:ascii="宋体" w:hAnsi="宋体" w:eastAsia="宋体" w:cs="宋体"/>
          <w:b w:val="0"/>
          <w:bCs w:val="0"/>
          <w:color w:val="auto"/>
          <w:spacing w:val="-1"/>
          <w:sz w:val="24"/>
          <w:szCs w:val="24"/>
          <w:highlight w:val="none"/>
        </w:rPr>
        <w:t>评标委员会由 5 人组成，其中招标人代表 0 人，专家 5 人。专家从广东省综合评标评审专家库</w:t>
      </w:r>
      <w:r>
        <w:rPr>
          <w:rFonts w:hint="eastAsia" w:ascii="宋体" w:hAnsi="宋体" w:eastAsia="宋体" w:cs="宋体"/>
          <w:b w:val="0"/>
          <w:bCs w:val="0"/>
          <w:color w:val="auto"/>
          <w:spacing w:val="-1"/>
          <w:sz w:val="24"/>
          <w:szCs w:val="24"/>
          <w:highlight w:val="none"/>
          <w:u w:val="single"/>
        </w:rPr>
        <w:t>(韶关区域)、(广东省内异地评标区域)</w:t>
      </w:r>
      <w:r>
        <w:rPr>
          <w:rFonts w:hint="eastAsia" w:ascii="宋体" w:hAnsi="宋体" w:eastAsia="宋体" w:cs="宋体"/>
          <w:b w:val="0"/>
          <w:bCs w:val="0"/>
          <w:color w:val="auto"/>
          <w:spacing w:val="-1"/>
          <w:sz w:val="24"/>
          <w:szCs w:val="24"/>
          <w:highlight w:val="none"/>
        </w:rPr>
        <w:t>中随机抽取，其中技术类专家 3 人，经济类专家 2 人。</w:t>
      </w:r>
      <w:r>
        <w:rPr>
          <w:rFonts w:hint="eastAsia" w:ascii="宋体" w:hAnsi="宋体" w:eastAsia="宋体" w:cs="宋体"/>
          <w:color w:val="auto"/>
          <w:spacing w:val="-1"/>
          <w:sz w:val="24"/>
          <w:szCs w:val="24"/>
          <w:highlight w:val="none"/>
        </w:rPr>
        <w:t>评标委员会设负责人，由评标委员会成员推举产生</w:t>
      </w:r>
      <w:r>
        <w:rPr>
          <w:rFonts w:hint="eastAsia" w:ascii="宋体" w:hAnsi="宋体" w:eastAsia="宋体" w:cs="宋体"/>
          <w:color w:val="auto"/>
          <w:spacing w:val="-2"/>
          <w:sz w:val="24"/>
          <w:szCs w:val="24"/>
          <w:highlight w:val="none"/>
        </w:rPr>
        <w:t>。评标委员会负责人与评</w:t>
      </w:r>
      <w:r>
        <w:rPr>
          <w:rFonts w:hint="eastAsia" w:ascii="宋体" w:hAnsi="宋体" w:eastAsia="宋体" w:cs="宋体"/>
          <w:color w:val="auto"/>
          <w:spacing w:val="-1"/>
          <w:sz w:val="24"/>
          <w:szCs w:val="24"/>
          <w:highlight w:val="none"/>
        </w:rPr>
        <w:t>标委员会的其他成员有同等的表决权。</w:t>
      </w:r>
    </w:p>
    <w:p w14:paraId="7A55258E">
      <w:pPr>
        <w:wordWrap w:val="0"/>
        <w:adjustRightInd w:val="0"/>
        <w:snapToGrid w:val="0"/>
        <w:spacing w:line="360" w:lineRule="auto"/>
        <w:ind w:firstLine="474"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color w:val="auto"/>
          <w:spacing w:val="-2"/>
          <w:sz w:val="24"/>
          <w:szCs w:val="24"/>
          <w:highlight w:val="none"/>
        </w:rPr>
        <w:t>15.1.2</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lang w:eastAsia="zh-CN"/>
        </w:rPr>
        <w:t>评标专家</w:t>
      </w:r>
      <w:r>
        <w:rPr>
          <w:rFonts w:hint="eastAsia" w:ascii="宋体" w:hAnsi="宋体" w:eastAsia="宋体" w:cs="宋体"/>
          <w:snapToGrid w:val="0"/>
          <w:color w:val="auto"/>
          <w:kern w:val="0"/>
          <w:sz w:val="24"/>
          <w:szCs w:val="24"/>
          <w:highlight w:val="none"/>
        </w:rPr>
        <w:t>应按时参加评标活动，自觉遵守工作纪律和服从现场管理</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采用远程异地评标方式评标的</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主场、副场各自负责本场所</w:t>
      </w:r>
      <w:r>
        <w:rPr>
          <w:rFonts w:hint="eastAsia" w:ascii="宋体" w:hAnsi="宋体" w:eastAsia="宋体" w:cs="宋体"/>
          <w:snapToGrid w:val="0"/>
          <w:color w:val="auto"/>
          <w:kern w:val="0"/>
          <w:sz w:val="24"/>
          <w:szCs w:val="24"/>
          <w:highlight w:val="none"/>
          <w:lang w:eastAsia="zh-CN"/>
        </w:rPr>
        <w:t>评标委员会</w:t>
      </w:r>
      <w:r>
        <w:rPr>
          <w:rFonts w:hint="eastAsia" w:ascii="宋体" w:hAnsi="宋体" w:eastAsia="宋体" w:cs="宋体"/>
          <w:snapToGrid w:val="0"/>
          <w:color w:val="auto"/>
          <w:kern w:val="0"/>
          <w:sz w:val="24"/>
          <w:szCs w:val="24"/>
          <w:highlight w:val="none"/>
        </w:rPr>
        <w:t>成员身份核验和签到工作，统一保管其通讯工具，指引评标专家至远程异地评标室，并为其提供技术协助和服务。在评标过程中如遇评标专家对投标文件存在疑问或意见分歧的，应由</w:t>
      </w:r>
      <w:r>
        <w:rPr>
          <w:rFonts w:hint="eastAsia" w:ascii="宋体" w:hAnsi="宋体" w:eastAsia="宋体" w:cs="宋体"/>
          <w:snapToGrid w:val="0"/>
          <w:color w:val="auto"/>
          <w:kern w:val="0"/>
          <w:sz w:val="24"/>
          <w:szCs w:val="24"/>
          <w:highlight w:val="none"/>
          <w:lang w:eastAsia="zh-CN"/>
        </w:rPr>
        <w:t>评标委员会</w:t>
      </w:r>
      <w:r>
        <w:rPr>
          <w:rFonts w:hint="eastAsia" w:ascii="宋体" w:hAnsi="宋体" w:eastAsia="宋体" w:cs="宋体"/>
          <w:snapToGrid w:val="0"/>
          <w:color w:val="auto"/>
          <w:kern w:val="0"/>
          <w:sz w:val="24"/>
          <w:szCs w:val="24"/>
          <w:highlight w:val="none"/>
        </w:rPr>
        <w:t>成员推举产生</w:t>
      </w:r>
      <w:r>
        <w:rPr>
          <w:rFonts w:hint="eastAsia" w:ascii="宋体" w:hAnsi="宋体" w:eastAsia="宋体" w:cs="宋体"/>
          <w:snapToGrid w:val="0"/>
          <w:color w:val="auto"/>
          <w:kern w:val="0"/>
          <w:sz w:val="24"/>
          <w:szCs w:val="24"/>
          <w:highlight w:val="none"/>
          <w:lang w:eastAsia="zh-CN"/>
        </w:rPr>
        <w:t>的评标委员会组长</w:t>
      </w:r>
      <w:r>
        <w:rPr>
          <w:rFonts w:hint="eastAsia" w:ascii="宋体" w:hAnsi="宋体" w:eastAsia="宋体" w:cs="宋体"/>
          <w:snapToGrid w:val="0"/>
          <w:color w:val="auto"/>
          <w:kern w:val="0"/>
          <w:sz w:val="24"/>
          <w:szCs w:val="24"/>
          <w:highlight w:val="none"/>
        </w:rPr>
        <w:t>组织</w:t>
      </w:r>
      <w:r>
        <w:rPr>
          <w:rFonts w:hint="eastAsia" w:ascii="宋体" w:hAnsi="宋体" w:eastAsia="宋体" w:cs="宋体"/>
          <w:snapToGrid w:val="0"/>
          <w:color w:val="auto"/>
          <w:kern w:val="0"/>
          <w:sz w:val="24"/>
          <w:szCs w:val="24"/>
          <w:highlight w:val="none"/>
          <w:lang w:eastAsia="zh-CN"/>
        </w:rPr>
        <w:t>各</w:t>
      </w:r>
      <w:r>
        <w:rPr>
          <w:rFonts w:hint="eastAsia" w:ascii="宋体" w:hAnsi="宋体" w:eastAsia="宋体" w:cs="宋体"/>
          <w:snapToGrid w:val="0"/>
          <w:color w:val="auto"/>
          <w:kern w:val="0"/>
          <w:sz w:val="24"/>
          <w:szCs w:val="24"/>
          <w:highlight w:val="none"/>
        </w:rPr>
        <w:t>成员协商讨论。在评标过程中需要进行讨论或者通过实名投票方式表决意见的，应当通过视频会议系统进行，并做好相关记录。</w:t>
      </w:r>
    </w:p>
    <w:p w14:paraId="4E37D436">
      <w:pPr>
        <w:keepNext w:val="0"/>
        <w:keepLines w:val="0"/>
        <w:pageBreakBefore w:val="0"/>
        <w:shd w:val="clear" w:color="auto" w:fill="auto"/>
        <w:kinsoku/>
        <w:wordWrap/>
        <w:overflowPunct/>
        <w:topLinePunct w:val="0"/>
        <w:bidi w:val="0"/>
        <w:adjustRightInd/>
        <w:snapToGrid/>
        <w:spacing w:line="360" w:lineRule="auto"/>
        <w:ind w:left="0" w:leftChars="0" w:firstLine="474"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b/>
          <w:bCs/>
          <w:color w:val="auto"/>
          <w:sz w:val="24"/>
          <w:szCs w:val="24"/>
          <w:highlight w:val="none"/>
          <w:lang w:val="en-US" w:eastAsia="zh-CN"/>
        </w:rPr>
        <w:t>15.1.3</w:t>
      </w:r>
      <w:r>
        <w:rPr>
          <w:rFonts w:hint="eastAsia" w:ascii="宋体" w:hAnsi="宋体" w:eastAsia="宋体" w:cs="宋体"/>
          <w:color w:val="auto"/>
          <w:sz w:val="24"/>
          <w:szCs w:val="24"/>
          <w:highlight w:val="none"/>
          <w:lang w:eastAsia="zh-CN"/>
        </w:rPr>
        <w:t>评标委员会应</w:t>
      </w:r>
      <w:r>
        <w:rPr>
          <w:rFonts w:hint="eastAsia" w:ascii="宋体" w:hAnsi="宋体" w:eastAsia="宋体" w:cs="宋体"/>
          <w:color w:val="auto"/>
          <w:sz w:val="24"/>
          <w:szCs w:val="24"/>
          <w:highlight w:val="none"/>
        </w:rPr>
        <w:t>严格按照招标文件的评标办法规定的评标程序、评标标准和方法进行评标，招标文件没有规定的评标标准和方法不得作为评标的依据。</w:t>
      </w:r>
      <w:r>
        <w:rPr>
          <w:rFonts w:hint="eastAsia" w:ascii="宋体" w:hAnsi="宋体" w:eastAsia="宋体" w:cs="宋体"/>
          <w:color w:val="auto"/>
          <w:sz w:val="24"/>
          <w:szCs w:val="24"/>
          <w:highlight w:val="none"/>
          <w:lang w:eastAsia="zh-CN"/>
        </w:rPr>
        <w:t>并且</w:t>
      </w:r>
      <w:r>
        <w:rPr>
          <w:rFonts w:hint="eastAsia" w:ascii="宋体" w:hAnsi="宋体" w:eastAsia="宋体" w:cs="宋体"/>
          <w:color w:val="auto"/>
          <w:sz w:val="24"/>
          <w:szCs w:val="24"/>
          <w:highlight w:val="none"/>
        </w:rPr>
        <w:t>自觉接受有关行政部门监督，协助配合有关异议和投诉处理。采用远程异地评标方式评标的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主场、副场评标专家在评标过程中具有同等权利和义务</w:t>
      </w:r>
    </w:p>
    <w:p w14:paraId="4AC55AA3">
      <w:pPr>
        <w:keepNext w:val="0"/>
        <w:keepLines w:val="0"/>
        <w:pageBreakBefore w:val="0"/>
        <w:shd w:val="clear" w:color="auto" w:fill="auto"/>
        <w:kinsoku/>
        <w:wordWrap/>
        <w:overflowPunct/>
        <w:topLinePunct w:val="0"/>
        <w:bidi w:val="0"/>
        <w:adjustRightInd/>
        <w:snapToGrid/>
        <w:spacing w:line="360" w:lineRule="auto"/>
        <w:ind w:left="0" w:leftChars="0" w:firstLine="482"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15.1.4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评标委员会</w:t>
      </w:r>
      <w:r>
        <w:rPr>
          <w:rFonts w:hint="eastAsia" w:ascii="宋体" w:hAnsi="宋体" w:eastAsia="宋体" w:cs="宋体"/>
          <w:color w:val="auto"/>
          <w:sz w:val="24"/>
          <w:szCs w:val="24"/>
          <w:highlight w:val="none"/>
        </w:rPr>
        <w:t>应切实履行评标职责，对同一个问题不一致的，按程序要求记录。</w:t>
      </w:r>
      <w:r>
        <w:rPr>
          <w:rFonts w:hint="eastAsia" w:ascii="宋体" w:hAnsi="宋体" w:eastAsia="宋体" w:cs="宋体"/>
          <w:color w:val="auto"/>
          <w:sz w:val="24"/>
          <w:szCs w:val="24"/>
          <w:highlight w:val="none"/>
          <w:lang w:eastAsia="zh-CN"/>
        </w:rPr>
        <w:t>评标委员会</w:t>
      </w:r>
      <w:r>
        <w:rPr>
          <w:rFonts w:hint="eastAsia" w:ascii="宋体" w:hAnsi="宋体" w:eastAsia="宋体" w:cs="宋体"/>
          <w:color w:val="auto"/>
          <w:sz w:val="24"/>
          <w:szCs w:val="24"/>
          <w:highlight w:val="none"/>
        </w:rPr>
        <w:t>实行少数服从多数的原则，以记名投票方式表决，评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结果经</w:t>
      </w:r>
      <w:r>
        <w:rPr>
          <w:rFonts w:hint="eastAsia" w:ascii="宋体" w:hAnsi="宋体" w:eastAsia="宋体" w:cs="宋体"/>
          <w:color w:val="auto"/>
          <w:sz w:val="24"/>
          <w:szCs w:val="24"/>
          <w:highlight w:val="none"/>
          <w:lang w:eastAsia="zh-CN"/>
        </w:rPr>
        <w:t>评标委员会</w:t>
      </w:r>
      <w:r>
        <w:rPr>
          <w:rFonts w:hint="eastAsia" w:ascii="宋体" w:hAnsi="宋体" w:eastAsia="宋体" w:cs="宋体"/>
          <w:color w:val="auto"/>
          <w:sz w:val="24"/>
          <w:szCs w:val="24"/>
          <w:highlight w:val="none"/>
        </w:rPr>
        <w:t>全体成员过半数通过有效。</w:t>
      </w:r>
    </w:p>
    <w:p w14:paraId="3E5FD587">
      <w:pPr>
        <w:wordWrap w:val="0"/>
        <w:adjustRightInd w:val="0"/>
        <w:snapToGrid w:val="0"/>
        <w:spacing w:line="360" w:lineRule="auto"/>
        <w:ind w:firstLine="56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15.1.5</w:t>
      </w:r>
      <w:r>
        <w:rPr>
          <w:rFonts w:hint="eastAsia" w:ascii="宋体" w:hAnsi="宋体" w:eastAsia="宋体" w:cs="宋体"/>
          <w:color w:val="auto"/>
          <w:sz w:val="24"/>
          <w:szCs w:val="24"/>
          <w:highlight w:val="none"/>
          <w:lang w:eastAsia="zh-CN"/>
        </w:rPr>
        <w:t>评标委员会</w:t>
      </w:r>
      <w:r>
        <w:rPr>
          <w:rFonts w:hint="eastAsia" w:ascii="宋体" w:hAnsi="宋体" w:eastAsia="宋体" w:cs="宋体"/>
          <w:color w:val="auto"/>
          <w:sz w:val="24"/>
          <w:szCs w:val="24"/>
          <w:highlight w:val="none"/>
        </w:rPr>
        <w:t>成员应当独立、客观、公正地对投标文件提出评审意见，对评审结果签字确认，并对所提出的评审意见承担个人责任。禁止</w:t>
      </w:r>
      <w:r>
        <w:rPr>
          <w:rFonts w:hint="eastAsia" w:ascii="宋体" w:hAnsi="宋体" w:eastAsia="宋体" w:cs="宋体"/>
          <w:color w:val="auto"/>
          <w:sz w:val="24"/>
          <w:szCs w:val="24"/>
          <w:highlight w:val="none"/>
          <w:lang w:eastAsia="zh-CN"/>
        </w:rPr>
        <w:t>评标委员会</w:t>
      </w:r>
      <w:r>
        <w:rPr>
          <w:rFonts w:hint="eastAsia" w:ascii="宋体" w:hAnsi="宋体" w:eastAsia="宋体" w:cs="宋体"/>
          <w:color w:val="auto"/>
          <w:sz w:val="24"/>
          <w:szCs w:val="24"/>
          <w:highlight w:val="none"/>
        </w:rPr>
        <w:t>成员将个人意见强加给他人，影响正常评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秩序和妨碍评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结论的公正性。对评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结果有不同意见的</w:t>
      </w:r>
      <w:r>
        <w:rPr>
          <w:rFonts w:hint="eastAsia" w:ascii="宋体" w:hAnsi="宋体" w:eastAsia="宋体" w:cs="宋体"/>
          <w:color w:val="auto"/>
          <w:sz w:val="24"/>
          <w:szCs w:val="24"/>
          <w:highlight w:val="none"/>
          <w:lang w:eastAsia="zh-CN"/>
        </w:rPr>
        <w:t>评标委员会</w:t>
      </w:r>
      <w:r>
        <w:rPr>
          <w:rFonts w:hint="eastAsia" w:ascii="宋体" w:hAnsi="宋体" w:eastAsia="宋体" w:cs="宋体"/>
          <w:color w:val="auto"/>
          <w:sz w:val="24"/>
          <w:szCs w:val="24"/>
          <w:highlight w:val="none"/>
        </w:rPr>
        <w:t>成员应当以书面形式说明其不同意见和理由，</w:t>
      </w:r>
      <w:r>
        <w:rPr>
          <w:rFonts w:hint="eastAsia" w:ascii="宋体" w:hAnsi="宋体" w:eastAsia="宋体" w:cs="宋体"/>
          <w:color w:val="auto"/>
          <w:sz w:val="24"/>
          <w:szCs w:val="24"/>
          <w:highlight w:val="none"/>
          <w:lang w:eastAsia="zh-CN"/>
        </w:rPr>
        <w:t>资格后审报告（</w:t>
      </w:r>
      <w:r>
        <w:rPr>
          <w:rFonts w:hint="eastAsia" w:ascii="宋体" w:hAnsi="宋体" w:eastAsia="宋体" w:cs="宋体"/>
          <w:color w:val="auto"/>
          <w:sz w:val="24"/>
          <w:szCs w:val="24"/>
          <w:highlight w:val="none"/>
        </w:rPr>
        <w:t>评标报告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应当注明该不同意见。</w:t>
      </w:r>
      <w:r>
        <w:rPr>
          <w:rFonts w:hint="eastAsia" w:ascii="宋体" w:hAnsi="宋体" w:eastAsia="宋体" w:cs="宋体"/>
          <w:color w:val="auto"/>
          <w:sz w:val="24"/>
          <w:szCs w:val="24"/>
          <w:highlight w:val="none"/>
          <w:lang w:eastAsia="zh-CN"/>
        </w:rPr>
        <w:t>评标委员会</w:t>
      </w:r>
      <w:r>
        <w:rPr>
          <w:rFonts w:hint="eastAsia" w:ascii="宋体" w:hAnsi="宋体" w:eastAsia="宋体" w:cs="宋体"/>
          <w:color w:val="auto"/>
          <w:sz w:val="24"/>
          <w:szCs w:val="24"/>
          <w:highlight w:val="none"/>
        </w:rPr>
        <w:t>成员拒绝在</w:t>
      </w:r>
      <w:r>
        <w:rPr>
          <w:rFonts w:hint="eastAsia" w:ascii="宋体" w:hAnsi="宋体" w:eastAsia="宋体" w:cs="宋体"/>
          <w:color w:val="auto"/>
          <w:sz w:val="24"/>
          <w:szCs w:val="24"/>
          <w:highlight w:val="none"/>
          <w:lang w:eastAsia="zh-CN"/>
        </w:rPr>
        <w:t>资格后审报告（</w:t>
      </w:r>
      <w:r>
        <w:rPr>
          <w:rFonts w:hint="eastAsia" w:ascii="宋体" w:hAnsi="宋体" w:eastAsia="宋体" w:cs="宋体"/>
          <w:color w:val="auto"/>
          <w:sz w:val="24"/>
          <w:szCs w:val="24"/>
          <w:highlight w:val="none"/>
        </w:rPr>
        <w:t>评标报告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上签字又不书面说明其不同意见和理由的，视为同意评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结果。</w:t>
      </w:r>
    </w:p>
    <w:p w14:paraId="735AE7C4">
      <w:pPr>
        <w:wordWrap w:val="0"/>
        <w:adjustRightInd w:val="0"/>
        <w:snapToGrid w:val="0"/>
        <w:spacing w:line="360" w:lineRule="auto"/>
        <w:ind w:firstLine="56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15.2</w:t>
      </w:r>
      <w:r>
        <w:rPr>
          <w:rFonts w:hint="eastAsia" w:ascii="宋体" w:hAnsi="宋体" w:eastAsia="宋体" w:cs="宋体"/>
          <w:b/>
          <w:color w:val="auto"/>
          <w:sz w:val="24"/>
          <w:szCs w:val="24"/>
          <w:highlight w:val="none"/>
        </w:rPr>
        <w:t>评标过程的回避</w:t>
      </w:r>
    </w:p>
    <w:p w14:paraId="43C213A6">
      <w:pPr>
        <w:spacing w:before="32" w:line="280" w:lineRule="auto"/>
        <w:ind w:left="13" w:right="7" w:firstLine="56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lang w:val="en-US" w:eastAsia="zh-CN"/>
        </w:rPr>
        <w:t>15.2.1</w:t>
      </w:r>
      <w:r>
        <w:rPr>
          <w:rFonts w:hint="eastAsia" w:ascii="宋体" w:hAnsi="宋体" w:eastAsia="宋体" w:cs="宋体"/>
          <w:color w:val="auto"/>
          <w:spacing w:val="-2"/>
          <w:sz w:val="24"/>
          <w:szCs w:val="24"/>
          <w:highlight w:val="none"/>
        </w:rPr>
        <w:t>评标委员会应认真、公正、诚实、廉洁地履行职责。有下列情形之一的，不得担任评标委员会成员：</w:t>
      </w:r>
    </w:p>
    <w:p w14:paraId="2DA95EDB">
      <w:pPr>
        <w:spacing w:before="154"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（1）投标人或投标人主要负责人的近亲属；</w:t>
      </w:r>
    </w:p>
    <w:p w14:paraId="2649253E">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（2）项目主管部门或者行政监督部门的人员；</w:t>
      </w:r>
    </w:p>
    <w:p w14:paraId="40156D8D">
      <w:pPr>
        <w:spacing w:before="155" w:line="221" w:lineRule="auto"/>
        <w:ind w:left="58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（3）与投标人有经济利益关系，可能影响对投标公正评审的；</w:t>
      </w:r>
    </w:p>
    <w:p w14:paraId="6C5C96B2">
      <w:pPr>
        <w:spacing w:before="153" w:line="279" w:lineRule="auto"/>
        <w:ind w:left="8" w:right="65" w:firstLine="57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（4）曾因在招标、评标以及其他与招标投标有关活动中从事违法行为而受过行政处罚或刑事处罚的。</w:t>
      </w:r>
    </w:p>
    <w:p w14:paraId="39BF5806">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15.2.2</w:t>
      </w:r>
      <w:r>
        <w:rPr>
          <w:rFonts w:hint="eastAsia" w:ascii="宋体" w:hAnsi="宋体" w:eastAsia="宋体" w:cs="宋体"/>
          <w:b w:val="0"/>
          <w:bCs w:val="0"/>
          <w:color w:val="auto"/>
          <w:sz w:val="24"/>
          <w:szCs w:val="24"/>
          <w:highlight w:val="none"/>
          <w:lang w:eastAsia="zh-CN"/>
        </w:rPr>
        <w:t>评标委员会</w:t>
      </w:r>
      <w:r>
        <w:rPr>
          <w:rFonts w:hint="eastAsia" w:ascii="宋体" w:hAnsi="宋体" w:eastAsia="宋体" w:cs="宋体"/>
          <w:color w:val="auto"/>
          <w:sz w:val="24"/>
          <w:szCs w:val="24"/>
          <w:highlight w:val="none"/>
        </w:rPr>
        <w:t>专家不主动提出回避的，一经发现，应立即终止其评标活动，已完成评标活动的，其评标结果无效。</w:t>
      </w:r>
    </w:p>
    <w:p w14:paraId="56AD1F2C">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15.3</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
          <w:color w:val="auto"/>
          <w:sz w:val="24"/>
          <w:szCs w:val="24"/>
          <w:highlight w:val="none"/>
        </w:rPr>
        <w:t>评标过程的保密</w:t>
      </w:r>
    </w:p>
    <w:p w14:paraId="0DAD6E6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15.3.1</w:t>
      </w:r>
      <w:r>
        <w:rPr>
          <w:rFonts w:hint="eastAsia" w:ascii="宋体" w:hAnsi="宋体" w:eastAsia="宋体" w:cs="宋体"/>
          <w:color w:val="auto"/>
          <w:kern w:val="0"/>
          <w:sz w:val="24"/>
          <w:szCs w:val="24"/>
          <w:highlight w:val="none"/>
        </w:rPr>
        <w:t xml:space="preserve"> 开标后，直至授予中标人合同为止，凡属于对投标人文件的审查、澄清、评价和比较有关的资料及与中标候选人的推荐情况，与评标有关的其他任何情况均应严格保密。</w:t>
      </w:r>
    </w:p>
    <w:p w14:paraId="25CD2F3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15.3.2</w:t>
      </w:r>
      <w:r>
        <w:rPr>
          <w:rFonts w:hint="eastAsia" w:ascii="宋体" w:hAnsi="宋体" w:eastAsia="宋体" w:cs="宋体"/>
          <w:color w:val="auto"/>
          <w:kern w:val="0"/>
          <w:sz w:val="24"/>
          <w:szCs w:val="24"/>
          <w:highlight w:val="none"/>
        </w:rPr>
        <w:t xml:space="preserve"> 在投标文件的评审和比较、中标候选人推荐以及授予合同的过程中，投标人向招标人和评标委员会施加影响的任何行为，都将会导致其投标被拒绝。</w:t>
      </w:r>
    </w:p>
    <w:p w14:paraId="4CFA9F5F">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15.3.3</w:t>
      </w:r>
      <w:r>
        <w:rPr>
          <w:rFonts w:hint="eastAsia" w:ascii="宋体" w:hAnsi="宋体" w:eastAsia="宋体" w:cs="宋体"/>
          <w:color w:val="auto"/>
          <w:kern w:val="0"/>
          <w:sz w:val="24"/>
          <w:szCs w:val="24"/>
          <w:highlight w:val="none"/>
        </w:rPr>
        <w:t>中标人确定后，招标人不对未中标人就评标过程以及未能中标原因作出任何解释。未中标人不得向评标委员会组成人员或其他有关人员索问评标过程的情况和材料。</w:t>
      </w:r>
    </w:p>
    <w:p w14:paraId="1423E687">
      <w:pPr>
        <w:spacing w:before="154" w:line="279" w:lineRule="auto"/>
        <w:ind w:left="8" w:right="65" w:firstLine="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lang w:val="en-US" w:eastAsia="zh-CN"/>
        </w:rPr>
        <w:t>15.3.4</w:t>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评标全过程实行封闭式管理，在中标结果公</w:t>
      </w:r>
      <w:r>
        <w:rPr>
          <w:rFonts w:hint="eastAsia" w:ascii="宋体" w:hAnsi="宋体" w:eastAsia="宋体" w:cs="宋体"/>
          <w:color w:val="auto"/>
          <w:spacing w:val="-2"/>
          <w:sz w:val="24"/>
          <w:szCs w:val="24"/>
          <w:highlight w:val="none"/>
        </w:rPr>
        <w:t>布前，禁止评标委员会成员以</w:t>
      </w:r>
      <w:r>
        <w:rPr>
          <w:rFonts w:hint="eastAsia" w:ascii="宋体" w:hAnsi="宋体" w:eastAsia="宋体" w:cs="宋体"/>
          <w:color w:val="auto"/>
          <w:spacing w:val="-1"/>
          <w:sz w:val="24"/>
          <w:szCs w:val="24"/>
          <w:highlight w:val="none"/>
        </w:rPr>
        <w:t>任何方式私下接触投标人。</w:t>
      </w:r>
    </w:p>
    <w:p w14:paraId="13B4CC66">
      <w:pPr>
        <w:spacing w:before="157" w:line="298" w:lineRule="auto"/>
        <w:ind w:left="11" w:right="65" w:firstLine="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15.</w:t>
      </w:r>
      <w:r>
        <w:rPr>
          <w:rFonts w:hint="eastAsia" w:ascii="宋体" w:hAnsi="宋体" w:eastAsia="宋体" w:cs="宋体"/>
          <w:b/>
          <w:bCs/>
          <w:color w:val="auto"/>
          <w:spacing w:val="-1"/>
          <w:sz w:val="24"/>
          <w:szCs w:val="24"/>
          <w:highlight w:val="none"/>
          <w:lang w:val="en-US" w:eastAsia="zh-CN"/>
        </w:rPr>
        <w:t>3.5</w:t>
      </w:r>
      <w:r>
        <w:rPr>
          <w:rFonts w:hint="eastAsia" w:ascii="宋体" w:hAnsi="宋体" w:eastAsia="宋体" w:cs="宋体"/>
          <w:color w:val="auto"/>
          <w:spacing w:val="-1"/>
          <w:sz w:val="24"/>
          <w:szCs w:val="24"/>
          <w:highlight w:val="none"/>
        </w:rPr>
        <w:t>在评标过程中，评标委员会可以书面形式要</w:t>
      </w:r>
      <w:r>
        <w:rPr>
          <w:rFonts w:hint="eastAsia" w:ascii="宋体" w:hAnsi="宋体" w:eastAsia="宋体" w:cs="宋体"/>
          <w:color w:val="auto"/>
          <w:spacing w:val="-2"/>
          <w:sz w:val="24"/>
          <w:szCs w:val="24"/>
          <w:highlight w:val="none"/>
        </w:rPr>
        <w:t>求投标人对所提交的投标文件</w:t>
      </w:r>
      <w:r>
        <w:rPr>
          <w:rFonts w:hint="eastAsia" w:ascii="宋体" w:hAnsi="宋体" w:eastAsia="宋体" w:cs="宋体"/>
          <w:color w:val="auto"/>
          <w:spacing w:val="-1"/>
          <w:sz w:val="24"/>
          <w:szCs w:val="24"/>
          <w:highlight w:val="none"/>
        </w:rPr>
        <w:t>中不明确的内容进行书面澄清或说明，但不接受投标人主</w:t>
      </w:r>
      <w:r>
        <w:rPr>
          <w:rFonts w:hint="eastAsia" w:ascii="宋体" w:hAnsi="宋体" w:eastAsia="宋体" w:cs="宋体"/>
          <w:color w:val="auto"/>
          <w:spacing w:val="-2"/>
          <w:sz w:val="24"/>
          <w:szCs w:val="24"/>
          <w:highlight w:val="none"/>
        </w:rPr>
        <w:t>动提出的澄清或说明。投标</w:t>
      </w:r>
      <w:r>
        <w:rPr>
          <w:rFonts w:hint="eastAsia" w:ascii="宋体" w:hAnsi="宋体" w:eastAsia="宋体" w:cs="宋体"/>
          <w:color w:val="auto"/>
          <w:spacing w:val="-1"/>
          <w:sz w:val="24"/>
          <w:szCs w:val="24"/>
          <w:highlight w:val="none"/>
        </w:rPr>
        <w:t>人的书面澄清或说明不得改变投标文件的实质性内容，并</w:t>
      </w:r>
      <w:r>
        <w:rPr>
          <w:rFonts w:hint="eastAsia" w:ascii="宋体" w:hAnsi="宋体" w:eastAsia="宋体" w:cs="宋体"/>
          <w:color w:val="auto"/>
          <w:spacing w:val="-2"/>
          <w:sz w:val="24"/>
          <w:szCs w:val="24"/>
          <w:highlight w:val="none"/>
        </w:rPr>
        <w:t>作为投标文件的组成部分。</w:t>
      </w:r>
    </w:p>
    <w:p w14:paraId="2B900928">
      <w:pPr>
        <w:spacing w:before="156" w:line="309" w:lineRule="auto"/>
        <w:ind w:left="8" w:right="65" w:firstLine="569"/>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3.6</w:t>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在任何评标环节中，当评标委员会就某</w:t>
      </w:r>
      <w:r>
        <w:rPr>
          <w:rFonts w:hint="eastAsia" w:ascii="宋体" w:hAnsi="宋体" w:eastAsia="宋体" w:cs="宋体"/>
          <w:color w:val="auto"/>
          <w:spacing w:val="-4"/>
          <w:sz w:val="24"/>
          <w:szCs w:val="24"/>
          <w:highlight w:val="none"/>
        </w:rPr>
        <w:t>项定性的评审结论不统一、需要做</w:t>
      </w:r>
      <w:r>
        <w:rPr>
          <w:rFonts w:hint="eastAsia" w:ascii="宋体" w:hAnsi="宋体" w:eastAsia="宋体" w:cs="宋体"/>
          <w:color w:val="auto"/>
          <w:spacing w:val="-1"/>
          <w:sz w:val="24"/>
          <w:szCs w:val="24"/>
          <w:highlight w:val="none"/>
        </w:rPr>
        <w:t>出表决时，由评标委员会全体成员按照少数服从多数的原则，以</w:t>
      </w:r>
      <w:r>
        <w:rPr>
          <w:rFonts w:hint="eastAsia" w:ascii="宋体" w:hAnsi="宋体" w:eastAsia="宋体" w:cs="宋体"/>
          <w:color w:val="auto"/>
          <w:spacing w:val="-2"/>
          <w:sz w:val="24"/>
          <w:szCs w:val="24"/>
          <w:highlight w:val="none"/>
        </w:rPr>
        <w:t>记名投票方式表决。</w:t>
      </w:r>
      <w:r>
        <w:rPr>
          <w:rFonts w:hint="eastAsia" w:ascii="宋体" w:hAnsi="宋体" w:eastAsia="宋体" w:cs="宋体"/>
          <w:color w:val="auto"/>
          <w:spacing w:val="-1"/>
          <w:sz w:val="24"/>
          <w:szCs w:val="24"/>
          <w:highlight w:val="none"/>
        </w:rPr>
        <w:t>评标委员会全体成员应共同遵守和执行表决结果，严禁评标委员</w:t>
      </w:r>
      <w:r>
        <w:rPr>
          <w:rFonts w:hint="eastAsia" w:ascii="宋体" w:hAnsi="宋体" w:eastAsia="宋体" w:cs="宋体"/>
          <w:color w:val="auto"/>
          <w:spacing w:val="-2"/>
          <w:sz w:val="24"/>
          <w:szCs w:val="24"/>
          <w:highlight w:val="none"/>
        </w:rPr>
        <w:t>会任何成员将个人意</w:t>
      </w:r>
      <w:r>
        <w:rPr>
          <w:rFonts w:hint="eastAsia" w:ascii="宋体" w:hAnsi="宋体" w:eastAsia="宋体" w:cs="宋体"/>
          <w:color w:val="auto"/>
          <w:spacing w:val="-1"/>
          <w:sz w:val="24"/>
          <w:szCs w:val="24"/>
          <w:highlight w:val="none"/>
        </w:rPr>
        <w:t>见强加给他人、影响评标正常秩序和妨碍评审结论的公正性。</w:t>
      </w:r>
    </w:p>
    <w:p w14:paraId="628412ED">
      <w:pPr>
        <w:spacing w:before="79" w:line="221" w:lineRule="auto"/>
        <w:ind w:left="577"/>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3</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评标方法</w:t>
      </w:r>
    </w:p>
    <w:p w14:paraId="75DB58B2">
      <w:pPr>
        <w:spacing w:before="78" w:line="326" w:lineRule="auto"/>
        <w:ind w:left="231" w:right="181" w:firstLine="560"/>
        <w:rPr>
          <w:rFonts w:hint="eastAsia" w:ascii="宋体" w:hAnsi="宋体" w:eastAsia="宋体" w:cs="宋体"/>
          <w:color w:val="auto"/>
          <w:sz w:val="24"/>
          <w:szCs w:val="24"/>
          <w:highlight w:val="none"/>
        </w:rPr>
      </w:pPr>
      <w:bookmarkStart w:id="89" w:name="bookmark125"/>
      <w:bookmarkEnd w:id="89"/>
      <w:r>
        <w:rPr>
          <w:rFonts w:hint="eastAsia" w:ascii="宋体" w:hAnsi="宋体" w:eastAsia="宋体" w:cs="宋体"/>
          <w:color w:val="auto"/>
          <w:spacing w:val="-4"/>
          <w:sz w:val="24"/>
          <w:szCs w:val="24"/>
          <w:highlight w:val="none"/>
        </w:rPr>
        <w:t>根据有关法律、法规的相关规定，结合本招标项目资金来源和规模特点，本次招</w:t>
      </w:r>
      <w:r>
        <w:rPr>
          <w:rFonts w:hint="eastAsia" w:ascii="宋体" w:hAnsi="宋体" w:eastAsia="宋体" w:cs="宋体"/>
          <w:color w:val="auto"/>
          <w:spacing w:val="-1"/>
          <w:sz w:val="24"/>
          <w:szCs w:val="24"/>
          <w:highlight w:val="none"/>
        </w:rPr>
        <w:t>标采用</w:t>
      </w:r>
      <w:r>
        <w:rPr>
          <w:rFonts w:hint="eastAsia" w:ascii="宋体" w:hAnsi="宋体" w:eastAsia="宋体" w:cs="宋体"/>
          <w:b/>
          <w:bCs/>
          <w:color w:val="auto"/>
          <w:spacing w:val="-4"/>
          <w:sz w:val="24"/>
          <w:szCs w:val="24"/>
          <w:highlight w:val="none"/>
          <w:u w:val="single"/>
          <w:lang w:eastAsia="zh-CN"/>
        </w:rPr>
        <w:t xml:space="preserve"> 综合评分法</w:t>
      </w:r>
      <w:r>
        <w:rPr>
          <w:rFonts w:hint="eastAsia" w:ascii="宋体" w:hAnsi="宋体" w:eastAsia="宋体" w:cs="宋体"/>
          <w:b/>
          <w:bCs/>
          <w:color w:val="auto"/>
          <w:spacing w:val="-4"/>
          <w:sz w:val="24"/>
          <w:szCs w:val="24"/>
          <w:highlight w:val="none"/>
          <w:u w:val="single"/>
        </w:rPr>
        <w:t xml:space="preserve"> </w:t>
      </w:r>
      <w:r>
        <w:rPr>
          <w:rFonts w:hint="eastAsia" w:ascii="宋体" w:hAnsi="宋体" w:eastAsia="宋体" w:cs="宋体"/>
          <w:color w:val="auto"/>
          <w:spacing w:val="-1"/>
          <w:sz w:val="24"/>
          <w:szCs w:val="24"/>
          <w:highlight w:val="none"/>
        </w:rPr>
        <w:t>进行评标。</w:t>
      </w:r>
    </w:p>
    <w:p w14:paraId="4278404C">
      <w:pPr>
        <w:spacing w:before="154" w:line="269" w:lineRule="auto"/>
        <w:ind w:left="220" w:right="33" w:firstLine="496"/>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4</w:t>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评审范围：评标委员会应对所有投标人的投标文件进行评审。</w:t>
      </w:r>
    </w:p>
    <w:p w14:paraId="46E173E1">
      <w:pPr>
        <w:spacing w:before="153" w:line="220" w:lineRule="auto"/>
        <w:ind w:left="71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初步评审阶段</w:t>
      </w:r>
    </w:p>
    <w:p w14:paraId="59A05B8B">
      <w:pPr>
        <w:spacing w:before="153" w:line="220" w:lineRule="auto"/>
        <w:ind w:left="70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初步评审阶段分为资格评审、形式评审和响应性评审三个环节。</w:t>
      </w:r>
    </w:p>
    <w:p w14:paraId="238061EC">
      <w:pPr>
        <w:spacing w:before="155" w:line="279" w:lineRule="auto"/>
        <w:ind w:left="719" w:right="6303" w:hanging="3"/>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5</w:t>
      </w:r>
      <w:r>
        <w:rPr>
          <w:rFonts w:hint="eastAsia" w:ascii="宋体" w:hAnsi="宋体" w:eastAsia="宋体" w:cs="宋体"/>
          <w:b/>
          <w:bCs/>
          <w:color w:val="auto"/>
          <w:spacing w:val="-3"/>
          <w:sz w:val="24"/>
          <w:szCs w:val="24"/>
          <w:highlight w:val="none"/>
        </w:rPr>
        <w:t>.1</w:t>
      </w:r>
      <w:r>
        <w:rPr>
          <w:rFonts w:hint="eastAsia" w:ascii="宋体" w:hAnsi="宋体" w:eastAsia="宋体" w:cs="宋体"/>
          <w:b/>
          <w:bCs/>
          <w:color w:val="auto"/>
          <w:spacing w:val="9"/>
          <w:sz w:val="24"/>
          <w:szCs w:val="24"/>
          <w:highlight w:val="none"/>
        </w:rPr>
        <w:t xml:space="preserve"> </w:t>
      </w:r>
      <w:r>
        <w:rPr>
          <w:rFonts w:hint="eastAsia" w:ascii="宋体" w:hAnsi="宋体" w:eastAsia="宋体" w:cs="宋体"/>
          <w:color w:val="auto"/>
          <w:spacing w:val="-2"/>
          <w:sz w:val="24"/>
          <w:szCs w:val="24"/>
          <w:highlight w:val="none"/>
        </w:rPr>
        <w:t xml:space="preserve"> 资格评审环</w:t>
      </w:r>
      <w:r>
        <w:rPr>
          <w:rFonts w:hint="eastAsia" w:ascii="宋体" w:hAnsi="宋体" w:eastAsia="宋体" w:cs="宋体"/>
          <w:color w:val="auto"/>
          <w:spacing w:val="-3"/>
          <w:sz w:val="24"/>
          <w:szCs w:val="24"/>
          <w:highlight w:val="none"/>
        </w:rPr>
        <w:t>节</w:t>
      </w:r>
      <w:r>
        <w:rPr>
          <w:rFonts w:hint="eastAsia" w:ascii="宋体" w:hAnsi="宋体" w:eastAsia="宋体" w:cs="宋体"/>
          <w:color w:val="auto"/>
          <w:spacing w:val="1"/>
          <w:sz w:val="24"/>
          <w:szCs w:val="24"/>
          <w:highlight w:val="none"/>
        </w:rPr>
        <w:t xml:space="preserve"> </w:t>
      </w:r>
    </w:p>
    <w:p w14:paraId="02C4BFC7">
      <w:pPr>
        <w:spacing w:before="155" w:line="279" w:lineRule="auto"/>
        <w:ind w:left="719" w:right="6303" w:hanging="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资格评审事项包括：</w:t>
      </w:r>
    </w:p>
    <w:p w14:paraId="09F27C25">
      <w:pPr>
        <w:keepNext w:val="0"/>
        <w:keepLines w:val="0"/>
        <w:pageBreakBefore w:val="0"/>
        <w:widowControl/>
        <w:kinsoku w:val="0"/>
        <w:wordWrap/>
        <w:overflowPunct/>
        <w:topLinePunct w:val="0"/>
        <w:autoSpaceDE w:val="0"/>
        <w:autoSpaceDN w:val="0"/>
        <w:bidi w:val="0"/>
        <w:adjustRightInd w:val="0"/>
        <w:snapToGrid w:val="0"/>
        <w:spacing w:line="360" w:lineRule="auto"/>
        <w:ind w:left="232" w:firstLine="488"/>
        <w:textAlignment w:val="baseline"/>
        <w:rPr>
          <w:rFonts w:hint="eastAsia" w:ascii="宋体" w:hAnsi="宋体" w:eastAsia="宋体" w:cs="宋体"/>
          <w:color w:val="auto"/>
          <w:spacing w:val="-4"/>
          <w:sz w:val="24"/>
          <w:szCs w:val="24"/>
          <w:highlight w:val="none"/>
        </w:rPr>
      </w:pPr>
      <w:bookmarkStart w:id="90" w:name="_Toc22778"/>
      <w:r>
        <w:rPr>
          <w:rFonts w:hint="eastAsia" w:ascii="宋体" w:hAnsi="宋体" w:eastAsia="宋体" w:cs="宋体"/>
          <w:color w:val="auto"/>
          <w:spacing w:val="-4"/>
          <w:sz w:val="24"/>
          <w:szCs w:val="24"/>
          <w:highlight w:val="none"/>
        </w:rPr>
        <w:t>（1）投标人是否符合本章第三节第2.4条“禁止投标条款”规定。</w:t>
      </w:r>
    </w:p>
    <w:p w14:paraId="6344994B">
      <w:pPr>
        <w:keepNext w:val="0"/>
        <w:keepLines w:val="0"/>
        <w:pageBreakBefore w:val="0"/>
        <w:widowControl/>
        <w:kinsoku w:val="0"/>
        <w:overflowPunct/>
        <w:topLinePunct w:val="0"/>
        <w:autoSpaceDE w:val="0"/>
        <w:autoSpaceDN w:val="0"/>
        <w:bidi w:val="0"/>
        <w:adjustRightInd w:val="0"/>
        <w:snapToGrid w:val="0"/>
        <w:spacing w:line="360" w:lineRule="auto"/>
        <w:ind w:left="72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（2）投标人名称是否与营业执照、资质证书、安全生产许可证一致。</w:t>
      </w:r>
    </w:p>
    <w:p w14:paraId="5C702244">
      <w:pPr>
        <w:keepNext w:val="0"/>
        <w:keepLines w:val="0"/>
        <w:pageBreakBefore w:val="0"/>
        <w:widowControl/>
        <w:kinsoku w:val="0"/>
        <w:wordWrap w:val="0"/>
        <w:overflowPunct/>
        <w:topLinePunct w:val="0"/>
        <w:autoSpaceDE w:val="0"/>
        <w:autoSpaceDN w:val="0"/>
        <w:bidi w:val="0"/>
        <w:adjustRightInd w:val="0"/>
        <w:snapToGrid w:val="0"/>
        <w:spacing w:line="360" w:lineRule="auto"/>
        <w:ind w:left="232" w:right="96" w:firstLine="48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（3）投标人的资质是否符合招标文件规定；其营业执照、资质证书、安全生产许可证（可参考网址 https://zlaq.mohurd.gov.cn/fwmh/bjxcjgl/fwm</w:t>
      </w:r>
      <w:bookmarkStart w:id="91" w:name="bookmark126"/>
      <w:bookmarkEnd w:id="91"/>
      <w:r>
        <w:rPr>
          <w:rFonts w:hint="eastAsia" w:ascii="宋体" w:hAnsi="宋体" w:eastAsia="宋体" w:cs="宋体"/>
          <w:color w:val="auto"/>
          <w:spacing w:val="2"/>
          <w:sz w:val="24"/>
          <w:szCs w:val="24"/>
          <w:highlight w:val="none"/>
        </w:rPr>
        <w:t>h/pages/construction_safety/qyaqscxkz/qyaqscxkz）是否合法、有效、准确</w:t>
      </w:r>
      <w:r>
        <w:rPr>
          <w:rFonts w:hint="eastAsia" w:ascii="宋体" w:hAnsi="宋体" w:eastAsia="宋体" w:cs="宋体"/>
          <w:color w:val="auto"/>
          <w:spacing w:val="-1"/>
          <w:position w:val="3"/>
          <w:sz w:val="24"/>
          <w:szCs w:val="24"/>
          <w:highlight w:val="none"/>
        </w:rPr>
        <w:t>。</w:t>
      </w:r>
    </w:p>
    <w:p w14:paraId="1552FA5F">
      <w:pPr>
        <w:keepNext w:val="0"/>
        <w:keepLines w:val="0"/>
        <w:pageBreakBefore w:val="0"/>
        <w:widowControl/>
        <w:kinsoku w:val="0"/>
        <w:overflowPunct/>
        <w:topLinePunct w:val="0"/>
        <w:autoSpaceDE w:val="0"/>
        <w:autoSpaceDN w:val="0"/>
        <w:bidi w:val="0"/>
        <w:adjustRightInd w:val="0"/>
        <w:snapToGrid w:val="0"/>
        <w:spacing w:line="360" w:lineRule="auto"/>
        <w:ind w:left="50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（4）《项目经理简历表》中拟派项目经理是否与《开标一览表》一致。</w:t>
      </w:r>
    </w:p>
    <w:p w14:paraId="013A9DD7">
      <w:pPr>
        <w:keepNext w:val="0"/>
        <w:keepLines w:val="0"/>
        <w:pageBreakBefore w:val="0"/>
        <w:widowControl/>
        <w:kinsoku w:val="0"/>
        <w:overflowPunct/>
        <w:topLinePunct w:val="0"/>
        <w:autoSpaceDE w:val="0"/>
        <w:autoSpaceDN w:val="0"/>
        <w:bidi w:val="0"/>
        <w:adjustRightInd w:val="0"/>
        <w:snapToGrid w:val="0"/>
        <w:spacing w:line="360" w:lineRule="auto"/>
        <w:ind w:left="11" w:firstLine="489"/>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（5）拟派项目经理、项目技术负责人、专职安全员的条件</w:t>
      </w:r>
      <w:r>
        <w:rPr>
          <w:rFonts w:hint="eastAsia" w:ascii="宋体" w:hAnsi="宋体" w:eastAsia="宋体" w:cs="宋体"/>
          <w:color w:val="auto"/>
          <w:spacing w:val="1"/>
          <w:sz w:val="24"/>
          <w:szCs w:val="24"/>
          <w:highlight w:val="none"/>
        </w:rPr>
        <w:t>是否符合招标文件规</w:t>
      </w:r>
      <w:r>
        <w:rPr>
          <w:rFonts w:hint="eastAsia" w:ascii="宋体" w:hAnsi="宋体" w:eastAsia="宋体" w:cs="宋体"/>
          <w:color w:val="auto"/>
          <w:spacing w:val="-1"/>
          <w:sz w:val="24"/>
          <w:szCs w:val="24"/>
          <w:highlight w:val="none"/>
        </w:rPr>
        <w:t>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72979839">
      <w:pPr>
        <w:keepNext w:val="0"/>
        <w:keepLines w:val="0"/>
        <w:pageBreakBefore w:val="0"/>
        <w:widowControl/>
        <w:kinsoku w:val="0"/>
        <w:overflowPunct/>
        <w:topLinePunct w:val="0"/>
        <w:autoSpaceDE w:val="0"/>
        <w:autoSpaceDN w:val="0"/>
        <w:bidi w:val="0"/>
        <w:adjustRightInd w:val="0"/>
        <w:snapToGrid w:val="0"/>
        <w:spacing w:line="360" w:lineRule="auto"/>
        <w:ind w:left="8" w:right="2"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2"/>
          <w:sz w:val="24"/>
          <w:szCs w:val="24"/>
          <w:highlight w:val="none"/>
          <w:lang w:val="en-US" w:eastAsia="zh-CN"/>
        </w:rPr>
        <w:t>6</w:t>
      </w:r>
      <w:r>
        <w:rPr>
          <w:rFonts w:hint="eastAsia" w:ascii="宋体" w:hAnsi="宋体" w:eastAsia="宋体" w:cs="宋体"/>
          <w:color w:val="auto"/>
          <w:spacing w:val="2"/>
          <w:sz w:val="24"/>
          <w:szCs w:val="24"/>
          <w:highlight w:val="none"/>
        </w:rPr>
        <w:t>）投标人为外省建筑企业的，是否按规定在“进粤</w:t>
      </w:r>
      <w:r>
        <w:rPr>
          <w:rFonts w:hint="eastAsia" w:ascii="宋体" w:hAnsi="宋体" w:eastAsia="宋体" w:cs="宋体"/>
          <w:color w:val="auto"/>
          <w:spacing w:val="1"/>
          <w:sz w:val="24"/>
          <w:szCs w:val="24"/>
          <w:highlight w:val="none"/>
        </w:rPr>
        <w:t>企业和人员诚信信息登记</w:t>
      </w:r>
      <w:r>
        <w:rPr>
          <w:rFonts w:hint="eastAsia" w:ascii="宋体" w:hAnsi="宋体" w:eastAsia="宋体" w:cs="宋体"/>
          <w:color w:val="auto"/>
          <w:spacing w:val="-2"/>
          <w:sz w:val="24"/>
          <w:szCs w:val="24"/>
          <w:highlight w:val="none"/>
        </w:rPr>
        <w:t>平台</w:t>
      </w:r>
      <w:r>
        <w:rPr>
          <w:rFonts w:hint="eastAsia" w:ascii="宋体" w:hAnsi="宋体" w:eastAsia="宋体" w:cs="宋体"/>
          <w:color w:val="auto"/>
          <w:spacing w:val="-76"/>
          <w:sz w:val="24"/>
          <w:szCs w:val="24"/>
          <w:highlight w:val="none"/>
        </w:rPr>
        <w:t xml:space="preserve"> </w:t>
      </w:r>
      <w:r>
        <w:rPr>
          <w:rFonts w:hint="eastAsia" w:ascii="宋体" w:hAnsi="宋体" w:eastAsia="宋体" w:cs="宋体"/>
          <w:color w:val="auto"/>
          <w:spacing w:val="-2"/>
          <w:sz w:val="24"/>
          <w:szCs w:val="24"/>
          <w:highlight w:val="none"/>
        </w:rPr>
        <w:t>”录入企业及其拟派人员有关信息并通过数据规范检查。</w:t>
      </w:r>
    </w:p>
    <w:p w14:paraId="1BCD9BCC">
      <w:pPr>
        <w:spacing w:before="15" w:line="360" w:lineRule="auto"/>
        <w:ind w:right="2" w:firstLine="474"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.2 </w:t>
      </w:r>
      <w:r>
        <w:rPr>
          <w:rFonts w:hint="eastAsia" w:ascii="宋体" w:hAnsi="宋体" w:eastAsia="宋体" w:cs="宋体"/>
          <w:color w:val="auto"/>
          <w:spacing w:val="1"/>
          <w:sz w:val="24"/>
          <w:szCs w:val="24"/>
          <w:highlight w:val="none"/>
        </w:rPr>
        <w:t xml:space="preserve"> 形式评审环节</w:t>
      </w:r>
    </w:p>
    <w:p w14:paraId="301F2EB2">
      <w:pPr>
        <w:spacing w:before="15" w:line="360" w:lineRule="auto"/>
        <w:ind w:right="2" w:firstLine="484" w:firstLineChars="200"/>
        <w:jc w:val="both"/>
        <w:outlineLvl w:val="9"/>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形式评审事</w:t>
      </w:r>
      <w:r>
        <w:rPr>
          <w:rFonts w:hint="eastAsia" w:ascii="宋体" w:hAnsi="宋体" w:eastAsia="宋体" w:cs="宋体"/>
          <w:color w:val="auto"/>
          <w:spacing w:val="1"/>
          <w:sz w:val="24"/>
          <w:szCs w:val="24"/>
          <w:highlight w:val="none"/>
          <w:lang w:eastAsia="zh-CN"/>
        </w:rPr>
        <w:t>项包括</w:t>
      </w:r>
      <w:bookmarkEnd w:id="90"/>
    </w:p>
    <w:p w14:paraId="007FD8E0">
      <w:pPr>
        <w:spacing w:before="40" w:line="360" w:lineRule="auto"/>
        <w:ind w:left="501"/>
        <w:outlineLvl w:val="9"/>
        <w:rPr>
          <w:rFonts w:hint="eastAsia" w:ascii="宋体" w:hAnsi="宋体" w:eastAsia="宋体" w:cs="宋体"/>
          <w:color w:val="auto"/>
          <w:sz w:val="24"/>
          <w:szCs w:val="24"/>
          <w:highlight w:val="none"/>
        </w:rPr>
      </w:pPr>
      <w:bookmarkStart w:id="92" w:name="_Toc13304"/>
      <w:bookmarkStart w:id="93" w:name="_Toc4914"/>
      <w:bookmarkStart w:id="94" w:name="_Toc20481"/>
      <w:bookmarkStart w:id="95" w:name="_Toc23632"/>
      <w:r>
        <w:rPr>
          <w:rFonts w:hint="eastAsia" w:ascii="宋体" w:hAnsi="宋体" w:eastAsia="宋体" w:cs="宋体"/>
          <w:color w:val="auto"/>
          <w:spacing w:val="-1"/>
          <w:sz w:val="24"/>
          <w:szCs w:val="24"/>
          <w:highlight w:val="none"/>
        </w:rPr>
        <w:t>（1）各分册是否按招标文件规定加盖电子印章。</w:t>
      </w:r>
      <w:bookmarkEnd w:id="92"/>
      <w:bookmarkEnd w:id="93"/>
      <w:bookmarkEnd w:id="94"/>
      <w:bookmarkEnd w:id="95"/>
    </w:p>
    <w:p w14:paraId="4E7DC2D0">
      <w:pPr>
        <w:spacing w:before="15" w:line="360" w:lineRule="auto"/>
        <w:ind w:firstLine="464" w:firstLineChars="200"/>
        <w:outlineLvl w:val="9"/>
        <w:rPr>
          <w:rFonts w:hint="eastAsia" w:ascii="宋体" w:hAnsi="宋体" w:eastAsia="宋体" w:cs="宋体"/>
          <w:color w:val="auto"/>
          <w:spacing w:val="-1"/>
          <w:sz w:val="24"/>
          <w:szCs w:val="24"/>
          <w:highlight w:val="none"/>
        </w:rPr>
      </w:pPr>
      <w:bookmarkStart w:id="96" w:name="_Toc27432"/>
      <w:bookmarkStart w:id="97" w:name="_Toc10806"/>
      <w:bookmarkStart w:id="98" w:name="_Toc28409"/>
      <w:bookmarkStart w:id="99" w:name="_Toc12756"/>
      <w:r>
        <w:rPr>
          <w:rFonts w:hint="eastAsia" w:ascii="宋体" w:hAnsi="宋体" w:eastAsia="宋体" w:cs="宋体"/>
          <w:color w:val="auto"/>
          <w:spacing w:val="-4"/>
          <w:sz w:val="24"/>
          <w:szCs w:val="24"/>
          <w:highlight w:val="none"/>
        </w:rPr>
        <w:t>（2）本节第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10.2.2 目、第</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4"/>
          <w:sz w:val="24"/>
          <w:szCs w:val="24"/>
          <w:highlight w:val="none"/>
        </w:rPr>
        <w:t>10.3.2 目、第</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4"/>
          <w:sz w:val="24"/>
          <w:szCs w:val="24"/>
          <w:highlight w:val="none"/>
        </w:rPr>
        <w:t>10.4.</w:t>
      </w:r>
      <w:r>
        <w:rPr>
          <w:rFonts w:hint="eastAsia" w:ascii="宋体" w:hAnsi="宋体" w:eastAsia="宋体" w:cs="宋体"/>
          <w:color w:val="auto"/>
          <w:spacing w:val="-4"/>
          <w:sz w:val="24"/>
          <w:szCs w:val="24"/>
          <w:highlight w:val="none"/>
          <w:lang w:val="en-US" w:eastAsia="zh-CN"/>
        </w:rPr>
        <w:t>3</w:t>
      </w:r>
      <w:r>
        <w:rPr>
          <w:rFonts w:hint="eastAsia" w:ascii="宋体" w:hAnsi="宋体" w:eastAsia="宋体" w:cs="宋体"/>
          <w:color w:val="auto"/>
          <w:spacing w:val="-4"/>
          <w:sz w:val="24"/>
          <w:szCs w:val="24"/>
          <w:highlight w:val="none"/>
        </w:rPr>
        <w:t>目中规定</w:t>
      </w:r>
      <w:r>
        <w:rPr>
          <w:rFonts w:hint="eastAsia" w:ascii="宋体" w:hAnsi="宋体" w:eastAsia="宋体" w:cs="宋体"/>
          <w:color w:val="auto"/>
          <w:spacing w:val="-5"/>
          <w:sz w:val="24"/>
          <w:szCs w:val="24"/>
          <w:highlight w:val="none"/>
        </w:rPr>
        <w:t>的“所有投标人均应提</w:t>
      </w:r>
      <w:bookmarkEnd w:id="96"/>
      <w:bookmarkEnd w:id="97"/>
      <w:bookmarkEnd w:id="98"/>
      <w:r>
        <w:rPr>
          <w:rFonts w:hint="eastAsia" w:ascii="宋体" w:hAnsi="宋体" w:eastAsia="宋体" w:cs="宋体"/>
          <w:color w:val="auto"/>
          <w:spacing w:val="-1"/>
          <w:sz w:val="24"/>
          <w:szCs w:val="24"/>
          <w:highlight w:val="none"/>
        </w:rPr>
        <w:t>供</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”的组成内容（包括该组成内容的所附资料）是否完整、齐全.</w:t>
      </w:r>
      <w:bookmarkEnd w:id="99"/>
    </w:p>
    <w:p w14:paraId="3D386574">
      <w:pPr>
        <w:spacing w:before="15" w:line="360" w:lineRule="auto"/>
        <w:ind w:right="2" w:firstLine="474" w:firstLineChars="200"/>
        <w:jc w:val="both"/>
        <w:outlineLvl w:val="9"/>
        <w:rPr>
          <w:rFonts w:hint="eastAsia" w:ascii="宋体" w:hAnsi="宋体" w:eastAsia="宋体" w:cs="宋体"/>
          <w:color w:val="auto"/>
          <w:spacing w:val="2"/>
          <w:sz w:val="24"/>
          <w:szCs w:val="24"/>
          <w:highlight w:val="none"/>
        </w:rPr>
      </w:pPr>
      <w:bookmarkStart w:id="100" w:name="_Toc14202"/>
      <w:bookmarkStart w:id="101" w:name="_Toc22642"/>
      <w:bookmarkStart w:id="102" w:name="_Toc22562"/>
      <w:bookmarkStart w:id="103" w:name="_Toc16645"/>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 xml:space="preserve">.3  </w:t>
      </w:r>
      <w:r>
        <w:rPr>
          <w:rFonts w:hint="eastAsia" w:ascii="宋体" w:hAnsi="宋体" w:eastAsia="宋体" w:cs="宋体"/>
          <w:color w:val="auto"/>
          <w:spacing w:val="2"/>
          <w:sz w:val="24"/>
          <w:szCs w:val="24"/>
          <w:highlight w:val="none"/>
        </w:rPr>
        <w:t xml:space="preserve">响应性评审环节 </w:t>
      </w:r>
    </w:p>
    <w:p w14:paraId="7757D3BF">
      <w:pPr>
        <w:spacing w:before="15" w:line="360" w:lineRule="auto"/>
        <w:ind w:right="2" w:firstLine="488" w:firstLineChars="200"/>
        <w:jc w:val="both"/>
        <w:outlineLvl w:val="9"/>
        <w:rPr>
          <w:rFonts w:hint="eastAsia" w:ascii="宋体" w:hAnsi="宋体" w:eastAsia="宋体" w:cs="宋体"/>
          <w:color w:val="auto"/>
          <w:spacing w:val="1"/>
          <w:sz w:val="24"/>
          <w:szCs w:val="24"/>
          <w:highlight w:val="none"/>
        </w:rPr>
      </w:pPr>
      <w:r>
        <w:rPr>
          <w:rFonts w:hint="eastAsia" w:ascii="宋体" w:hAnsi="宋体" w:eastAsia="宋体" w:cs="宋体"/>
          <w:color w:val="auto"/>
          <w:spacing w:val="2"/>
          <w:sz w:val="24"/>
          <w:szCs w:val="24"/>
          <w:highlight w:val="none"/>
        </w:rPr>
        <w:t>响应性评项包括：</w:t>
      </w:r>
      <w:bookmarkEnd w:id="100"/>
      <w:bookmarkEnd w:id="101"/>
      <w:bookmarkEnd w:id="102"/>
      <w:bookmarkEnd w:id="103"/>
    </w:p>
    <w:p w14:paraId="533C330C">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（1）投标有效期、质量标准、工期等是否响应招标文件实</w:t>
      </w:r>
      <w:r>
        <w:rPr>
          <w:rFonts w:hint="eastAsia" w:ascii="宋体" w:hAnsi="宋体" w:eastAsia="宋体" w:cs="宋体"/>
          <w:color w:val="auto"/>
          <w:spacing w:val="1"/>
          <w:sz w:val="24"/>
          <w:szCs w:val="24"/>
          <w:highlight w:val="none"/>
        </w:rPr>
        <w:t>质性要求；是否擅自</w:t>
      </w:r>
      <w:r>
        <w:rPr>
          <w:rFonts w:hint="eastAsia" w:ascii="宋体" w:hAnsi="宋体" w:eastAsia="宋体" w:cs="宋体"/>
          <w:color w:val="auto"/>
          <w:spacing w:val="-1"/>
          <w:sz w:val="24"/>
          <w:szCs w:val="24"/>
          <w:highlight w:val="none"/>
        </w:rPr>
        <w:t>修改、遗漏《投标函》《各项承诺一览表》的实质性内容。</w:t>
      </w:r>
    </w:p>
    <w:p w14:paraId="0D517F12">
      <w:pPr>
        <w:keepNext w:val="0"/>
        <w:keepLines w:val="0"/>
        <w:pageBreakBefore w:val="0"/>
        <w:widowControl/>
        <w:kinsoku w:val="0"/>
        <w:wordWrap/>
        <w:overflowPunct/>
        <w:topLinePunct w:val="0"/>
        <w:autoSpaceDE w:val="0"/>
        <w:autoSpaceDN w:val="0"/>
        <w:bidi w:val="0"/>
        <w:adjustRightInd w:val="0"/>
        <w:snapToGrid w:val="0"/>
        <w:spacing w:line="360"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（2）编制《投标总价》的造价工程师，其注册证书是否合法、有效。</w:t>
      </w:r>
    </w:p>
    <w:p w14:paraId="4ACD1433">
      <w:pPr>
        <w:keepNext w:val="0"/>
        <w:keepLines w:val="0"/>
        <w:pageBreakBefore w:val="0"/>
        <w:widowControl/>
        <w:kinsoku w:val="0"/>
        <w:wordWrap/>
        <w:overflowPunct/>
        <w:topLinePunct w:val="0"/>
        <w:autoSpaceDE w:val="0"/>
        <w:autoSpaceDN w:val="0"/>
        <w:bidi w:val="0"/>
        <w:adjustRightInd w:val="0"/>
        <w:snapToGrid w:val="0"/>
        <w:spacing w:line="360" w:lineRule="auto"/>
        <w:ind w:left="23" w:right="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（3）投标人委托造价咨询单位编制《投标总价》的，是否在《投标总价扉页》“投标人</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”栏目加盖造价咨询人公章；是否提供</w:t>
      </w:r>
      <w:r>
        <w:rPr>
          <w:rFonts w:hint="eastAsia" w:ascii="宋体" w:hAnsi="宋体" w:eastAsia="宋体" w:cs="宋体"/>
          <w:color w:val="auto"/>
          <w:sz w:val="24"/>
          <w:szCs w:val="24"/>
          <w:highlight w:val="none"/>
        </w:rPr>
        <w:t>造价咨询人的营业执照</w:t>
      </w:r>
      <w:r>
        <w:rPr>
          <w:rFonts w:hint="eastAsia" w:ascii="宋体" w:hAnsi="宋体" w:eastAsia="宋体" w:cs="宋体"/>
          <w:color w:val="auto"/>
          <w:spacing w:val="-2"/>
          <w:sz w:val="24"/>
          <w:szCs w:val="24"/>
          <w:highlight w:val="none"/>
        </w:rPr>
        <w:t>副本彩色扫描件；</w:t>
      </w:r>
    </w:p>
    <w:p w14:paraId="028B5C07">
      <w:pPr>
        <w:keepNext w:val="0"/>
        <w:keepLines w:val="0"/>
        <w:pageBreakBefore w:val="0"/>
        <w:widowControl/>
        <w:kinsoku w:val="0"/>
        <w:wordWrap/>
        <w:overflowPunct/>
        <w:topLinePunct w:val="0"/>
        <w:autoSpaceDE w:val="0"/>
        <w:autoSpaceDN w:val="0"/>
        <w:bidi w:val="0"/>
        <w:adjustRightInd w:val="0"/>
        <w:snapToGrid w:val="0"/>
        <w:spacing w:line="360" w:lineRule="auto"/>
        <w:ind w:left="11" w:firstLine="49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（4）投标总价是否唯一；投标总价是否超出</w:t>
      </w:r>
      <w:r>
        <w:rPr>
          <w:rFonts w:hint="eastAsia" w:ascii="宋体" w:hAnsi="宋体" w:eastAsia="宋体" w:cs="宋体"/>
          <w:b/>
          <w:bCs/>
          <w:color w:val="auto"/>
          <w:spacing w:val="1"/>
          <w:sz w:val="24"/>
          <w:szCs w:val="24"/>
          <w:highlight w:val="none"/>
          <w:lang w:val="en-US" w:eastAsia="zh-CN"/>
        </w:rPr>
        <w:t>最高投标限价</w:t>
      </w:r>
      <w:r>
        <w:rPr>
          <w:rFonts w:hint="eastAsia" w:ascii="宋体" w:hAnsi="宋体" w:eastAsia="宋体" w:cs="宋体"/>
          <w:color w:val="auto"/>
          <w:spacing w:val="1"/>
          <w:sz w:val="24"/>
          <w:szCs w:val="24"/>
          <w:highlight w:val="none"/>
        </w:rPr>
        <w:t>；</w:t>
      </w:r>
      <w:r>
        <w:rPr>
          <w:rFonts w:hint="eastAsia" w:ascii="宋体" w:hAnsi="宋体" w:eastAsia="宋体" w:cs="宋体"/>
          <w:b/>
          <w:bCs/>
          <w:color w:val="auto"/>
          <w:spacing w:val="1"/>
          <w:sz w:val="24"/>
          <w:szCs w:val="24"/>
          <w:highlight w:val="none"/>
        </w:rPr>
        <w:t>安全生产措施费</w:t>
      </w:r>
      <w:r>
        <w:rPr>
          <w:rFonts w:hint="eastAsia" w:ascii="宋体" w:hAnsi="宋体" w:eastAsia="宋体" w:cs="宋体"/>
          <w:color w:val="auto"/>
          <w:spacing w:val="-1"/>
          <w:sz w:val="24"/>
          <w:szCs w:val="24"/>
          <w:highlight w:val="none"/>
        </w:rPr>
        <w:t>是否达到最低要求；暂列金额、暂估价是否按照招标工</w:t>
      </w:r>
      <w:r>
        <w:rPr>
          <w:rFonts w:hint="eastAsia" w:ascii="宋体" w:hAnsi="宋体" w:eastAsia="宋体" w:cs="宋体"/>
          <w:color w:val="auto"/>
          <w:spacing w:val="-2"/>
          <w:sz w:val="24"/>
          <w:szCs w:val="24"/>
          <w:highlight w:val="none"/>
        </w:rPr>
        <w:t>程量清单统一报价；投</w:t>
      </w:r>
      <w:r>
        <w:rPr>
          <w:rFonts w:hint="eastAsia" w:ascii="宋体" w:hAnsi="宋体" w:eastAsia="宋体" w:cs="宋体"/>
          <w:color w:val="auto"/>
          <w:spacing w:val="-1"/>
          <w:sz w:val="24"/>
          <w:szCs w:val="24"/>
          <w:highlight w:val="none"/>
        </w:rPr>
        <w:t>标人是否以低于成本的价格竞标。</w:t>
      </w:r>
    </w:p>
    <w:p w14:paraId="17DB6A5B">
      <w:pPr>
        <w:spacing w:before="38" w:line="360" w:lineRule="auto"/>
        <w:ind w:right="2" w:firstLine="474" w:firstLineChars="200"/>
        <w:jc w:val="both"/>
        <w:rPr>
          <w:rFonts w:hint="eastAsia" w:ascii="宋体" w:hAnsi="宋体" w:eastAsia="宋体" w:cs="宋体"/>
          <w:color w:val="auto"/>
          <w:position w:val="-8"/>
          <w:sz w:val="24"/>
          <w:szCs w:val="24"/>
          <w:highlight w:val="none"/>
        </w:rPr>
      </w:pPr>
      <w:r>
        <w:rPr>
          <w:rFonts w:hint="eastAsia" w:ascii="宋体" w:hAnsi="宋体" w:eastAsia="宋体" w:cs="宋体"/>
          <w:b/>
          <w:bCs/>
          <w:color w:val="auto"/>
          <w:spacing w:val="-2"/>
          <w:sz w:val="24"/>
          <w:szCs w:val="24"/>
          <w:highlight w:val="none"/>
        </w:rPr>
        <w:t>注：如果某投标人的投标总价下浮率超过</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2"/>
          <w:sz w:val="24"/>
          <w:szCs w:val="24"/>
          <w:highlight w:val="none"/>
        </w:rPr>
        <w:t>15%</w:t>
      </w:r>
      <w:r>
        <w:rPr>
          <w:rFonts w:hint="eastAsia" w:ascii="宋体" w:hAnsi="宋体" w:eastAsia="宋体" w:cs="宋体"/>
          <w:b/>
          <w:bCs/>
          <w:color w:val="auto"/>
          <w:spacing w:val="-32"/>
          <w:sz w:val="24"/>
          <w:szCs w:val="24"/>
          <w:highlight w:val="none"/>
        </w:rPr>
        <w:t xml:space="preserve"> </w:t>
      </w:r>
      <w:r>
        <w:rPr>
          <w:rFonts w:hint="eastAsia" w:ascii="宋体" w:hAnsi="宋体" w:eastAsia="宋体" w:cs="宋体"/>
          <w:b/>
          <w:bCs/>
          <w:color w:val="auto"/>
          <w:spacing w:val="-2"/>
          <w:sz w:val="24"/>
          <w:szCs w:val="24"/>
          <w:highlight w:val="none"/>
        </w:rPr>
        <w:t>，又未提供</w:t>
      </w:r>
      <w:r>
        <w:rPr>
          <w:rFonts w:hint="eastAsia" w:ascii="宋体" w:hAnsi="宋体" w:eastAsia="宋体" w:cs="宋体"/>
          <w:b/>
          <w:bCs/>
          <w:color w:val="auto"/>
          <w:spacing w:val="-3"/>
          <w:sz w:val="24"/>
          <w:szCs w:val="24"/>
          <w:highlight w:val="none"/>
        </w:rPr>
        <w:t>相应书面说明和佐证</w:t>
      </w:r>
      <w:bookmarkStart w:id="104" w:name="bookmark127"/>
      <w:bookmarkEnd w:id="104"/>
      <w:r>
        <w:rPr>
          <w:rFonts w:hint="eastAsia" w:ascii="宋体" w:hAnsi="宋体" w:eastAsia="宋体" w:cs="宋体"/>
          <w:b/>
          <w:bCs/>
          <w:color w:val="auto"/>
          <w:spacing w:val="-4"/>
          <w:sz w:val="24"/>
          <w:szCs w:val="24"/>
          <w:highlight w:val="none"/>
        </w:rPr>
        <w:t>材料或提供的书面说明和佐证材料不能令人信服的，评标委员会应认定其以低于成本</w:t>
      </w:r>
      <w:r>
        <w:rPr>
          <w:rFonts w:hint="eastAsia" w:ascii="宋体" w:hAnsi="宋体" w:eastAsia="宋体" w:cs="宋体"/>
          <w:b/>
          <w:bCs/>
          <w:color w:val="auto"/>
          <w:spacing w:val="-9"/>
          <w:sz w:val="24"/>
          <w:szCs w:val="24"/>
          <w:highlight w:val="none"/>
        </w:rPr>
        <w:t>的价格竞标，并否决其投标。评</w:t>
      </w:r>
      <w:r>
        <w:rPr>
          <w:rFonts w:hint="eastAsia" w:ascii="宋体" w:hAnsi="宋体" w:eastAsia="宋体" w:cs="宋体"/>
          <w:b/>
          <w:bCs/>
          <w:color w:val="auto"/>
          <w:spacing w:val="-4"/>
          <w:sz w:val="24"/>
          <w:szCs w:val="24"/>
          <w:highlight w:val="none"/>
        </w:rPr>
        <w:t>标委员会接受该投标人的投标总价而未否决其投标的， 应在评标报告中说明判断理由。投标总价下浮率＝（1－投标总价÷</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）×100% 。</w:t>
      </w:r>
    </w:p>
    <w:p w14:paraId="143F3655">
      <w:pPr>
        <w:spacing w:before="157" w:line="360" w:lineRule="auto"/>
        <w:ind w:left="11" w:right="114" w:firstLine="505" w:firstLineChars="20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（5）施工组织设计的质量、进度保障措施是否符合国</w:t>
      </w:r>
      <w:r>
        <w:rPr>
          <w:rFonts w:hint="eastAsia" w:ascii="宋体" w:hAnsi="宋体" w:eastAsia="宋体" w:cs="宋体"/>
          <w:color w:val="auto"/>
          <w:sz w:val="24"/>
          <w:szCs w:val="24"/>
          <w:highlight w:val="none"/>
        </w:rPr>
        <w:t>家和省市现行有关规</w:t>
      </w:r>
      <w:r>
        <w:rPr>
          <w:rFonts w:hint="eastAsia" w:ascii="宋体" w:hAnsi="宋体" w:eastAsia="宋体" w:cs="宋体"/>
          <w:color w:val="auto"/>
          <w:spacing w:val="-1"/>
          <w:sz w:val="24"/>
          <w:szCs w:val="24"/>
          <w:highlight w:val="none"/>
        </w:rPr>
        <w:t>范、规定、标准，是否能实现工程质量、进度管理目标。</w:t>
      </w:r>
    </w:p>
    <w:p w14:paraId="679B8419">
      <w:pPr>
        <w:spacing w:before="82" w:line="211" w:lineRule="auto"/>
        <w:ind w:left="580"/>
        <w:outlineLvl w:val="9"/>
        <w:rPr>
          <w:rFonts w:hint="eastAsia" w:ascii="宋体" w:hAnsi="宋体" w:eastAsia="宋体" w:cs="宋体"/>
          <w:color w:val="auto"/>
          <w:sz w:val="24"/>
          <w:szCs w:val="24"/>
          <w:highlight w:val="none"/>
        </w:rPr>
      </w:pPr>
      <w:bookmarkStart w:id="105" w:name="_Toc18204"/>
      <w:bookmarkStart w:id="106" w:name="_Toc19814"/>
      <w:bookmarkStart w:id="107" w:name="_Toc32114"/>
      <w:bookmarkStart w:id="108" w:name="_Toc15367"/>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5</w:t>
      </w:r>
      <w:r>
        <w:rPr>
          <w:rFonts w:hint="eastAsia" w:ascii="宋体" w:hAnsi="宋体" w:eastAsia="宋体" w:cs="宋体"/>
          <w:b/>
          <w:bCs/>
          <w:color w:val="auto"/>
          <w:spacing w:val="-3"/>
          <w:sz w:val="24"/>
          <w:szCs w:val="24"/>
          <w:highlight w:val="none"/>
        </w:rPr>
        <w:t xml:space="preserve">.4  </w:t>
      </w:r>
      <w:r>
        <w:rPr>
          <w:rFonts w:hint="eastAsia" w:ascii="宋体" w:hAnsi="宋体" w:eastAsia="宋体" w:cs="宋体"/>
          <w:color w:val="auto"/>
          <w:spacing w:val="-3"/>
          <w:sz w:val="24"/>
          <w:szCs w:val="24"/>
          <w:highlight w:val="none"/>
        </w:rPr>
        <w:t>否决投标说明</w:t>
      </w:r>
      <w:bookmarkEnd w:id="105"/>
      <w:bookmarkEnd w:id="106"/>
      <w:bookmarkEnd w:id="107"/>
      <w:bookmarkEnd w:id="108"/>
    </w:p>
    <w:p w14:paraId="7073C8F6">
      <w:pPr>
        <w:spacing w:before="152" w:line="333" w:lineRule="auto"/>
        <w:ind w:left="11" w:right="175" w:firstLine="561"/>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初步评审阶段各个环节否决投标的全部条件，在本章第四节“否决投标条件</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b/>
          <w:bCs/>
          <w:color w:val="auto"/>
          <w:sz w:val="24"/>
          <w:szCs w:val="24"/>
          <w:highlight w:val="none"/>
        </w:rPr>
        <w:t>1</w:t>
      </w:r>
      <w:r>
        <w:rPr>
          <w:rFonts w:hint="eastAsia" w:ascii="宋体" w:hAnsi="宋体" w:eastAsia="宋体" w:cs="宋体"/>
          <w:color w:val="auto"/>
          <w:sz w:val="24"/>
          <w:szCs w:val="24"/>
          <w:highlight w:val="none"/>
        </w:rPr>
        <w:t>条至第</w:t>
      </w:r>
      <w:r>
        <w:rPr>
          <w:rFonts w:hint="eastAsia" w:ascii="宋体" w:hAnsi="宋体" w:eastAsia="宋体" w:cs="宋体"/>
          <w:color w:val="auto"/>
          <w:spacing w:val="-46"/>
          <w:sz w:val="24"/>
          <w:szCs w:val="24"/>
          <w:highlight w:val="none"/>
        </w:rPr>
        <w:t xml:space="preserve"> </w:t>
      </w:r>
      <w:r>
        <w:rPr>
          <w:rFonts w:hint="eastAsia" w:ascii="宋体" w:hAnsi="宋体" w:eastAsia="宋体" w:cs="宋体"/>
          <w:b/>
          <w:bCs/>
          <w:color w:val="auto"/>
          <w:sz w:val="24"/>
          <w:szCs w:val="24"/>
          <w:highlight w:val="none"/>
        </w:rPr>
        <w:t>4</w:t>
      </w:r>
      <w:r>
        <w:rPr>
          <w:rFonts w:hint="eastAsia" w:ascii="宋体" w:hAnsi="宋体" w:eastAsia="宋体" w:cs="宋体"/>
          <w:color w:val="auto"/>
          <w:sz w:val="24"/>
          <w:szCs w:val="24"/>
          <w:highlight w:val="none"/>
        </w:rPr>
        <w:t>条中集中列示。投标人有其中所列任何一种情形的，由评标委员会否决其</w:t>
      </w:r>
      <w:r>
        <w:rPr>
          <w:rFonts w:hint="eastAsia" w:ascii="宋体" w:hAnsi="宋体" w:eastAsia="宋体" w:cs="宋体"/>
          <w:color w:val="auto"/>
          <w:spacing w:val="-1"/>
          <w:sz w:val="24"/>
          <w:szCs w:val="24"/>
          <w:highlight w:val="none"/>
        </w:rPr>
        <w:t>投标。在初步评审阶段任何环节被否决的投标人，不进入下一环</w:t>
      </w:r>
      <w:r>
        <w:rPr>
          <w:rFonts w:hint="eastAsia" w:ascii="宋体" w:hAnsi="宋体" w:eastAsia="宋体" w:cs="宋体"/>
          <w:color w:val="auto"/>
          <w:spacing w:val="-2"/>
          <w:sz w:val="24"/>
          <w:szCs w:val="24"/>
          <w:highlight w:val="none"/>
        </w:rPr>
        <w:t>节（或阶段）评审。</w:t>
      </w:r>
      <w:r>
        <w:rPr>
          <w:rFonts w:hint="eastAsia" w:ascii="宋体" w:hAnsi="宋体" w:eastAsia="宋体" w:cs="宋体"/>
          <w:color w:val="auto"/>
          <w:spacing w:val="-1"/>
          <w:sz w:val="24"/>
          <w:szCs w:val="24"/>
          <w:highlight w:val="none"/>
        </w:rPr>
        <w:t>在初步评审阶段任何环节。</w:t>
      </w:r>
      <w:r>
        <w:rPr>
          <w:rFonts w:hint="eastAsia" w:ascii="宋体" w:hAnsi="宋体" w:eastAsia="宋体" w:cs="宋体"/>
          <w:color w:val="auto"/>
          <w:sz w:val="24"/>
          <w:szCs w:val="24"/>
          <w:highlight w:val="none"/>
        </w:rPr>
        <w:t>评标委员会经评审，认为所有投标都不符合招标文件要求的，可否决所有投标，项目的所有投标被否决的，招标人应依法重新组织招标。</w:t>
      </w:r>
    </w:p>
    <w:p w14:paraId="7FC0CEA6">
      <w:pPr>
        <w:spacing w:before="78" w:line="221" w:lineRule="auto"/>
        <w:ind w:left="5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61312"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8"/>
                    <a:stretch>
                      <a:fillRect/>
                    </a:stretch>
                  </pic:blipFill>
                  <pic:spPr>
                    <a:xfrm>
                      <a:off x="0" y="0"/>
                      <a:ext cx="6350" cy="279400"/>
                    </a:xfrm>
                    <a:prstGeom prst="rect">
                      <a:avLst/>
                    </a:prstGeom>
                    <a:noFill/>
                    <a:ln>
                      <a:noFill/>
                    </a:ln>
                  </pic:spPr>
                </pic:pic>
              </a:graphicData>
            </a:graphic>
          </wp:anchor>
        </w:drawing>
      </w:r>
      <w:bookmarkStart w:id="109" w:name="bookmark128"/>
      <w:bookmarkEnd w:id="109"/>
      <w:r>
        <w:rPr>
          <w:rFonts w:hint="eastAsia" w:ascii="宋体" w:hAnsi="宋体" w:eastAsia="宋体" w:cs="宋体"/>
          <w:b/>
          <w:bCs/>
          <w:color w:val="auto"/>
          <w:spacing w:val="-2"/>
          <w:sz w:val="24"/>
          <w:szCs w:val="24"/>
          <w:highlight w:val="none"/>
        </w:rPr>
        <w:t>1</w:t>
      </w:r>
      <w:r>
        <w:rPr>
          <w:rFonts w:hint="eastAsia" w:ascii="宋体" w:hAnsi="宋体" w:eastAsia="宋体" w:cs="宋体"/>
          <w:b/>
          <w:bCs/>
          <w:color w:val="auto"/>
          <w:spacing w:val="-2"/>
          <w:sz w:val="24"/>
          <w:szCs w:val="24"/>
          <w:highlight w:val="none"/>
          <w:lang w:val="en-US" w:eastAsia="zh-CN"/>
        </w:rPr>
        <w:t>5</w:t>
      </w:r>
      <w:r>
        <w:rPr>
          <w:rFonts w:hint="eastAsia" w:ascii="宋体" w:hAnsi="宋体" w:eastAsia="宋体" w:cs="宋体"/>
          <w:b/>
          <w:bCs/>
          <w:color w:val="auto"/>
          <w:spacing w:val="-2"/>
          <w:sz w:val="24"/>
          <w:szCs w:val="24"/>
          <w:highlight w:val="none"/>
        </w:rPr>
        <w:t>.</w:t>
      </w:r>
      <w:r>
        <w:rPr>
          <w:rFonts w:hint="eastAsia" w:ascii="宋体" w:hAnsi="宋体" w:eastAsia="宋体" w:cs="宋体"/>
          <w:b/>
          <w:bCs/>
          <w:color w:val="auto"/>
          <w:spacing w:val="-2"/>
          <w:sz w:val="24"/>
          <w:szCs w:val="24"/>
          <w:highlight w:val="none"/>
          <w:lang w:val="en-US" w:eastAsia="zh-CN"/>
        </w:rPr>
        <w:t>6</w:t>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color w:val="auto"/>
          <w:spacing w:val="-2"/>
          <w:sz w:val="24"/>
          <w:szCs w:val="24"/>
          <w:highlight w:val="none"/>
        </w:rPr>
        <w:t>详细评审阶段</w:t>
      </w:r>
    </w:p>
    <w:p w14:paraId="6B0132D7">
      <w:pPr>
        <w:spacing w:before="81" w:line="211" w:lineRule="auto"/>
        <w:ind w:left="498"/>
        <w:outlineLvl w:val="9"/>
        <w:rPr>
          <w:rFonts w:hint="eastAsia" w:ascii="宋体" w:hAnsi="宋体" w:eastAsia="宋体" w:cs="宋体"/>
          <w:color w:val="auto"/>
          <w:sz w:val="24"/>
          <w:szCs w:val="24"/>
          <w:highlight w:val="none"/>
        </w:rPr>
      </w:pPr>
      <w:bookmarkStart w:id="110" w:name="_Toc10503"/>
      <w:bookmarkStart w:id="111" w:name="_Toc28572"/>
      <w:bookmarkStart w:id="112" w:name="_Toc4119"/>
      <w:bookmarkStart w:id="113" w:name="_Toc14991"/>
      <w:r>
        <w:rPr>
          <w:rFonts w:hint="eastAsia" w:ascii="宋体" w:hAnsi="宋体" w:eastAsia="宋体" w:cs="宋体"/>
          <w:b/>
          <w:bCs/>
          <w:color w:val="auto"/>
          <w:spacing w:val="-3"/>
          <w:sz w:val="24"/>
          <w:szCs w:val="24"/>
          <w:highlight w:val="none"/>
          <w:lang w:val="en-US" w:eastAsia="zh-CN"/>
        </w:rPr>
        <w:t>15</w:t>
      </w:r>
      <w:r>
        <w:rPr>
          <w:rFonts w:hint="eastAsia" w:ascii="宋体" w:hAnsi="宋体" w:eastAsia="宋体" w:cs="宋体"/>
          <w:b/>
          <w:bCs/>
          <w:color w:val="auto"/>
          <w:spacing w:val="-3"/>
          <w:sz w:val="24"/>
          <w:szCs w:val="24"/>
          <w:highlight w:val="none"/>
        </w:rPr>
        <w:t>.</w:t>
      </w:r>
      <w:r>
        <w:rPr>
          <w:rFonts w:hint="eastAsia" w:ascii="宋体" w:hAnsi="宋体" w:eastAsia="宋体" w:cs="宋体"/>
          <w:b/>
          <w:bCs/>
          <w:color w:val="auto"/>
          <w:spacing w:val="-3"/>
          <w:sz w:val="24"/>
          <w:szCs w:val="24"/>
          <w:highlight w:val="none"/>
          <w:lang w:val="en-US" w:eastAsia="zh-CN"/>
        </w:rPr>
        <w:t>6</w:t>
      </w:r>
      <w:r>
        <w:rPr>
          <w:rFonts w:hint="eastAsia" w:ascii="宋体" w:hAnsi="宋体" w:eastAsia="宋体" w:cs="宋体"/>
          <w:b/>
          <w:bCs/>
          <w:color w:val="auto"/>
          <w:spacing w:val="-3"/>
          <w:sz w:val="24"/>
          <w:szCs w:val="24"/>
          <w:highlight w:val="none"/>
        </w:rPr>
        <w:t xml:space="preserve">.1  </w:t>
      </w:r>
      <w:r>
        <w:rPr>
          <w:rFonts w:hint="eastAsia" w:ascii="宋体" w:hAnsi="宋体" w:eastAsia="宋体" w:cs="宋体"/>
          <w:color w:val="auto"/>
          <w:spacing w:val="-3"/>
          <w:sz w:val="24"/>
          <w:szCs w:val="24"/>
          <w:highlight w:val="none"/>
        </w:rPr>
        <w:t>“综合评估法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”评审程序</w:t>
      </w:r>
      <w:bookmarkEnd w:id="110"/>
      <w:bookmarkEnd w:id="111"/>
      <w:bookmarkEnd w:id="112"/>
      <w:bookmarkEnd w:id="113"/>
    </w:p>
    <w:p w14:paraId="5801B40B">
      <w:pPr>
        <w:spacing w:before="152" w:line="329" w:lineRule="auto"/>
        <w:ind w:left="14" w:right="81" w:firstLine="47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评审内容分为商务技术和投标报价两大部分。其中，商</w:t>
      </w:r>
      <w:r>
        <w:rPr>
          <w:rFonts w:hint="eastAsia" w:ascii="宋体" w:hAnsi="宋体" w:eastAsia="宋体" w:cs="宋体"/>
          <w:color w:val="auto"/>
          <w:spacing w:val="-2"/>
          <w:sz w:val="24"/>
          <w:szCs w:val="24"/>
          <w:highlight w:val="none"/>
        </w:rPr>
        <w:t>务技术合计满分</w:t>
      </w:r>
      <w:r>
        <w:rPr>
          <w:rFonts w:hint="eastAsia" w:ascii="宋体" w:hAnsi="宋体" w:eastAsia="宋体" w:cs="宋体"/>
          <w:color w:val="auto"/>
          <w:spacing w:val="-2"/>
          <w:sz w:val="24"/>
          <w:szCs w:val="24"/>
          <w:highlight w:val="none"/>
          <w:lang w:eastAsia="zh-CN"/>
        </w:rPr>
        <w:t>100</w:t>
      </w:r>
      <w:r>
        <w:rPr>
          <w:rFonts w:hint="eastAsia" w:ascii="宋体" w:hAnsi="宋体" w:eastAsia="宋体" w:cs="宋体"/>
          <w:color w:val="auto"/>
          <w:spacing w:val="-2"/>
          <w:sz w:val="24"/>
          <w:szCs w:val="24"/>
          <w:highlight w:val="none"/>
        </w:rPr>
        <w:t>分，权重</w:t>
      </w:r>
      <w:r>
        <w:rPr>
          <w:rFonts w:hint="eastAsia" w:ascii="宋体" w:hAnsi="宋体" w:eastAsia="宋体" w:cs="宋体"/>
          <w:color w:val="auto"/>
          <w:spacing w:val="-3"/>
          <w:sz w:val="24"/>
          <w:szCs w:val="24"/>
          <w:highlight w:val="none"/>
        </w:rPr>
        <w:t>为</w:t>
      </w:r>
      <w:r>
        <w:rPr>
          <w:rFonts w:hint="eastAsia" w:ascii="宋体" w:hAnsi="宋体" w:eastAsia="宋体" w:cs="宋体"/>
          <w:color w:val="auto"/>
          <w:spacing w:val="-3"/>
          <w:sz w:val="24"/>
          <w:szCs w:val="24"/>
          <w:highlight w:val="none"/>
          <w:lang w:eastAsia="zh-CN"/>
        </w:rPr>
        <w:t>40</w:t>
      </w:r>
      <w:r>
        <w:rPr>
          <w:rFonts w:hint="eastAsia" w:ascii="宋体" w:hAnsi="宋体" w:eastAsia="宋体" w:cs="宋体"/>
          <w:color w:val="auto"/>
          <w:spacing w:val="-3"/>
          <w:sz w:val="24"/>
          <w:szCs w:val="24"/>
          <w:highlight w:val="none"/>
        </w:rPr>
        <w:t>%；投标报价满分</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3"/>
          <w:sz w:val="24"/>
          <w:szCs w:val="24"/>
          <w:highlight w:val="none"/>
        </w:rPr>
        <w:t>100 分，权重为</w:t>
      </w:r>
      <w:r>
        <w:rPr>
          <w:rFonts w:hint="eastAsia" w:ascii="宋体" w:hAnsi="宋体" w:eastAsia="宋体" w:cs="宋体"/>
          <w:color w:val="auto"/>
          <w:spacing w:val="-3"/>
          <w:sz w:val="24"/>
          <w:szCs w:val="24"/>
          <w:highlight w:val="none"/>
          <w:lang w:eastAsia="zh-CN"/>
        </w:rPr>
        <w:t>60</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
          <w:sz w:val="24"/>
          <w:szCs w:val="24"/>
          <w:highlight w:val="none"/>
        </w:rPr>
        <w:t>。两大部分权重之和应为</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3"/>
          <w:sz w:val="24"/>
          <w:szCs w:val="24"/>
          <w:highlight w:val="none"/>
        </w:rPr>
        <w:t>100%。</w:t>
      </w:r>
    </w:p>
    <w:p w14:paraId="3464EFC3">
      <w:pPr>
        <w:spacing w:before="153" w:line="324" w:lineRule="auto"/>
        <w:ind w:left="14"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除特别注明外，综合得分以及商务技术得分、投标报价得分的中间过程计算值和</w:t>
      </w:r>
      <w:r>
        <w:rPr>
          <w:rFonts w:hint="eastAsia" w:ascii="宋体" w:hAnsi="宋体" w:eastAsia="宋体" w:cs="宋体"/>
          <w:color w:val="auto"/>
          <w:spacing w:val="-4"/>
          <w:sz w:val="24"/>
          <w:szCs w:val="24"/>
          <w:highlight w:val="none"/>
        </w:rPr>
        <w:t>最终值，均按“</w:t>
      </w:r>
      <w:r>
        <w:rPr>
          <w:rFonts w:hint="eastAsia" w:ascii="宋体" w:hAnsi="宋体" w:eastAsia="宋体" w:cs="宋体"/>
          <w:color w:val="auto"/>
          <w:spacing w:val="-78"/>
          <w:sz w:val="24"/>
          <w:szCs w:val="24"/>
          <w:highlight w:val="none"/>
        </w:rPr>
        <w:t xml:space="preserve"> </w:t>
      </w:r>
      <w:r>
        <w:rPr>
          <w:rFonts w:hint="eastAsia" w:ascii="宋体" w:hAnsi="宋体" w:eastAsia="宋体" w:cs="宋体"/>
          <w:color w:val="auto"/>
          <w:spacing w:val="-4"/>
          <w:sz w:val="24"/>
          <w:szCs w:val="24"/>
          <w:highlight w:val="none"/>
        </w:rPr>
        <w:t>四舍五入</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”原则精确到两位小数。</w:t>
      </w:r>
    </w:p>
    <w:p w14:paraId="794BA0E0">
      <w:pPr>
        <w:spacing w:before="38" w:line="220" w:lineRule="auto"/>
        <w:ind w:left="503"/>
        <w:outlineLvl w:val="9"/>
        <w:rPr>
          <w:rFonts w:hint="eastAsia" w:ascii="宋体" w:hAnsi="宋体" w:eastAsia="宋体" w:cs="宋体"/>
          <w:color w:val="auto"/>
          <w:sz w:val="24"/>
          <w:szCs w:val="24"/>
          <w:highlight w:val="none"/>
        </w:rPr>
      </w:pPr>
      <w:bookmarkStart w:id="114" w:name="_Toc10398"/>
      <w:bookmarkStart w:id="115" w:name="_Toc18029"/>
      <w:bookmarkStart w:id="116" w:name="_Toc17510"/>
      <w:bookmarkStart w:id="117" w:name="_Toc22949"/>
      <w:r>
        <w:rPr>
          <w:rFonts w:hint="eastAsia" w:ascii="宋体" w:hAnsi="宋体" w:eastAsia="宋体" w:cs="宋体"/>
          <w:color w:val="auto"/>
          <w:spacing w:val="-3"/>
          <w:sz w:val="24"/>
          <w:szCs w:val="24"/>
          <w:highlight w:val="none"/>
        </w:rPr>
        <w:t>（1）商务技术得分</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M</w:t>
      </w:r>
      <w:bookmarkEnd w:id="114"/>
      <w:bookmarkEnd w:id="115"/>
      <w:bookmarkEnd w:id="116"/>
      <w:bookmarkEnd w:id="117"/>
    </w:p>
    <w:p w14:paraId="1E12203A">
      <w:pPr>
        <w:spacing w:before="153" w:line="279" w:lineRule="auto"/>
        <w:ind w:left="15" w:right="81"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color w:val="auto"/>
          <w:spacing w:val="1"/>
          <w:sz w:val="24"/>
          <w:szCs w:val="24"/>
          <w:highlight w:val="none"/>
        </w:rPr>
        <w:t>．评标委员会按照《综合评分表》商务部分指定的评分标准对各评分因素进行</w:t>
      </w:r>
      <w:r>
        <w:rPr>
          <w:rFonts w:hint="eastAsia" w:ascii="宋体" w:hAnsi="宋体" w:eastAsia="宋体" w:cs="宋体"/>
          <w:color w:val="auto"/>
          <w:spacing w:val="-1"/>
          <w:sz w:val="24"/>
          <w:szCs w:val="24"/>
          <w:highlight w:val="none"/>
        </w:rPr>
        <w:t>打分。各评分因素得分之和即为某投标人的商务得分</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24"/>
          <w:szCs w:val="24"/>
          <w:highlight w:val="none"/>
        </w:rPr>
        <w:t>1</w:t>
      </w:r>
      <w:r>
        <w:rPr>
          <w:rFonts w:hint="eastAsia" w:ascii="宋体" w:hAnsi="宋体" w:eastAsia="宋体" w:cs="宋体"/>
          <w:color w:val="auto"/>
          <w:spacing w:val="-1"/>
          <w:sz w:val="24"/>
          <w:szCs w:val="24"/>
          <w:highlight w:val="none"/>
        </w:rPr>
        <w:t>。</w:t>
      </w:r>
    </w:p>
    <w:p w14:paraId="2C906367">
      <w:pPr>
        <w:spacing w:before="154" w:line="299" w:lineRule="auto"/>
        <w:ind w:left="12" w:right="8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b</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
          <w:sz w:val="24"/>
          <w:szCs w:val="24"/>
          <w:highlight w:val="none"/>
        </w:rPr>
        <w:t>．评标委员会各成员独立按照《综合评分表》技术部分（施工组织设</w:t>
      </w:r>
      <w:r>
        <w:rPr>
          <w:rFonts w:hint="eastAsia" w:ascii="宋体" w:hAnsi="宋体" w:eastAsia="宋体" w:cs="宋体"/>
          <w:color w:val="auto"/>
          <w:sz w:val="24"/>
          <w:szCs w:val="24"/>
          <w:highlight w:val="none"/>
        </w:rPr>
        <w:t>计）指定</w:t>
      </w:r>
      <w:r>
        <w:rPr>
          <w:rFonts w:hint="eastAsia" w:ascii="宋体" w:hAnsi="宋体" w:eastAsia="宋体" w:cs="宋体"/>
          <w:color w:val="auto"/>
          <w:spacing w:val="-1"/>
          <w:sz w:val="24"/>
          <w:szCs w:val="24"/>
          <w:highlight w:val="none"/>
        </w:rPr>
        <w:t>的评分标准对各评分因素进行打分，累加后得出技术评分。</w:t>
      </w:r>
      <w:r>
        <w:rPr>
          <w:rFonts w:hint="eastAsia" w:ascii="宋体" w:hAnsi="宋体" w:eastAsia="宋体" w:cs="宋体"/>
          <w:color w:val="auto"/>
          <w:spacing w:val="-2"/>
          <w:sz w:val="24"/>
          <w:szCs w:val="24"/>
          <w:highlight w:val="none"/>
        </w:rPr>
        <w:t>将评标委员会所有成员的</w:t>
      </w:r>
      <w:r>
        <w:rPr>
          <w:rFonts w:hint="eastAsia" w:ascii="宋体" w:hAnsi="宋体" w:eastAsia="宋体" w:cs="宋体"/>
          <w:color w:val="auto"/>
          <w:sz w:val="24"/>
          <w:szCs w:val="24"/>
          <w:highlight w:val="none"/>
        </w:rPr>
        <w:t>技术评分去掉最高分和最低分后，取算术平均值，即</w:t>
      </w:r>
      <w:r>
        <w:rPr>
          <w:rFonts w:hint="eastAsia" w:ascii="宋体" w:hAnsi="宋体" w:eastAsia="宋体" w:cs="宋体"/>
          <w:color w:val="auto"/>
          <w:spacing w:val="-1"/>
          <w:sz w:val="24"/>
          <w:szCs w:val="24"/>
          <w:highlight w:val="none"/>
        </w:rPr>
        <w:t>为某投标人的技术得分</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1"/>
          <w:sz w:val="24"/>
          <w:szCs w:val="24"/>
          <w:highlight w:val="none"/>
        </w:rPr>
        <w:t>M</w:t>
      </w:r>
      <w:r>
        <w:rPr>
          <w:rFonts w:hint="eastAsia" w:ascii="宋体" w:hAnsi="宋体" w:eastAsia="宋体" w:cs="宋体"/>
          <w:color w:val="auto"/>
          <w:spacing w:val="-1"/>
          <w:position w:val="-1"/>
          <w:sz w:val="24"/>
          <w:szCs w:val="24"/>
          <w:highlight w:val="none"/>
        </w:rPr>
        <w:t>2</w:t>
      </w:r>
      <w:r>
        <w:rPr>
          <w:rFonts w:hint="eastAsia" w:ascii="宋体" w:hAnsi="宋体" w:eastAsia="宋体" w:cs="宋体"/>
          <w:color w:val="auto"/>
          <w:spacing w:val="-1"/>
          <w:sz w:val="24"/>
          <w:szCs w:val="24"/>
          <w:highlight w:val="none"/>
        </w:rPr>
        <w:t>。</w:t>
      </w:r>
    </w:p>
    <w:p w14:paraId="520DD2F5">
      <w:pPr>
        <w:spacing w:before="155" w:line="231" w:lineRule="auto"/>
        <w:ind w:left="491"/>
        <w:rPr>
          <w:rFonts w:hint="eastAsia" w:ascii="宋体" w:hAnsi="宋体" w:eastAsia="宋体" w:cs="宋体"/>
          <w:color w:val="auto"/>
          <w:sz w:val="24"/>
          <w:szCs w:val="24"/>
          <w:highlight w:val="none"/>
        </w:rPr>
      </w:pPr>
      <w:r>
        <w:rPr>
          <w:rFonts w:hint="eastAsia" w:ascii="宋体" w:hAnsi="宋体" w:eastAsia="宋体" w:cs="宋体"/>
          <w:b/>
          <w:bCs/>
          <w:color w:val="auto"/>
          <w:spacing w:val="-12"/>
          <w:sz w:val="24"/>
          <w:szCs w:val="24"/>
          <w:highlight w:val="none"/>
        </w:rPr>
        <w:t>c</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12"/>
          <w:sz w:val="24"/>
          <w:szCs w:val="24"/>
          <w:highlight w:val="none"/>
        </w:rPr>
        <w:t>＝M</w:t>
      </w:r>
      <w:r>
        <w:rPr>
          <w:rFonts w:hint="eastAsia" w:ascii="宋体" w:hAnsi="宋体" w:eastAsia="宋体" w:cs="宋体"/>
          <w:color w:val="auto"/>
          <w:spacing w:val="-12"/>
          <w:position w:val="-1"/>
          <w:sz w:val="24"/>
          <w:szCs w:val="24"/>
          <w:highlight w:val="none"/>
        </w:rPr>
        <w:t>1</w:t>
      </w:r>
      <w:r>
        <w:rPr>
          <w:rFonts w:hint="eastAsia" w:ascii="宋体" w:hAnsi="宋体" w:eastAsia="宋体" w:cs="宋体"/>
          <w:color w:val="auto"/>
          <w:sz w:val="24"/>
          <w:szCs w:val="24"/>
          <w:highlight w:val="none"/>
        </w:rPr>
        <w:t>＋M</w:t>
      </w:r>
      <w:r>
        <w:rPr>
          <w:rFonts w:hint="eastAsia" w:ascii="宋体" w:hAnsi="宋体" w:eastAsia="宋体" w:cs="宋体"/>
          <w:color w:val="auto"/>
          <w:position w:val="-1"/>
          <w:sz w:val="24"/>
          <w:szCs w:val="24"/>
          <w:highlight w:val="none"/>
        </w:rPr>
        <w:t>2</w:t>
      </w:r>
    </w:p>
    <w:p w14:paraId="76688D82">
      <w:pPr>
        <w:spacing w:before="139" w:line="220" w:lineRule="auto"/>
        <w:ind w:left="496"/>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w:t>
      </w:r>
      <w:r>
        <w:rPr>
          <w:rFonts w:hint="eastAsia" w:ascii="宋体" w:hAnsi="宋体" w:eastAsia="宋体" w:cs="宋体"/>
          <w:color w:val="auto"/>
          <w:spacing w:val="-1"/>
          <w:position w:val="-1"/>
          <w:sz w:val="24"/>
          <w:szCs w:val="24"/>
          <w:highlight w:val="none"/>
        </w:rPr>
        <w:t>1</w:t>
      </w:r>
      <w:r>
        <w:rPr>
          <w:rFonts w:hint="eastAsia" w:ascii="宋体" w:hAnsi="宋体" w:eastAsia="宋体" w:cs="宋体"/>
          <w:color w:val="auto"/>
          <w:spacing w:val="12"/>
          <w:w w:val="101"/>
          <w:position w:val="-1"/>
          <w:sz w:val="24"/>
          <w:szCs w:val="24"/>
          <w:highlight w:val="none"/>
        </w:rPr>
        <w:t xml:space="preserve"> </w:t>
      </w:r>
      <w:r>
        <w:rPr>
          <w:rFonts w:hint="eastAsia" w:ascii="宋体" w:hAnsi="宋体" w:eastAsia="宋体" w:cs="宋体"/>
          <w:color w:val="auto"/>
          <w:spacing w:val="-1"/>
          <w:sz w:val="24"/>
          <w:szCs w:val="24"/>
          <w:highlight w:val="none"/>
        </w:rPr>
        <w:t>为某投标人的商务得分，M</w:t>
      </w:r>
      <w:r>
        <w:rPr>
          <w:rFonts w:hint="eastAsia" w:ascii="宋体" w:hAnsi="宋体" w:eastAsia="宋体" w:cs="宋体"/>
          <w:color w:val="auto"/>
          <w:spacing w:val="-1"/>
          <w:position w:val="-1"/>
          <w:sz w:val="24"/>
          <w:szCs w:val="24"/>
          <w:highlight w:val="none"/>
        </w:rPr>
        <w:t>2</w:t>
      </w:r>
      <w:r>
        <w:rPr>
          <w:rFonts w:hint="eastAsia" w:ascii="宋体" w:hAnsi="宋体" w:eastAsia="宋体" w:cs="宋体"/>
          <w:color w:val="auto"/>
          <w:spacing w:val="12"/>
          <w:position w:val="-1"/>
          <w:sz w:val="24"/>
          <w:szCs w:val="24"/>
          <w:highlight w:val="none"/>
        </w:rPr>
        <w:t xml:space="preserve"> </w:t>
      </w:r>
      <w:r>
        <w:rPr>
          <w:rFonts w:hint="eastAsia" w:ascii="宋体" w:hAnsi="宋体" w:eastAsia="宋体" w:cs="宋体"/>
          <w:color w:val="auto"/>
          <w:spacing w:val="-1"/>
          <w:sz w:val="24"/>
          <w:szCs w:val="24"/>
          <w:highlight w:val="none"/>
        </w:rPr>
        <w:t>为某投标人的</w:t>
      </w:r>
      <w:r>
        <w:rPr>
          <w:rFonts w:hint="eastAsia" w:ascii="宋体" w:hAnsi="宋体" w:eastAsia="宋体" w:cs="宋体"/>
          <w:color w:val="auto"/>
          <w:spacing w:val="-2"/>
          <w:sz w:val="24"/>
          <w:szCs w:val="24"/>
          <w:highlight w:val="none"/>
        </w:rPr>
        <w:t>技术得分。</w:t>
      </w:r>
    </w:p>
    <w:p w14:paraId="24BE1853">
      <w:pPr>
        <w:spacing w:before="153" w:line="219" w:lineRule="auto"/>
        <w:ind w:left="503"/>
        <w:outlineLvl w:val="9"/>
        <w:rPr>
          <w:rFonts w:hint="eastAsia" w:ascii="宋体" w:hAnsi="宋体" w:eastAsia="宋体" w:cs="宋体"/>
          <w:color w:val="auto"/>
          <w:sz w:val="24"/>
          <w:szCs w:val="24"/>
          <w:highlight w:val="none"/>
        </w:rPr>
      </w:pPr>
      <w:bookmarkStart w:id="118" w:name="_Toc27609"/>
      <w:bookmarkStart w:id="119" w:name="_Toc16136"/>
      <w:bookmarkStart w:id="120" w:name="_Toc14059"/>
      <w:bookmarkStart w:id="121" w:name="_Toc3958"/>
      <w:r>
        <w:rPr>
          <w:rFonts w:hint="eastAsia" w:ascii="宋体" w:hAnsi="宋体" w:eastAsia="宋体" w:cs="宋体"/>
          <w:color w:val="auto"/>
          <w:spacing w:val="-2"/>
          <w:sz w:val="24"/>
          <w:szCs w:val="24"/>
          <w:highlight w:val="none"/>
        </w:rPr>
        <w:t>（2）投标报价得分</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2"/>
          <w:sz w:val="24"/>
          <w:szCs w:val="24"/>
          <w:highlight w:val="none"/>
        </w:rPr>
        <w:t>N</w:t>
      </w:r>
      <w:bookmarkEnd w:id="118"/>
      <w:bookmarkEnd w:id="119"/>
      <w:bookmarkEnd w:id="120"/>
      <w:bookmarkEnd w:id="121"/>
    </w:p>
    <w:p w14:paraId="5F9BE99E">
      <w:pPr>
        <w:spacing w:before="157" w:line="219" w:lineRule="auto"/>
        <w:ind w:firstLine="470"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a</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color w:val="auto"/>
          <w:spacing w:val="-3"/>
          <w:sz w:val="24"/>
          <w:szCs w:val="24"/>
          <w:highlight w:val="none"/>
        </w:rPr>
        <w:t>．评标委员会按照《综合评分表》投标报价部分指定的方法计</w:t>
      </w:r>
      <w:r>
        <w:rPr>
          <w:rFonts w:hint="eastAsia" w:ascii="宋体" w:hAnsi="宋体" w:eastAsia="宋体" w:cs="宋体"/>
          <w:color w:val="auto"/>
          <w:spacing w:val="-4"/>
          <w:sz w:val="24"/>
          <w:szCs w:val="24"/>
          <w:highlight w:val="none"/>
        </w:rPr>
        <w:t>算评标基准价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pacing w:val="-4"/>
          <w:sz w:val="24"/>
          <w:szCs w:val="24"/>
          <w:highlight w:val="none"/>
        </w:rPr>
        <w:t>D。</w:t>
      </w:r>
    </w:p>
    <w:p w14:paraId="27C7C653">
      <w:pPr>
        <w:spacing w:before="155" w:line="299" w:lineRule="auto"/>
        <w:ind w:left="12" w:right="83"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b</w:t>
      </w:r>
      <w:r>
        <w:rPr>
          <w:rFonts w:hint="eastAsia" w:ascii="宋体" w:hAnsi="宋体" w:eastAsia="宋体" w:cs="宋体"/>
          <w:b/>
          <w:bCs/>
          <w:color w:val="auto"/>
          <w:spacing w:val="-20"/>
          <w:sz w:val="24"/>
          <w:szCs w:val="24"/>
          <w:highlight w:val="none"/>
        </w:rPr>
        <w:t xml:space="preserve"> </w:t>
      </w:r>
      <w:r>
        <w:rPr>
          <w:rFonts w:hint="eastAsia" w:ascii="宋体" w:hAnsi="宋体" w:eastAsia="宋体" w:cs="宋体"/>
          <w:color w:val="auto"/>
          <w:sz w:val="24"/>
          <w:szCs w:val="24"/>
          <w:highlight w:val="none"/>
        </w:rPr>
        <w:t>．采用内插法计算某投标人的投标报价得分</w:t>
      </w:r>
      <w:r>
        <w:rPr>
          <w:rFonts w:hint="eastAsia" w:ascii="宋体" w:hAnsi="宋体" w:eastAsia="宋体" w:cs="宋体"/>
          <w:color w:val="auto"/>
          <w:spacing w:val="-60"/>
          <w:sz w:val="24"/>
          <w:szCs w:val="24"/>
          <w:highlight w:val="none"/>
        </w:rPr>
        <w:t xml:space="preserve"> </w:t>
      </w:r>
      <w:r>
        <w:rPr>
          <w:rFonts w:hint="eastAsia" w:ascii="宋体" w:hAnsi="宋体" w:eastAsia="宋体" w:cs="宋体"/>
          <w:color w:val="auto"/>
          <w:sz w:val="24"/>
          <w:szCs w:val="24"/>
          <w:highlight w:val="none"/>
        </w:rPr>
        <w:t>N</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z w:val="24"/>
          <w:szCs w:val="24"/>
          <w:highlight w:val="none"/>
        </w:rPr>
        <w:t>，即当投标人的投标总价等于评</w:t>
      </w:r>
      <w:r>
        <w:rPr>
          <w:rFonts w:hint="eastAsia" w:ascii="宋体" w:hAnsi="宋体" w:eastAsia="宋体" w:cs="宋体"/>
          <w:color w:val="auto"/>
          <w:spacing w:val="-1"/>
          <w:sz w:val="24"/>
          <w:szCs w:val="24"/>
          <w:highlight w:val="none"/>
        </w:rPr>
        <w:t>标基准价时得</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100分，每高于评标基准价一个百分点扣</w:t>
      </w:r>
      <w:r>
        <w:rPr>
          <w:rFonts w:hint="eastAsia" w:ascii="宋体" w:hAnsi="宋体" w:eastAsia="宋体" w:cs="宋体"/>
          <w:color w:val="auto"/>
          <w:spacing w:val="-44"/>
          <w:sz w:val="24"/>
          <w:szCs w:val="24"/>
          <w:highlight w:val="none"/>
        </w:rPr>
        <w:t xml:space="preserve"> </w:t>
      </w:r>
      <w:r>
        <w:rPr>
          <w:rFonts w:hint="eastAsia" w:ascii="宋体" w:hAnsi="宋体" w:eastAsia="宋体" w:cs="宋体"/>
          <w:b/>
          <w:bCs/>
          <w:color w:val="auto"/>
          <w:spacing w:val="-1"/>
          <w:sz w:val="24"/>
          <w:szCs w:val="24"/>
          <w:highlight w:val="none"/>
        </w:rPr>
        <w:t xml:space="preserve">1分,  </w:t>
      </w:r>
      <w:r>
        <w:rPr>
          <w:rFonts w:hint="eastAsia" w:ascii="宋体" w:hAnsi="宋体" w:eastAsia="宋体" w:cs="宋体"/>
          <w:color w:val="auto"/>
          <w:spacing w:val="-2"/>
          <w:sz w:val="24"/>
          <w:szCs w:val="24"/>
          <w:highlight w:val="none"/>
        </w:rPr>
        <w:t>每低于评标基准价一个百分点扣</w:t>
      </w:r>
      <w:r>
        <w:rPr>
          <w:rFonts w:hint="eastAsia" w:ascii="宋体" w:hAnsi="宋体" w:eastAsia="宋体" w:cs="宋体"/>
          <w:color w:val="auto"/>
          <w:spacing w:val="-34"/>
          <w:sz w:val="24"/>
          <w:szCs w:val="24"/>
          <w:highlight w:val="none"/>
        </w:rPr>
        <w:t xml:space="preserve"> </w:t>
      </w:r>
      <w:r>
        <w:rPr>
          <w:rFonts w:hint="eastAsia" w:ascii="宋体" w:hAnsi="宋体" w:eastAsia="宋体" w:cs="宋体"/>
          <w:b/>
          <w:bCs/>
          <w:color w:val="auto"/>
          <w:spacing w:val="-2"/>
          <w:sz w:val="24"/>
          <w:szCs w:val="24"/>
          <w:highlight w:val="none"/>
        </w:rPr>
        <w:t>0.5 分</w:t>
      </w:r>
      <w:r>
        <w:rPr>
          <w:rFonts w:hint="eastAsia" w:ascii="宋体" w:hAnsi="宋体" w:eastAsia="宋体" w:cs="宋体"/>
          <w:color w:val="auto"/>
          <w:spacing w:val="-2"/>
          <w:sz w:val="24"/>
          <w:szCs w:val="24"/>
          <w:highlight w:val="none"/>
        </w:rPr>
        <w:t>，扣完为止。公式如下：</w:t>
      </w:r>
    </w:p>
    <w:p w14:paraId="4FAFC48E">
      <w:pPr>
        <w:spacing w:before="118" w:line="333" w:lineRule="exact"/>
        <w:ind w:left="2418"/>
        <w:rPr>
          <w:rFonts w:hint="eastAsia" w:ascii="宋体" w:hAnsi="宋体" w:eastAsia="宋体" w:cs="宋体"/>
          <w:color w:val="auto"/>
          <w:sz w:val="24"/>
          <w:szCs w:val="24"/>
          <w:highlight w:val="none"/>
        </w:rPr>
      </w:pPr>
      <w:r>
        <w:rPr>
          <w:rFonts w:hint="eastAsia" w:ascii="宋体" w:hAnsi="宋体" w:eastAsia="宋体" w:cs="宋体"/>
          <w:color w:val="auto"/>
          <w:spacing w:val="-6"/>
          <w:position w:val="3"/>
          <w:sz w:val="24"/>
          <w:szCs w:val="24"/>
          <w:highlight w:val="none"/>
        </w:rPr>
        <w:t>N</w:t>
      </w:r>
      <w:r>
        <w:rPr>
          <w:rFonts w:hint="eastAsia" w:ascii="宋体" w:hAnsi="宋体" w:eastAsia="宋体" w:cs="宋体"/>
          <w:color w:val="auto"/>
          <w:spacing w:val="-27"/>
          <w:position w:val="3"/>
          <w:sz w:val="24"/>
          <w:szCs w:val="24"/>
          <w:highlight w:val="none"/>
        </w:rPr>
        <w:t xml:space="preserve"> </w:t>
      </w:r>
      <w:r>
        <w:rPr>
          <w:rFonts w:hint="eastAsia" w:ascii="宋体" w:hAnsi="宋体" w:eastAsia="宋体" w:cs="宋体"/>
          <w:color w:val="auto"/>
          <w:spacing w:val="-6"/>
          <w:position w:val="3"/>
          <w:sz w:val="24"/>
          <w:szCs w:val="24"/>
          <w:highlight w:val="none"/>
        </w:rPr>
        <w:t>＝100</w:t>
      </w:r>
      <w:r>
        <w:rPr>
          <w:rFonts w:hint="eastAsia" w:ascii="宋体" w:hAnsi="宋体" w:eastAsia="宋体" w:cs="宋体"/>
          <w:color w:val="auto"/>
          <w:spacing w:val="-12"/>
          <w:position w:val="3"/>
          <w:sz w:val="24"/>
          <w:szCs w:val="24"/>
          <w:highlight w:val="none"/>
        </w:rPr>
        <w:t>－（</w:t>
      </w:r>
      <w:r>
        <w:rPr>
          <w:rFonts w:hint="eastAsia" w:ascii="宋体" w:hAnsi="宋体" w:eastAsia="宋体" w:cs="宋体"/>
          <w:color w:val="auto"/>
          <w:spacing w:val="-6"/>
          <w:position w:val="3"/>
          <w:sz w:val="24"/>
          <w:szCs w:val="24"/>
          <w:highlight w:val="none"/>
        </w:rPr>
        <w:t>|  Di－D</w:t>
      </w:r>
      <w:r>
        <w:rPr>
          <w:rFonts w:hint="eastAsia" w:ascii="宋体" w:hAnsi="宋体" w:eastAsia="宋体" w:cs="宋体"/>
          <w:color w:val="auto"/>
          <w:spacing w:val="9"/>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17"/>
          <w:position w:val="3"/>
          <w:sz w:val="24"/>
          <w:szCs w:val="24"/>
          <w:highlight w:val="none"/>
        </w:rPr>
        <w:t xml:space="preserve">  </w:t>
      </w:r>
      <w:r>
        <w:rPr>
          <w:rFonts w:hint="eastAsia" w:ascii="宋体" w:hAnsi="宋体" w:eastAsia="宋体" w:cs="宋体"/>
          <w:color w:val="auto"/>
          <w:spacing w:val="-6"/>
          <w:position w:val="3"/>
          <w:sz w:val="24"/>
          <w:szCs w:val="24"/>
          <w:highlight w:val="none"/>
        </w:rPr>
        <w:t>÷D）</w:t>
      </w:r>
      <w:r>
        <w:rPr>
          <w:rFonts w:hint="eastAsia" w:ascii="宋体" w:hAnsi="宋体" w:eastAsia="宋体" w:cs="宋体"/>
          <w:color w:val="auto"/>
          <w:spacing w:val="-75"/>
          <w:position w:val="3"/>
          <w:sz w:val="24"/>
          <w:szCs w:val="24"/>
          <w:highlight w:val="none"/>
        </w:rPr>
        <w:t xml:space="preserve"> </w:t>
      </w:r>
      <w:r>
        <w:rPr>
          <w:rFonts w:hint="eastAsia" w:ascii="宋体" w:hAnsi="宋体" w:eastAsia="宋体" w:cs="宋体"/>
          <w:color w:val="auto"/>
          <w:spacing w:val="-6"/>
          <w:position w:val="3"/>
          <w:sz w:val="24"/>
          <w:szCs w:val="24"/>
          <w:highlight w:val="none"/>
        </w:rPr>
        <w:t>×</w:t>
      </w:r>
      <w:r>
        <w:rPr>
          <w:rFonts w:hint="eastAsia" w:ascii="宋体" w:hAnsi="宋体" w:eastAsia="宋体" w:cs="宋体"/>
          <w:color w:val="auto"/>
          <w:spacing w:val="-92"/>
          <w:position w:val="3"/>
          <w:sz w:val="24"/>
          <w:szCs w:val="24"/>
          <w:highlight w:val="none"/>
        </w:rPr>
        <w:t xml:space="preserve"> </w:t>
      </w:r>
      <w:r>
        <w:rPr>
          <w:rFonts w:hint="eastAsia" w:ascii="宋体" w:hAnsi="宋体" w:eastAsia="宋体" w:cs="宋体"/>
          <w:color w:val="auto"/>
          <w:spacing w:val="-6"/>
          <w:position w:val="3"/>
          <w:sz w:val="24"/>
          <w:szCs w:val="24"/>
          <w:highlight w:val="none"/>
        </w:rPr>
        <w:t>100×E</w:t>
      </w:r>
    </w:p>
    <w:p w14:paraId="484CC48A">
      <w:pPr>
        <w:spacing w:before="106" w:line="316" w:lineRule="auto"/>
        <w:ind w:left="7" w:right="17" w:firstLine="489"/>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式中：D 为评标基准价；Di</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为某投标人的投标总价；E</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为扣分因子，当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9"/>
          <w:sz w:val="24"/>
          <w:szCs w:val="24"/>
          <w:highlight w:val="none"/>
        </w:rPr>
        <w:t>Di＞D</w:t>
      </w:r>
      <w:r>
        <w:rPr>
          <w:rFonts w:hint="eastAsia" w:ascii="宋体" w:hAnsi="宋体" w:eastAsia="宋体" w:cs="宋体"/>
          <w:color w:val="auto"/>
          <w:spacing w:val="22"/>
          <w:w w:val="101"/>
          <w:sz w:val="24"/>
          <w:szCs w:val="24"/>
          <w:highlight w:val="none"/>
        </w:rPr>
        <w:t xml:space="preserve"> </w:t>
      </w:r>
      <w:r>
        <w:rPr>
          <w:rFonts w:hint="eastAsia" w:ascii="宋体" w:hAnsi="宋体" w:eastAsia="宋体" w:cs="宋体"/>
          <w:color w:val="auto"/>
          <w:spacing w:val="-10"/>
          <w:sz w:val="24"/>
          <w:szCs w:val="24"/>
          <w:highlight w:val="none"/>
        </w:rPr>
        <w:t>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E</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8"/>
          <w:sz w:val="24"/>
          <w:szCs w:val="24"/>
          <w:highlight w:val="none"/>
        </w:rPr>
        <w:t>＝</w:t>
      </w:r>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30"/>
          <w:sz w:val="24"/>
          <w:szCs w:val="24"/>
          <w:highlight w:val="none"/>
        </w:rPr>
        <w:t xml:space="preserve"> </w:t>
      </w:r>
      <w:r>
        <w:rPr>
          <w:rFonts w:hint="eastAsia" w:ascii="宋体" w:hAnsi="宋体" w:eastAsia="宋体" w:cs="宋体"/>
          <w:b/>
          <w:bCs/>
          <w:color w:val="auto"/>
          <w:spacing w:val="-8"/>
          <w:sz w:val="24"/>
          <w:szCs w:val="24"/>
          <w:highlight w:val="none"/>
        </w:rPr>
        <w:t>；</w:t>
      </w:r>
      <w:r>
        <w:rPr>
          <w:rFonts w:hint="eastAsia" w:ascii="宋体" w:hAnsi="宋体" w:eastAsia="宋体" w:cs="宋体"/>
          <w:color w:val="auto"/>
          <w:spacing w:val="-8"/>
          <w:sz w:val="24"/>
          <w:szCs w:val="24"/>
          <w:highlight w:val="none"/>
        </w:rPr>
        <w:t>当</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8"/>
          <w:sz w:val="24"/>
          <w:szCs w:val="24"/>
          <w:highlight w:val="none"/>
        </w:rPr>
        <w:t>Di＜D</w:t>
      </w:r>
      <w:r>
        <w:rPr>
          <w:rFonts w:hint="eastAsia" w:ascii="宋体" w:hAnsi="宋体" w:eastAsia="宋体" w:cs="宋体"/>
          <w:color w:val="auto"/>
          <w:spacing w:val="20"/>
          <w:w w:val="101"/>
          <w:sz w:val="24"/>
          <w:szCs w:val="24"/>
          <w:highlight w:val="none"/>
        </w:rPr>
        <w:t xml:space="preserve"> </w:t>
      </w:r>
      <w:r>
        <w:rPr>
          <w:rFonts w:hint="eastAsia" w:ascii="宋体" w:hAnsi="宋体" w:eastAsia="宋体" w:cs="宋体"/>
          <w:color w:val="auto"/>
          <w:spacing w:val="-8"/>
          <w:sz w:val="24"/>
          <w:szCs w:val="24"/>
          <w:highlight w:val="none"/>
        </w:rPr>
        <w:t>时，E</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＝0.5。</w:t>
      </w:r>
    </w:p>
    <w:p w14:paraId="62416271">
      <w:pPr>
        <w:spacing w:before="95" w:line="220" w:lineRule="auto"/>
        <w:ind w:left="503"/>
        <w:outlineLvl w:val="9"/>
        <w:rPr>
          <w:rFonts w:hint="eastAsia" w:ascii="宋体" w:hAnsi="宋体" w:eastAsia="宋体" w:cs="宋体"/>
          <w:color w:val="auto"/>
          <w:sz w:val="24"/>
          <w:szCs w:val="24"/>
          <w:highlight w:val="none"/>
        </w:rPr>
      </w:pPr>
      <w:bookmarkStart w:id="122" w:name="_Toc7915"/>
      <w:bookmarkStart w:id="123" w:name="_Toc3861"/>
      <w:bookmarkStart w:id="124" w:name="_Toc576"/>
      <w:bookmarkStart w:id="125" w:name="_Toc4990"/>
      <w:r>
        <w:rPr>
          <w:rFonts w:hint="eastAsia" w:ascii="宋体" w:hAnsi="宋体" w:eastAsia="宋体" w:cs="宋体"/>
          <w:color w:val="auto"/>
          <w:spacing w:val="-3"/>
          <w:sz w:val="24"/>
          <w:szCs w:val="24"/>
          <w:highlight w:val="none"/>
        </w:rPr>
        <w:t>（3）综合得分</w:t>
      </w:r>
      <w:bookmarkEnd w:id="122"/>
      <w:bookmarkEnd w:id="123"/>
      <w:bookmarkEnd w:id="124"/>
      <w:bookmarkEnd w:id="125"/>
    </w:p>
    <w:p w14:paraId="16428BA2">
      <w:pPr>
        <w:spacing w:before="153" w:line="220" w:lineRule="auto"/>
        <w:ind w:left="49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综合得分换算为百分制，满分</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2"/>
          <w:sz w:val="24"/>
          <w:szCs w:val="24"/>
          <w:highlight w:val="none"/>
        </w:rPr>
        <w:t>100 分，公式如下：</w:t>
      </w:r>
    </w:p>
    <w:p w14:paraId="147A726B">
      <w:pPr>
        <w:spacing w:before="155" w:line="324" w:lineRule="auto"/>
        <w:ind w:left="496" w:right="532" w:hanging="33"/>
        <w:rPr>
          <w:rFonts w:hint="eastAsia" w:ascii="宋体" w:hAnsi="宋体" w:eastAsia="宋体" w:cs="宋体"/>
          <w:color w:val="auto"/>
          <w:spacing w:val="-1"/>
          <w:sz w:val="24"/>
          <w:szCs w:val="24"/>
          <w:highlight w:val="none"/>
        </w:rPr>
      </w:pPr>
      <w:r>
        <w:rPr>
          <w:rFonts w:hint="eastAsia" w:ascii="宋体" w:hAnsi="宋体" w:eastAsia="宋体" w:cs="宋体"/>
          <w:color w:val="auto"/>
          <w:sz w:val="24"/>
          <w:szCs w:val="24"/>
          <w:highlight w:val="none"/>
        </w:rPr>
        <w:t>综合得分＝M÷商务技术合计满分×100</w:t>
      </w:r>
      <w:r>
        <w:rPr>
          <w:rFonts w:hint="eastAsia" w:ascii="宋体" w:hAnsi="宋体" w:eastAsia="宋体" w:cs="宋体"/>
          <w:color w:val="auto"/>
          <w:spacing w:val="-1"/>
          <w:sz w:val="24"/>
          <w:szCs w:val="24"/>
          <w:highlight w:val="none"/>
        </w:rPr>
        <w:t>×商务技术权重＋N×投标报价权重</w:t>
      </w:r>
    </w:p>
    <w:p w14:paraId="07AC6F79">
      <w:pPr>
        <w:spacing w:before="155" w:line="324" w:lineRule="auto"/>
        <w:ind w:left="496" w:right="532" w:hanging="3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式中：M 为商务技术得分，N 为投标报价得分。</w:t>
      </w:r>
    </w:p>
    <w:p w14:paraId="00D9077E">
      <w:pPr>
        <w:spacing w:before="78" w:line="329" w:lineRule="auto"/>
        <w:ind w:right="263" w:firstLine="490" w:firstLineChars="200"/>
        <w:jc w:val="both"/>
        <w:rPr>
          <w:rFonts w:hint="eastAsia" w:ascii="宋体" w:hAnsi="宋体" w:eastAsia="宋体" w:cs="宋体"/>
          <w:b/>
          <w:bCs/>
          <w:color w:val="auto"/>
          <w:spacing w:val="2"/>
          <w:sz w:val="24"/>
          <w:szCs w:val="24"/>
          <w:highlight w:val="none"/>
        </w:rPr>
      </w:pPr>
      <w:bookmarkStart w:id="126" w:name="_Toc30671"/>
      <w:bookmarkStart w:id="127" w:name="_Toc2885"/>
      <w:bookmarkStart w:id="128" w:name="_Toc32384"/>
      <w:bookmarkStart w:id="129" w:name="_Toc25214"/>
      <w:r>
        <w:rPr>
          <w:rFonts w:hint="eastAsia" w:ascii="宋体" w:hAnsi="宋体" w:eastAsia="宋体" w:cs="宋体"/>
          <w:b/>
          <w:bCs/>
          <w:color w:val="auto"/>
          <w:spacing w:val="2"/>
          <w:sz w:val="24"/>
          <w:szCs w:val="24"/>
          <w:highlight w:val="none"/>
        </w:rPr>
        <w:t>（4）</w:t>
      </w:r>
      <w:bookmarkEnd w:id="126"/>
      <w:bookmarkEnd w:id="127"/>
      <w:bookmarkEnd w:id="128"/>
      <w:bookmarkEnd w:id="129"/>
      <w:r>
        <w:rPr>
          <w:rFonts w:hint="eastAsia" w:ascii="宋体" w:hAnsi="宋体" w:eastAsia="宋体" w:cs="宋体"/>
          <w:b/>
          <w:bCs/>
          <w:color w:val="auto"/>
          <w:spacing w:val="2"/>
          <w:sz w:val="24"/>
          <w:szCs w:val="24"/>
          <w:highlight w:val="none"/>
        </w:rPr>
        <w:t>评标委员会根据招标文件规定的评分细则，对招标文件中的各评审因素进行评审、比较、打分，将得分前5名不排序（按企业统一社会信用代码后4位</w:t>
      </w:r>
      <w:r>
        <w:rPr>
          <w:rFonts w:hint="eastAsia" w:ascii="宋体" w:hAnsi="宋体" w:eastAsia="宋体" w:cs="宋体"/>
          <w:b/>
          <w:bCs/>
          <w:color w:val="auto"/>
          <w:spacing w:val="2"/>
          <w:sz w:val="24"/>
          <w:szCs w:val="24"/>
          <w:highlight w:val="none"/>
          <w:lang w:val="en-US" w:eastAsia="zh-CN"/>
        </w:rPr>
        <w:t>由</w:t>
      </w:r>
      <w:r>
        <w:rPr>
          <w:rFonts w:hint="eastAsia" w:ascii="宋体" w:hAnsi="宋体" w:eastAsia="宋体" w:cs="宋体"/>
          <w:b/>
          <w:bCs/>
          <w:color w:val="auto"/>
          <w:spacing w:val="2"/>
          <w:sz w:val="24"/>
          <w:szCs w:val="24"/>
          <w:highlight w:val="none"/>
        </w:rPr>
        <w:t>大</w:t>
      </w:r>
      <w:r>
        <w:rPr>
          <w:rFonts w:hint="eastAsia" w:ascii="宋体" w:hAnsi="宋体" w:eastAsia="宋体" w:cs="宋体"/>
          <w:b/>
          <w:bCs/>
          <w:color w:val="auto"/>
          <w:spacing w:val="2"/>
          <w:sz w:val="24"/>
          <w:szCs w:val="24"/>
          <w:highlight w:val="none"/>
          <w:lang w:val="en-US" w:eastAsia="zh-CN"/>
        </w:rPr>
        <w:t>到</w:t>
      </w:r>
      <w:r>
        <w:rPr>
          <w:rFonts w:hint="eastAsia" w:ascii="宋体" w:hAnsi="宋体" w:eastAsia="宋体" w:cs="宋体"/>
          <w:b/>
          <w:bCs/>
          <w:color w:val="auto"/>
          <w:spacing w:val="2"/>
          <w:sz w:val="24"/>
          <w:szCs w:val="24"/>
          <w:highlight w:val="none"/>
        </w:rPr>
        <w:t>小排位</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z w:val="24"/>
          <w:szCs w:val="24"/>
          <w:highlight w:val="none"/>
          <w:lang w:val="en-US" w:eastAsia="zh-CN"/>
        </w:rPr>
        <w:t>如代码为字母的，则表示0</w:t>
      </w:r>
      <w:r>
        <w:rPr>
          <w:rFonts w:hint="eastAsia" w:ascii="宋体" w:hAnsi="宋体" w:eastAsia="宋体" w:cs="宋体"/>
          <w:b/>
          <w:bCs/>
          <w:color w:val="auto"/>
          <w:spacing w:val="2"/>
          <w:sz w:val="24"/>
          <w:szCs w:val="24"/>
          <w:highlight w:val="none"/>
        </w:rPr>
        <w:t>）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797C2B9A">
      <w:pPr>
        <w:spacing w:before="78" w:line="329" w:lineRule="auto"/>
        <w:ind w:right="263" w:firstLine="490" w:firstLineChars="20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3569A6BF">
      <w:pPr>
        <w:pStyle w:val="8"/>
        <w:rPr>
          <w:rFonts w:hint="eastAsia" w:ascii="宋体" w:hAnsi="宋体" w:eastAsia="宋体" w:cs="宋体"/>
          <w:b/>
          <w:bCs/>
          <w:color w:val="auto"/>
          <w:spacing w:val="-6"/>
          <w:sz w:val="30"/>
          <w:szCs w:val="30"/>
          <w:highlight w:val="none"/>
        </w:rPr>
      </w:pPr>
      <w:bookmarkStart w:id="130" w:name="_Toc3020"/>
      <w:bookmarkStart w:id="131" w:name="_Toc16801"/>
      <w:bookmarkStart w:id="132" w:name="_Toc17375"/>
    </w:p>
    <w:p w14:paraId="76620637">
      <w:pPr>
        <w:spacing w:before="98" w:line="221" w:lineRule="auto"/>
        <w:ind w:left="4248"/>
        <w:outlineLvl w:val="9"/>
        <w:rPr>
          <w:rFonts w:hint="eastAsia" w:ascii="宋体" w:hAnsi="宋体" w:eastAsia="宋体" w:cs="宋体"/>
          <w:b/>
          <w:bCs/>
          <w:color w:val="auto"/>
          <w:spacing w:val="-6"/>
          <w:sz w:val="30"/>
          <w:szCs w:val="30"/>
          <w:highlight w:val="none"/>
        </w:rPr>
      </w:pPr>
      <w:r>
        <w:rPr>
          <w:rFonts w:hint="eastAsia" w:ascii="宋体" w:hAnsi="宋体" w:eastAsia="宋体" w:cs="宋体"/>
          <w:b/>
          <w:bCs/>
          <w:color w:val="auto"/>
          <w:spacing w:val="-6"/>
          <w:sz w:val="30"/>
          <w:szCs w:val="30"/>
          <w:highlight w:val="none"/>
        </w:rPr>
        <w:t>综合评分表</w:t>
      </w:r>
      <w:bookmarkEnd w:id="130"/>
      <w:bookmarkEnd w:id="131"/>
      <w:bookmarkEnd w:id="132"/>
    </w:p>
    <w:p w14:paraId="09478025">
      <w:pPr>
        <w:pStyle w:val="8"/>
        <w:rPr>
          <w:rFonts w:hint="eastAsia" w:ascii="宋体" w:hAnsi="宋体" w:eastAsia="宋体" w:cs="宋体"/>
          <w:b/>
          <w:bCs/>
          <w:color w:val="auto"/>
          <w:spacing w:val="-6"/>
          <w:sz w:val="30"/>
          <w:szCs w:val="30"/>
          <w:highlight w:val="none"/>
        </w:rPr>
      </w:pPr>
    </w:p>
    <w:tbl>
      <w:tblPr>
        <w:tblStyle w:val="52"/>
        <w:tblW w:w="97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3423"/>
        <w:gridCol w:w="4947"/>
      </w:tblGrid>
      <w:tr w14:paraId="0A03F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78" w:type="dxa"/>
            <w:gridSpan w:val="3"/>
            <w:shd w:val="clear" w:color="auto" w:fill="D7D7D7"/>
            <w:vAlign w:val="top"/>
          </w:tcPr>
          <w:p w14:paraId="63121B99">
            <w:pPr>
              <w:spacing w:before="237" w:line="213" w:lineRule="auto"/>
              <w:ind w:left="125"/>
              <w:rPr>
                <w:rFonts w:hint="eastAsia" w:ascii="宋体" w:hAnsi="宋体" w:eastAsia="宋体" w:cs="宋体"/>
                <w:color w:val="auto"/>
                <w:sz w:val="21"/>
                <w:szCs w:val="21"/>
              </w:rPr>
            </w:pPr>
            <w:r>
              <w:rPr>
                <w:rFonts w:hint="eastAsia" w:ascii="宋体" w:hAnsi="宋体" w:eastAsia="宋体" w:cs="宋体"/>
                <w:color w:val="auto"/>
                <w:spacing w:val="-3"/>
                <w:sz w:val="21"/>
                <w:szCs w:val="21"/>
              </w:rPr>
              <w:t>商务部分，满分：</w:t>
            </w:r>
            <w:r>
              <w:rPr>
                <w:rFonts w:hint="eastAsia" w:ascii="宋体" w:hAnsi="宋体" w:eastAsia="宋体" w:cs="宋体"/>
                <w:color w:val="auto"/>
                <w:spacing w:val="-3"/>
                <w:sz w:val="21"/>
                <w:szCs w:val="21"/>
                <w:u w:val="single" w:color="auto"/>
              </w:rPr>
              <w:t>80</w:t>
            </w:r>
            <w:r>
              <w:rPr>
                <w:rFonts w:hint="eastAsia" w:ascii="宋体" w:hAnsi="宋体" w:eastAsia="宋体" w:cs="宋体"/>
                <w:color w:val="auto"/>
                <w:spacing w:val="-43"/>
                <w:sz w:val="21"/>
                <w:szCs w:val="21"/>
                <w:u w:val="single" w:color="auto"/>
              </w:rPr>
              <w:t xml:space="preserve"> </w:t>
            </w:r>
            <w:r>
              <w:rPr>
                <w:rFonts w:hint="eastAsia" w:ascii="宋体" w:hAnsi="宋体" w:eastAsia="宋体" w:cs="宋体"/>
                <w:color w:val="auto"/>
                <w:spacing w:val="-3"/>
                <w:sz w:val="21"/>
                <w:szCs w:val="21"/>
              </w:rPr>
              <w:t>分。</w:t>
            </w:r>
          </w:p>
        </w:tc>
      </w:tr>
      <w:tr w14:paraId="24BE3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408" w:type="dxa"/>
            <w:vAlign w:val="top"/>
          </w:tcPr>
          <w:p w14:paraId="75FCDED8">
            <w:pPr>
              <w:spacing w:before="233" w:line="222" w:lineRule="auto"/>
              <w:ind w:left="229"/>
              <w:rPr>
                <w:rFonts w:hint="eastAsia" w:ascii="宋体" w:hAnsi="宋体" w:eastAsia="宋体" w:cs="宋体"/>
                <w:color w:val="auto"/>
                <w:sz w:val="21"/>
                <w:szCs w:val="21"/>
              </w:rPr>
            </w:pPr>
            <w:r>
              <w:rPr>
                <w:rFonts w:hint="eastAsia" w:ascii="宋体" w:hAnsi="宋体" w:eastAsia="宋体" w:cs="宋体"/>
                <w:color w:val="auto"/>
                <w:spacing w:val="-3"/>
                <w:sz w:val="21"/>
                <w:szCs w:val="21"/>
              </w:rPr>
              <w:t>评分因素</w:t>
            </w:r>
          </w:p>
        </w:tc>
        <w:tc>
          <w:tcPr>
            <w:tcW w:w="3423" w:type="dxa"/>
            <w:vAlign w:val="top"/>
          </w:tcPr>
          <w:p w14:paraId="22830DF0">
            <w:pPr>
              <w:spacing w:before="233" w:line="222" w:lineRule="auto"/>
              <w:ind w:left="1235"/>
              <w:rPr>
                <w:rFonts w:hint="eastAsia" w:ascii="宋体" w:hAnsi="宋体" w:eastAsia="宋体" w:cs="宋体"/>
                <w:color w:val="auto"/>
                <w:sz w:val="21"/>
                <w:szCs w:val="21"/>
              </w:rPr>
            </w:pPr>
            <w:r>
              <w:rPr>
                <w:rFonts w:hint="eastAsia" w:ascii="宋体" w:hAnsi="宋体" w:eastAsia="宋体" w:cs="宋体"/>
                <w:color w:val="auto"/>
                <w:spacing w:val="-3"/>
                <w:sz w:val="21"/>
                <w:szCs w:val="21"/>
              </w:rPr>
              <w:t>评分标准</w:t>
            </w:r>
          </w:p>
        </w:tc>
        <w:tc>
          <w:tcPr>
            <w:tcW w:w="4947" w:type="dxa"/>
            <w:vAlign w:val="top"/>
          </w:tcPr>
          <w:p w14:paraId="4E2C2D56">
            <w:pPr>
              <w:spacing w:before="233" w:line="222" w:lineRule="auto"/>
              <w:ind w:left="2032"/>
              <w:rPr>
                <w:rFonts w:hint="eastAsia" w:ascii="宋体" w:hAnsi="宋体" w:eastAsia="宋体" w:cs="宋体"/>
                <w:color w:val="auto"/>
                <w:sz w:val="21"/>
                <w:szCs w:val="21"/>
              </w:rPr>
            </w:pPr>
            <w:r>
              <w:rPr>
                <w:rFonts w:hint="eastAsia" w:ascii="宋体" w:hAnsi="宋体" w:eastAsia="宋体" w:cs="宋体"/>
                <w:color w:val="auto"/>
                <w:spacing w:val="-5"/>
                <w:sz w:val="21"/>
                <w:szCs w:val="21"/>
              </w:rPr>
              <w:t>备注</w:t>
            </w:r>
          </w:p>
        </w:tc>
      </w:tr>
      <w:tr w14:paraId="38E79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6" w:hRule="atLeast"/>
        </w:trPr>
        <w:tc>
          <w:tcPr>
            <w:tcW w:w="1408" w:type="dxa"/>
            <w:vAlign w:val="center"/>
          </w:tcPr>
          <w:p w14:paraId="310F5638">
            <w:pPr>
              <w:jc w:val="both"/>
              <w:rPr>
                <w:rFonts w:hint="eastAsia" w:ascii="宋体" w:hAnsi="宋体" w:eastAsia="宋体" w:cs="宋体"/>
                <w:strike w:val="0"/>
                <w:dstrike w:val="0"/>
                <w:color w:val="auto"/>
                <w:sz w:val="21"/>
                <w:szCs w:val="21"/>
              </w:rPr>
            </w:pPr>
          </w:p>
          <w:p w14:paraId="0907FEA2">
            <w:pPr>
              <w:jc w:val="both"/>
              <w:rPr>
                <w:rFonts w:hint="eastAsia" w:ascii="宋体" w:hAnsi="宋体" w:eastAsia="宋体" w:cs="宋体"/>
                <w:strike w:val="0"/>
                <w:dstrike w:val="0"/>
                <w:color w:val="auto"/>
                <w:sz w:val="21"/>
                <w:szCs w:val="21"/>
              </w:rPr>
            </w:pPr>
          </w:p>
          <w:p w14:paraId="009997CD">
            <w:pPr>
              <w:jc w:val="both"/>
              <w:rPr>
                <w:rFonts w:hint="eastAsia" w:ascii="宋体" w:hAnsi="宋体" w:eastAsia="宋体" w:cs="宋体"/>
                <w:strike w:val="0"/>
                <w:dstrike w:val="0"/>
                <w:color w:val="auto"/>
                <w:sz w:val="21"/>
                <w:szCs w:val="21"/>
              </w:rPr>
            </w:pPr>
          </w:p>
          <w:p w14:paraId="29B632DE">
            <w:pPr>
              <w:jc w:val="both"/>
              <w:rPr>
                <w:rFonts w:hint="eastAsia" w:ascii="宋体" w:hAnsi="宋体" w:eastAsia="宋体" w:cs="宋体"/>
                <w:strike w:val="0"/>
                <w:dstrike w:val="0"/>
                <w:color w:val="auto"/>
                <w:sz w:val="21"/>
                <w:szCs w:val="21"/>
              </w:rPr>
            </w:pPr>
          </w:p>
          <w:p w14:paraId="460267E0">
            <w:pPr>
              <w:jc w:val="both"/>
              <w:rPr>
                <w:rFonts w:hint="eastAsia" w:ascii="宋体" w:hAnsi="宋体" w:eastAsia="宋体" w:cs="宋体"/>
                <w:strike w:val="0"/>
                <w:dstrike w:val="0"/>
                <w:color w:val="auto"/>
                <w:sz w:val="21"/>
                <w:szCs w:val="21"/>
              </w:rPr>
            </w:pPr>
          </w:p>
          <w:p w14:paraId="4145EFD4">
            <w:pPr>
              <w:jc w:val="both"/>
              <w:rPr>
                <w:rFonts w:hint="eastAsia" w:ascii="宋体" w:hAnsi="宋体" w:eastAsia="宋体" w:cs="宋体"/>
                <w:strike w:val="0"/>
                <w:dstrike w:val="0"/>
                <w:color w:val="auto"/>
                <w:sz w:val="21"/>
                <w:szCs w:val="21"/>
              </w:rPr>
            </w:pPr>
          </w:p>
          <w:p w14:paraId="7220B087">
            <w:pPr>
              <w:jc w:val="both"/>
              <w:rPr>
                <w:rFonts w:hint="eastAsia" w:ascii="宋体" w:hAnsi="宋体" w:eastAsia="宋体" w:cs="宋体"/>
                <w:strike w:val="0"/>
                <w:dstrike w:val="0"/>
                <w:color w:val="auto"/>
                <w:sz w:val="21"/>
                <w:szCs w:val="21"/>
              </w:rPr>
            </w:pPr>
          </w:p>
          <w:p w14:paraId="26812453">
            <w:pPr>
              <w:spacing w:line="241" w:lineRule="auto"/>
              <w:jc w:val="both"/>
              <w:rPr>
                <w:rFonts w:hint="eastAsia" w:ascii="宋体" w:hAnsi="宋体" w:eastAsia="宋体" w:cs="宋体"/>
                <w:strike w:val="0"/>
                <w:dstrike w:val="0"/>
                <w:color w:val="auto"/>
                <w:sz w:val="21"/>
                <w:szCs w:val="21"/>
              </w:rPr>
            </w:pPr>
          </w:p>
          <w:p w14:paraId="683B6417">
            <w:pPr>
              <w:spacing w:line="241" w:lineRule="auto"/>
              <w:jc w:val="both"/>
              <w:rPr>
                <w:rFonts w:hint="eastAsia" w:ascii="宋体" w:hAnsi="宋体" w:eastAsia="宋体" w:cs="宋体"/>
                <w:strike w:val="0"/>
                <w:dstrike w:val="0"/>
                <w:color w:val="auto"/>
                <w:sz w:val="21"/>
                <w:szCs w:val="21"/>
              </w:rPr>
            </w:pPr>
          </w:p>
          <w:p w14:paraId="204EF56D">
            <w:pPr>
              <w:spacing w:line="241" w:lineRule="auto"/>
              <w:jc w:val="both"/>
              <w:rPr>
                <w:rFonts w:hint="eastAsia" w:ascii="宋体" w:hAnsi="宋体" w:eastAsia="宋体" w:cs="宋体"/>
                <w:strike w:val="0"/>
                <w:dstrike w:val="0"/>
                <w:color w:val="auto"/>
                <w:sz w:val="21"/>
                <w:szCs w:val="21"/>
              </w:rPr>
            </w:pPr>
          </w:p>
          <w:p w14:paraId="64837C9F">
            <w:pPr>
              <w:spacing w:line="241" w:lineRule="auto"/>
              <w:jc w:val="both"/>
              <w:rPr>
                <w:rFonts w:hint="eastAsia" w:ascii="宋体" w:hAnsi="宋体" w:eastAsia="宋体" w:cs="宋体"/>
                <w:strike w:val="0"/>
                <w:dstrike w:val="0"/>
                <w:color w:val="auto"/>
                <w:sz w:val="21"/>
                <w:szCs w:val="21"/>
              </w:rPr>
            </w:pPr>
          </w:p>
          <w:p w14:paraId="499B4ABC">
            <w:pPr>
              <w:spacing w:line="241" w:lineRule="auto"/>
              <w:jc w:val="both"/>
              <w:rPr>
                <w:rFonts w:hint="eastAsia" w:ascii="宋体" w:hAnsi="宋体" w:eastAsia="宋体" w:cs="宋体"/>
                <w:strike w:val="0"/>
                <w:dstrike w:val="0"/>
                <w:color w:val="auto"/>
                <w:sz w:val="21"/>
                <w:szCs w:val="21"/>
              </w:rPr>
            </w:pPr>
          </w:p>
          <w:p w14:paraId="2741B336">
            <w:pPr>
              <w:spacing w:line="241" w:lineRule="auto"/>
              <w:jc w:val="both"/>
              <w:rPr>
                <w:rFonts w:hint="eastAsia" w:ascii="宋体" w:hAnsi="宋体" w:eastAsia="宋体" w:cs="宋体"/>
                <w:strike w:val="0"/>
                <w:dstrike w:val="0"/>
                <w:color w:val="auto"/>
                <w:sz w:val="21"/>
                <w:szCs w:val="21"/>
              </w:rPr>
            </w:pPr>
          </w:p>
          <w:p w14:paraId="01C3AFF0">
            <w:pPr>
              <w:spacing w:line="241" w:lineRule="auto"/>
              <w:jc w:val="both"/>
              <w:rPr>
                <w:rFonts w:hint="eastAsia" w:ascii="宋体" w:hAnsi="宋体" w:eastAsia="宋体" w:cs="宋体"/>
                <w:strike w:val="0"/>
                <w:dstrike w:val="0"/>
                <w:color w:val="auto"/>
                <w:sz w:val="21"/>
                <w:szCs w:val="21"/>
              </w:rPr>
            </w:pPr>
          </w:p>
          <w:p w14:paraId="114AAC02">
            <w:pPr>
              <w:spacing w:line="241" w:lineRule="auto"/>
              <w:jc w:val="both"/>
              <w:rPr>
                <w:rFonts w:hint="eastAsia" w:ascii="宋体" w:hAnsi="宋体" w:eastAsia="宋体" w:cs="宋体"/>
                <w:strike w:val="0"/>
                <w:dstrike w:val="0"/>
                <w:color w:val="auto"/>
                <w:sz w:val="21"/>
                <w:szCs w:val="21"/>
              </w:rPr>
            </w:pPr>
          </w:p>
          <w:p w14:paraId="0274B065">
            <w:pPr>
              <w:spacing w:line="241" w:lineRule="auto"/>
              <w:jc w:val="both"/>
              <w:rPr>
                <w:rFonts w:hint="eastAsia" w:ascii="宋体" w:hAnsi="宋体" w:eastAsia="宋体" w:cs="宋体"/>
                <w:strike w:val="0"/>
                <w:dstrike w:val="0"/>
                <w:color w:val="auto"/>
                <w:sz w:val="21"/>
                <w:szCs w:val="21"/>
              </w:rPr>
            </w:pPr>
          </w:p>
          <w:p w14:paraId="736A8451">
            <w:pPr>
              <w:pStyle w:val="22"/>
              <w:spacing w:before="65" w:line="380" w:lineRule="auto"/>
              <w:ind w:right="276"/>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pacing w:val="6"/>
                <w:sz w:val="21"/>
                <w:szCs w:val="21"/>
              </w:rPr>
              <w:t>企业奖项</w:t>
            </w:r>
            <w:r>
              <w:rPr>
                <w:rFonts w:hint="eastAsia" w:ascii="宋体" w:hAnsi="宋体" w:eastAsia="宋体" w:cs="宋体"/>
                <w:strike w:val="0"/>
                <w:dstrike w:val="0"/>
                <w:color w:val="auto"/>
                <w:spacing w:val="6"/>
                <w:sz w:val="21"/>
                <w:szCs w:val="21"/>
                <w:lang w:eastAsia="zh-CN"/>
              </w:rPr>
              <w:t>（）</w:t>
            </w:r>
            <w:r>
              <w:rPr>
                <w:rFonts w:hint="eastAsia" w:ascii="宋体" w:hAnsi="宋体" w:eastAsia="宋体" w:cs="宋体"/>
                <w:strike w:val="0"/>
                <w:dstrike w:val="0"/>
                <w:color w:val="auto"/>
                <w:spacing w:val="-2"/>
                <w:sz w:val="21"/>
                <w:szCs w:val="21"/>
              </w:rPr>
              <w:t>10分）</w:t>
            </w:r>
          </w:p>
        </w:tc>
        <w:tc>
          <w:tcPr>
            <w:tcW w:w="3423" w:type="dxa"/>
            <w:vAlign w:val="center"/>
          </w:tcPr>
          <w:p w14:paraId="54C8CB06">
            <w:pPr>
              <w:spacing w:line="277" w:lineRule="auto"/>
              <w:jc w:val="both"/>
              <w:rPr>
                <w:rFonts w:hint="eastAsia" w:ascii="宋体" w:hAnsi="宋体" w:eastAsia="宋体" w:cs="宋体"/>
                <w:strike w:val="0"/>
                <w:dstrike w:val="0"/>
                <w:color w:val="auto"/>
                <w:sz w:val="21"/>
                <w:szCs w:val="21"/>
              </w:rPr>
            </w:pPr>
          </w:p>
          <w:p w14:paraId="4FCD1373">
            <w:pPr>
              <w:pStyle w:val="22"/>
              <w:spacing w:before="65" w:line="383" w:lineRule="auto"/>
              <w:ind w:left="113" w:right="105" w:firstLine="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pacing w:val="10"/>
                <w:sz w:val="21"/>
                <w:szCs w:val="21"/>
              </w:rPr>
              <w:t>企业近</w:t>
            </w:r>
            <w:r>
              <w:rPr>
                <w:rFonts w:hint="eastAsia" w:ascii="宋体" w:hAnsi="宋体" w:eastAsia="宋体" w:cs="宋体"/>
                <w:strike w:val="0"/>
                <w:dstrike w:val="0"/>
                <w:color w:val="auto"/>
                <w:spacing w:val="10"/>
                <w:sz w:val="21"/>
                <w:szCs w:val="21"/>
                <w:u w:val="single" w:color="auto"/>
              </w:rPr>
              <w:t xml:space="preserve"> 5</w:t>
            </w:r>
            <w:r>
              <w:rPr>
                <w:rFonts w:hint="eastAsia" w:ascii="宋体" w:hAnsi="宋体" w:eastAsia="宋体" w:cs="宋体"/>
                <w:strike w:val="0"/>
                <w:dstrike w:val="0"/>
                <w:color w:val="auto"/>
                <w:spacing w:val="15"/>
                <w:w w:val="101"/>
                <w:sz w:val="21"/>
                <w:szCs w:val="21"/>
                <w:u w:val="single" w:color="auto"/>
              </w:rPr>
              <w:t xml:space="preserve"> </w:t>
            </w:r>
            <w:r>
              <w:rPr>
                <w:rFonts w:hint="eastAsia" w:ascii="宋体" w:hAnsi="宋体" w:eastAsia="宋体" w:cs="宋体"/>
                <w:strike w:val="0"/>
                <w:dstrike w:val="0"/>
                <w:color w:val="auto"/>
                <w:spacing w:val="10"/>
                <w:sz w:val="21"/>
                <w:szCs w:val="21"/>
              </w:rPr>
              <w:t>年来（</w:t>
            </w:r>
            <w:r>
              <w:rPr>
                <w:rFonts w:hint="eastAsia" w:ascii="宋体" w:hAnsi="宋体" w:eastAsia="宋体" w:cs="宋体"/>
                <w:strike w:val="0"/>
                <w:dstrike w:val="0"/>
                <w:color w:val="auto"/>
                <w:sz w:val="21"/>
                <w:szCs w:val="21"/>
                <w:lang w:val="en-US" w:eastAsia="zh-CN"/>
              </w:rPr>
              <w:t>2021年1月1日至今</w:t>
            </w:r>
            <w:r>
              <w:rPr>
                <w:rFonts w:hint="eastAsia" w:ascii="宋体" w:hAnsi="宋体" w:eastAsia="宋体" w:cs="宋体"/>
                <w:strike w:val="0"/>
                <w:dstrike w:val="0"/>
                <w:color w:val="auto"/>
                <w:spacing w:val="3"/>
                <w:sz w:val="21"/>
                <w:szCs w:val="21"/>
              </w:rPr>
              <w:t>）获得</w:t>
            </w:r>
            <w:r>
              <w:rPr>
                <w:rFonts w:hint="eastAsia" w:ascii="宋体" w:hAnsi="宋体" w:eastAsia="宋体" w:cs="宋体"/>
                <w:strike w:val="0"/>
                <w:dstrike w:val="0"/>
                <w:color w:val="auto"/>
                <w:spacing w:val="6"/>
                <w:sz w:val="21"/>
                <w:szCs w:val="21"/>
                <w:u w:val="single" w:color="auto"/>
                <w:lang w:val="en-US" w:eastAsia="zh-CN"/>
              </w:rPr>
              <w:t>市政或园林</w:t>
            </w:r>
            <w:r>
              <w:rPr>
                <w:rFonts w:hint="eastAsia" w:ascii="宋体" w:hAnsi="宋体" w:eastAsia="宋体" w:cs="宋体"/>
                <w:strike w:val="0"/>
                <w:dstrike w:val="0"/>
                <w:color w:val="auto"/>
                <w:spacing w:val="6"/>
                <w:sz w:val="21"/>
                <w:szCs w:val="21"/>
              </w:rPr>
              <w:t>类奖项情况：</w:t>
            </w:r>
          </w:p>
          <w:p w14:paraId="66DD4D82">
            <w:pPr>
              <w:spacing w:line="255" w:lineRule="auto"/>
              <w:jc w:val="both"/>
              <w:rPr>
                <w:rFonts w:hint="eastAsia" w:ascii="宋体" w:hAnsi="宋体" w:eastAsia="宋体" w:cs="宋体"/>
                <w:strike w:val="0"/>
                <w:dstrike w:val="0"/>
                <w:color w:val="auto"/>
                <w:sz w:val="21"/>
                <w:szCs w:val="21"/>
              </w:rPr>
            </w:pPr>
          </w:p>
          <w:p w14:paraId="052DA0A3">
            <w:pPr>
              <w:pStyle w:val="22"/>
              <w:spacing w:before="65" w:line="362" w:lineRule="auto"/>
              <w:ind w:right="106"/>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pacing w:val="9"/>
                <w:sz w:val="21"/>
                <w:szCs w:val="21"/>
              </w:rPr>
              <w:t>1．获得国家级奖项的，每个得</w:t>
            </w:r>
            <w:r>
              <w:rPr>
                <w:rFonts w:hint="eastAsia" w:ascii="宋体" w:hAnsi="宋体" w:eastAsia="宋体" w:cs="宋体"/>
                <w:strike w:val="0"/>
                <w:dstrike w:val="0"/>
                <w:color w:val="auto"/>
                <w:spacing w:val="9"/>
                <w:sz w:val="21"/>
                <w:szCs w:val="21"/>
                <w:u w:val="single" w:color="auto"/>
                <w:lang w:val="en-US" w:eastAsia="zh-CN"/>
              </w:rPr>
              <w:t>8</w:t>
            </w:r>
            <w:r>
              <w:rPr>
                <w:rFonts w:hint="eastAsia" w:ascii="宋体" w:hAnsi="宋体" w:eastAsia="宋体" w:cs="宋体"/>
                <w:strike w:val="0"/>
                <w:dstrike w:val="0"/>
                <w:color w:val="auto"/>
                <w:spacing w:val="-1"/>
                <w:sz w:val="21"/>
                <w:szCs w:val="21"/>
              </w:rPr>
              <w:t>分。</w:t>
            </w:r>
          </w:p>
          <w:p w14:paraId="13356339">
            <w:pPr>
              <w:pStyle w:val="22"/>
              <w:spacing w:before="17" w:line="288" w:lineRule="auto"/>
              <w:ind w:right="10"/>
              <w:jc w:val="both"/>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pacing w:val="4"/>
                <w:sz w:val="21"/>
                <w:szCs w:val="21"/>
                <w:highlight w:val="none"/>
              </w:rPr>
              <w:t>2．获得省级奖项的，每个得</w:t>
            </w:r>
            <w:r>
              <w:rPr>
                <w:rFonts w:hint="eastAsia" w:ascii="宋体" w:hAnsi="宋体" w:eastAsia="宋体" w:cs="宋体"/>
                <w:strike w:val="0"/>
                <w:dstrike w:val="0"/>
                <w:color w:val="auto"/>
                <w:spacing w:val="4"/>
                <w:sz w:val="21"/>
                <w:szCs w:val="21"/>
                <w:highlight w:val="none"/>
                <w:u w:val="single" w:color="auto"/>
                <w:lang w:val="en-US" w:eastAsia="zh-CN"/>
              </w:rPr>
              <w:t>6</w:t>
            </w:r>
            <w:r>
              <w:rPr>
                <w:rFonts w:hint="eastAsia" w:ascii="宋体" w:hAnsi="宋体" w:eastAsia="宋体" w:cs="宋体"/>
                <w:strike w:val="0"/>
                <w:dstrike w:val="0"/>
                <w:color w:val="auto"/>
                <w:spacing w:val="4"/>
                <w:sz w:val="21"/>
                <w:szCs w:val="21"/>
                <w:highlight w:val="none"/>
              </w:rPr>
              <w:t>分。</w:t>
            </w:r>
          </w:p>
          <w:p w14:paraId="12FA24FB">
            <w:pPr>
              <w:pStyle w:val="22"/>
              <w:spacing w:before="86" w:line="362" w:lineRule="auto"/>
              <w:ind w:right="106"/>
              <w:jc w:val="both"/>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pacing w:val="10"/>
                <w:sz w:val="21"/>
                <w:szCs w:val="21"/>
                <w:highlight w:val="none"/>
              </w:rPr>
              <w:t>3．获得地市级奖项的，每个得</w:t>
            </w:r>
            <w:r>
              <w:rPr>
                <w:rFonts w:hint="eastAsia" w:ascii="宋体" w:hAnsi="宋体" w:eastAsia="宋体" w:cs="宋体"/>
                <w:strike w:val="0"/>
                <w:dstrike w:val="0"/>
                <w:color w:val="auto"/>
                <w:spacing w:val="10"/>
                <w:sz w:val="21"/>
                <w:szCs w:val="21"/>
                <w:highlight w:val="none"/>
                <w:u w:val="single" w:color="auto"/>
                <w:lang w:val="en-US" w:eastAsia="zh-CN"/>
              </w:rPr>
              <w:t>4</w:t>
            </w:r>
            <w:r>
              <w:rPr>
                <w:rFonts w:hint="eastAsia" w:ascii="宋体" w:hAnsi="宋体" w:eastAsia="宋体" w:cs="宋体"/>
                <w:strike w:val="0"/>
                <w:dstrike w:val="0"/>
                <w:color w:val="auto"/>
                <w:spacing w:val="-1"/>
                <w:sz w:val="21"/>
                <w:szCs w:val="21"/>
                <w:highlight w:val="none"/>
              </w:rPr>
              <w:t>分。</w:t>
            </w:r>
          </w:p>
          <w:p w14:paraId="6BB79689">
            <w:pPr>
              <w:pStyle w:val="22"/>
              <w:spacing w:before="17" w:line="274" w:lineRule="exact"/>
              <w:ind w:right="13"/>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pacing w:val="-1"/>
                <w:position w:val="1"/>
                <w:sz w:val="21"/>
                <w:szCs w:val="21"/>
              </w:rPr>
              <w:t>4．以上奖项均未获得的，不予计分。</w:t>
            </w:r>
          </w:p>
          <w:p w14:paraId="6BA16C28">
            <w:pPr>
              <w:pStyle w:val="22"/>
              <w:spacing w:before="124" w:line="274" w:lineRule="exact"/>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position w:val="1"/>
                <w:sz w:val="21"/>
                <w:szCs w:val="21"/>
              </w:rPr>
              <w:t>5</w:t>
            </w:r>
            <w:r>
              <w:rPr>
                <w:rFonts w:hint="eastAsia" w:ascii="宋体" w:hAnsi="宋体" w:eastAsia="宋体" w:cs="宋体"/>
                <w:strike w:val="0"/>
                <w:dstrike w:val="0"/>
                <w:color w:val="auto"/>
                <w:spacing w:val="-14"/>
                <w:position w:val="1"/>
                <w:sz w:val="21"/>
                <w:szCs w:val="21"/>
              </w:rPr>
              <w:t xml:space="preserve"> </w:t>
            </w:r>
            <w:r>
              <w:rPr>
                <w:rFonts w:hint="eastAsia" w:ascii="宋体" w:hAnsi="宋体" w:eastAsia="宋体" w:cs="宋体"/>
                <w:strike w:val="0"/>
                <w:dstrike w:val="0"/>
                <w:color w:val="auto"/>
                <w:position w:val="1"/>
                <w:sz w:val="21"/>
                <w:szCs w:val="21"/>
              </w:rPr>
              <w:t>．本项最高得10分。</w:t>
            </w:r>
          </w:p>
        </w:tc>
        <w:tc>
          <w:tcPr>
            <w:tcW w:w="4947" w:type="dxa"/>
            <w:vAlign w:val="center"/>
          </w:tcPr>
          <w:p w14:paraId="66179FF1">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1．允许投标人提交多个业绩，但同一业绩只按最高级别奖项计分一次。</w:t>
            </w:r>
          </w:p>
          <w:p w14:paraId="453B0249">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2．需附有关奖项证明彩色扫描件，</w:t>
            </w:r>
            <w:r>
              <w:rPr>
                <w:rFonts w:hint="eastAsia" w:ascii="宋体" w:hAnsi="宋体" w:eastAsia="宋体" w:cs="宋体"/>
                <w:b/>
                <w:bCs/>
                <w:strike w:val="0"/>
                <w:dstrike w:val="0"/>
                <w:color w:val="auto"/>
                <w:sz w:val="21"/>
                <w:szCs w:val="21"/>
              </w:rPr>
              <w:t>同时提供原件供核对。（奖项如电子证书的除外）</w:t>
            </w:r>
          </w:p>
          <w:p w14:paraId="5732C546">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3．颁发机构限定以下范围：</w:t>
            </w:r>
          </w:p>
          <w:p w14:paraId="16BF96E6">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①国家级奖项：国务院、住建部、</w:t>
            </w:r>
            <w:r>
              <w:rPr>
                <w:rFonts w:hint="eastAsia" w:ascii="宋体" w:hAnsi="宋体" w:eastAsia="宋体" w:cs="宋体"/>
                <w:b w:val="0"/>
                <w:bCs w:val="0"/>
                <w:iCs/>
                <w:strike w:val="0"/>
                <w:dstrike w:val="0"/>
                <w:snapToGrid w:val="0"/>
                <w:color w:val="auto"/>
                <w:kern w:val="0"/>
                <w:sz w:val="21"/>
                <w:szCs w:val="21"/>
                <w:highlight w:val="none"/>
                <w:u w:val="none"/>
              </w:rPr>
              <w:t>中国</w:t>
            </w:r>
            <w:r>
              <w:rPr>
                <w:rFonts w:hint="eastAsia" w:ascii="宋体" w:hAnsi="宋体" w:eastAsia="宋体" w:cs="宋体"/>
                <w:b w:val="0"/>
                <w:bCs w:val="0"/>
                <w:iCs/>
                <w:strike w:val="0"/>
                <w:dstrike w:val="0"/>
                <w:snapToGrid w:val="0"/>
                <w:color w:val="auto"/>
                <w:kern w:val="0"/>
                <w:sz w:val="21"/>
                <w:szCs w:val="21"/>
                <w:highlight w:val="none"/>
                <w:u w:val="none"/>
                <w:lang w:eastAsia="zh-CN"/>
              </w:rPr>
              <w:t>行业</w:t>
            </w:r>
            <w:r>
              <w:rPr>
                <w:rFonts w:hint="eastAsia" w:ascii="宋体" w:hAnsi="宋体" w:eastAsia="宋体" w:cs="宋体"/>
                <w:b w:val="0"/>
                <w:bCs w:val="0"/>
                <w:iCs/>
                <w:strike w:val="0"/>
                <w:dstrike w:val="0"/>
                <w:snapToGrid w:val="0"/>
                <w:color w:val="auto"/>
                <w:kern w:val="0"/>
                <w:sz w:val="21"/>
                <w:szCs w:val="21"/>
                <w:highlight w:val="none"/>
                <w:u w:val="none"/>
                <w:lang w:val="en-US" w:eastAsia="zh-CN"/>
              </w:rPr>
              <w:t>协会</w:t>
            </w:r>
            <w:r>
              <w:rPr>
                <w:rFonts w:hint="eastAsia" w:ascii="宋体" w:hAnsi="宋体" w:eastAsia="宋体" w:cs="宋体"/>
                <w:strike w:val="0"/>
                <w:dstrike w:val="0"/>
                <w:color w:val="auto"/>
                <w:sz w:val="21"/>
                <w:szCs w:val="21"/>
              </w:rPr>
              <w:t xml:space="preserve"> ；（相关协会需经民政部门备案）</w:t>
            </w:r>
          </w:p>
          <w:p w14:paraId="044A2273">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②省级奖项：省级人民政府、省级住建部门、</w:t>
            </w:r>
            <w:r>
              <w:rPr>
                <w:rFonts w:hint="eastAsia" w:ascii="宋体" w:hAnsi="宋体" w:eastAsia="宋体" w:cs="宋体"/>
                <w:b w:val="0"/>
                <w:bCs w:val="0"/>
                <w:iCs/>
                <w:strike w:val="0"/>
                <w:dstrike w:val="0"/>
                <w:snapToGrid w:val="0"/>
                <w:color w:val="auto"/>
                <w:kern w:val="0"/>
                <w:sz w:val="21"/>
                <w:szCs w:val="21"/>
                <w:highlight w:val="none"/>
                <w:u w:val="none"/>
              </w:rPr>
              <w:t>省级</w:t>
            </w:r>
            <w:r>
              <w:rPr>
                <w:rFonts w:hint="eastAsia" w:ascii="宋体" w:hAnsi="宋体" w:eastAsia="宋体" w:cs="宋体"/>
                <w:b w:val="0"/>
                <w:bCs w:val="0"/>
                <w:iCs/>
                <w:strike w:val="0"/>
                <w:dstrike w:val="0"/>
                <w:snapToGrid w:val="0"/>
                <w:color w:val="auto"/>
                <w:kern w:val="0"/>
                <w:sz w:val="21"/>
                <w:szCs w:val="21"/>
                <w:highlight w:val="none"/>
                <w:u w:val="none"/>
                <w:lang w:eastAsia="zh-CN"/>
              </w:rPr>
              <w:t>行业</w:t>
            </w:r>
            <w:r>
              <w:rPr>
                <w:rFonts w:hint="eastAsia" w:ascii="宋体" w:hAnsi="宋体" w:eastAsia="宋体" w:cs="宋体"/>
                <w:b w:val="0"/>
                <w:bCs w:val="0"/>
                <w:iCs/>
                <w:strike w:val="0"/>
                <w:dstrike w:val="0"/>
                <w:snapToGrid w:val="0"/>
                <w:color w:val="auto"/>
                <w:kern w:val="0"/>
                <w:sz w:val="21"/>
                <w:szCs w:val="21"/>
                <w:highlight w:val="none"/>
                <w:u w:val="none"/>
                <w:lang w:val="en-US" w:eastAsia="zh-CN"/>
              </w:rPr>
              <w:t>协会</w:t>
            </w:r>
            <w:r>
              <w:rPr>
                <w:rFonts w:hint="eastAsia" w:ascii="宋体" w:hAnsi="宋体" w:eastAsia="宋体" w:cs="宋体"/>
                <w:strike w:val="0"/>
                <w:dstrike w:val="0"/>
                <w:color w:val="auto"/>
                <w:sz w:val="21"/>
                <w:szCs w:val="21"/>
              </w:rPr>
              <w:t>；（相关协会需经民政部门备案）</w:t>
            </w:r>
          </w:p>
          <w:p w14:paraId="232BFF9C">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③地市级奖项：地市级人民政府、地市级住建部门、</w:t>
            </w:r>
            <w:r>
              <w:rPr>
                <w:rFonts w:hint="eastAsia" w:ascii="宋体" w:hAnsi="宋体" w:eastAsia="宋体" w:cs="宋体"/>
                <w:b w:val="0"/>
                <w:bCs w:val="0"/>
                <w:iCs/>
                <w:strike w:val="0"/>
                <w:dstrike w:val="0"/>
                <w:snapToGrid w:val="0"/>
                <w:color w:val="auto"/>
                <w:kern w:val="0"/>
                <w:sz w:val="21"/>
                <w:szCs w:val="21"/>
                <w:highlight w:val="none"/>
                <w:u w:val="none"/>
                <w:lang w:val="en-US" w:eastAsia="zh-CN"/>
              </w:rPr>
              <w:t>地级市</w:t>
            </w:r>
            <w:r>
              <w:rPr>
                <w:rFonts w:hint="eastAsia" w:ascii="宋体" w:hAnsi="宋体" w:eastAsia="宋体" w:cs="宋体"/>
                <w:b w:val="0"/>
                <w:bCs w:val="0"/>
                <w:iCs/>
                <w:strike w:val="0"/>
                <w:dstrike w:val="0"/>
                <w:snapToGrid w:val="0"/>
                <w:color w:val="auto"/>
                <w:kern w:val="0"/>
                <w:sz w:val="21"/>
                <w:szCs w:val="21"/>
                <w:highlight w:val="none"/>
                <w:u w:val="none"/>
                <w:lang w:eastAsia="zh-CN"/>
              </w:rPr>
              <w:t>行业</w:t>
            </w:r>
            <w:r>
              <w:rPr>
                <w:rFonts w:hint="eastAsia" w:ascii="宋体" w:hAnsi="宋体" w:eastAsia="宋体" w:cs="宋体"/>
                <w:b w:val="0"/>
                <w:bCs w:val="0"/>
                <w:iCs/>
                <w:strike w:val="0"/>
                <w:dstrike w:val="0"/>
                <w:snapToGrid w:val="0"/>
                <w:color w:val="auto"/>
                <w:kern w:val="0"/>
                <w:sz w:val="21"/>
                <w:szCs w:val="21"/>
                <w:highlight w:val="none"/>
                <w:u w:val="none"/>
                <w:lang w:val="en-US" w:eastAsia="zh-CN"/>
              </w:rPr>
              <w:t>协会</w:t>
            </w:r>
            <w:r>
              <w:rPr>
                <w:rFonts w:hint="eastAsia" w:ascii="宋体" w:hAnsi="宋体" w:eastAsia="宋体" w:cs="宋体"/>
                <w:strike w:val="0"/>
                <w:dstrike w:val="0"/>
                <w:color w:val="auto"/>
                <w:sz w:val="21"/>
                <w:szCs w:val="21"/>
              </w:rPr>
              <w:t>。（相关协会需经民政部门备案）</w:t>
            </w:r>
          </w:p>
          <w:p w14:paraId="28E53D56">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4．获奖时间以奖项证明的落款日期为准。</w:t>
            </w:r>
          </w:p>
          <w:p w14:paraId="296D5579">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5 ．任一奖项有以下情形之一的，该奖项视为无效，不予计分：</w:t>
            </w:r>
          </w:p>
          <w:p w14:paraId="087DDAEA">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①未提供奖项原件的；</w:t>
            </w:r>
          </w:p>
          <w:p w14:paraId="6BCDA1BA">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②奖项不属于指定类别的；</w:t>
            </w:r>
          </w:p>
          <w:p w14:paraId="3417F854">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③颁发机构不符合要求的；</w:t>
            </w:r>
          </w:p>
          <w:p w14:paraId="2923C3A5">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④获奖时间不符合要求的。</w:t>
            </w:r>
          </w:p>
          <w:p w14:paraId="38FCD2CB">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说明： 以上所称“要求 ”均指本表评分标准及备注的要求，下同。</w:t>
            </w:r>
          </w:p>
        </w:tc>
      </w:tr>
      <w:tr w14:paraId="629D4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5" w:hRule="atLeast"/>
        </w:trPr>
        <w:tc>
          <w:tcPr>
            <w:tcW w:w="1408" w:type="dxa"/>
            <w:vAlign w:val="center"/>
          </w:tcPr>
          <w:p w14:paraId="5CA9E727">
            <w:pPr>
              <w:pStyle w:val="22"/>
              <w:spacing w:before="65" w:line="380" w:lineRule="auto"/>
              <w:ind w:left="272" w:right="276" w:firstLine="19"/>
              <w:jc w:val="both"/>
              <w:rPr>
                <w:rFonts w:hint="eastAsia" w:ascii="宋体" w:hAnsi="宋体" w:eastAsia="宋体" w:cs="宋体"/>
                <w:color w:val="auto"/>
                <w:spacing w:val="6"/>
                <w:sz w:val="21"/>
                <w:szCs w:val="21"/>
              </w:rPr>
            </w:pPr>
          </w:p>
          <w:p w14:paraId="51D26655">
            <w:pPr>
              <w:pStyle w:val="22"/>
              <w:spacing w:before="65" w:line="380" w:lineRule="auto"/>
              <w:ind w:left="272" w:right="276" w:firstLine="19"/>
              <w:jc w:val="both"/>
              <w:rPr>
                <w:rFonts w:hint="eastAsia" w:ascii="宋体" w:hAnsi="宋体" w:eastAsia="宋体" w:cs="宋体"/>
                <w:color w:val="auto"/>
                <w:spacing w:val="6"/>
                <w:sz w:val="21"/>
                <w:szCs w:val="21"/>
              </w:rPr>
            </w:pPr>
            <w:r>
              <w:rPr>
                <w:rFonts w:hint="eastAsia" w:ascii="宋体" w:hAnsi="宋体" w:eastAsia="宋体" w:cs="宋体"/>
                <w:color w:val="auto"/>
                <w:spacing w:val="6"/>
                <w:sz w:val="21"/>
                <w:szCs w:val="21"/>
              </w:rPr>
              <w:t>项目经理综合素质（</w:t>
            </w:r>
            <w:r>
              <w:rPr>
                <w:rFonts w:hint="eastAsia" w:ascii="宋体" w:hAnsi="宋体" w:eastAsia="宋体" w:cs="宋体"/>
                <w:color w:val="auto"/>
                <w:spacing w:val="6"/>
                <w:sz w:val="21"/>
                <w:szCs w:val="21"/>
                <w:lang w:val="en-US" w:eastAsia="zh-CN"/>
              </w:rPr>
              <w:t>1</w:t>
            </w:r>
            <w:r>
              <w:rPr>
                <w:rFonts w:hint="eastAsia" w:ascii="宋体" w:hAnsi="宋体" w:eastAsia="宋体" w:cs="宋体"/>
                <w:color w:val="auto"/>
                <w:spacing w:val="6"/>
                <w:sz w:val="21"/>
                <w:szCs w:val="21"/>
              </w:rPr>
              <w:t>0 分）</w:t>
            </w:r>
          </w:p>
        </w:tc>
        <w:tc>
          <w:tcPr>
            <w:tcW w:w="3423" w:type="dxa"/>
            <w:vAlign w:val="center"/>
          </w:tcPr>
          <w:p w14:paraId="6B2DC8D9">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项目经理工程类技术职称以及业绩情况：</w:t>
            </w:r>
          </w:p>
          <w:p w14:paraId="03671749">
            <w:pPr>
              <w:pStyle w:val="22"/>
              <w:spacing w:before="124" w:line="274" w:lineRule="exact"/>
              <w:ind w:left="113"/>
              <w:jc w:val="both"/>
              <w:rPr>
                <w:rFonts w:hint="eastAsia" w:ascii="宋体" w:hAnsi="宋体" w:eastAsia="宋体" w:cs="宋体"/>
                <w:color w:val="auto"/>
                <w:position w:val="1"/>
                <w:sz w:val="21"/>
                <w:szCs w:val="21"/>
                <w:lang w:eastAsia="zh-CN"/>
              </w:rPr>
            </w:pPr>
            <w:r>
              <w:rPr>
                <w:rFonts w:hint="eastAsia" w:ascii="宋体" w:hAnsi="宋体" w:eastAsia="宋体" w:cs="宋体"/>
                <w:color w:val="auto"/>
                <w:position w:val="1"/>
                <w:sz w:val="21"/>
                <w:szCs w:val="21"/>
              </w:rPr>
              <w:t>1．</w:t>
            </w:r>
            <w:r>
              <w:rPr>
                <w:rFonts w:hint="eastAsia" w:ascii="宋体" w:hAnsi="宋体" w:eastAsia="宋体" w:cs="宋体"/>
                <w:color w:val="auto"/>
                <w:position w:val="1"/>
                <w:sz w:val="21"/>
                <w:szCs w:val="21"/>
                <w:highlight w:val="none"/>
              </w:rPr>
              <w:t>具备高级工程师</w:t>
            </w:r>
            <w:r>
              <w:rPr>
                <w:rFonts w:hint="eastAsia" w:ascii="宋体" w:hAnsi="宋体" w:eastAsia="宋体" w:cs="宋体"/>
                <w:color w:val="auto"/>
                <w:position w:val="1"/>
                <w:sz w:val="21"/>
                <w:szCs w:val="21"/>
                <w:highlight w:val="none"/>
                <w:lang w:val="en-US" w:eastAsia="zh-CN"/>
              </w:rPr>
              <w:t>或</w:t>
            </w:r>
            <w:r>
              <w:rPr>
                <w:rFonts w:hint="eastAsia" w:ascii="宋体" w:hAnsi="宋体" w:eastAsia="宋体" w:cs="宋体"/>
                <w:color w:val="auto"/>
                <w:position w:val="1"/>
                <w:sz w:val="21"/>
                <w:szCs w:val="21"/>
                <w:highlight w:val="none"/>
              </w:rPr>
              <w:t>以上职称且担任过</w:t>
            </w:r>
            <w:r>
              <w:rPr>
                <w:rFonts w:hint="eastAsia" w:ascii="宋体" w:hAnsi="宋体" w:eastAsia="宋体" w:cs="宋体"/>
                <w:color w:val="auto"/>
                <w:position w:val="1"/>
                <w:sz w:val="21"/>
                <w:szCs w:val="21"/>
                <w:highlight w:val="none"/>
                <w:u w:val="single"/>
                <w:lang w:val="en-US" w:eastAsia="zh-CN"/>
              </w:rPr>
              <w:t>市政</w:t>
            </w:r>
            <w:r>
              <w:rPr>
                <w:rFonts w:hint="eastAsia" w:ascii="宋体" w:hAnsi="宋体" w:eastAsia="宋体" w:cs="宋体"/>
                <w:color w:val="auto"/>
                <w:position w:val="1"/>
                <w:sz w:val="21"/>
                <w:szCs w:val="21"/>
                <w:highlight w:val="none"/>
              </w:rPr>
              <w:t>工程类项目经理的，得10分</w:t>
            </w:r>
            <w:r>
              <w:rPr>
                <w:rFonts w:hint="eastAsia" w:ascii="宋体" w:hAnsi="宋体" w:eastAsia="宋体" w:cs="宋体"/>
                <w:color w:val="auto"/>
                <w:position w:val="1"/>
                <w:sz w:val="21"/>
                <w:szCs w:val="21"/>
                <w:highlight w:val="none"/>
                <w:lang w:eastAsia="zh-CN"/>
              </w:rPr>
              <w:t>。</w:t>
            </w:r>
          </w:p>
          <w:p w14:paraId="014DD836">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2．具备工程师职称且担任过</w:t>
            </w:r>
            <w:r>
              <w:rPr>
                <w:rFonts w:hint="eastAsia" w:ascii="宋体" w:hAnsi="宋体" w:eastAsia="宋体" w:cs="宋体"/>
                <w:color w:val="auto"/>
                <w:position w:val="1"/>
                <w:sz w:val="21"/>
                <w:szCs w:val="21"/>
                <w:u w:val="single"/>
              </w:rPr>
              <w:t>市政</w:t>
            </w:r>
            <w:r>
              <w:rPr>
                <w:rFonts w:hint="eastAsia" w:ascii="宋体" w:hAnsi="宋体" w:eastAsia="宋体" w:cs="宋体"/>
                <w:color w:val="auto"/>
                <w:position w:val="1"/>
                <w:sz w:val="21"/>
                <w:szCs w:val="21"/>
              </w:rPr>
              <w:t>工程类项目经理的，得8 分。</w:t>
            </w:r>
          </w:p>
          <w:p w14:paraId="03680776">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3．具备助理工程师职称且担任过</w:t>
            </w:r>
            <w:r>
              <w:rPr>
                <w:rFonts w:hint="eastAsia" w:ascii="宋体" w:hAnsi="宋体" w:eastAsia="宋体" w:cs="宋体"/>
                <w:color w:val="auto"/>
                <w:position w:val="1"/>
                <w:sz w:val="21"/>
                <w:szCs w:val="21"/>
                <w:u w:val="single"/>
              </w:rPr>
              <w:t>市政</w:t>
            </w:r>
            <w:r>
              <w:rPr>
                <w:rFonts w:hint="eastAsia" w:ascii="宋体" w:hAnsi="宋体" w:eastAsia="宋体" w:cs="宋体"/>
                <w:color w:val="auto"/>
                <w:position w:val="1"/>
                <w:sz w:val="21"/>
                <w:szCs w:val="21"/>
              </w:rPr>
              <w:t>工程类项目经理的 ，得 5 分。</w:t>
            </w:r>
          </w:p>
          <w:p w14:paraId="2BEC0C2A">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4．具备高级工程师以上职称但未担任过</w:t>
            </w:r>
            <w:r>
              <w:rPr>
                <w:rFonts w:hint="eastAsia" w:ascii="宋体" w:hAnsi="宋体" w:eastAsia="宋体" w:cs="宋体"/>
                <w:color w:val="auto"/>
                <w:position w:val="1"/>
                <w:sz w:val="21"/>
                <w:szCs w:val="21"/>
                <w:u w:val="single"/>
              </w:rPr>
              <w:t>市政</w:t>
            </w:r>
            <w:r>
              <w:rPr>
                <w:rFonts w:hint="eastAsia" w:ascii="宋体" w:hAnsi="宋体" w:eastAsia="宋体" w:cs="宋体"/>
                <w:color w:val="auto"/>
                <w:position w:val="1"/>
                <w:sz w:val="21"/>
                <w:szCs w:val="21"/>
              </w:rPr>
              <w:t>工程类项目经理的，得6分。</w:t>
            </w:r>
          </w:p>
          <w:p w14:paraId="11F17D70">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5 ．具备工程师职称但未担任过</w:t>
            </w:r>
            <w:r>
              <w:rPr>
                <w:rFonts w:hint="eastAsia" w:ascii="宋体" w:hAnsi="宋体" w:eastAsia="宋体" w:cs="宋体"/>
                <w:color w:val="auto"/>
                <w:position w:val="1"/>
                <w:sz w:val="21"/>
                <w:szCs w:val="21"/>
                <w:u w:val="single"/>
              </w:rPr>
              <w:t>市政</w:t>
            </w:r>
            <w:r>
              <w:rPr>
                <w:rFonts w:hint="eastAsia" w:ascii="宋体" w:hAnsi="宋体" w:eastAsia="宋体" w:cs="宋体"/>
                <w:color w:val="auto"/>
                <w:position w:val="1"/>
                <w:sz w:val="21"/>
                <w:szCs w:val="21"/>
              </w:rPr>
              <w:t>工程类项目经理的，得4分。</w:t>
            </w:r>
          </w:p>
          <w:p w14:paraId="6021DB50">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6．具备助理工程师职称但未担任过</w:t>
            </w:r>
            <w:r>
              <w:rPr>
                <w:rFonts w:hint="eastAsia" w:ascii="宋体" w:hAnsi="宋体" w:eastAsia="宋体" w:cs="宋体"/>
                <w:color w:val="auto"/>
                <w:position w:val="1"/>
                <w:sz w:val="21"/>
                <w:szCs w:val="21"/>
                <w:lang w:val="en-US" w:eastAsia="zh-CN"/>
              </w:rPr>
              <w:t xml:space="preserve"> </w:t>
            </w:r>
            <w:r>
              <w:rPr>
                <w:rFonts w:hint="eastAsia" w:ascii="宋体" w:hAnsi="宋体" w:eastAsia="宋体" w:cs="宋体"/>
                <w:color w:val="auto"/>
                <w:position w:val="1"/>
                <w:sz w:val="21"/>
                <w:szCs w:val="21"/>
                <w:u w:val="single"/>
              </w:rPr>
              <w:t>市政</w:t>
            </w:r>
            <w:r>
              <w:rPr>
                <w:rFonts w:hint="eastAsia" w:ascii="宋体" w:hAnsi="宋体" w:eastAsia="宋体" w:cs="宋体"/>
                <w:color w:val="auto"/>
                <w:position w:val="1"/>
                <w:sz w:val="21"/>
                <w:szCs w:val="21"/>
              </w:rPr>
              <w:t>工程类项目经理的 ，得1分。</w:t>
            </w:r>
          </w:p>
          <w:p w14:paraId="3F15E0F4">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7 ．以上条件均不符合的，或未提供职称证原件的，不予计分。</w:t>
            </w:r>
          </w:p>
          <w:p w14:paraId="783A2B06">
            <w:pPr>
              <w:pStyle w:val="22"/>
              <w:spacing w:before="124" w:line="274" w:lineRule="exact"/>
              <w:ind w:left="113"/>
              <w:jc w:val="both"/>
              <w:rPr>
                <w:rFonts w:hint="eastAsia" w:ascii="宋体" w:hAnsi="宋体" w:eastAsia="宋体" w:cs="宋体"/>
                <w:color w:val="auto"/>
                <w:position w:val="1"/>
                <w:sz w:val="21"/>
                <w:szCs w:val="21"/>
                <w:lang w:val="en-US" w:eastAsia="zh-CN"/>
              </w:rPr>
            </w:pPr>
            <w:r>
              <w:rPr>
                <w:rFonts w:hint="eastAsia" w:ascii="宋体" w:hAnsi="宋体" w:eastAsia="宋体" w:cs="宋体"/>
                <w:color w:val="auto"/>
                <w:position w:val="1"/>
                <w:sz w:val="21"/>
                <w:szCs w:val="21"/>
                <w:lang w:val="en-US" w:eastAsia="zh-CN"/>
              </w:rPr>
              <w:t>8.本项最高得10分。</w:t>
            </w:r>
          </w:p>
          <w:p w14:paraId="54CE7667">
            <w:pPr>
              <w:pStyle w:val="22"/>
              <w:spacing w:before="124" w:line="274" w:lineRule="exact"/>
              <w:jc w:val="both"/>
              <w:rPr>
                <w:rFonts w:hint="eastAsia" w:ascii="宋体" w:hAnsi="宋体" w:eastAsia="宋体" w:cs="宋体"/>
                <w:color w:val="auto"/>
                <w:position w:val="1"/>
                <w:sz w:val="21"/>
                <w:szCs w:val="21"/>
              </w:rPr>
            </w:pPr>
          </w:p>
        </w:tc>
        <w:tc>
          <w:tcPr>
            <w:tcW w:w="4947" w:type="dxa"/>
            <w:vAlign w:val="center"/>
          </w:tcPr>
          <w:p w14:paraId="74C38911">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1．需附职称证彩色扫描件，</w:t>
            </w:r>
            <w:r>
              <w:rPr>
                <w:rFonts w:hint="eastAsia" w:ascii="宋体" w:hAnsi="宋体" w:eastAsia="宋体" w:cs="宋体"/>
                <w:b/>
                <w:bCs/>
                <w:color w:val="auto"/>
                <w:sz w:val="21"/>
                <w:szCs w:val="21"/>
              </w:rPr>
              <w:t>同时提供原件供核对（职称证为电子证书打印件的除外）</w:t>
            </w:r>
            <w:r>
              <w:rPr>
                <w:rFonts w:hint="eastAsia" w:ascii="宋体" w:hAnsi="宋体" w:eastAsia="宋体" w:cs="宋体"/>
                <w:color w:val="auto"/>
                <w:sz w:val="21"/>
                <w:szCs w:val="21"/>
              </w:rPr>
              <w:t>。</w:t>
            </w:r>
          </w:p>
          <w:p w14:paraId="37B25C2F">
            <w:pPr>
              <w:pStyle w:val="22"/>
              <w:spacing w:before="156" w:line="301" w:lineRule="auto"/>
              <w:ind w:left="116" w:right="111"/>
              <w:jc w:val="both"/>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2．需附有关业绩（仅限于以项目经理身份参与、且已竣工验收的项目）合同协议书和竣工验收报告的彩色扫描件，</w:t>
            </w:r>
            <w:r>
              <w:rPr>
                <w:rFonts w:hint="eastAsia" w:ascii="宋体" w:hAnsi="宋体" w:eastAsia="宋体" w:cs="宋体"/>
                <w:b/>
                <w:bCs/>
                <w:strike w:val="0"/>
                <w:dstrike w:val="0"/>
                <w:color w:val="auto"/>
                <w:sz w:val="21"/>
                <w:szCs w:val="21"/>
              </w:rPr>
              <w:t>同时提供原件供核对</w:t>
            </w:r>
            <w:r>
              <w:rPr>
                <w:rFonts w:hint="eastAsia" w:ascii="宋体" w:hAnsi="宋体" w:eastAsia="宋体" w:cs="宋体"/>
                <w:strike w:val="0"/>
                <w:dstrike w:val="0"/>
                <w:color w:val="auto"/>
                <w:sz w:val="21"/>
                <w:szCs w:val="21"/>
              </w:rPr>
              <w:t>。</w:t>
            </w:r>
          </w:p>
          <w:p w14:paraId="0503C6DA">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3．业绩有以下情形之一的，视为未担任过类似工程项目经理：</w:t>
            </w:r>
          </w:p>
          <w:p w14:paraId="187BB3AF">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①未提供业绩证明材料原件的；</w:t>
            </w:r>
          </w:p>
          <w:p w14:paraId="5FD80EC0">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②业绩不属于指定类别的；</w:t>
            </w:r>
          </w:p>
          <w:p w14:paraId="4F5DB71A">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③不是以指定身份参与的；</w:t>
            </w:r>
          </w:p>
          <w:p w14:paraId="6CA4F9FB">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④业绩未竣工验收的。</w:t>
            </w:r>
          </w:p>
          <w:p w14:paraId="58720DA4">
            <w:pPr>
              <w:pStyle w:val="22"/>
              <w:spacing w:before="156" w:line="301" w:lineRule="auto"/>
              <w:ind w:right="111"/>
              <w:jc w:val="both"/>
              <w:rPr>
                <w:rFonts w:hint="eastAsia" w:ascii="宋体" w:hAnsi="宋体" w:eastAsia="宋体" w:cs="宋体"/>
                <w:color w:val="auto"/>
                <w:sz w:val="21"/>
                <w:szCs w:val="21"/>
              </w:rPr>
            </w:pPr>
          </w:p>
        </w:tc>
      </w:tr>
      <w:tr w14:paraId="4EAE7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5" w:hRule="atLeast"/>
        </w:trPr>
        <w:tc>
          <w:tcPr>
            <w:tcW w:w="1408" w:type="dxa"/>
            <w:vAlign w:val="center"/>
          </w:tcPr>
          <w:p w14:paraId="05696376">
            <w:pPr>
              <w:pStyle w:val="22"/>
              <w:spacing w:before="65" w:line="380" w:lineRule="auto"/>
              <w:ind w:left="272" w:right="276" w:firstLine="19"/>
              <w:jc w:val="both"/>
              <w:rPr>
                <w:rFonts w:hint="eastAsia" w:ascii="宋体" w:hAnsi="宋体" w:eastAsia="宋体" w:cs="宋体"/>
                <w:color w:val="auto"/>
                <w:spacing w:val="6"/>
                <w:sz w:val="21"/>
                <w:szCs w:val="21"/>
              </w:rPr>
            </w:pPr>
          </w:p>
          <w:p w14:paraId="04B6F888">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企业业</w:t>
            </w:r>
            <w:r>
              <w:rPr>
                <w:rFonts w:hint="eastAsia" w:ascii="宋体" w:hAnsi="宋体" w:eastAsia="宋体" w:cs="宋体"/>
                <w:color w:val="auto"/>
                <w:sz w:val="21"/>
                <w:szCs w:val="21"/>
                <w:lang w:val="en-US" w:eastAsia="zh-CN"/>
              </w:rPr>
              <w:t>绩</w:t>
            </w:r>
          </w:p>
          <w:p w14:paraId="4F08171E">
            <w:pPr>
              <w:jc w:val="center"/>
              <w:rPr>
                <w:rFonts w:hint="eastAsia" w:ascii="宋体" w:hAnsi="宋体" w:eastAsia="宋体" w:cs="宋体"/>
                <w:color w:val="auto"/>
                <w:spacing w:val="6"/>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rPr>
              <w:t>分）</w:t>
            </w:r>
          </w:p>
        </w:tc>
        <w:tc>
          <w:tcPr>
            <w:tcW w:w="3423" w:type="dxa"/>
            <w:vAlign w:val="center"/>
          </w:tcPr>
          <w:p w14:paraId="46E397A9">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企业近 5 年来（</w:t>
            </w:r>
            <w:r>
              <w:rPr>
                <w:rFonts w:hint="eastAsia" w:ascii="宋体" w:hAnsi="宋体" w:eastAsia="宋体" w:cs="宋体"/>
                <w:color w:val="auto"/>
                <w:position w:val="1"/>
                <w:sz w:val="21"/>
                <w:szCs w:val="21"/>
                <w:lang w:val="en-US" w:eastAsia="zh-CN"/>
              </w:rPr>
              <w:t>2021</w:t>
            </w:r>
            <w:r>
              <w:rPr>
                <w:rFonts w:hint="eastAsia" w:ascii="宋体" w:hAnsi="宋体" w:eastAsia="宋体" w:cs="宋体"/>
                <w:color w:val="auto"/>
                <w:position w:val="1"/>
                <w:sz w:val="21"/>
                <w:szCs w:val="21"/>
              </w:rPr>
              <w:t>年</w:t>
            </w:r>
            <w:r>
              <w:rPr>
                <w:rFonts w:hint="eastAsia" w:ascii="宋体" w:hAnsi="宋体" w:eastAsia="宋体" w:cs="宋体"/>
                <w:color w:val="auto"/>
                <w:position w:val="1"/>
                <w:sz w:val="21"/>
                <w:szCs w:val="21"/>
                <w:lang w:val="en-US" w:eastAsia="zh-CN"/>
              </w:rPr>
              <w:t>1</w:t>
            </w:r>
            <w:r>
              <w:rPr>
                <w:rFonts w:hint="eastAsia" w:ascii="宋体" w:hAnsi="宋体" w:eastAsia="宋体" w:cs="宋体"/>
                <w:color w:val="auto"/>
                <w:position w:val="1"/>
                <w:sz w:val="21"/>
                <w:szCs w:val="21"/>
              </w:rPr>
              <w:t>月</w:t>
            </w:r>
            <w:r>
              <w:rPr>
                <w:rFonts w:hint="eastAsia" w:ascii="宋体" w:hAnsi="宋体" w:eastAsia="宋体" w:cs="宋体"/>
                <w:color w:val="auto"/>
                <w:position w:val="1"/>
                <w:sz w:val="21"/>
                <w:szCs w:val="21"/>
                <w:lang w:val="en-US" w:eastAsia="zh-CN"/>
              </w:rPr>
              <w:t>1</w:t>
            </w:r>
            <w:r>
              <w:rPr>
                <w:rFonts w:hint="eastAsia" w:ascii="宋体" w:hAnsi="宋体" w:eastAsia="宋体" w:cs="宋体"/>
                <w:color w:val="auto"/>
                <w:position w:val="1"/>
                <w:sz w:val="21"/>
                <w:szCs w:val="21"/>
              </w:rPr>
              <w:t>日至</w:t>
            </w:r>
            <w:r>
              <w:rPr>
                <w:rFonts w:hint="eastAsia" w:ascii="宋体" w:hAnsi="宋体" w:eastAsia="宋体" w:cs="宋体"/>
                <w:color w:val="auto"/>
                <w:position w:val="1"/>
                <w:sz w:val="21"/>
                <w:szCs w:val="21"/>
                <w:lang w:val="en-US" w:eastAsia="zh-CN"/>
              </w:rPr>
              <w:t>今</w:t>
            </w:r>
            <w:r>
              <w:rPr>
                <w:rFonts w:hint="eastAsia" w:ascii="宋体" w:hAnsi="宋体" w:eastAsia="宋体" w:cs="宋体"/>
                <w:color w:val="auto"/>
                <w:position w:val="1"/>
                <w:sz w:val="21"/>
                <w:szCs w:val="21"/>
              </w:rPr>
              <w:t>）业绩情况：</w:t>
            </w:r>
          </w:p>
          <w:p w14:paraId="418C6DC1">
            <w:pPr>
              <w:pStyle w:val="22"/>
              <w:spacing w:before="124" w:line="274" w:lineRule="exact"/>
              <w:ind w:left="113"/>
              <w:jc w:val="both"/>
              <w:rPr>
                <w:rFonts w:hint="eastAsia" w:ascii="宋体" w:hAnsi="宋体" w:eastAsia="宋体" w:cs="宋体"/>
                <w:color w:val="auto"/>
                <w:position w:val="1"/>
                <w:sz w:val="21"/>
                <w:szCs w:val="21"/>
                <w:highlight w:val="none"/>
              </w:rPr>
            </w:pPr>
            <w:r>
              <w:rPr>
                <w:rFonts w:hint="eastAsia" w:ascii="宋体" w:hAnsi="宋体" w:eastAsia="宋体" w:cs="宋体"/>
                <w:color w:val="auto"/>
                <w:position w:val="1"/>
                <w:sz w:val="21"/>
                <w:szCs w:val="21"/>
                <w:highlight w:val="none"/>
              </w:rPr>
              <w:t>1．</w:t>
            </w:r>
            <w:r>
              <w:rPr>
                <w:rFonts w:hint="eastAsia" w:ascii="宋体" w:hAnsi="宋体" w:eastAsia="宋体" w:cs="宋体"/>
                <w:color w:val="auto"/>
                <w:position w:val="1"/>
                <w:sz w:val="21"/>
                <w:szCs w:val="21"/>
                <w:highlight w:val="none"/>
                <w:u w:val="single"/>
              </w:rPr>
              <w:t>完成</w:t>
            </w:r>
            <w:r>
              <w:rPr>
                <w:rFonts w:hint="eastAsia" w:ascii="宋体" w:hAnsi="宋体" w:eastAsia="宋体" w:cs="宋体"/>
                <w:color w:val="auto"/>
                <w:position w:val="1"/>
                <w:sz w:val="21"/>
                <w:szCs w:val="21"/>
                <w:highlight w:val="none"/>
              </w:rPr>
              <w:t>过类似工程的，</w:t>
            </w:r>
            <w:r>
              <w:rPr>
                <w:rFonts w:hint="eastAsia" w:ascii="宋体" w:hAnsi="宋体" w:eastAsia="宋体" w:cs="宋体"/>
                <w:color w:val="auto"/>
                <w:position w:val="1"/>
                <w:sz w:val="21"/>
                <w:szCs w:val="21"/>
                <w:highlight w:val="none"/>
                <w:shd w:val="clear"/>
              </w:rPr>
              <w:t>每个得</w:t>
            </w:r>
            <w:r>
              <w:rPr>
                <w:rFonts w:hint="eastAsia" w:ascii="宋体" w:hAnsi="宋体" w:eastAsia="宋体" w:cs="宋体"/>
                <w:color w:val="auto"/>
                <w:position w:val="1"/>
                <w:sz w:val="21"/>
                <w:szCs w:val="21"/>
                <w:highlight w:val="none"/>
                <w:shd w:val="clear"/>
                <w:lang w:val="en-US" w:eastAsia="zh-CN"/>
              </w:rPr>
              <w:t>3</w:t>
            </w:r>
            <w:r>
              <w:rPr>
                <w:rFonts w:hint="eastAsia" w:ascii="宋体" w:hAnsi="宋体" w:eastAsia="宋体" w:cs="宋体"/>
                <w:color w:val="auto"/>
                <w:position w:val="1"/>
                <w:sz w:val="21"/>
                <w:szCs w:val="21"/>
                <w:highlight w:val="none"/>
                <w:shd w:val="clear"/>
              </w:rPr>
              <w:t>分</w:t>
            </w:r>
            <w:r>
              <w:rPr>
                <w:rFonts w:hint="eastAsia" w:ascii="宋体" w:hAnsi="宋体" w:eastAsia="宋体" w:cs="宋体"/>
                <w:color w:val="auto"/>
                <w:position w:val="1"/>
                <w:sz w:val="21"/>
                <w:szCs w:val="21"/>
                <w:highlight w:val="none"/>
              </w:rPr>
              <w:t>。</w:t>
            </w:r>
          </w:p>
          <w:p w14:paraId="1DC3B533">
            <w:pPr>
              <w:pStyle w:val="22"/>
              <w:spacing w:before="124" w:line="274" w:lineRule="exact"/>
              <w:ind w:left="113"/>
              <w:jc w:val="both"/>
              <w:rPr>
                <w:rFonts w:hint="eastAsia" w:ascii="宋体" w:hAnsi="宋体" w:eastAsia="宋体" w:cs="宋体"/>
                <w:color w:val="auto"/>
                <w:position w:val="1"/>
                <w:sz w:val="21"/>
                <w:szCs w:val="21"/>
                <w:highlight w:val="none"/>
              </w:rPr>
            </w:pPr>
            <w:r>
              <w:rPr>
                <w:rFonts w:hint="eastAsia" w:ascii="宋体" w:hAnsi="宋体" w:eastAsia="宋体" w:cs="宋体"/>
                <w:color w:val="auto"/>
                <w:position w:val="1"/>
                <w:sz w:val="21"/>
                <w:szCs w:val="21"/>
                <w:highlight w:val="none"/>
              </w:rPr>
              <w:t>2．</w:t>
            </w:r>
            <w:r>
              <w:rPr>
                <w:rFonts w:hint="eastAsia" w:ascii="宋体" w:hAnsi="宋体" w:eastAsia="宋体" w:cs="宋体"/>
                <w:color w:val="auto"/>
                <w:position w:val="1"/>
                <w:sz w:val="21"/>
                <w:szCs w:val="21"/>
                <w:highlight w:val="none"/>
                <w:u w:val="single"/>
              </w:rPr>
              <w:t>未完成</w:t>
            </w:r>
            <w:r>
              <w:rPr>
                <w:rFonts w:hint="eastAsia" w:ascii="宋体" w:hAnsi="宋体" w:eastAsia="宋体" w:cs="宋体"/>
                <w:color w:val="auto"/>
                <w:position w:val="1"/>
                <w:sz w:val="21"/>
                <w:szCs w:val="21"/>
                <w:highlight w:val="none"/>
              </w:rPr>
              <w:t>过类似工程的，不予计分。</w:t>
            </w:r>
          </w:p>
          <w:p w14:paraId="63659B2B">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highlight w:val="none"/>
              </w:rPr>
              <w:t>3．本项最高得</w:t>
            </w:r>
            <w:r>
              <w:rPr>
                <w:rFonts w:hint="eastAsia" w:ascii="宋体" w:hAnsi="宋体" w:eastAsia="宋体" w:cs="宋体"/>
                <w:color w:val="auto"/>
                <w:position w:val="1"/>
                <w:sz w:val="21"/>
                <w:szCs w:val="21"/>
                <w:highlight w:val="none"/>
                <w:lang w:val="en-US" w:eastAsia="zh-CN"/>
              </w:rPr>
              <w:t>15</w:t>
            </w:r>
            <w:r>
              <w:rPr>
                <w:rFonts w:hint="eastAsia" w:ascii="宋体" w:hAnsi="宋体" w:eastAsia="宋体" w:cs="宋体"/>
                <w:color w:val="auto"/>
                <w:position w:val="1"/>
                <w:sz w:val="21"/>
                <w:szCs w:val="21"/>
                <w:highlight w:val="none"/>
              </w:rPr>
              <w:t>分。</w:t>
            </w:r>
          </w:p>
        </w:tc>
        <w:tc>
          <w:tcPr>
            <w:tcW w:w="4947" w:type="dxa"/>
            <w:vAlign w:val="center"/>
          </w:tcPr>
          <w:p w14:paraId="13DFD948">
            <w:pPr>
              <w:pStyle w:val="22"/>
              <w:spacing w:before="156" w:line="301" w:lineRule="auto"/>
              <w:ind w:left="116" w:right="111"/>
              <w:jc w:val="both"/>
              <w:rPr>
                <w:rFonts w:hint="eastAsia" w:ascii="宋体" w:hAnsi="宋体" w:eastAsia="宋体" w:cs="宋体"/>
                <w:color w:val="auto"/>
                <w:sz w:val="21"/>
                <w:szCs w:val="21"/>
                <w:highlight w:val="green"/>
                <w:lang w:val="en-US" w:eastAsia="zh-CN"/>
              </w:rPr>
            </w:pPr>
            <w:r>
              <w:rPr>
                <w:rFonts w:hint="eastAsia" w:ascii="宋体" w:hAnsi="宋体" w:eastAsia="宋体" w:cs="宋体"/>
                <w:color w:val="auto"/>
                <w:sz w:val="21"/>
                <w:szCs w:val="21"/>
              </w:rPr>
              <w:t>1．类似工程指：</w:t>
            </w:r>
            <w:r>
              <w:rPr>
                <w:rFonts w:hint="eastAsia" w:ascii="宋体" w:hAnsi="宋体" w:eastAsia="宋体" w:cs="宋体"/>
                <w:color w:val="auto"/>
                <w:sz w:val="21"/>
                <w:szCs w:val="21"/>
                <w:u w:val="single"/>
              </w:rPr>
              <w:t>合同金额≥</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万</w:t>
            </w:r>
            <w:r>
              <w:rPr>
                <w:rFonts w:hint="eastAsia" w:ascii="宋体" w:hAnsi="宋体" w:eastAsia="宋体" w:cs="宋体"/>
                <w:color w:val="auto"/>
                <w:sz w:val="21"/>
                <w:szCs w:val="21"/>
                <w:u w:val="single"/>
              </w:rPr>
              <w:t>元</w:t>
            </w:r>
            <w:r>
              <w:rPr>
                <w:rFonts w:hint="eastAsia" w:ascii="宋体" w:hAnsi="宋体" w:eastAsia="宋体" w:cs="宋体"/>
                <w:color w:val="auto"/>
                <w:sz w:val="21"/>
                <w:szCs w:val="21"/>
                <w:highlight w:val="none"/>
                <w:u w:val="single"/>
                <w:lang w:val="en-US" w:eastAsia="zh-CN"/>
              </w:rPr>
              <w:t>市政类或园林绿化项目。</w:t>
            </w:r>
          </w:p>
          <w:p w14:paraId="19D373F5">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2．需附有关业绩（仅限于以施工总承包单位身份参建的项目）合同协议书和竣工验收报告的彩色扫描件，</w:t>
            </w:r>
            <w:r>
              <w:rPr>
                <w:rFonts w:hint="eastAsia" w:ascii="宋体" w:hAnsi="宋体" w:eastAsia="宋体" w:cs="宋体"/>
                <w:b/>
                <w:bCs/>
                <w:color w:val="auto"/>
                <w:sz w:val="21"/>
                <w:szCs w:val="21"/>
              </w:rPr>
              <w:t>同时提供原件供核对</w:t>
            </w:r>
            <w:r>
              <w:rPr>
                <w:rFonts w:hint="eastAsia" w:ascii="宋体" w:hAnsi="宋体" w:eastAsia="宋体" w:cs="宋体"/>
                <w:color w:val="auto"/>
                <w:sz w:val="21"/>
                <w:szCs w:val="21"/>
              </w:rPr>
              <w:t>。</w:t>
            </w:r>
          </w:p>
          <w:p w14:paraId="523379BF">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 xml:space="preserve">3．业绩时间以竣工验收报告日期为准。 </w:t>
            </w:r>
          </w:p>
          <w:p w14:paraId="1DB672EA">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4．任一业绩有以下情形之一的，该业绩视为无效，不予计分：</w:t>
            </w:r>
          </w:p>
          <w:p w14:paraId="0745EA66">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①未提供业绩证明材料原件的；</w:t>
            </w:r>
          </w:p>
          <w:p w14:paraId="6FA96083">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②业绩不属于类似工程的；</w:t>
            </w:r>
          </w:p>
          <w:p w14:paraId="3800217B">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③不是以指定身份参建的；</w:t>
            </w:r>
          </w:p>
          <w:p w14:paraId="57D63413">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④业绩时间不符合要求的；</w:t>
            </w:r>
          </w:p>
          <w:p w14:paraId="7D174B13">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⑤业绩未竣工验收的。</w:t>
            </w:r>
          </w:p>
        </w:tc>
      </w:tr>
      <w:tr w14:paraId="643AD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5" w:hRule="atLeast"/>
        </w:trPr>
        <w:tc>
          <w:tcPr>
            <w:tcW w:w="1408" w:type="dxa"/>
            <w:vAlign w:val="center"/>
          </w:tcPr>
          <w:p w14:paraId="55740546">
            <w:pPr>
              <w:jc w:val="both"/>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企业管理体系认证（</w:t>
            </w:r>
            <w:r>
              <w:rPr>
                <w:rFonts w:hint="eastAsia" w:ascii="宋体" w:hAnsi="宋体" w:eastAsia="宋体" w:cs="宋体"/>
                <w:strike w:val="0"/>
                <w:dstrike w:val="0"/>
                <w:color w:val="auto"/>
                <w:sz w:val="21"/>
                <w:szCs w:val="21"/>
                <w:highlight w:val="none"/>
                <w:lang w:val="en-US" w:eastAsia="zh-CN"/>
              </w:rPr>
              <w:t>9</w:t>
            </w:r>
            <w:r>
              <w:rPr>
                <w:rFonts w:hint="eastAsia" w:ascii="宋体" w:hAnsi="宋体" w:eastAsia="宋体" w:cs="宋体"/>
                <w:strike w:val="0"/>
                <w:dstrike w:val="0"/>
                <w:color w:val="auto"/>
                <w:sz w:val="21"/>
                <w:szCs w:val="21"/>
                <w:highlight w:val="none"/>
              </w:rPr>
              <w:t>分）</w:t>
            </w:r>
          </w:p>
        </w:tc>
        <w:tc>
          <w:tcPr>
            <w:tcW w:w="3423" w:type="dxa"/>
            <w:vAlign w:val="center"/>
          </w:tcPr>
          <w:p w14:paraId="2F06B6CB">
            <w:pPr>
              <w:pStyle w:val="22"/>
              <w:numPr>
                <w:ilvl w:val="0"/>
                <w:numId w:val="1"/>
              </w:numPr>
              <w:spacing w:before="124" w:line="274" w:lineRule="exact"/>
              <w:ind w:left="113"/>
              <w:jc w:val="both"/>
              <w:rPr>
                <w:rFonts w:hint="eastAsia" w:ascii="宋体" w:hAnsi="宋体" w:eastAsia="宋体" w:cs="宋体"/>
                <w:strike w:val="0"/>
                <w:dstrike w:val="0"/>
                <w:color w:val="auto"/>
                <w:position w:val="1"/>
                <w:sz w:val="21"/>
                <w:szCs w:val="21"/>
                <w:highlight w:val="none"/>
                <w:lang w:eastAsia="zh-CN"/>
              </w:rPr>
            </w:pPr>
            <w:r>
              <w:rPr>
                <w:rFonts w:hint="eastAsia" w:ascii="宋体" w:hAnsi="宋体" w:eastAsia="宋体" w:cs="宋体"/>
                <w:strike w:val="0"/>
                <w:dstrike w:val="0"/>
                <w:color w:val="auto"/>
                <w:position w:val="1"/>
                <w:sz w:val="21"/>
                <w:szCs w:val="21"/>
                <w:highlight w:val="none"/>
              </w:rPr>
              <w:t>质量管理体系认证、职业健康安全管理体系认证、环境管理体系认证中，每获得1项认证得</w:t>
            </w:r>
            <w:r>
              <w:rPr>
                <w:rFonts w:hint="eastAsia" w:ascii="宋体" w:hAnsi="宋体" w:eastAsia="宋体" w:cs="宋体"/>
                <w:strike w:val="0"/>
                <w:dstrike w:val="0"/>
                <w:color w:val="auto"/>
                <w:position w:val="1"/>
                <w:sz w:val="21"/>
                <w:szCs w:val="21"/>
                <w:highlight w:val="none"/>
                <w:lang w:val="en-US" w:eastAsia="zh-CN"/>
              </w:rPr>
              <w:t>3</w:t>
            </w:r>
            <w:r>
              <w:rPr>
                <w:rFonts w:hint="eastAsia" w:ascii="宋体" w:hAnsi="宋体" w:eastAsia="宋体" w:cs="宋体"/>
                <w:strike w:val="0"/>
                <w:dstrike w:val="0"/>
                <w:color w:val="auto"/>
                <w:position w:val="1"/>
                <w:sz w:val="21"/>
                <w:szCs w:val="21"/>
                <w:highlight w:val="none"/>
              </w:rPr>
              <w:t>分</w:t>
            </w:r>
            <w:r>
              <w:rPr>
                <w:rFonts w:hint="eastAsia" w:ascii="宋体" w:hAnsi="宋体" w:eastAsia="宋体" w:cs="宋体"/>
                <w:strike w:val="0"/>
                <w:dstrike w:val="0"/>
                <w:color w:val="auto"/>
                <w:position w:val="1"/>
                <w:sz w:val="21"/>
                <w:szCs w:val="21"/>
                <w:highlight w:val="none"/>
                <w:lang w:eastAsia="zh-CN"/>
              </w:rPr>
              <w:t>。</w:t>
            </w:r>
          </w:p>
          <w:p w14:paraId="7892C927">
            <w:pPr>
              <w:pStyle w:val="22"/>
              <w:numPr>
                <w:ilvl w:val="0"/>
                <w:numId w:val="0"/>
              </w:numPr>
              <w:spacing w:before="124" w:line="274" w:lineRule="exact"/>
              <w:ind w:firstLine="210" w:firstLineChars="100"/>
              <w:jc w:val="both"/>
              <w:rPr>
                <w:rFonts w:hint="eastAsia" w:ascii="宋体" w:hAnsi="宋体" w:eastAsia="宋体" w:cs="宋体"/>
                <w:strike w:val="0"/>
                <w:dstrike w:val="0"/>
                <w:color w:val="auto"/>
                <w:position w:val="1"/>
                <w:sz w:val="21"/>
                <w:szCs w:val="21"/>
                <w:highlight w:val="none"/>
              </w:rPr>
            </w:pPr>
            <w:r>
              <w:rPr>
                <w:rFonts w:hint="eastAsia" w:ascii="宋体" w:hAnsi="宋体" w:eastAsia="宋体" w:cs="宋体"/>
                <w:strike w:val="0"/>
                <w:dstrike w:val="0"/>
                <w:color w:val="auto"/>
                <w:position w:val="1"/>
                <w:sz w:val="21"/>
                <w:szCs w:val="21"/>
                <w:highlight w:val="none"/>
              </w:rPr>
              <w:t>2．未获得以上认证的，不予计分。</w:t>
            </w:r>
          </w:p>
          <w:p w14:paraId="640CFDF7">
            <w:pPr>
              <w:pStyle w:val="22"/>
              <w:spacing w:before="124" w:line="274" w:lineRule="exact"/>
              <w:ind w:firstLine="210" w:firstLineChars="100"/>
              <w:jc w:val="both"/>
              <w:rPr>
                <w:rFonts w:hint="eastAsia" w:ascii="宋体" w:hAnsi="宋体" w:eastAsia="宋体" w:cs="宋体"/>
                <w:strike w:val="0"/>
                <w:dstrike w:val="0"/>
                <w:color w:val="auto"/>
                <w:position w:val="1"/>
                <w:sz w:val="21"/>
                <w:szCs w:val="21"/>
                <w:highlight w:val="none"/>
                <w:lang w:val="en-US" w:eastAsia="zh-CN"/>
              </w:rPr>
            </w:pPr>
            <w:r>
              <w:rPr>
                <w:rFonts w:hint="eastAsia" w:ascii="宋体" w:hAnsi="宋体" w:eastAsia="宋体" w:cs="宋体"/>
                <w:strike w:val="0"/>
                <w:dstrike w:val="0"/>
                <w:color w:val="auto"/>
                <w:position w:val="1"/>
                <w:sz w:val="21"/>
                <w:szCs w:val="21"/>
                <w:highlight w:val="none"/>
                <w:lang w:val="en-US" w:eastAsia="zh-CN"/>
              </w:rPr>
              <w:t>3.</w:t>
            </w:r>
            <w:r>
              <w:rPr>
                <w:rFonts w:hint="eastAsia" w:ascii="宋体" w:hAnsi="宋体" w:eastAsia="宋体" w:cs="宋体"/>
                <w:strike w:val="0"/>
                <w:dstrike w:val="0"/>
                <w:color w:val="auto"/>
                <w:position w:val="1"/>
                <w:sz w:val="21"/>
                <w:szCs w:val="21"/>
                <w:highlight w:val="none"/>
              </w:rPr>
              <w:t>本项最高得</w:t>
            </w:r>
            <w:r>
              <w:rPr>
                <w:rFonts w:hint="eastAsia" w:ascii="宋体" w:hAnsi="宋体" w:eastAsia="宋体" w:cs="宋体"/>
                <w:strike w:val="0"/>
                <w:dstrike w:val="0"/>
                <w:color w:val="auto"/>
                <w:position w:val="1"/>
                <w:sz w:val="21"/>
                <w:szCs w:val="21"/>
                <w:highlight w:val="none"/>
                <w:lang w:val="en-US" w:eastAsia="zh-CN"/>
              </w:rPr>
              <w:t>9</w:t>
            </w:r>
            <w:r>
              <w:rPr>
                <w:rFonts w:hint="eastAsia" w:ascii="宋体" w:hAnsi="宋体" w:eastAsia="宋体" w:cs="宋体"/>
                <w:strike w:val="0"/>
                <w:dstrike w:val="0"/>
                <w:color w:val="auto"/>
                <w:position w:val="1"/>
                <w:sz w:val="21"/>
                <w:szCs w:val="21"/>
                <w:highlight w:val="none"/>
              </w:rPr>
              <w:t>分。</w:t>
            </w:r>
          </w:p>
        </w:tc>
        <w:tc>
          <w:tcPr>
            <w:tcW w:w="4947" w:type="dxa"/>
            <w:vAlign w:val="center"/>
          </w:tcPr>
          <w:p w14:paraId="57CE267B">
            <w:pPr>
              <w:pStyle w:val="22"/>
              <w:spacing w:before="156" w:line="301" w:lineRule="auto"/>
              <w:ind w:left="116" w:right="111"/>
              <w:jc w:val="both"/>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1．需附在有效期内的认证证书彩色扫描件，</w:t>
            </w:r>
            <w:r>
              <w:rPr>
                <w:rFonts w:hint="eastAsia" w:ascii="宋体" w:hAnsi="宋体" w:eastAsia="宋体" w:cs="宋体"/>
                <w:b/>
                <w:bCs/>
                <w:strike w:val="0"/>
                <w:dstrike w:val="0"/>
                <w:color w:val="auto"/>
                <w:sz w:val="21"/>
                <w:szCs w:val="21"/>
                <w:highlight w:val="none"/>
              </w:rPr>
              <w:t>同时提供原件供核对（证书为电子证书的除外）</w:t>
            </w:r>
            <w:r>
              <w:rPr>
                <w:rFonts w:hint="eastAsia" w:ascii="宋体" w:hAnsi="宋体" w:eastAsia="宋体" w:cs="宋体"/>
                <w:strike w:val="0"/>
                <w:dstrike w:val="0"/>
                <w:color w:val="auto"/>
                <w:sz w:val="21"/>
                <w:szCs w:val="21"/>
                <w:highlight w:val="none"/>
              </w:rPr>
              <w:t>。</w:t>
            </w:r>
          </w:p>
          <w:p w14:paraId="446F5206">
            <w:pPr>
              <w:pStyle w:val="22"/>
              <w:spacing w:before="156" w:line="301" w:lineRule="auto"/>
              <w:ind w:left="116" w:right="111"/>
              <w:jc w:val="both"/>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2．任一认证证书有以下情形之一的，该认证证书视为无效，不予计分：</w:t>
            </w:r>
          </w:p>
          <w:p w14:paraId="7A2F6626">
            <w:pPr>
              <w:pStyle w:val="22"/>
              <w:spacing w:before="156" w:line="301" w:lineRule="auto"/>
              <w:ind w:left="116" w:right="111"/>
              <w:jc w:val="both"/>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①未提供认证证书原件的；</w:t>
            </w:r>
          </w:p>
          <w:p w14:paraId="169C5719">
            <w:pPr>
              <w:pStyle w:val="22"/>
              <w:spacing w:before="156" w:line="301" w:lineRule="auto"/>
              <w:ind w:left="116" w:right="111"/>
              <w:jc w:val="both"/>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②认证证书不在有效期内的。</w:t>
            </w:r>
          </w:p>
        </w:tc>
      </w:tr>
      <w:tr w14:paraId="52640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vAlign w:val="center"/>
          </w:tcPr>
          <w:p w14:paraId="292707C4">
            <w:pPr>
              <w:jc w:val="both"/>
              <w:rPr>
                <w:rFonts w:hint="eastAsia" w:ascii="宋体" w:hAnsi="宋体" w:eastAsia="宋体" w:cs="宋体"/>
                <w:color w:val="auto"/>
                <w:sz w:val="21"/>
                <w:szCs w:val="21"/>
              </w:rPr>
            </w:pPr>
            <w:r>
              <w:rPr>
                <w:rFonts w:hint="eastAsia" w:ascii="宋体" w:hAnsi="宋体" w:eastAsia="宋体" w:cs="宋体"/>
                <w:color w:val="auto"/>
                <w:sz w:val="21"/>
                <w:szCs w:val="21"/>
              </w:rPr>
              <w:t>企业</w:t>
            </w:r>
            <w:r>
              <w:rPr>
                <w:rFonts w:hint="eastAsia" w:ascii="宋体" w:hAnsi="宋体" w:eastAsia="宋体" w:cs="宋体"/>
                <w:color w:val="auto"/>
                <w:sz w:val="21"/>
                <w:szCs w:val="21"/>
                <w:highlight w:val="none"/>
              </w:rPr>
              <w:t>财务状况（</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3423" w:type="dxa"/>
            <w:vAlign w:val="center"/>
          </w:tcPr>
          <w:p w14:paraId="4CD9DFC9">
            <w:pPr>
              <w:pStyle w:val="22"/>
              <w:spacing w:before="124" w:line="274" w:lineRule="exact"/>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1．</w:t>
            </w:r>
            <w:r>
              <w:rPr>
                <w:rFonts w:hint="eastAsia" w:ascii="宋体" w:hAnsi="宋体" w:eastAsia="宋体" w:cs="宋体"/>
                <w:color w:val="auto"/>
                <w:position w:val="1"/>
                <w:sz w:val="21"/>
                <w:szCs w:val="21"/>
                <w:highlight w:val="none"/>
              </w:rPr>
              <w:t>提供不少于</w:t>
            </w:r>
            <w:r>
              <w:rPr>
                <w:rFonts w:hint="eastAsia" w:ascii="宋体" w:hAnsi="宋体" w:eastAsia="宋体" w:cs="宋体"/>
                <w:color w:val="auto"/>
                <w:position w:val="1"/>
                <w:sz w:val="21"/>
                <w:szCs w:val="21"/>
                <w:highlight w:val="none"/>
                <w:u w:val="single"/>
                <w:lang w:val="en-US" w:eastAsia="zh-CN"/>
              </w:rPr>
              <w:t>300</w:t>
            </w:r>
            <w:r>
              <w:rPr>
                <w:rFonts w:hint="eastAsia" w:ascii="宋体" w:hAnsi="宋体" w:eastAsia="宋体" w:cs="宋体"/>
                <w:color w:val="auto"/>
                <w:position w:val="1"/>
                <w:sz w:val="21"/>
                <w:szCs w:val="21"/>
                <w:highlight w:val="none"/>
              </w:rPr>
              <w:t xml:space="preserve">万元银行授信证明的 ，得 </w:t>
            </w:r>
            <w:r>
              <w:rPr>
                <w:rFonts w:hint="eastAsia" w:ascii="宋体" w:hAnsi="宋体" w:eastAsia="宋体" w:cs="宋体"/>
                <w:color w:val="auto"/>
                <w:position w:val="1"/>
                <w:sz w:val="21"/>
                <w:szCs w:val="21"/>
                <w:highlight w:val="none"/>
                <w:lang w:val="en-US" w:eastAsia="zh-CN"/>
              </w:rPr>
              <w:t>5</w:t>
            </w:r>
            <w:r>
              <w:rPr>
                <w:rFonts w:hint="eastAsia" w:ascii="宋体" w:hAnsi="宋体" w:eastAsia="宋体" w:cs="宋体"/>
                <w:color w:val="auto"/>
                <w:position w:val="1"/>
                <w:sz w:val="21"/>
                <w:szCs w:val="21"/>
                <w:highlight w:val="none"/>
              </w:rPr>
              <w:t>分。</w:t>
            </w:r>
          </w:p>
          <w:p w14:paraId="496F5A2C">
            <w:pPr>
              <w:pStyle w:val="22"/>
              <w:spacing w:before="124" w:line="360" w:lineRule="auto"/>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rPr>
              <w:t>2．提供投标人基本账户在本项目招标公告发布之日起至投标截止时间期间出现过至少连续3 日不少于</w:t>
            </w:r>
            <w:r>
              <w:rPr>
                <w:rFonts w:hint="eastAsia" w:ascii="宋体" w:hAnsi="宋体" w:eastAsia="宋体" w:cs="宋体"/>
                <w:color w:val="auto"/>
                <w:position w:val="1"/>
                <w:sz w:val="21"/>
                <w:szCs w:val="21"/>
                <w:u w:val="single"/>
                <w:lang w:val="en-US" w:eastAsia="zh-CN"/>
              </w:rPr>
              <w:t>300</w:t>
            </w:r>
            <w:r>
              <w:rPr>
                <w:rFonts w:hint="eastAsia" w:ascii="宋体" w:hAnsi="宋体" w:eastAsia="宋体" w:cs="宋体"/>
                <w:color w:val="auto"/>
                <w:position w:val="1"/>
                <w:sz w:val="21"/>
                <w:szCs w:val="21"/>
                <w:u w:val="none"/>
              </w:rPr>
              <w:t>万</w:t>
            </w:r>
            <w:r>
              <w:rPr>
                <w:rFonts w:hint="eastAsia" w:ascii="宋体" w:hAnsi="宋体" w:eastAsia="宋体" w:cs="宋体"/>
                <w:color w:val="auto"/>
                <w:position w:val="1"/>
                <w:sz w:val="21"/>
                <w:szCs w:val="21"/>
              </w:rPr>
              <w:t>元存款余额资金流水证明的，得 5分。</w:t>
            </w:r>
          </w:p>
          <w:p w14:paraId="5AE5E897">
            <w:pPr>
              <w:pStyle w:val="22"/>
              <w:spacing w:before="124" w:line="360" w:lineRule="auto"/>
              <w:ind w:left="113"/>
              <w:jc w:val="both"/>
              <w:rPr>
                <w:rFonts w:hint="eastAsia" w:ascii="宋体" w:hAnsi="宋体" w:eastAsia="宋体" w:cs="宋体"/>
                <w:color w:val="auto"/>
                <w:position w:val="1"/>
                <w:sz w:val="21"/>
                <w:szCs w:val="21"/>
              </w:rPr>
            </w:pPr>
            <w:r>
              <w:rPr>
                <w:rFonts w:hint="eastAsia" w:ascii="宋体" w:hAnsi="宋体" w:eastAsia="宋体" w:cs="宋体"/>
                <w:color w:val="auto"/>
                <w:position w:val="1"/>
                <w:sz w:val="21"/>
                <w:szCs w:val="21"/>
                <w:highlight w:val="none"/>
                <w:lang w:val="en-US" w:eastAsia="zh-CN"/>
              </w:rPr>
              <w:t>3.</w:t>
            </w:r>
            <w:r>
              <w:rPr>
                <w:rFonts w:hint="eastAsia" w:ascii="宋体" w:hAnsi="宋体" w:eastAsia="宋体" w:cs="宋体"/>
                <w:color w:val="auto"/>
                <w:position w:val="1"/>
                <w:sz w:val="21"/>
                <w:szCs w:val="21"/>
                <w:highlight w:val="none"/>
              </w:rPr>
              <w:t>本项最高得</w:t>
            </w:r>
            <w:r>
              <w:rPr>
                <w:rFonts w:hint="eastAsia" w:ascii="宋体" w:hAnsi="宋体" w:eastAsia="宋体" w:cs="宋体"/>
                <w:color w:val="auto"/>
                <w:position w:val="1"/>
                <w:sz w:val="21"/>
                <w:szCs w:val="21"/>
                <w:highlight w:val="none"/>
                <w:u w:val="single"/>
              </w:rPr>
              <w:t>10</w:t>
            </w:r>
            <w:r>
              <w:rPr>
                <w:rFonts w:hint="eastAsia" w:ascii="宋体" w:hAnsi="宋体" w:eastAsia="宋体" w:cs="宋体"/>
                <w:color w:val="auto"/>
                <w:position w:val="1"/>
                <w:sz w:val="21"/>
                <w:szCs w:val="21"/>
                <w:highlight w:val="none"/>
              </w:rPr>
              <w:t>分。</w:t>
            </w:r>
          </w:p>
          <w:p w14:paraId="041375DC">
            <w:pPr>
              <w:pStyle w:val="22"/>
              <w:spacing w:before="124" w:line="274" w:lineRule="exact"/>
              <w:ind w:left="113"/>
              <w:jc w:val="both"/>
              <w:rPr>
                <w:rFonts w:hint="eastAsia" w:ascii="宋体" w:hAnsi="宋体" w:eastAsia="宋体" w:cs="宋体"/>
                <w:color w:val="auto"/>
                <w:position w:val="1"/>
                <w:sz w:val="21"/>
                <w:szCs w:val="21"/>
              </w:rPr>
            </w:pPr>
          </w:p>
        </w:tc>
        <w:tc>
          <w:tcPr>
            <w:tcW w:w="4947" w:type="dxa"/>
            <w:vAlign w:val="center"/>
          </w:tcPr>
          <w:p w14:paraId="7D78DA1B">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1．需附在有效期内的有关证明电子扫描件。</w:t>
            </w:r>
          </w:p>
          <w:p w14:paraId="6A6D9935">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2．银行授信证明有以下情形之一的，视为无效，不予计分：</w:t>
            </w:r>
          </w:p>
          <w:p w14:paraId="7B326766">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①授信证明不在有效期内的；</w:t>
            </w:r>
          </w:p>
          <w:p w14:paraId="21D537E2">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②授信额度不符合要求的；</w:t>
            </w:r>
          </w:p>
          <w:p w14:paraId="4CDC9BDF">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3．存款余额资金流水证明有以下情形之一的，视为无效，不予计分：</w:t>
            </w:r>
          </w:p>
          <w:p w14:paraId="25B05E64">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①存款账户不是基本账户的；</w:t>
            </w:r>
          </w:p>
          <w:p w14:paraId="78F6017D">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②存款时间不符合要求的；</w:t>
            </w:r>
          </w:p>
          <w:p w14:paraId="56FD87D2">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③存款额度不符合要求的。</w:t>
            </w:r>
          </w:p>
        </w:tc>
      </w:tr>
      <w:tr w14:paraId="34DF8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vAlign w:val="center"/>
          </w:tcPr>
          <w:p w14:paraId="72588F91">
            <w:pPr>
              <w:jc w:val="both"/>
              <w:rPr>
                <w:rFonts w:hint="eastAsia" w:ascii="宋体" w:hAnsi="宋体" w:eastAsia="宋体" w:cs="宋体"/>
                <w:color w:val="auto"/>
                <w:sz w:val="21"/>
                <w:szCs w:val="21"/>
              </w:rPr>
            </w:pPr>
            <w:r>
              <w:rPr>
                <w:rFonts w:hint="eastAsia" w:ascii="宋体" w:hAnsi="宋体" w:eastAsia="宋体" w:cs="宋体"/>
                <w:color w:val="auto"/>
                <w:sz w:val="21"/>
                <w:szCs w:val="21"/>
                <w:highlight w:val="none"/>
              </w:rPr>
              <w:t>企业履约信誉（</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tc>
        <w:tc>
          <w:tcPr>
            <w:tcW w:w="3423" w:type="dxa"/>
            <w:vAlign w:val="center"/>
          </w:tcPr>
          <w:p w14:paraId="737D3989">
            <w:pPr>
              <w:pStyle w:val="22"/>
              <w:numPr>
                <w:ilvl w:val="0"/>
                <w:numId w:val="0"/>
              </w:numPr>
              <w:spacing w:before="124" w:line="274" w:lineRule="exact"/>
              <w:jc w:val="both"/>
              <w:rPr>
                <w:rFonts w:hint="eastAsia" w:ascii="宋体" w:hAnsi="宋体" w:eastAsia="宋体" w:cs="宋体"/>
                <w:strike w:val="0"/>
                <w:dstrike w:val="0"/>
                <w:color w:val="auto"/>
                <w:position w:val="1"/>
                <w:sz w:val="21"/>
                <w:szCs w:val="21"/>
                <w:highlight w:val="none"/>
                <w:lang w:val="en-US" w:eastAsia="zh-CN"/>
              </w:rPr>
            </w:pPr>
            <w:r>
              <w:rPr>
                <w:rFonts w:hint="eastAsia" w:ascii="宋体" w:hAnsi="宋体" w:eastAsia="宋体" w:cs="宋体"/>
                <w:strike w:val="0"/>
                <w:dstrike w:val="0"/>
                <w:color w:val="auto"/>
                <w:position w:val="1"/>
                <w:sz w:val="21"/>
                <w:szCs w:val="21"/>
                <w:highlight w:val="none"/>
                <w:lang w:val="en-US" w:eastAsia="zh-CN"/>
              </w:rPr>
              <w:t>1.企业近4年（2022年1月1日至今）连续4年获得过地市级或以上协会颁发的企业信用等级AAA级证书的得6分；</w:t>
            </w:r>
          </w:p>
          <w:p w14:paraId="031C0D7F">
            <w:pPr>
              <w:pStyle w:val="22"/>
              <w:spacing w:before="124" w:line="274" w:lineRule="exact"/>
              <w:jc w:val="both"/>
              <w:rPr>
                <w:rFonts w:hint="eastAsia" w:ascii="宋体" w:hAnsi="宋体" w:eastAsia="宋体" w:cs="宋体"/>
                <w:strike w:val="0"/>
                <w:dstrike w:val="0"/>
                <w:color w:val="auto"/>
                <w:position w:val="1"/>
                <w:sz w:val="21"/>
                <w:szCs w:val="21"/>
                <w:highlight w:val="none"/>
                <w:lang w:val="en-US" w:eastAsia="zh-CN"/>
              </w:rPr>
            </w:pPr>
            <w:r>
              <w:rPr>
                <w:rFonts w:hint="eastAsia" w:ascii="宋体" w:hAnsi="宋体" w:eastAsia="宋体" w:cs="宋体"/>
                <w:strike w:val="0"/>
                <w:dstrike w:val="0"/>
                <w:color w:val="auto"/>
                <w:position w:val="1"/>
                <w:sz w:val="21"/>
                <w:szCs w:val="21"/>
                <w:highlight w:val="none"/>
                <w:lang w:val="en-US" w:eastAsia="zh-CN"/>
              </w:rPr>
              <w:t>2.其他情形的，不予计分。</w:t>
            </w:r>
          </w:p>
          <w:p w14:paraId="560A8A63">
            <w:pPr>
              <w:pStyle w:val="22"/>
              <w:spacing w:before="124" w:line="274" w:lineRule="exact"/>
              <w:jc w:val="both"/>
              <w:rPr>
                <w:rFonts w:hint="eastAsia" w:ascii="宋体" w:hAnsi="宋体" w:eastAsia="宋体" w:cs="宋体"/>
                <w:strike w:val="0"/>
                <w:dstrike w:val="0"/>
                <w:color w:val="auto"/>
                <w:position w:val="1"/>
                <w:sz w:val="21"/>
                <w:szCs w:val="21"/>
                <w:highlight w:val="none"/>
                <w:lang w:val="en-US" w:eastAsia="zh-CN"/>
              </w:rPr>
            </w:pPr>
            <w:r>
              <w:rPr>
                <w:rFonts w:hint="eastAsia" w:ascii="宋体" w:hAnsi="宋体" w:eastAsia="宋体" w:cs="宋体"/>
                <w:strike w:val="0"/>
                <w:dstrike w:val="0"/>
                <w:color w:val="auto"/>
                <w:position w:val="1"/>
                <w:sz w:val="21"/>
                <w:szCs w:val="21"/>
                <w:highlight w:val="none"/>
                <w:lang w:val="en-US" w:eastAsia="zh-CN"/>
              </w:rPr>
              <w:t>3.</w:t>
            </w:r>
            <w:r>
              <w:rPr>
                <w:rFonts w:hint="eastAsia" w:ascii="宋体" w:hAnsi="宋体" w:eastAsia="宋体" w:cs="宋体"/>
                <w:color w:val="auto"/>
                <w:position w:val="1"/>
                <w:sz w:val="21"/>
                <w:szCs w:val="21"/>
                <w:highlight w:val="none"/>
              </w:rPr>
              <w:t>本项最高得</w:t>
            </w:r>
            <w:r>
              <w:rPr>
                <w:rFonts w:hint="eastAsia" w:ascii="宋体" w:hAnsi="宋体" w:eastAsia="宋体" w:cs="宋体"/>
                <w:color w:val="auto"/>
                <w:position w:val="1"/>
                <w:sz w:val="21"/>
                <w:szCs w:val="21"/>
                <w:highlight w:val="none"/>
                <w:u w:val="single"/>
                <w:lang w:val="en-US" w:eastAsia="zh-CN"/>
              </w:rPr>
              <w:t>6</w:t>
            </w:r>
            <w:r>
              <w:rPr>
                <w:rFonts w:hint="eastAsia" w:ascii="宋体" w:hAnsi="宋体" w:eastAsia="宋体" w:cs="宋体"/>
                <w:color w:val="auto"/>
                <w:position w:val="1"/>
                <w:sz w:val="21"/>
                <w:szCs w:val="21"/>
                <w:highlight w:val="none"/>
              </w:rPr>
              <w:t>分。</w:t>
            </w:r>
          </w:p>
        </w:tc>
        <w:tc>
          <w:tcPr>
            <w:tcW w:w="4947" w:type="dxa"/>
            <w:vAlign w:val="center"/>
          </w:tcPr>
          <w:p w14:paraId="3241A6BC">
            <w:pPr>
              <w:pStyle w:val="22"/>
              <w:numPr>
                <w:ilvl w:val="0"/>
                <w:numId w:val="0"/>
              </w:numPr>
              <w:spacing w:before="156" w:line="301" w:lineRule="auto"/>
              <w:ind w:right="111"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1.证书由地市级或以上协会颁发，须提供有关证书彩色扫描件，</w:t>
            </w:r>
            <w:r>
              <w:rPr>
                <w:rFonts w:hint="eastAsia" w:ascii="宋体" w:hAnsi="宋体" w:eastAsia="宋体" w:cs="宋体"/>
                <w:b/>
                <w:bCs/>
                <w:color w:val="auto"/>
                <w:sz w:val="21"/>
                <w:szCs w:val="21"/>
                <w:highlight w:val="none"/>
                <w:lang w:val="en-US" w:eastAsia="zh-CN"/>
              </w:rPr>
              <w:t>同时提供原件核对；</w:t>
            </w:r>
          </w:p>
          <w:p w14:paraId="2D124213">
            <w:pPr>
              <w:pStyle w:val="22"/>
              <w:numPr>
                <w:ilvl w:val="0"/>
                <w:numId w:val="0"/>
              </w:numPr>
              <w:spacing w:before="156" w:line="301" w:lineRule="auto"/>
              <w:ind w:right="111"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2.相关协会需在民政部门官网全国社会组织信用信息公示平台查询，提供下载证明原件；</w:t>
            </w:r>
          </w:p>
          <w:p w14:paraId="59FEBD37">
            <w:pPr>
              <w:pStyle w:val="22"/>
              <w:spacing w:before="124" w:line="274"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3.未提供原件的，颁发机构不符合要求的，无法提供民政部官网查询。</w:t>
            </w:r>
          </w:p>
        </w:tc>
      </w:tr>
      <w:tr w14:paraId="32738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vAlign w:val="center"/>
          </w:tcPr>
          <w:p w14:paraId="41EB0B5B">
            <w:pPr>
              <w:jc w:val="both"/>
              <w:rPr>
                <w:rFonts w:hint="eastAsia" w:ascii="宋体" w:hAnsi="宋体" w:eastAsia="宋体" w:cs="宋体"/>
                <w:color w:val="auto"/>
                <w:position w:val="1"/>
                <w:sz w:val="21"/>
                <w:szCs w:val="21"/>
                <w:highlight w:val="none"/>
              </w:rPr>
            </w:pPr>
            <w:r>
              <w:rPr>
                <w:rFonts w:hint="eastAsia" w:ascii="宋体" w:hAnsi="宋体" w:eastAsia="宋体" w:cs="宋体"/>
                <w:color w:val="auto"/>
                <w:position w:val="1"/>
                <w:sz w:val="21"/>
                <w:szCs w:val="21"/>
                <w:highlight w:val="none"/>
                <w:lang w:val="en-US" w:eastAsia="zh-CN"/>
              </w:rPr>
              <w:t>企业</w:t>
            </w:r>
            <w:r>
              <w:rPr>
                <w:rFonts w:hint="eastAsia" w:ascii="宋体" w:hAnsi="宋体" w:eastAsia="宋体" w:cs="宋体"/>
                <w:color w:val="auto"/>
                <w:position w:val="1"/>
                <w:sz w:val="21"/>
                <w:szCs w:val="21"/>
                <w:highlight w:val="none"/>
              </w:rPr>
              <w:t>纳税信用</w:t>
            </w:r>
          </w:p>
          <w:p w14:paraId="1DE28D0A">
            <w:pPr>
              <w:jc w:val="both"/>
              <w:rPr>
                <w:rFonts w:hint="eastAsia" w:ascii="宋体" w:hAnsi="宋体" w:eastAsia="宋体" w:cs="宋体"/>
                <w:color w:val="auto"/>
                <w:position w:val="1"/>
                <w:sz w:val="21"/>
                <w:szCs w:val="21"/>
                <w:highlight w:val="none"/>
                <w:lang w:eastAsia="zh-CN"/>
              </w:rPr>
            </w:pPr>
            <w:r>
              <w:rPr>
                <w:rFonts w:hint="eastAsia" w:ascii="宋体" w:hAnsi="宋体" w:eastAsia="宋体" w:cs="宋体"/>
                <w:color w:val="auto"/>
                <w:position w:val="1"/>
                <w:sz w:val="21"/>
                <w:szCs w:val="21"/>
                <w:highlight w:val="none"/>
                <w:lang w:eastAsia="zh-CN"/>
              </w:rPr>
              <w:t>（</w:t>
            </w:r>
            <w:r>
              <w:rPr>
                <w:rFonts w:hint="eastAsia" w:ascii="宋体" w:hAnsi="宋体" w:eastAsia="宋体" w:cs="宋体"/>
                <w:color w:val="auto"/>
                <w:position w:val="1"/>
                <w:sz w:val="21"/>
                <w:szCs w:val="21"/>
                <w:highlight w:val="none"/>
                <w:lang w:val="en-US" w:eastAsia="zh-CN"/>
              </w:rPr>
              <w:t>10分</w:t>
            </w:r>
            <w:r>
              <w:rPr>
                <w:rFonts w:hint="eastAsia" w:ascii="宋体" w:hAnsi="宋体" w:eastAsia="宋体" w:cs="宋体"/>
                <w:color w:val="auto"/>
                <w:position w:val="1"/>
                <w:sz w:val="21"/>
                <w:szCs w:val="21"/>
                <w:highlight w:val="none"/>
                <w:lang w:eastAsia="zh-CN"/>
              </w:rPr>
              <w:t>）</w:t>
            </w:r>
          </w:p>
        </w:tc>
        <w:tc>
          <w:tcPr>
            <w:tcW w:w="3423" w:type="dxa"/>
            <w:vAlign w:val="center"/>
          </w:tcPr>
          <w:p w14:paraId="39CB27BA">
            <w:pPr>
              <w:pStyle w:val="22"/>
              <w:spacing w:before="124" w:line="274" w:lineRule="exact"/>
              <w:ind w:left="113"/>
              <w:jc w:val="both"/>
              <w:rPr>
                <w:rFonts w:hint="eastAsia" w:ascii="宋体" w:hAnsi="宋体" w:eastAsia="宋体" w:cs="宋体"/>
                <w:color w:val="auto"/>
                <w:position w:val="1"/>
                <w:sz w:val="21"/>
                <w:szCs w:val="21"/>
                <w:highlight w:val="none"/>
              </w:rPr>
            </w:pPr>
            <w:r>
              <w:rPr>
                <w:rFonts w:hint="eastAsia" w:ascii="宋体" w:hAnsi="宋体" w:eastAsia="宋体" w:cs="宋体"/>
                <w:color w:val="auto"/>
                <w:position w:val="1"/>
                <w:sz w:val="21"/>
                <w:szCs w:val="21"/>
                <w:highlight w:val="none"/>
                <w:lang w:val="en-US" w:eastAsia="zh-CN"/>
              </w:rPr>
              <w:t>1.</w:t>
            </w:r>
            <w:r>
              <w:rPr>
                <w:rFonts w:hint="eastAsia" w:ascii="宋体" w:hAnsi="宋体" w:eastAsia="宋体" w:cs="宋体"/>
                <w:color w:val="auto"/>
                <w:position w:val="1"/>
                <w:sz w:val="21"/>
                <w:szCs w:val="21"/>
                <w:highlight w:val="none"/>
              </w:rPr>
              <w:t xml:space="preserve">企业连续 </w:t>
            </w:r>
            <w:r>
              <w:rPr>
                <w:rFonts w:hint="eastAsia" w:ascii="宋体" w:hAnsi="宋体" w:eastAsia="宋体" w:cs="宋体"/>
                <w:color w:val="auto"/>
                <w:position w:val="1"/>
                <w:sz w:val="21"/>
                <w:szCs w:val="21"/>
                <w:highlight w:val="none"/>
                <w:lang w:val="en-US" w:eastAsia="zh-CN"/>
              </w:rPr>
              <w:t>5</w:t>
            </w:r>
            <w:r>
              <w:rPr>
                <w:rFonts w:hint="eastAsia" w:ascii="宋体" w:hAnsi="宋体" w:eastAsia="宋体" w:cs="宋体"/>
                <w:color w:val="auto"/>
                <w:position w:val="1"/>
                <w:sz w:val="21"/>
                <w:szCs w:val="21"/>
                <w:highlight w:val="none"/>
              </w:rPr>
              <w:t xml:space="preserve"> 年或 </w:t>
            </w:r>
            <w:r>
              <w:rPr>
                <w:rFonts w:hint="eastAsia" w:ascii="宋体" w:hAnsi="宋体" w:eastAsia="宋体" w:cs="宋体"/>
                <w:color w:val="auto"/>
                <w:position w:val="1"/>
                <w:sz w:val="21"/>
                <w:szCs w:val="21"/>
                <w:highlight w:val="none"/>
                <w:lang w:val="en-US" w:eastAsia="zh-CN"/>
              </w:rPr>
              <w:t>5</w:t>
            </w:r>
            <w:r>
              <w:rPr>
                <w:rFonts w:hint="eastAsia" w:ascii="宋体" w:hAnsi="宋体" w:eastAsia="宋体" w:cs="宋体"/>
                <w:color w:val="auto"/>
                <w:position w:val="1"/>
                <w:sz w:val="21"/>
                <w:szCs w:val="21"/>
                <w:highlight w:val="none"/>
              </w:rPr>
              <w:t>年以上（含</w:t>
            </w:r>
            <w:r>
              <w:rPr>
                <w:rFonts w:hint="eastAsia" w:ascii="宋体" w:hAnsi="宋体" w:eastAsia="宋体" w:cs="宋体"/>
                <w:color w:val="auto"/>
                <w:position w:val="1"/>
                <w:sz w:val="21"/>
                <w:szCs w:val="21"/>
                <w:highlight w:val="none"/>
                <w:lang w:val="en-US" w:eastAsia="zh-CN"/>
              </w:rPr>
              <w:t>5</w:t>
            </w:r>
            <w:r>
              <w:rPr>
                <w:rFonts w:hint="eastAsia" w:ascii="宋体" w:hAnsi="宋体" w:eastAsia="宋体" w:cs="宋体"/>
                <w:color w:val="auto"/>
                <w:position w:val="1"/>
                <w:sz w:val="21"/>
                <w:szCs w:val="21"/>
                <w:highlight w:val="none"/>
              </w:rPr>
              <w:t xml:space="preserve"> 年）获得纳税信用 A 级纳税人的，得 </w:t>
            </w:r>
            <w:r>
              <w:rPr>
                <w:rFonts w:hint="eastAsia" w:ascii="宋体" w:hAnsi="宋体" w:eastAsia="宋体" w:cs="宋体"/>
                <w:color w:val="auto"/>
                <w:position w:val="1"/>
                <w:sz w:val="21"/>
                <w:szCs w:val="21"/>
                <w:highlight w:val="none"/>
                <w:lang w:val="en-US" w:eastAsia="zh-CN"/>
              </w:rPr>
              <w:t>10</w:t>
            </w:r>
            <w:r>
              <w:rPr>
                <w:rFonts w:hint="eastAsia" w:ascii="宋体" w:hAnsi="宋体" w:eastAsia="宋体" w:cs="宋体"/>
                <w:color w:val="auto"/>
                <w:position w:val="1"/>
                <w:sz w:val="21"/>
                <w:szCs w:val="21"/>
                <w:highlight w:val="none"/>
              </w:rPr>
              <w:t>分； (其中必须有</w:t>
            </w:r>
            <w:r>
              <w:rPr>
                <w:rFonts w:hint="eastAsia" w:ascii="宋体" w:hAnsi="宋体" w:eastAsia="宋体" w:cs="宋体"/>
                <w:color w:val="auto"/>
                <w:position w:val="1"/>
                <w:sz w:val="21"/>
                <w:szCs w:val="21"/>
                <w:highlight w:val="none"/>
                <w:lang w:val="en-US" w:eastAsia="zh-CN"/>
              </w:rPr>
              <w:t>2025</w:t>
            </w:r>
            <w:r>
              <w:rPr>
                <w:rFonts w:hint="eastAsia" w:ascii="宋体" w:hAnsi="宋体" w:eastAsia="宋体" w:cs="宋体"/>
                <w:color w:val="auto"/>
                <w:position w:val="1"/>
                <w:sz w:val="21"/>
                <w:szCs w:val="21"/>
                <w:highlight w:val="none"/>
              </w:rPr>
              <w:t>年度)</w:t>
            </w:r>
          </w:p>
          <w:p w14:paraId="7FDA9A9B">
            <w:pPr>
              <w:pStyle w:val="22"/>
              <w:spacing w:before="124" w:line="274" w:lineRule="exact"/>
              <w:ind w:left="113" w:leftChars="0"/>
              <w:jc w:val="both"/>
              <w:rPr>
                <w:rFonts w:hint="eastAsia" w:ascii="宋体" w:hAnsi="宋体" w:eastAsia="宋体" w:cs="宋体"/>
                <w:strike w:val="0"/>
                <w:dstrike w:val="0"/>
                <w:color w:val="auto"/>
                <w:position w:val="1"/>
                <w:sz w:val="21"/>
                <w:szCs w:val="21"/>
                <w:highlight w:val="none"/>
                <w:lang w:val="en-US" w:eastAsia="zh-CN"/>
              </w:rPr>
            </w:pPr>
            <w:r>
              <w:rPr>
                <w:rFonts w:hint="eastAsia" w:ascii="宋体" w:hAnsi="宋体" w:eastAsia="宋体" w:cs="宋体"/>
                <w:color w:val="auto"/>
                <w:position w:val="1"/>
                <w:sz w:val="21"/>
                <w:szCs w:val="21"/>
                <w:highlight w:val="none"/>
                <w:lang w:val="en-US" w:eastAsia="zh-CN"/>
              </w:rPr>
              <w:t>2.本项最高得10分。</w:t>
            </w:r>
          </w:p>
        </w:tc>
        <w:tc>
          <w:tcPr>
            <w:tcW w:w="4947" w:type="dxa"/>
            <w:vAlign w:val="center"/>
          </w:tcPr>
          <w:p w14:paraId="21551700">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1．必须提供企业纳税信用A 级纳税人证明材料（或证书）及国家税务总局网上查询截图，否则不得分。</w:t>
            </w:r>
          </w:p>
          <w:p w14:paraId="0BEBDB8B">
            <w:pPr>
              <w:pStyle w:val="22"/>
              <w:spacing w:before="156" w:line="301" w:lineRule="auto"/>
              <w:ind w:left="116" w:leftChars="0" w:right="111"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rPr>
              <w:t>2．只计算投标人自身（不计算投标人的分公司、子公司及分支机构）</w:t>
            </w:r>
          </w:p>
        </w:tc>
      </w:tr>
      <w:tr w14:paraId="74503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vAlign w:val="center"/>
          </w:tcPr>
          <w:p w14:paraId="115B1AC2">
            <w:pPr>
              <w:jc w:val="both"/>
              <w:rPr>
                <w:rFonts w:hint="eastAsia" w:ascii="宋体" w:hAnsi="宋体" w:eastAsia="宋体" w:cs="宋体"/>
                <w:color w:val="auto"/>
                <w:sz w:val="21"/>
                <w:szCs w:val="21"/>
              </w:rPr>
            </w:pPr>
          </w:p>
        </w:tc>
        <w:tc>
          <w:tcPr>
            <w:tcW w:w="3423" w:type="dxa"/>
            <w:tcBorders>
              <w:bottom w:val="single" w:color="auto" w:sz="4" w:space="0"/>
            </w:tcBorders>
            <w:vAlign w:val="center"/>
          </w:tcPr>
          <w:p w14:paraId="538EAA68">
            <w:pPr>
              <w:pStyle w:val="22"/>
              <w:spacing w:before="124" w:line="274" w:lineRule="exact"/>
              <w:jc w:val="both"/>
              <w:rPr>
                <w:rFonts w:hint="eastAsia" w:ascii="宋体" w:hAnsi="宋体" w:eastAsia="宋体" w:cs="宋体"/>
                <w:color w:val="auto"/>
                <w:position w:val="1"/>
                <w:sz w:val="21"/>
                <w:szCs w:val="21"/>
                <w:highlight w:val="none"/>
              </w:rPr>
            </w:pPr>
            <w:r>
              <w:rPr>
                <w:rFonts w:hint="eastAsia" w:ascii="宋体" w:hAnsi="宋体" w:eastAsia="宋体" w:cs="宋体"/>
                <w:color w:val="auto"/>
                <w:position w:val="1"/>
                <w:sz w:val="21"/>
                <w:szCs w:val="21"/>
                <w:highlight w:val="none"/>
                <w:lang w:val="en-US" w:eastAsia="zh-CN"/>
              </w:rPr>
              <w:t>1.</w:t>
            </w:r>
            <w:r>
              <w:rPr>
                <w:rFonts w:hint="eastAsia" w:ascii="宋体" w:hAnsi="宋体" w:eastAsia="宋体" w:cs="宋体"/>
                <w:color w:val="auto"/>
                <w:position w:val="1"/>
                <w:sz w:val="21"/>
                <w:szCs w:val="21"/>
                <w:highlight w:val="none"/>
              </w:rPr>
              <w:t>近 5 年来（</w:t>
            </w:r>
            <w:r>
              <w:rPr>
                <w:rFonts w:hint="eastAsia" w:ascii="宋体" w:hAnsi="宋体" w:eastAsia="宋体" w:cs="宋体"/>
                <w:color w:val="auto"/>
                <w:position w:val="1"/>
                <w:sz w:val="21"/>
                <w:szCs w:val="21"/>
                <w:highlight w:val="none"/>
                <w:lang w:val="en-US" w:eastAsia="zh-CN"/>
              </w:rPr>
              <w:t>2021年1月1日</w:t>
            </w:r>
            <w:r>
              <w:rPr>
                <w:rFonts w:hint="eastAsia" w:ascii="宋体" w:hAnsi="宋体" w:eastAsia="宋体" w:cs="宋体"/>
                <w:color w:val="auto"/>
                <w:position w:val="1"/>
                <w:sz w:val="21"/>
                <w:szCs w:val="21"/>
                <w:highlight w:val="none"/>
              </w:rPr>
              <w:t>至</w:t>
            </w:r>
            <w:r>
              <w:rPr>
                <w:rFonts w:hint="eastAsia" w:ascii="宋体" w:hAnsi="宋体" w:eastAsia="宋体" w:cs="宋体"/>
                <w:color w:val="auto"/>
                <w:position w:val="1"/>
                <w:sz w:val="21"/>
                <w:szCs w:val="21"/>
                <w:highlight w:val="none"/>
                <w:lang w:val="en-US" w:eastAsia="zh-CN"/>
              </w:rPr>
              <w:t>今</w:t>
            </w:r>
            <w:r>
              <w:rPr>
                <w:rFonts w:hint="eastAsia" w:ascii="宋体" w:hAnsi="宋体" w:eastAsia="宋体" w:cs="宋体"/>
                <w:color w:val="auto"/>
                <w:position w:val="1"/>
                <w:sz w:val="21"/>
                <w:szCs w:val="21"/>
                <w:highlight w:val="none"/>
              </w:rPr>
              <w:t>）投标人未发生事故等级为一般事故及以上的生产安全事故、一般质量事故及以上的工程质量事故的 ，得</w:t>
            </w:r>
            <w:r>
              <w:rPr>
                <w:rFonts w:hint="eastAsia" w:ascii="宋体" w:hAnsi="宋体" w:eastAsia="宋体" w:cs="宋体"/>
                <w:color w:val="auto"/>
                <w:position w:val="1"/>
                <w:sz w:val="21"/>
                <w:szCs w:val="21"/>
                <w:highlight w:val="none"/>
                <w:lang w:val="en-US" w:eastAsia="zh-CN"/>
              </w:rPr>
              <w:t>5</w:t>
            </w:r>
            <w:r>
              <w:rPr>
                <w:rFonts w:hint="eastAsia" w:ascii="宋体" w:hAnsi="宋体" w:eastAsia="宋体" w:cs="宋体"/>
                <w:color w:val="auto"/>
                <w:position w:val="1"/>
                <w:sz w:val="21"/>
                <w:szCs w:val="21"/>
                <w:highlight w:val="none"/>
              </w:rPr>
              <w:t>分；</w:t>
            </w:r>
          </w:p>
          <w:p w14:paraId="441A9EEE">
            <w:pPr>
              <w:pStyle w:val="22"/>
              <w:spacing w:before="124" w:line="274" w:lineRule="exact"/>
              <w:jc w:val="both"/>
              <w:rPr>
                <w:rFonts w:hint="eastAsia" w:ascii="宋体" w:hAnsi="宋体" w:eastAsia="宋体" w:cs="宋体"/>
                <w:color w:val="auto"/>
                <w:position w:val="1"/>
                <w:sz w:val="21"/>
                <w:szCs w:val="21"/>
                <w:highlight w:val="none"/>
                <w:lang w:val="en-US" w:eastAsia="zh-CN"/>
              </w:rPr>
            </w:pPr>
            <w:r>
              <w:rPr>
                <w:rFonts w:hint="eastAsia" w:ascii="宋体" w:hAnsi="宋体" w:eastAsia="宋体" w:cs="宋体"/>
                <w:color w:val="auto"/>
                <w:position w:val="1"/>
                <w:sz w:val="21"/>
                <w:szCs w:val="21"/>
                <w:highlight w:val="none"/>
              </w:rPr>
              <w:t>2.其他情形的，不予计分。</w:t>
            </w:r>
          </w:p>
        </w:tc>
        <w:tc>
          <w:tcPr>
            <w:tcW w:w="4947" w:type="dxa"/>
            <w:vAlign w:val="center"/>
          </w:tcPr>
          <w:p w14:paraId="05C6862C">
            <w:pPr>
              <w:pStyle w:val="22"/>
              <w:spacing w:before="156" w:line="301" w:lineRule="auto"/>
              <w:ind w:left="116" w:right="111"/>
              <w:jc w:val="both"/>
              <w:rPr>
                <w:rFonts w:hint="eastAsia" w:ascii="宋体" w:hAnsi="宋体" w:eastAsia="宋体" w:cs="宋体"/>
                <w:color w:val="auto"/>
                <w:sz w:val="21"/>
                <w:szCs w:val="21"/>
              </w:rPr>
            </w:pPr>
            <w:r>
              <w:rPr>
                <w:rFonts w:hint="eastAsia" w:ascii="宋体" w:hAnsi="宋体" w:eastAsia="宋体" w:cs="宋体"/>
                <w:color w:val="auto"/>
                <w:sz w:val="21"/>
                <w:szCs w:val="21"/>
              </w:rPr>
              <w:t>未提供本单位承诺书并加盖本单位公章的，按第2 项标准处理。</w:t>
            </w:r>
          </w:p>
        </w:tc>
      </w:tr>
      <w:tr w14:paraId="2FCDF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vAlign w:val="center"/>
          </w:tcPr>
          <w:p w14:paraId="040407AC">
            <w:pPr>
              <w:jc w:val="both"/>
              <w:rPr>
                <w:rFonts w:hint="eastAsia" w:ascii="宋体" w:hAnsi="宋体" w:eastAsia="宋体" w:cs="宋体"/>
                <w:color w:val="auto"/>
                <w:sz w:val="21"/>
                <w:szCs w:val="21"/>
              </w:rPr>
            </w:pPr>
            <w:r>
              <w:rPr>
                <w:rFonts w:hint="eastAsia" w:ascii="宋体" w:hAnsi="宋体" w:eastAsia="宋体" w:cs="宋体"/>
                <w:color w:val="auto"/>
                <w:sz w:val="21"/>
                <w:szCs w:val="21"/>
              </w:rPr>
              <w:t>招标人自选项</w:t>
            </w:r>
          </w:p>
          <w:p w14:paraId="3E6B1C7C">
            <w:pPr>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10分</w:t>
            </w:r>
            <w:r>
              <w:rPr>
                <w:rFonts w:hint="eastAsia" w:ascii="宋体" w:hAnsi="宋体" w:eastAsia="宋体" w:cs="宋体"/>
                <w:color w:val="auto"/>
                <w:sz w:val="21"/>
                <w:szCs w:val="21"/>
              </w:rPr>
              <w:t>）</w:t>
            </w:r>
          </w:p>
        </w:tc>
        <w:tc>
          <w:tcPr>
            <w:tcW w:w="3423" w:type="dxa"/>
            <w:vAlign w:val="center"/>
          </w:tcPr>
          <w:p w14:paraId="6E981097">
            <w:pPr>
              <w:pStyle w:val="22"/>
              <w:numPr>
                <w:ilvl w:val="0"/>
                <w:numId w:val="2"/>
              </w:numPr>
              <w:spacing w:before="124" w:line="274" w:lineRule="exact"/>
              <w:ind w:left="113"/>
              <w:jc w:val="both"/>
              <w:rPr>
                <w:rFonts w:hint="eastAsia" w:ascii="宋体" w:hAnsi="宋体" w:eastAsia="宋体" w:cs="宋体"/>
                <w:color w:val="auto"/>
                <w:position w:val="1"/>
                <w:sz w:val="21"/>
                <w:szCs w:val="21"/>
                <w:highlight w:val="none"/>
                <w:lang w:val="en-US" w:eastAsia="zh-CN"/>
              </w:rPr>
            </w:pPr>
            <w:r>
              <w:rPr>
                <w:rFonts w:hint="eastAsia" w:ascii="宋体" w:hAnsi="宋体" w:eastAsia="宋体" w:cs="宋体"/>
                <w:color w:val="auto"/>
                <w:position w:val="1"/>
                <w:sz w:val="21"/>
                <w:szCs w:val="21"/>
                <w:highlight w:val="none"/>
                <w:lang w:val="en-US" w:eastAsia="zh-CN"/>
              </w:rPr>
              <w:t>企业近5年来(2021年1月1日至今)获得政府部门颁发的奖项证书，每个得2.5分。</w:t>
            </w:r>
          </w:p>
          <w:p w14:paraId="2F3A3D62">
            <w:pPr>
              <w:pStyle w:val="22"/>
              <w:numPr>
                <w:ilvl w:val="0"/>
                <w:numId w:val="2"/>
              </w:numPr>
              <w:spacing w:before="124" w:line="274" w:lineRule="exact"/>
              <w:ind w:left="113"/>
              <w:jc w:val="both"/>
              <w:rPr>
                <w:rFonts w:hint="eastAsia" w:ascii="宋体" w:hAnsi="宋体" w:eastAsia="宋体" w:cs="宋体"/>
                <w:color w:val="auto"/>
                <w:position w:val="1"/>
                <w:sz w:val="21"/>
                <w:szCs w:val="21"/>
                <w:highlight w:val="none"/>
                <w:lang w:val="en-US" w:eastAsia="zh-CN"/>
              </w:rPr>
            </w:pPr>
            <w:r>
              <w:rPr>
                <w:rFonts w:hint="eastAsia" w:ascii="宋体" w:hAnsi="宋体" w:eastAsia="宋体" w:cs="宋体"/>
                <w:color w:val="auto"/>
                <w:position w:val="1"/>
                <w:sz w:val="21"/>
                <w:szCs w:val="21"/>
                <w:highlight w:val="none"/>
                <w:lang w:val="en-US" w:eastAsia="zh-CN"/>
              </w:rPr>
              <w:t>本项最高得5分。</w:t>
            </w:r>
          </w:p>
        </w:tc>
        <w:tc>
          <w:tcPr>
            <w:tcW w:w="4947" w:type="dxa"/>
            <w:vAlign w:val="center"/>
          </w:tcPr>
          <w:p w14:paraId="56021413">
            <w:pPr>
              <w:pStyle w:val="22"/>
              <w:numPr>
                <w:ilvl w:val="0"/>
                <w:numId w:val="3"/>
              </w:numPr>
              <w:spacing w:before="156" w:line="301" w:lineRule="auto"/>
              <w:ind w:right="111"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需附相关证书彩色扫描件，</w:t>
            </w:r>
            <w:r>
              <w:rPr>
                <w:rFonts w:hint="eastAsia" w:ascii="宋体" w:hAnsi="宋体" w:eastAsia="宋体" w:cs="宋体"/>
                <w:b/>
                <w:bCs/>
                <w:color w:val="auto"/>
                <w:sz w:val="21"/>
                <w:szCs w:val="21"/>
                <w:highlight w:val="none"/>
                <w:lang w:val="en-US" w:eastAsia="zh-CN"/>
              </w:rPr>
              <w:t>同时提供原件供核对</w:t>
            </w:r>
            <w:r>
              <w:rPr>
                <w:rFonts w:hint="eastAsia" w:ascii="宋体" w:hAnsi="宋体" w:eastAsia="宋体" w:cs="宋体"/>
                <w:color w:val="auto"/>
                <w:sz w:val="21"/>
                <w:szCs w:val="21"/>
                <w:highlight w:val="none"/>
                <w:lang w:val="en-US" w:eastAsia="zh-CN"/>
              </w:rPr>
              <w:t>。</w:t>
            </w:r>
          </w:p>
          <w:p w14:paraId="485DA1CF">
            <w:pPr>
              <w:pStyle w:val="22"/>
              <w:numPr>
                <w:ilvl w:val="0"/>
                <w:numId w:val="0"/>
              </w:numPr>
              <w:spacing w:before="156" w:line="301" w:lineRule="auto"/>
              <w:ind w:left="0" w:leftChars="0" w:right="111" w:rightChars="0" w:firstLine="0" w:firstLineChars="0"/>
              <w:jc w:val="both"/>
              <w:rPr>
                <w:rFonts w:hint="eastAsia" w:ascii="宋体" w:hAnsi="宋体" w:eastAsia="宋体" w:cs="宋体"/>
                <w:snapToGrid w:val="0"/>
                <w:color w:val="auto"/>
                <w:kern w:val="0"/>
                <w:sz w:val="21"/>
                <w:szCs w:val="21"/>
                <w:lang w:val="en-US" w:eastAsia="zh-CN" w:bidi="ar"/>
              </w:rPr>
            </w:pPr>
            <w:r>
              <w:rPr>
                <w:rFonts w:hint="eastAsia" w:ascii="宋体" w:hAnsi="宋体" w:eastAsia="宋体" w:cs="宋体"/>
                <w:snapToGrid w:val="0"/>
                <w:color w:val="auto"/>
                <w:kern w:val="0"/>
                <w:sz w:val="21"/>
                <w:szCs w:val="21"/>
                <w:lang w:val="en-US" w:eastAsia="zh-CN" w:bidi="ar"/>
              </w:rPr>
              <w:t>2．获奖时间以奖项证明的落款日期为准。</w:t>
            </w:r>
          </w:p>
          <w:p w14:paraId="79363D20">
            <w:pPr>
              <w:pStyle w:val="22"/>
              <w:numPr>
                <w:ilvl w:val="0"/>
                <w:numId w:val="0"/>
              </w:numPr>
              <w:spacing w:before="156" w:line="301" w:lineRule="auto"/>
              <w:ind w:left="0" w:leftChars="0" w:right="111" w:rightChars="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lang w:val="en-US" w:eastAsia="zh-CN" w:bidi="ar"/>
              </w:rPr>
              <w:t>3．未提供原件的；颁发机构、获奖时间不符合评分标准和备注规定的，不予计分。</w:t>
            </w:r>
          </w:p>
        </w:tc>
      </w:tr>
      <w:tr w14:paraId="519B7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9778" w:type="dxa"/>
            <w:gridSpan w:val="3"/>
            <w:shd w:val="clear" w:color="auto" w:fill="D9D9D9"/>
            <w:vAlign w:val="center"/>
          </w:tcPr>
          <w:p w14:paraId="3AF06157">
            <w:pPr>
              <w:pStyle w:val="22"/>
              <w:numPr>
                <w:ilvl w:val="0"/>
                <w:numId w:val="0"/>
              </w:numPr>
              <w:spacing w:before="156" w:line="301" w:lineRule="auto"/>
              <w:ind w:right="111"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caps w:val="0"/>
                <w:smallCaps w:val="0"/>
                <w:snapToGrid w:val="0"/>
                <w:color w:val="auto"/>
                <w:spacing w:val="0"/>
                <w:kern w:val="0"/>
                <w:sz w:val="21"/>
                <w:szCs w:val="21"/>
                <w:highlight w:val="none"/>
                <w:lang w:eastAsia="zh-CN"/>
              </w:rPr>
              <w:t>技术部分（施工组织设计），满分：</w:t>
            </w:r>
            <w:r>
              <w:rPr>
                <w:rFonts w:hint="eastAsia" w:ascii="宋体" w:hAnsi="宋体" w:eastAsia="宋体" w:cs="宋体"/>
                <w:b/>
                <w:bCs/>
                <w:caps w:val="0"/>
                <w:smallCaps w:val="0"/>
                <w:snapToGrid w:val="0"/>
                <w:color w:val="auto"/>
                <w:spacing w:val="0"/>
                <w:kern w:val="0"/>
                <w:sz w:val="21"/>
                <w:szCs w:val="21"/>
                <w:highlight w:val="none"/>
                <w:u w:val="single"/>
                <w:lang w:val="en-US" w:eastAsia="zh-CN"/>
              </w:rPr>
              <w:t xml:space="preserve">  20  </w:t>
            </w:r>
            <w:r>
              <w:rPr>
                <w:rFonts w:hint="eastAsia" w:ascii="宋体" w:hAnsi="宋体" w:eastAsia="宋体" w:cs="宋体"/>
                <w:b/>
                <w:bCs/>
                <w:caps w:val="0"/>
                <w:smallCaps w:val="0"/>
                <w:snapToGrid w:val="0"/>
                <w:color w:val="auto"/>
                <w:spacing w:val="0"/>
                <w:kern w:val="0"/>
                <w:sz w:val="21"/>
                <w:szCs w:val="21"/>
                <w:highlight w:val="none"/>
                <w:lang w:val="en-US" w:eastAsia="zh-CN"/>
              </w:rPr>
              <w:t>分。</w:t>
            </w:r>
          </w:p>
        </w:tc>
      </w:tr>
      <w:tr w14:paraId="0A61E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408" w:type="dxa"/>
            <w:shd w:val="clear" w:color="auto" w:fill="auto"/>
            <w:vAlign w:val="center"/>
          </w:tcPr>
          <w:p w14:paraId="4CD15FC1">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1"/>
                <w:szCs w:val="21"/>
                <w:highlight w:val="none"/>
                <w:lang w:val="en-US" w:eastAsia="zh-CN" w:bidi="ar-SA"/>
              </w:rPr>
            </w:pPr>
            <w:r>
              <w:rPr>
                <w:rFonts w:hint="eastAsia" w:ascii="宋体" w:hAnsi="宋体" w:eastAsia="宋体" w:cs="宋体"/>
                <w:b/>
                <w:bCs/>
                <w:caps w:val="0"/>
                <w:smallCaps w:val="0"/>
                <w:snapToGrid w:val="0"/>
                <w:color w:val="auto"/>
                <w:spacing w:val="0"/>
                <w:kern w:val="0"/>
                <w:sz w:val="21"/>
                <w:szCs w:val="21"/>
                <w:highlight w:val="none"/>
              </w:rPr>
              <w:t>评分因素</w:t>
            </w:r>
          </w:p>
        </w:tc>
        <w:tc>
          <w:tcPr>
            <w:tcW w:w="3423" w:type="dxa"/>
            <w:shd w:val="clear" w:color="auto" w:fill="auto"/>
            <w:vAlign w:val="center"/>
          </w:tcPr>
          <w:p w14:paraId="3BD55A1D">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1"/>
                <w:szCs w:val="21"/>
                <w:highlight w:val="none"/>
                <w:lang w:val="en-US" w:eastAsia="zh-CN" w:bidi="ar-SA"/>
              </w:rPr>
            </w:pPr>
            <w:r>
              <w:rPr>
                <w:rFonts w:hint="eastAsia" w:ascii="宋体" w:hAnsi="宋体" w:eastAsia="宋体" w:cs="宋体"/>
                <w:b/>
                <w:bCs/>
                <w:caps w:val="0"/>
                <w:smallCaps w:val="0"/>
                <w:snapToGrid w:val="0"/>
                <w:color w:val="auto"/>
                <w:spacing w:val="0"/>
                <w:kern w:val="0"/>
                <w:sz w:val="21"/>
                <w:szCs w:val="21"/>
                <w:highlight w:val="none"/>
              </w:rPr>
              <w:t>评分标准</w:t>
            </w:r>
          </w:p>
        </w:tc>
        <w:tc>
          <w:tcPr>
            <w:tcW w:w="0" w:type="auto"/>
            <w:shd w:val="clear" w:color="auto" w:fill="auto"/>
            <w:vAlign w:val="center"/>
          </w:tcPr>
          <w:p w14:paraId="6988FB5C">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40" w:lineRule="exact"/>
              <w:ind w:left="0" w:leftChars="0" w:right="0" w:rightChars="0" w:firstLine="0" w:firstLineChars="0"/>
              <w:jc w:val="center"/>
              <w:textAlignment w:val="auto"/>
              <w:outlineLvl w:val="9"/>
              <w:rPr>
                <w:rFonts w:hint="eastAsia" w:ascii="宋体" w:hAnsi="宋体" w:eastAsia="宋体" w:cs="宋体"/>
                <w:b/>
                <w:bCs/>
                <w:caps w:val="0"/>
                <w:smallCaps w:val="0"/>
                <w:snapToGrid w:val="0"/>
                <w:color w:val="auto"/>
                <w:spacing w:val="0"/>
                <w:kern w:val="0"/>
                <w:sz w:val="21"/>
                <w:szCs w:val="21"/>
                <w:highlight w:val="none"/>
                <w:lang w:val="en-US" w:eastAsia="zh-CN" w:bidi="ar-SA"/>
              </w:rPr>
            </w:pPr>
            <w:r>
              <w:rPr>
                <w:rFonts w:hint="eastAsia" w:ascii="宋体" w:hAnsi="宋体" w:eastAsia="宋体" w:cs="宋体"/>
                <w:b/>
                <w:bCs/>
                <w:caps w:val="0"/>
                <w:smallCaps w:val="0"/>
                <w:snapToGrid w:val="0"/>
                <w:color w:val="auto"/>
                <w:spacing w:val="0"/>
                <w:kern w:val="0"/>
                <w:sz w:val="21"/>
                <w:szCs w:val="21"/>
                <w:highlight w:val="none"/>
                <w:lang w:eastAsia="zh-CN"/>
              </w:rPr>
              <w:t>备注</w:t>
            </w:r>
          </w:p>
        </w:tc>
      </w:tr>
      <w:tr w14:paraId="33FE3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shd w:val="clear" w:color="auto" w:fill="auto"/>
            <w:vAlign w:val="center"/>
          </w:tcPr>
          <w:p w14:paraId="37CEDB6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 xml:space="preserve"> 总体概述</w:t>
            </w:r>
          </w:p>
          <w:p w14:paraId="7130E5C3">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w:t>
            </w:r>
            <w:r>
              <w:rPr>
                <w:rFonts w:hint="eastAsia" w:ascii="宋体" w:hAnsi="宋体" w:eastAsia="宋体" w:cs="宋体"/>
                <w:caps w:val="0"/>
                <w:smallCaps w:val="0"/>
                <w:snapToGrid w:val="0"/>
                <w:color w:val="auto"/>
                <w:spacing w:val="0"/>
                <w:kern w:val="0"/>
                <w:sz w:val="21"/>
                <w:szCs w:val="21"/>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1"/>
                <w:szCs w:val="21"/>
                <w:highlight w:val="none"/>
                <w:lang w:val="en-US" w:eastAsia="zh-CN" w:bidi="ar-SA"/>
              </w:rPr>
              <w:t>分）</w:t>
            </w:r>
          </w:p>
        </w:tc>
        <w:tc>
          <w:tcPr>
            <w:tcW w:w="3423" w:type="dxa"/>
            <w:shd w:val="clear" w:color="auto" w:fill="auto"/>
            <w:vAlign w:val="center"/>
          </w:tcPr>
          <w:p w14:paraId="7FB8B39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【优】得该项评分因素分值的90%～100%（含90%）。</w:t>
            </w:r>
          </w:p>
          <w:p w14:paraId="3EE620B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【良】得该项评分因素分值的80%～90%（含80%）。</w:t>
            </w:r>
          </w:p>
          <w:p w14:paraId="7FFCB7C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【中】得该项评分因素分值的70%～80%（含70%）。</w:t>
            </w:r>
          </w:p>
          <w:p w14:paraId="13EB39C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【差】得该项评分因素分值的60%～70%（含60%）。</w:t>
            </w:r>
          </w:p>
        </w:tc>
        <w:tc>
          <w:tcPr>
            <w:tcW w:w="0" w:type="auto"/>
            <w:shd w:val="clear" w:color="auto" w:fill="auto"/>
            <w:vAlign w:val="center"/>
          </w:tcPr>
          <w:p w14:paraId="6D848F1E">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【优】对项目总体有深刻认识，表述清晰、完整、严谨、合理，措施先进、具体、有效、成熟，采用了新技术、新工艺、新材料、新设备；施工段划分呼应总体表述，划分清晰、合理，符合规范要求。</w:t>
            </w:r>
          </w:p>
          <w:p w14:paraId="4FABC20A">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【良】对项目总体有一定认识，表述清晰、完整，措施具体有效；施工段划分呼应总体表述，划分清晰，符合规范要求。</w:t>
            </w:r>
          </w:p>
          <w:p w14:paraId="784894E3">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【中】对项目总体有认识，有一定的措施但部分不具体；施工段划分较合理，符合规范要求。</w:t>
            </w:r>
          </w:p>
          <w:p w14:paraId="2F899E82">
            <w:pPr>
              <w:keepNext w:val="0"/>
              <w:keepLines w:val="0"/>
              <w:pageBreakBefore w:val="0"/>
              <w:widowControl w:val="0"/>
              <w:kinsoku/>
              <w:wordWrap w:val="0"/>
              <w:overflowPunct/>
              <w:topLinePunct w:val="0"/>
              <w:autoSpaceDE/>
              <w:autoSpaceDN/>
              <w:bidi w:val="0"/>
              <w:adjustRightInd w:val="0"/>
              <w:snapToGrid w:val="0"/>
              <w:spacing w:before="0" w:afterAutospacing="0" w:line="340" w:lineRule="exact"/>
              <w:ind w:left="0" w:leftChars="0" w:right="0" w:rightChars="0" w:firstLine="0" w:firstLineChars="0"/>
              <w:jc w:val="left"/>
              <w:textAlignment w:val="auto"/>
              <w:outlineLvl w:val="9"/>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【差】对项目认识不足，表述不清晰，措施不具体；施工段划分不合理。</w:t>
            </w:r>
          </w:p>
        </w:tc>
      </w:tr>
      <w:tr w14:paraId="21E7D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shd w:val="clear" w:color="auto" w:fill="auto"/>
            <w:vAlign w:val="center"/>
          </w:tcPr>
          <w:p w14:paraId="07CDA72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施工总进</w:t>
            </w:r>
          </w:p>
          <w:p w14:paraId="743E005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度计划及</w:t>
            </w:r>
          </w:p>
          <w:p w14:paraId="42CF4438">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保证措施</w:t>
            </w:r>
          </w:p>
          <w:p w14:paraId="1BE8AFF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w:t>
            </w:r>
            <w:r>
              <w:rPr>
                <w:rFonts w:hint="eastAsia" w:ascii="宋体" w:hAnsi="宋体" w:eastAsia="宋体" w:cs="宋体"/>
                <w:caps w:val="0"/>
                <w:smallCaps w:val="0"/>
                <w:snapToGrid w:val="0"/>
                <w:color w:val="auto"/>
                <w:spacing w:val="0"/>
                <w:kern w:val="0"/>
                <w:sz w:val="21"/>
                <w:szCs w:val="21"/>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1"/>
                <w:szCs w:val="21"/>
                <w:highlight w:val="none"/>
                <w:lang w:val="en-US" w:eastAsia="zh-CN" w:bidi="ar-SA"/>
              </w:rPr>
              <w:t>分）</w:t>
            </w:r>
          </w:p>
        </w:tc>
        <w:tc>
          <w:tcPr>
            <w:tcW w:w="3423" w:type="dxa"/>
            <w:shd w:val="clear" w:color="auto" w:fill="auto"/>
            <w:vAlign w:val="center"/>
          </w:tcPr>
          <w:p w14:paraId="3506466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【优】得该项评分因素分值的90%～100%（含90%）。</w:t>
            </w:r>
          </w:p>
          <w:p w14:paraId="2901E56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【良】得该项评分因素分值的80%～90%（含80%）。</w:t>
            </w:r>
          </w:p>
          <w:p w14:paraId="00B7C51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【中】得该项评分因素分值的70%～80%（含70%）。</w:t>
            </w:r>
          </w:p>
          <w:p w14:paraId="6D0290F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【差】得该项评分因素分值的60%～70%（含60%）。</w:t>
            </w:r>
          </w:p>
        </w:tc>
        <w:tc>
          <w:tcPr>
            <w:tcW w:w="0" w:type="auto"/>
            <w:shd w:val="clear" w:color="auto" w:fill="auto"/>
            <w:vAlign w:val="center"/>
          </w:tcPr>
          <w:p w14:paraId="5C6D181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宋体" w:hAnsi="宋体" w:eastAsia="宋体" w:cs="宋体"/>
                <w:b/>
                <w:bCs/>
                <w:caps w:val="0"/>
                <w:smallCaps w:val="0"/>
                <w:strike w:val="0"/>
                <w:dstrike w:val="0"/>
                <w:snapToGrid w:val="0"/>
                <w:color w:val="auto"/>
                <w:spacing w:val="0"/>
                <w:kern w:val="0"/>
                <w:sz w:val="21"/>
                <w:szCs w:val="21"/>
                <w:highlight w:val="none"/>
                <w:lang w:val="en-US" w:eastAsia="zh-CN" w:bidi="ar-SA"/>
              </w:rPr>
              <w:t>经济赔偿合理。</w:t>
            </w:r>
          </w:p>
          <w:p w14:paraId="3C04AEE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宋体" w:hAnsi="宋体" w:eastAsia="宋体" w:cs="宋体"/>
                <w:b/>
                <w:bCs/>
                <w:caps w:val="0"/>
                <w:smallCaps w:val="0"/>
                <w:strike w:val="0"/>
                <w:dstrike w:val="0"/>
                <w:snapToGrid w:val="0"/>
                <w:color w:val="auto"/>
                <w:spacing w:val="0"/>
                <w:kern w:val="0"/>
                <w:sz w:val="21"/>
                <w:szCs w:val="21"/>
                <w:highlight w:val="none"/>
                <w:lang w:val="en-US" w:eastAsia="zh-CN" w:bidi="ar-SA"/>
              </w:rPr>
              <w:t>经济赔偿较合理。</w:t>
            </w:r>
          </w:p>
          <w:p w14:paraId="0764215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【中】关键线路基本准确，计划编制基本合理。关键节点的控制措施基本可行。人、材、机需求和进场计划与进度计划相呼应，基本满足施工需要，调配投入计划基本合理。进度违约责任承诺具体。</w:t>
            </w:r>
          </w:p>
          <w:p w14:paraId="2901450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【差】关键线路不准确，计划编制不合理。关键节点的控制不可行。人、材、机需求和进场计划与进度计划不相呼应，不能满足施工需要。没有违约责任承诺。</w:t>
            </w:r>
          </w:p>
        </w:tc>
      </w:tr>
      <w:tr w14:paraId="1DE92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shd w:val="clear" w:color="auto" w:fill="auto"/>
            <w:vAlign w:val="center"/>
          </w:tcPr>
          <w:p w14:paraId="103C154B">
            <w:pPr>
              <w:pStyle w:val="28"/>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w:t>
            </w:r>
          </w:p>
          <w:p w14:paraId="527AC8B3">
            <w:pPr>
              <w:pStyle w:val="28"/>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保证措施</w:t>
            </w:r>
          </w:p>
          <w:p w14:paraId="5BCC6B74">
            <w:pPr>
              <w:pStyle w:val="28"/>
              <w:wordWrap w:val="0"/>
              <w:adjustRightInd w:val="0"/>
              <w:snapToGrid w:val="0"/>
              <w:spacing w:line="400" w:lineRule="exact"/>
              <w:jc w:val="center"/>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（4</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分）</w:t>
            </w:r>
          </w:p>
        </w:tc>
        <w:tc>
          <w:tcPr>
            <w:tcW w:w="3423" w:type="dxa"/>
            <w:shd w:val="clear" w:color="auto" w:fill="auto"/>
            <w:vAlign w:val="center"/>
          </w:tcPr>
          <w:p w14:paraId="54227E3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【优】得该项评分因素分值的90%～100%（含90%）。</w:t>
            </w:r>
          </w:p>
          <w:p w14:paraId="497E66B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【良】得该项评分因素分值的80%～90%（含80%）。</w:t>
            </w:r>
          </w:p>
          <w:p w14:paraId="7E73F83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【中】得该项评分因素分值的70%～80%（含70%）。</w:t>
            </w:r>
          </w:p>
          <w:p w14:paraId="2AFB635D">
            <w:pPr>
              <w:pStyle w:val="29"/>
              <w:wordWrap w:val="0"/>
              <w:adjustRightInd w:val="0"/>
              <w:snapToGrid w:val="0"/>
              <w:spacing w:line="400" w:lineRule="exact"/>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【差】得该项评分因素分值的60%～70%（含60%）。</w:t>
            </w:r>
          </w:p>
        </w:tc>
        <w:tc>
          <w:tcPr>
            <w:tcW w:w="0" w:type="auto"/>
            <w:shd w:val="clear" w:color="auto" w:fill="auto"/>
            <w:vAlign w:val="center"/>
          </w:tcPr>
          <w:p w14:paraId="2E07B571">
            <w:pPr>
              <w:pStyle w:val="6"/>
              <w:wordWrap w:val="0"/>
              <w:adjustRightInd w:val="0"/>
              <w:snapToGrid w:val="0"/>
              <w:spacing w:after="0"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【优】应用新技术、新工艺、新材料、新设备，针对项目实际提出先进、可行、具体的保证措施。超过招标文件的质量要求。</w:t>
            </w:r>
          </w:p>
          <w:p w14:paraId="16C46A1B">
            <w:pPr>
              <w:pStyle w:val="6"/>
              <w:wordWrap w:val="0"/>
              <w:adjustRightInd w:val="0"/>
              <w:snapToGrid w:val="0"/>
              <w:spacing w:after="0"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【良】针对项目实际提出先进、可行、具体的保证措施。满足招标文件的质量要求。</w:t>
            </w:r>
          </w:p>
          <w:p w14:paraId="73481EDC">
            <w:pPr>
              <w:pStyle w:val="6"/>
              <w:wordWrap w:val="0"/>
              <w:adjustRightInd w:val="0"/>
              <w:snapToGrid w:val="0"/>
              <w:spacing w:after="0"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【中】具体措施可行。满足招标文件的质量要求。</w:t>
            </w:r>
          </w:p>
          <w:p w14:paraId="507A2954">
            <w:pPr>
              <w:pStyle w:val="29"/>
              <w:wordWrap w:val="0"/>
              <w:adjustRightInd w:val="0"/>
              <w:snapToGrid w:val="0"/>
              <w:spacing w:line="400" w:lineRule="exact"/>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【差】措施不可行，没有质量违约责任承诺。</w:t>
            </w:r>
          </w:p>
        </w:tc>
      </w:tr>
      <w:tr w14:paraId="7D104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shd w:val="clear" w:color="auto" w:fill="auto"/>
            <w:vAlign w:val="center"/>
          </w:tcPr>
          <w:p w14:paraId="0296981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施工</w:t>
            </w:r>
          </w:p>
          <w:p w14:paraId="3165708D">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技术措施</w:t>
            </w:r>
          </w:p>
          <w:p w14:paraId="76636F8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w:t>
            </w:r>
            <w:r>
              <w:rPr>
                <w:rFonts w:hint="eastAsia" w:ascii="宋体" w:hAnsi="宋体" w:eastAsia="宋体" w:cs="宋体"/>
                <w:caps w:val="0"/>
                <w:smallCaps w:val="0"/>
                <w:snapToGrid w:val="0"/>
                <w:color w:val="auto"/>
                <w:spacing w:val="0"/>
                <w:kern w:val="0"/>
                <w:sz w:val="21"/>
                <w:szCs w:val="21"/>
                <w:highlight w:val="none"/>
                <w:u w:val="single"/>
                <w:lang w:val="en-US" w:eastAsia="zh-CN" w:bidi="ar-SA"/>
              </w:rPr>
              <w:t xml:space="preserve"> 2 </w:t>
            </w:r>
            <w:r>
              <w:rPr>
                <w:rFonts w:hint="eastAsia" w:ascii="宋体" w:hAnsi="宋体" w:eastAsia="宋体" w:cs="宋体"/>
                <w:caps w:val="0"/>
                <w:smallCaps w:val="0"/>
                <w:snapToGrid w:val="0"/>
                <w:color w:val="auto"/>
                <w:spacing w:val="0"/>
                <w:kern w:val="0"/>
                <w:sz w:val="21"/>
                <w:szCs w:val="21"/>
                <w:highlight w:val="none"/>
                <w:lang w:val="en-US" w:eastAsia="zh-CN" w:bidi="ar-SA"/>
              </w:rPr>
              <w:t>分）</w:t>
            </w:r>
          </w:p>
        </w:tc>
        <w:tc>
          <w:tcPr>
            <w:tcW w:w="3423" w:type="dxa"/>
            <w:shd w:val="clear" w:color="auto" w:fill="auto"/>
            <w:vAlign w:val="center"/>
          </w:tcPr>
          <w:p w14:paraId="7539EDA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【优】得该项评分因素分值的90%～100%（含90%）。</w:t>
            </w:r>
          </w:p>
          <w:p w14:paraId="2C3CB73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【良】得该项评分因素分值的80%～90%（含80%）。</w:t>
            </w:r>
          </w:p>
          <w:p w14:paraId="61F91A43">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【中】得该项评分因素分值的70%～80%（含70%）。</w:t>
            </w:r>
          </w:p>
          <w:p w14:paraId="4312B1B8">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【差】得该项评分因素分值的60%～70%（含60%）。</w:t>
            </w:r>
          </w:p>
        </w:tc>
        <w:tc>
          <w:tcPr>
            <w:tcW w:w="0" w:type="auto"/>
            <w:shd w:val="clear" w:color="auto" w:fill="auto"/>
            <w:vAlign w:val="center"/>
          </w:tcPr>
          <w:p w14:paraId="098E518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宋体" w:hAnsi="宋体" w:eastAsia="宋体" w:cs="宋体"/>
                <w:b/>
                <w:bCs/>
                <w:caps w:val="0"/>
                <w:smallCaps w:val="0"/>
                <w:strike w:val="0"/>
                <w:dstrike w:val="0"/>
                <w:snapToGrid w:val="0"/>
                <w:color w:val="auto"/>
                <w:spacing w:val="0"/>
                <w:kern w:val="0"/>
                <w:sz w:val="21"/>
                <w:szCs w:val="21"/>
                <w:highlight w:val="none"/>
                <w:lang w:val="en-US" w:eastAsia="zh-CN" w:bidi="ar-SA"/>
              </w:rPr>
              <w:t>经济赔偿合理。</w:t>
            </w:r>
          </w:p>
          <w:p w14:paraId="4EF33BD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b/>
                <w:bCs/>
                <w:caps w:val="0"/>
                <w:smallCaps w:val="0"/>
                <w:strike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宋体" w:hAnsi="宋体" w:eastAsia="宋体" w:cs="宋体"/>
                <w:b/>
                <w:bCs/>
                <w:caps w:val="0"/>
                <w:smallCaps w:val="0"/>
                <w:strike w:val="0"/>
                <w:dstrike w:val="0"/>
                <w:snapToGrid w:val="0"/>
                <w:color w:val="auto"/>
                <w:spacing w:val="0"/>
                <w:kern w:val="0"/>
                <w:sz w:val="21"/>
                <w:szCs w:val="21"/>
                <w:highlight w:val="none"/>
                <w:lang w:val="en-US" w:eastAsia="zh-CN" w:bidi="ar-SA"/>
              </w:rPr>
              <w:t>经济赔偿较合理。</w:t>
            </w:r>
          </w:p>
          <w:p w14:paraId="5D27725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75D028B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【差】对项目关键技术有表述，对重点、难点有建议，解决方案不可行。采用的新技术针对性不强或验证材料不可靠，对节约投资、工期没有具体收益。无违约责任承诺。</w:t>
            </w:r>
          </w:p>
        </w:tc>
      </w:tr>
      <w:tr w14:paraId="6BF27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shd w:val="clear" w:color="auto" w:fill="auto"/>
            <w:vAlign w:val="center"/>
          </w:tcPr>
          <w:p w14:paraId="229BD2D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绿色施工、</w:t>
            </w:r>
          </w:p>
          <w:p w14:paraId="0D2D546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安全防护、</w:t>
            </w:r>
          </w:p>
          <w:p w14:paraId="3C04D1BA">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文明施工</w:t>
            </w:r>
          </w:p>
          <w:p w14:paraId="4AD40287">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措施计划</w:t>
            </w:r>
          </w:p>
          <w:p w14:paraId="4ED5DE4F">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w:t>
            </w:r>
            <w:r>
              <w:rPr>
                <w:rFonts w:hint="eastAsia" w:ascii="宋体" w:hAnsi="宋体" w:eastAsia="宋体" w:cs="宋体"/>
                <w:caps w:val="0"/>
                <w:smallCaps w:val="0"/>
                <w:snapToGrid w:val="0"/>
                <w:color w:val="auto"/>
                <w:spacing w:val="0"/>
                <w:kern w:val="0"/>
                <w:sz w:val="21"/>
                <w:szCs w:val="21"/>
                <w:highlight w:val="none"/>
                <w:u w:val="single"/>
                <w:lang w:val="en-US" w:eastAsia="zh-CN" w:bidi="ar-SA"/>
              </w:rPr>
              <w:t xml:space="preserve"> 3 </w:t>
            </w:r>
            <w:r>
              <w:rPr>
                <w:rFonts w:hint="eastAsia" w:ascii="宋体" w:hAnsi="宋体" w:eastAsia="宋体" w:cs="宋体"/>
                <w:caps w:val="0"/>
                <w:smallCaps w:val="0"/>
                <w:snapToGrid w:val="0"/>
                <w:color w:val="auto"/>
                <w:spacing w:val="0"/>
                <w:kern w:val="0"/>
                <w:sz w:val="21"/>
                <w:szCs w:val="21"/>
                <w:highlight w:val="none"/>
                <w:lang w:val="en-US" w:eastAsia="zh-CN" w:bidi="ar-SA"/>
              </w:rPr>
              <w:t>分）</w:t>
            </w:r>
          </w:p>
        </w:tc>
        <w:tc>
          <w:tcPr>
            <w:tcW w:w="3423" w:type="dxa"/>
            <w:shd w:val="clear" w:color="auto" w:fill="auto"/>
            <w:vAlign w:val="center"/>
          </w:tcPr>
          <w:p w14:paraId="34D1765B">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【优】得该项评分因素分值的90%～100%（含90%）。</w:t>
            </w:r>
          </w:p>
          <w:p w14:paraId="42781D6E">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【良】得该项评分因素分值的80%～90%（含80%）。</w:t>
            </w:r>
          </w:p>
          <w:p w14:paraId="614A079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【中】得该项评分因素分值的70%～80%（含70%）。</w:t>
            </w:r>
          </w:p>
          <w:p w14:paraId="7C79C54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【差】得该项评分因素分值的60%～70%（含60%）。</w:t>
            </w:r>
          </w:p>
        </w:tc>
        <w:tc>
          <w:tcPr>
            <w:tcW w:w="0" w:type="auto"/>
            <w:shd w:val="clear" w:color="auto" w:fill="auto"/>
            <w:vAlign w:val="center"/>
          </w:tcPr>
          <w:p w14:paraId="2CDAF04C">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【优】针对项目实际情况，有先进、具体、完整、可行的措施，采用规范准确、清晰。</w:t>
            </w:r>
          </w:p>
          <w:p w14:paraId="7D9CD958">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【良】针对项目实际情况，有合理的措施且具体、完整，采用规范准确。</w:t>
            </w:r>
          </w:p>
          <w:p w14:paraId="3F6501C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【中】有基本合理的措施，采用规范准确。</w:t>
            </w:r>
          </w:p>
          <w:p w14:paraId="0741FBE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【差】措施不力，采用规范不正确。</w:t>
            </w:r>
          </w:p>
        </w:tc>
      </w:tr>
      <w:tr w14:paraId="32AE2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shd w:val="clear" w:color="auto" w:fill="auto"/>
            <w:vAlign w:val="center"/>
          </w:tcPr>
          <w:p w14:paraId="608342B8">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施工平面</w:t>
            </w:r>
          </w:p>
          <w:p w14:paraId="7C4ECEB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布置和临时设施布置</w:t>
            </w:r>
          </w:p>
          <w:p w14:paraId="2E71AD88">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w:t>
            </w:r>
            <w:r>
              <w:rPr>
                <w:rFonts w:hint="eastAsia" w:ascii="宋体" w:hAnsi="宋体" w:eastAsia="宋体" w:cs="宋体"/>
                <w:caps w:val="0"/>
                <w:smallCaps w:val="0"/>
                <w:snapToGrid w:val="0"/>
                <w:color w:val="auto"/>
                <w:spacing w:val="0"/>
                <w:kern w:val="0"/>
                <w:sz w:val="21"/>
                <w:szCs w:val="21"/>
                <w:highlight w:val="none"/>
                <w:u w:val="single"/>
                <w:lang w:val="en-US" w:eastAsia="zh-CN" w:bidi="ar-SA"/>
              </w:rPr>
              <w:t xml:space="preserve"> 2 </w:t>
            </w:r>
            <w:r>
              <w:rPr>
                <w:rFonts w:hint="eastAsia" w:ascii="宋体" w:hAnsi="宋体" w:eastAsia="宋体" w:cs="宋体"/>
                <w:caps w:val="0"/>
                <w:smallCaps w:val="0"/>
                <w:snapToGrid w:val="0"/>
                <w:color w:val="auto"/>
                <w:spacing w:val="0"/>
                <w:kern w:val="0"/>
                <w:sz w:val="21"/>
                <w:szCs w:val="21"/>
                <w:highlight w:val="none"/>
                <w:lang w:val="en-US" w:eastAsia="zh-CN" w:bidi="ar-SA"/>
              </w:rPr>
              <w:t>分）</w:t>
            </w:r>
          </w:p>
        </w:tc>
        <w:tc>
          <w:tcPr>
            <w:tcW w:w="3423" w:type="dxa"/>
            <w:shd w:val="clear" w:color="auto" w:fill="auto"/>
            <w:vAlign w:val="center"/>
          </w:tcPr>
          <w:p w14:paraId="0631AA5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【优】得该项评分因素分值的90%～100%（含90%）。</w:t>
            </w:r>
          </w:p>
          <w:p w14:paraId="00F4277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【良】得该项评分因素分值的80%～90%（含80%）。</w:t>
            </w:r>
          </w:p>
          <w:p w14:paraId="76707F7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【中】得该项评分因素分值的70%～80%（含70%）。</w:t>
            </w:r>
          </w:p>
          <w:p w14:paraId="63F0A855">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【差】得该项评分因素分值的60%～70%（含60%）。</w:t>
            </w:r>
          </w:p>
        </w:tc>
        <w:tc>
          <w:tcPr>
            <w:tcW w:w="0" w:type="auto"/>
            <w:shd w:val="clear" w:color="auto" w:fill="auto"/>
            <w:vAlign w:val="center"/>
          </w:tcPr>
          <w:p w14:paraId="10B14230">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【优】总体布置有针对性、合理，较好满足施工需要，符合绿色施工、安全防护、文明施工要求。</w:t>
            </w:r>
          </w:p>
          <w:p w14:paraId="614CD896">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【良】总体布置合理，能满足施工需要，基本符合绿色施工、安全防护、文明施工要求。</w:t>
            </w:r>
          </w:p>
          <w:p w14:paraId="3FACE8A4">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【中】总体布置基本合理，基本满足施工需要。</w:t>
            </w:r>
          </w:p>
          <w:p w14:paraId="0BD0BA01">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【差】总体布置不合理，不符合绿色施工、安全防护、文明施工要求。</w:t>
            </w:r>
          </w:p>
        </w:tc>
      </w:tr>
      <w:tr w14:paraId="4FE70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shd w:val="clear" w:color="auto" w:fill="auto"/>
            <w:vAlign w:val="center"/>
          </w:tcPr>
          <w:p w14:paraId="702F3D8C">
            <w:pPr>
              <w:pStyle w:val="28"/>
              <w:wordWrap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w:t>
            </w:r>
          </w:p>
          <w:p w14:paraId="0535C466">
            <w:pPr>
              <w:pStyle w:val="28"/>
              <w:wordWrap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管理机构</w:t>
            </w:r>
          </w:p>
          <w:p w14:paraId="2E0096AA">
            <w:pPr>
              <w:pStyle w:val="28"/>
              <w:wordWrap w:val="0"/>
              <w:spacing w:line="400" w:lineRule="exact"/>
              <w:jc w:val="center"/>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u w:val="single"/>
              </w:rPr>
              <w:t xml:space="preserve"> 3 </w:t>
            </w:r>
            <w:r>
              <w:rPr>
                <w:rFonts w:hint="eastAsia" w:ascii="宋体" w:hAnsi="宋体" w:eastAsia="宋体" w:cs="宋体"/>
                <w:snapToGrid w:val="0"/>
                <w:color w:val="auto"/>
                <w:kern w:val="0"/>
                <w:sz w:val="21"/>
                <w:szCs w:val="21"/>
                <w:highlight w:val="none"/>
              </w:rPr>
              <w:t>分）</w:t>
            </w:r>
          </w:p>
        </w:tc>
        <w:tc>
          <w:tcPr>
            <w:tcW w:w="3423" w:type="dxa"/>
            <w:shd w:val="clear" w:color="auto" w:fill="auto"/>
            <w:vAlign w:val="center"/>
          </w:tcPr>
          <w:p w14:paraId="7CCD25E8">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【优】得该项评分因素分值的90%～100%（含90%）。</w:t>
            </w:r>
          </w:p>
          <w:p w14:paraId="3038E239">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【良】得该项评分因素分值的80%～90%（含80%）。</w:t>
            </w:r>
          </w:p>
          <w:p w14:paraId="67052AE2">
            <w:pPr>
              <w:keepNext w:val="0"/>
              <w:keepLines w:val="0"/>
              <w:pageBreakBefore w:val="0"/>
              <w:widowControl w:val="0"/>
              <w:kinsoku/>
              <w:wordWrap w:val="0"/>
              <w:overflowPunct/>
              <w:topLinePunct w:val="0"/>
              <w:autoSpaceDE/>
              <w:autoSpaceDN/>
              <w:bidi w:val="0"/>
              <w:adjustRightInd w:val="0"/>
              <w:snapToGrid w:val="0"/>
              <w:spacing w:before="0" w:line="34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【中】得该项评分因素分值的70%～80%（含70%）。</w:t>
            </w:r>
          </w:p>
          <w:p w14:paraId="65636359">
            <w:pPr>
              <w:pStyle w:val="29"/>
              <w:wordWrap w:val="0"/>
              <w:spacing w:line="400" w:lineRule="exact"/>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caps w:val="0"/>
                <w:smallCaps w:val="0"/>
                <w:snapToGrid w:val="0"/>
                <w:color w:val="auto"/>
                <w:spacing w:val="0"/>
                <w:kern w:val="0"/>
                <w:sz w:val="21"/>
                <w:szCs w:val="21"/>
                <w:highlight w:val="none"/>
                <w:lang w:val="en-US" w:eastAsia="zh-CN" w:bidi="ar-SA"/>
              </w:rPr>
              <w:t>【差】得该项评分因素分值的60%～70%（含60%）。</w:t>
            </w:r>
          </w:p>
        </w:tc>
        <w:tc>
          <w:tcPr>
            <w:tcW w:w="0" w:type="auto"/>
            <w:shd w:val="clear" w:color="auto" w:fill="auto"/>
            <w:vAlign w:val="center"/>
          </w:tcPr>
          <w:p w14:paraId="0D73F45E">
            <w:pPr>
              <w:pStyle w:val="29"/>
              <w:wordWrap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【优】组织机构形式合理，有完善的指挥系统，生产及质量、绿色施工、安全、文明施工、创优达标监控系统、联络协调系统，项目管理人员内高级职称人员20%（含20%）以上、中级职称人员</w:t>
            </w:r>
            <w:r>
              <w:rPr>
                <w:rFonts w:hint="eastAsia" w:ascii="宋体" w:hAnsi="宋体" w:eastAsia="宋体" w:cs="宋体"/>
                <w:b/>
                <w:bCs/>
                <w:snapToGrid w:val="0"/>
                <w:color w:val="auto"/>
                <w:kern w:val="0"/>
                <w:sz w:val="21"/>
                <w:szCs w:val="21"/>
                <w:highlight w:val="none"/>
              </w:rPr>
              <w:t>及以上职称</w:t>
            </w:r>
            <w:r>
              <w:rPr>
                <w:rFonts w:hint="eastAsia" w:ascii="宋体" w:hAnsi="宋体" w:eastAsia="宋体" w:cs="宋体"/>
                <w:snapToGrid w:val="0"/>
                <w:color w:val="auto"/>
                <w:kern w:val="0"/>
                <w:sz w:val="21"/>
                <w:szCs w:val="21"/>
                <w:highlight w:val="none"/>
              </w:rPr>
              <w:t>60%（含60%）以上。</w:t>
            </w:r>
          </w:p>
          <w:p w14:paraId="277FC626">
            <w:pPr>
              <w:pStyle w:val="29"/>
              <w:wordWrap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【良】组织机构形式合理，指挥系统，生产及质量、绿色施工、安全、文明施工、创优达标监控系统、联络协调系统齐全，项目管理人员内高级职称人员15%～20%（含15%）、中级职称</w:t>
            </w:r>
            <w:r>
              <w:rPr>
                <w:rFonts w:hint="eastAsia" w:ascii="宋体" w:hAnsi="宋体" w:eastAsia="宋体" w:cs="宋体"/>
                <w:b/>
                <w:bCs/>
                <w:snapToGrid w:val="0"/>
                <w:color w:val="auto"/>
                <w:kern w:val="0"/>
                <w:sz w:val="21"/>
                <w:szCs w:val="21"/>
                <w:highlight w:val="none"/>
              </w:rPr>
              <w:t>及以上职称</w:t>
            </w:r>
            <w:r>
              <w:rPr>
                <w:rFonts w:hint="eastAsia" w:ascii="宋体" w:hAnsi="宋体" w:eastAsia="宋体" w:cs="宋体"/>
                <w:snapToGrid w:val="0"/>
                <w:color w:val="auto"/>
                <w:kern w:val="0"/>
                <w:sz w:val="21"/>
                <w:szCs w:val="21"/>
                <w:highlight w:val="none"/>
              </w:rPr>
              <w:t>人员50%～60%（含50%）。</w:t>
            </w:r>
          </w:p>
          <w:p w14:paraId="239220A7">
            <w:pPr>
              <w:pStyle w:val="29"/>
              <w:wordWrap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【中】组织机构形式基本合理，有指挥系统，生产及质量、绿色施工、安全、文明施工、创优达标监控系统、联络协调系统，项目管理人员内高级职称人员10%～15%（含10%）、中级职称人员</w:t>
            </w:r>
            <w:r>
              <w:rPr>
                <w:rFonts w:hint="eastAsia" w:ascii="宋体" w:hAnsi="宋体" w:eastAsia="宋体" w:cs="宋体"/>
                <w:b/>
                <w:bCs/>
                <w:snapToGrid w:val="0"/>
                <w:color w:val="auto"/>
                <w:kern w:val="0"/>
                <w:sz w:val="21"/>
                <w:szCs w:val="21"/>
                <w:highlight w:val="none"/>
              </w:rPr>
              <w:t>及以上职称</w:t>
            </w:r>
            <w:r>
              <w:rPr>
                <w:rFonts w:hint="eastAsia" w:ascii="宋体" w:hAnsi="宋体" w:eastAsia="宋体" w:cs="宋体"/>
                <w:snapToGrid w:val="0"/>
                <w:color w:val="auto"/>
                <w:kern w:val="0"/>
                <w:sz w:val="21"/>
                <w:szCs w:val="21"/>
                <w:highlight w:val="none"/>
              </w:rPr>
              <w:t>40%～50%（含40%）。</w:t>
            </w:r>
          </w:p>
          <w:p w14:paraId="13AC66FA">
            <w:pPr>
              <w:pStyle w:val="29"/>
              <w:wordWrap w:val="0"/>
              <w:spacing w:line="400" w:lineRule="exact"/>
              <w:rPr>
                <w:rFonts w:hint="eastAsia" w:ascii="宋体" w:hAnsi="宋体" w:eastAsia="宋体" w:cs="宋体"/>
                <w:caps w:val="0"/>
                <w:smallCaps w:val="0"/>
                <w:snapToGrid w:val="0"/>
                <w:color w:val="auto"/>
                <w:spacing w:val="0"/>
                <w:kern w:val="0"/>
                <w:sz w:val="21"/>
                <w:szCs w:val="21"/>
                <w:highlight w:val="none"/>
                <w:lang w:val="en-US" w:eastAsia="zh-CN" w:bidi="ar-SA"/>
              </w:rPr>
            </w:pPr>
            <w:r>
              <w:rPr>
                <w:rFonts w:hint="eastAsia" w:ascii="宋体" w:hAnsi="宋体" w:eastAsia="宋体" w:cs="宋体"/>
                <w:snapToGrid w:val="0"/>
                <w:color w:val="auto"/>
                <w:kern w:val="0"/>
                <w:sz w:val="21"/>
                <w:szCs w:val="21"/>
                <w:highlight w:val="none"/>
              </w:rPr>
              <w:t>【差】组织机构形式合理，指挥系统，生产及质量、绿色施工、安全、文明施工、创优达标监控系统、联络协调系统不齐全，项目管理人员内高级职称人员10%以下、中级职称人员</w:t>
            </w:r>
            <w:r>
              <w:rPr>
                <w:rFonts w:hint="eastAsia" w:ascii="宋体" w:hAnsi="宋体" w:eastAsia="宋体" w:cs="宋体"/>
                <w:b/>
                <w:bCs/>
                <w:snapToGrid w:val="0"/>
                <w:color w:val="auto"/>
                <w:kern w:val="0"/>
                <w:sz w:val="21"/>
                <w:szCs w:val="21"/>
                <w:highlight w:val="none"/>
              </w:rPr>
              <w:t>及以上职称</w:t>
            </w:r>
            <w:r>
              <w:rPr>
                <w:rFonts w:hint="eastAsia" w:ascii="宋体" w:hAnsi="宋体" w:eastAsia="宋体" w:cs="宋体"/>
                <w:snapToGrid w:val="0"/>
                <w:color w:val="auto"/>
                <w:kern w:val="0"/>
                <w:sz w:val="21"/>
                <w:szCs w:val="21"/>
                <w:highlight w:val="none"/>
              </w:rPr>
              <w:t>40%以下。</w:t>
            </w:r>
          </w:p>
        </w:tc>
      </w:tr>
      <w:tr w14:paraId="08AE8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9778" w:type="dxa"/>
            <w:gridSpan w:val="3"/>
            <w:shd w:val="clear" w:color="auto" w:fill="D9D9D9"/>
            <w:vAlign w:val="center"/>
          </w:tcPr>
          <w:p w14:paraId="04969EDC">
            <w:pPr>
              <w:pStyle w:val="22"/>
              <w:numPr>
                <w:ilvl w:val="0"/>
                <w:numId w:val="0"/>
              </w:numPr>
              <w:spacing w:before="156" w:line="301" w:lineRule="auto"/>
              <w:ind w:right="111"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b/>
                <w:bCs/>
                <w:snapToGrid w:val="0"/>
                <w:color w:val="auto"/>
                <w:kern w:val="0"/>
                <w:sz w:val="21"/>
                <w:szCs w:val="21"/>
                <w:highlight w:val="none"/>
              </w:rPr>
              <w:t>投标报价部分，满分：100分。</w:t>
            </w:r>
          </w:p>
        </w:tc>
      </w:tr>
      <w:tr w14:paraId="41E47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1408" w:type="dxa"/>
            <w:shd w:val="clear" w:color="auto" w:fill="auto"/>
            <w:vAlign w:val="center"/>
          </w:tcPr>
          <w:p w14:paraId="5307AF37">
            <w:pPr>
              <w:wordWrap w:val="0"/>
              <w:adjustRightInd w:val="0"/>
              <w:snapToGrid w:val="0"/>
              <w:spacing w:line="440" w:lineRule="exact"/>
              <w:jc w:val="center"/>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rPr>
              <w:t>评分事项</w:t>
            </w:r>
          </w:p>
        </w:tc>
        <w:tc>
          <w:tcPr>
            <w:tcW w:w="8370" w:type="dxa"/>
            <w:gridSpan w:val="2"/>
            <w:shd w:val="clear" w:color="auto" w:fill="auto"/>
            <w:vAlign w:val="center"/>
          </w:tcPr>
          <w:p w14:paraId="1BB1D4F7">
            <w:pPr>
              <w:pStyle w:val="22"/>
              <w:numPr>
                <w:ilvl w:val="0"/>
                <w:numId w:val="0"/>
              </w:numPr>
              <w:spacing w:before="156" w:line="301" w:lineRule="auto"/>
              <w:ind w:right="111"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snapToGrid w:val="0"/>
                <w:color w:val="auto"/>
                <w:kern w:val="0"/>
                <w:sz w:val="21"/>
                <w:szCs w:val="21"/>
                <w:highlight w:val="none"/>
              </w:rPr>
              <w:t>评分方法</w:t>
            </w:r>
          </w:p>
        </w:tc>
      </w:tr>
      <w:tr w14:paraId="678AD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4" w:hRule="atLeast"/>
        </w:trPr>
        <w:tc>
          <w:tcPr>
            <w:tcW w:w="1408" w:type="dxa"/>
            <w:shd w:val="clear" w:color="auto" w:fill="auto"/>
            <w:vAlign w:val="center"/>
          </w:tcPr>
          <w:p w14:paraId="6594703F">
            <w:pPr>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rPr>
              <w:t>评标基准价D</w:t>
            </w:r>
          </w:p>
        </w:tc>
        <w:tc>
          <w:tcPr>
            <w:tcW w:w="8370" w:type="dxa"/>
            <w:gridSpan w:val="2"/>
            <w:shd w:val="clear" w:color="auto" w:fill="auto"/>
            <w:vAlign w:val="center"/>
          </w:tcPr>
          <w:p w14:paraId="7EED1A57">
            <w:pPr>
              <w:numPr>
                <w:ilvl w:val="0"/>
                <w:numId w:val="4"/>
              </w:numPr>
              <w:wordWrap w:val="0"/>
              <w:adjustRightInd w:val="0"/>
              <w:snapToGrid w:val="0"/>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确定最高投标限价下浮系数n：用1～21号球分别代表一个下浮系数，由评委代表从这21个号码中随机抽取</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u w:val="single"/>
                <w:lang w:val="en-US" w:eastAsia="zh-CN"/>
              </w:rPr>
              <w:t>3</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次，每次抽取1个号码，抽出的号球不参与下次抽取。所抽取的</w:t>
            </w: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个号码对应下浮系数的算术平均值作为最高投标限价下浮系数n。具体号码对应的下浮系数详见下表：</w:t>
            </w:r>
          </w:p>
          <w:tbl>
            <w:tblPr>
              <w:tblStyle w:val="15"/>
              <w:tblW w:w="0" w:type="auto"/>
              <w:jc w:val="center"/>
              <w:tblLayout w:type="fixed"/>
              <w:tblCellMar>
                <w:top w:w="0" w:type="dxa"/>
                <w:left w:w="108" w:type="dxa"/>
                <w:bottom w:w="0" w:type="dxa"/>
                <w:right w:w="108" w:type="dxa"/>
              </w:tblCellMar>
            </w:tblPr>
            <w:tblGrid>
              <w:gridCol w:w="1744"/>
              <w:gridCol w:w="889"/>
              <w:gridCol w:w="836"/>
              <w:gridCol w:w="870"/>
              <w:gridCol w:w="854"/>
              <w:gridCol w:w="888"/>
              <w:gridCol w:w="835"/>
              <w:gridCol w:w="959"/>
            </w:tblGrid>
            <w:tr w14:paraId="6CBB159A">
              <w:tblPrEx>
                <w:tblCellMar>
                  <w:top w:w="0" w:type="dxa"/>
                  <w:left w:w="108" w:type="dxa"/>
                  <w:bottom w:w="0" w:type="dxa"/>
                  <w:right w:w="108" w:type="dxa"/>
                </w:tblCellMar>
              </w:tblPrEx>
              <w:trPr>
                <w:trHeight w:val="447"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72B9DA3">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号球</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74A111EE">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4BDCD07D">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2</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4AD6893">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3</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849E34F">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4</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7100154">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3A4918A">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6</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E9F4D4C">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7</w:t>
                  </w:r>
                </w:p>
              </w:tc>
            </w:tr>
            <w:tr w14:paraId="6DDAE0C7">
              <w:tblPrEx>
                <w:tblCellMar>
                  <w:top w:w="0" w:type="dxa"/>
                  <w:left w:w="108" w:type="dxa"/>
                  <w:bottom w:w="0" w:type="dxa"/>
                  <w:right w:w="108" w:type="dxa"/>
                </w:tblCellMar>
              </w:tblPrEx>
              <w:trPr>
                <w:trHeight w:val="529"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A2092D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下浮系数（%）</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07F42CAA">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00B6830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41DBED9E">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1.2</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329C126B">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3A1A233">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1.4</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6EF366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1.5</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1330EC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1.6</w:t>
                  </w:r>
                </w:p>
              </w:tc>
            </w:tr>
            <w:tr w14:paraId="7F6B4893">
              <w:tblPrEx>
                <w:tblCellMar>
                  <w:top w:w="0" w:type="dxa"/>
                  <w:left w:w="108" w:type="dxa"/>
                  <w:bottom w:w="0" w:type="dxa"/>
                  <w:right w:w="108" w:type="dxa"/>
                </w:tblCellMar>
              </w:tblPrEx>
              <w:trPr>
                <w:trHeight w:val="572"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44E212A">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号球</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3BE779CD">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8</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3DBA70EC">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9</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0B7A12C0">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10</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5CC5864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11</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2C1B4BBA">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12</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0781E1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13</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0B282FCC">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14</w:t>
                  </w:r>
                </w:p>
              </w:tc>
            </w:tr>
            <w:tr w14:paraId="283B4F39">
              <w:tblPrEx>
                <w:tblCellMar>
                  <w:top w:w="0" w:type="dxa"/>
                  <w:left w:w="108" w:type="dxa"/>
                  <w:bottom w:w="0" w:type="dxa"/>
                  <w:right w:w="108" w:type="dxa"/>
                </w:tblCellMar>
              </w:tblPrEx>
              <w:trPr>
                <w:trHeight w:val="480"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BC8D17D">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下浮系数（%）</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0293BC85">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1.7</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3D4C943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1.8</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1084F65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1.9</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7A9E6EA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FFAA645">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2.1</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E1216F4">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2.2</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716B039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2.3</w:t>
                  </w:r>
                </w:p>
              </w:tc>
            </w:tr>
            <w:tr w14:paraId="1D014B48">
              <w:tblPrEx>
                <w:tblCellMar>
                  <w:top w:w="0" w:type="dxa"/>
                  <w:left w:w="108" w:type="dxa"/>
                  <w:bottom w:w="0" w:type="dxa"/>
                  <w:right w:w="108" w:type="dxa"/>
                </w:tblCellMar>
              </w:tblPrEx>
              <w:trPr>
                <w:trHeight w:val="523"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782C0EC">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号球</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4AFD3573">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15</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5C105F6D">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16</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6C0248E5">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17</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B65057F">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18</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23BD23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19</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55FEA657">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20</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333DA762">
                  <w:pPr>
                    <w:wordWrap w:val="0"/>
                    <w:adjustRightInd w:val="0"/>
                    <w:snapToGrid w:val="0"/>
                    <w:spacing w:line="400" w:lineRule="exact"/>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21</w:t>
                  </w:r>
                </w:p>
              </w:tc>
            </w:tr>
            <w:tr w14:paraId="1B1ACE5C">
              <w:tblPrEx>
                <w:tblCellMar>
                  <w:top w:w="0" w:type="dxa"/>
                  <w:left w:w="108" w:type="dxa"/>
                  <w:bottom w:w="0" w:type="dxa"/>
                  <w:right w:w="108" w:type="dxa"/>
                </w:tblCellMar>
              </w:tblPrEx>
              <w:trPr>
                <w:trHeight w:val="578" w:hRule="atLeast"/>
                <w:jc w:val="center"/>
              </w:trPr>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7671371">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下浮系数（%）</w:t>
                  </w:r>
                </w:p>
              </w:tc>
              <w:tc>
                <w:tcPr>
                  <w:tcW w:w="889" w:type="dxa"/>
                  <w:tcBorders>
                    <w:top w:val="single" w:color="000000" w:sz="4" w:space="0"/>
                    <w:left w:val="single" w:color="000000" w:sz="4" w:space="0"/>
                    <w:bottom w:val="single" w:color="000000" w:sz="4" w:space="0"/>
                    <w:right w:val="single" w:color="000000" w:sz="4" w:space="0"/>
                  </w:tcBorders>
                  <w:noWrap w:val="0"/>
                  <w:vAlign w:val="center"/>
                </w:tcPr>
                <w:p w14:paraId="471F223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2.4</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6FFC7A9C">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2.5</w:t>
                  </w:r>
                </w:p>
              </w:tc>
              <w:tc>
                <w:tcPr>
                  <w:tcW w:w="870" w:type="dxa"/>
                  <w:tcBorders>
                    <w:top w:val="single" w:color="000000" w:sz="4" w:space="0"/>
                    <w:left w:val="single" w:color="000000" w:sz="4" w:space="0"/>
                    <w:bottom w:val="single" w:color="000000" w:sz="4" w:space="0"/>
                    <w:right w:val="single" w:color="000000" w:sz="4" w:space="0"/>
                  </w:tcBorders>
                  <w:noWrap w:val="0"/>
                  <w:vAlign w:val="center"/>
                </w:tcPr>
                <w:p w14:paraId="255B9EB8">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2.6</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40D1365F">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2.7</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32F624A2">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2.8</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9738330">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2.9</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E6138A6">
                  <w:pPr>
                    <w:wordWrap w:val="0"/>
                    <w:adjustRightInd w:val="0"/>
                    <w:snapToGrid w:val="0"/>
                    <w:spacing w:line="400" w:lineRule="exac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3.0</w:t>
                  </w:r>
                </w:p>
              </w:tc>
            </w:tr>
          </w:tbl>
          <w:p w14:paraId="31309DC6">
            <w:pPr>
              <w:wordWrap w:val="0"/>
              <w:adjustRightInd w:val="0"/>
              <w:snapToGrid w:val="0"/>
              <w:spacing w:line="400" w:lineRule="exact"/>
              <w:jc w:val="left"/>
              <w:rPr>
                <w:rFonts w:hint="eastAsia" w:ascii="宋体" w:hAnsi="宋体" w:eastAsia="宋体" w:cs="宋体"/>
                <w:snapToGrid w:val="0"/>
                <w:color w:val="auto"/>
                <w:kern w:val="0"/>
                <w:sz w:val="21"/>
                <w:szCs w:val="21"/>
                <w:highlight w:val="none"/>
              </w:rPr>
            </w:pPr>
          </w:p>
          <w:p w14:paraId="434FE2E1">
            <w:pPr>
              <w:pStyle w:val="22"/>
              <w:numPr>
                <w:ilvl w:val="0"/>
                <w:numId w:val="0"/>
              </w:numPr>
              <w:spacing w:before="156" w:line="301" w:lineRule="auto"/>
              <w:ind w:right="111"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（2）评标基准价D＝最高投标限价×（1－n）</w:t>
            </w:r>
          </w:p>
        </w:tc>
      </w:tr>
      <w:tr w14:paraId="470F0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3" w:hRule="atLeast"/>
        </w:trPr>
        <w:tc>
          <w:tcPr>
            <w:tcW w:w="1408" w:type="dxa"/>
            <w:shd w:val="clear" w:color="auto" w:fill="auto"/>
            <w:vAlign w:val="center"/>
          </w:tcPr>
          <w:p w14:paraId="27470596">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p w14:paraId="7190B86A">
            <w:pPr>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rPr>
              <w:t>得分N</w:t>
            </w:r>
          </w:p>
        </w:tc>
        <w:tc>
          <w:tcPr>
            <w:tcW w:w="8370" w:type="dxa"/>
            <w:gridSpan w:val="2"/>
            <w:shd w:val="clear" w:color="auto" w:fill="auto"/>
            <w:vAlign w:val="center"/>
          </w:tcPr>
          <w:p w14:paraId="42926A17">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采用内插法计算某投标人的投标报价得分N，即当投标人的投标总价等于评标基准价时得100分，每高于评标基准价一个百分点扣1 分，每低于评标基准价一个百分点扣0.5分，扣完为止。公式如下：</w:t>
            </w:r>
          </w:p>
          <w:p w14:paraId="3CC67F9A">
            <w:pPr>
              <w:wordWrap w:val="0"/>
              <w:adjustRightInd w:val="0"/>
              <w:snapToGrid w:val="0"/>
              <w:spacing w:line="400" w:lineRule="exact"/>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N＝100－（| Di－D | ÷D）×100×E</w:t>
            </w:r>
          </w:p>
          <w:p w14:paraId="4B3AA381">
            <w:pPr>
              <w:pStyle w:val="22"/>
              <w:numPr>
                <w:ilvl w:val="0"/>
                <w:numId w:val="0"/>
              </w:numPr>
              <w:spacing w:before="156" w:line="301" w:lineRule="auto"/>
              <w:ind w:right="111"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snapToGrid w:val="0"/>
                <w:color w:val="auto"/>
                <w:kern w:val="0"/>
                <w:sz w:val="21"/>
                <w:szCs w:val="21"/>
                <w:highlight w:val="none"/>
              </w:rPr>
              <w:t>式中：D为评标基准价；Di为某投标人的投标总价；E为扣分因子，当Di＞D时，E＝1 ；当Di＜D时，E＝0.5。</w:t>
            </w:r>
          </w:p>
        </w:tc>
      </w:tr>
    </w:tbl>
    <w:p w14:paraId="232E7860">
      <w:pPr>
        <w:pStyle w:val="8"/>
        <w:rPr>
          <w:rFonts w:hint="eastAsia" w:ascii="宋体" w:hAnsi="宋体" w:eastAsia="宋体" w:cs="宋体"/>
          <w:b/>
          <w:bCs/>
          <w:color w:val="auto"/>
          <w:spacing w:val="-6"/>
          <w:sz w:val="30"/>
          <w:szCs w:val="30"/>
          <w:highlight w:val="none"/>
        </w:rPr>
      </w:pPr>
    </w:p>
    <w:p w14:paraId="5B313CBC">
      <w:pPr>
        <w:spacing w:before="155" w:line="211" w:lineRule="auto"/>
        <w:ind w:firstLine="470" w:firstLineChars="200"/>
        <w:outlineLvl w:val="9"/>
        <w:rPr>
          <w:rFonts w:hint="eastAsia" w:ascii="宋体" w:hAnsi="宋体" w:eastAsia="宋体" w:cs="宋体"/>
          <w:color w:val="auto"/>
          <w:sz w:val="25"/>
          <w:szCs w:val="25"/>
          <w:highlight w:val="none"/>
        </w:rPr>
      </w:pPr>
      <w:bookmarkStart w:id="133" w:name="_Toc5769"/>
      <w:bookmarkStart w:id="134" w:name="_Toc17436"/>
      <w:bookmarkStart w:id="135" w:name="_Toc9725"/>
      <w:bookmarkStart w:id="136" w:name="_Toc31744"/>
      <w:r>
        <w:rPr>
          <w:rFonts w:hint="eastAsia" w:ascii="宋体" w:hAnsi="宋体" w:eastAsia="宋体" w:cs="宋体"/>
          <w:b/>
          <w:bCs/>
          <w:color w:val="auto"/>
          <w:spacing w:val="-3"/>
          <w:sz w:val="24"/>
          <w:szCs w:val="24"/>
          <w:highlight w:val="none"/>
        </w:rPr>
        <w:t>15.</w:t>
      </w:r>
      <w:r>
        <w:rPr>
          <w:rFonts w:hint="eastAsia" w:ascii="宋体" w:hAnsi="宋体" w:eastAsia="宋体" w:cs="宋体"/>
          <w:b/>
          <w:bCs/>
          <w:color w:val="auto"/>
          <w:spacing w:val="-3"/>
          <w:sz w:val="24"/>
          <w:szCs w:val="24"/>
          <w:highlight w:val="none"/>
          <w:lang w:val="en-US" w:eastAsia="zh-CN"/>
        </w:rPr>
        <w:t>6</w:t>
      </w:r>
      <w:r>
        <w:rPr>
          <w:rFonts w:hint="eastAsia" w:ascii="宋体" w:hAnsi="宋体" w:eastAsia="宋体" w:cs="宋体"/>
          <w:b/>
          <w:bCs/>
          <w:color w:val="auto"/>
          <w:spacing w:val="-3"/>
          <w:sz w:val="24"/>
          <w:szCs w:val="24"/>
          <w:highlight w:val="none"/>
        </w:rPr>
        <w:t xml:space="preserve">.2  </w:t>
      </w:r>
      <w:r>
        <w:rPr>
          <w:rFonts w:hint="eastAsia" w:ascii="宋体" w:hAnsi="宋体" w:eastAsia="宋体" w:cs="宋体"/>
          <w:color w:val="auto"/>
          <w:spacing w:val="-3"/>
          <w:sz w:val="24"/>
          <w:szCs w:val="24"/>
          <w:highlight w:val="none"/>
        </w:rPr>
        <w:t>否决投标说明</w:t>
      </w:r>
      <w:bookmarkEnd w:id="133"/>
      <w:bookmarkEnd w:id="134"/>
      <w:bookmarkEnd w:id="135"/>
      <w:bookmarkEnd w:id="136"/>
    </w:p>
    <w:p w14:paraId="7B89C24C">
      <w:pPr>
        <w:spacing w:before="150" w:line="332" w:lineRule="auto"/>
        <w:ind w:left="10" w:right="195" w:firstLine="564"/>
        <w:rPr>
          <w:rFonts w:hint="eastAsia" w:ascii="宋体" w:hAnsi="宋体" w:eastAsia="宋体" w:cs="宋体"/>
          <w:color w:val="auto"/>
          <w:spacing w:val="-5"/>
          <w:sz w:val="24"/>
          <w:szCs w:val="24"/>
          <w:highlight w:val="none"/>
        </w:rPr>
      </w:pPr>
      <w:r>
        <w:rPr>
          <w:rFonts w:hint="eastAsia" w:ascii="宋体" w:hAnsi="宋体" w:eastAsia="宋体" w:cs="宋体"/>
          <w:color w:val="auto"/>
          <w:spacing w:val="-5"/>
          <w:sz w:val="24"/>
          <w:szCs w:val="24"/>
          <w:highlight w:val="none"/>
        </w:rPr>
        <w:t>详细评审阶段否决投标的全部条件，在本章第四节“否决投标条件 ”第1条至第4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77A7E139">
      <w:pPr>
        <w:spacing w:before="59" w:line="330" w:lineRule="auto"/>
        <w:ind w:left="10" w:right="195" w:firstLine="48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注：投标人在详细评审阶段根据评分方法提供的佐证材料，其合法性、有效性和准确性不符合要求的，有关量化因素（或评分因素）的折算、调整（或评分）按相应</w:t>
      </w:r>
      <w:r>
        <w:rPr>
          <w:rFonts w:hint="eastAsia" w:ascii="宋体" w:hAnsi="宋体" w:eastAsia="宋体" w:cs="宋体"/>
          <w:b/>
          <w:bCs/>
          <w:color w:val="auto"/>
          <w:spacing w:val="-3"/>
          <w:sz w:val="24"/>
          <w:szCs w:val="24"/>
          <w:highlight w:val="none"/>
        </w:rPr>
        <w:t>量化标准（或评分标准）处理，但不否决投标。</w:t>
      </w:r>
    </w:p>
    <w:p w14:paraId="061D711F">
      <w:pPr>
        <w:pStyle w:val="3"/>
        <w:keepNext w:val="0"/>
        <w:keepLines w:val="0"/>
        <w:pageBreakBefore w:val="0"/>
        <w:widowControl w:val="0"/>
        <w:kinsoku/>
        <w:wordWrap w:val="0"/>
        <w:overflowPunct/>
        <w:topLinePunct w:val="0"/>
        <w:autoSpaceDE/>
        <w:autoSpaceDN/>
        <w:bidi w:val="0"/>
        <w:adjustRightInd/>
        <w:snapToGrid/>
        <w:spacing w:before="0" w:beforeLines="0" w:after="0" w:afterLines="0" w:line="440" w:lineRule="exact"/>
        <w:ind w:firstLine="480"/>
        <w:jc w:val="both"/>
        <w:textAlignment w:val="auto"/>
        <w:rPr>
          <w:rFonts w:hint="eastAsia" w:ascii="宋体" w:hAnsi="宋体" w:eastAsia="宋体" w:cs="宋体"/>
          <w:b/>
          <w:snapToGrid w:val="0"/>
          <w:color w:val="auto"/>
          <w:sz w:val="24"/>
          <w:szCs w:val="24"/>
          <w:highlight w:val="none"/>
        </w:rPr>
      </w:pPr>
      <w:bookmarkStart w:id="137" w:name="bookmark138"/>
      <w:bookmarkEnd w:id="137"/>
      <w:bookmarkStart w:id="138" w:name="bookmark137"/>
      <w:bookmarkEnd w:id="138"/>
      <w:bookmarkStart w:id="139" w:name="_Toc7762"/>
      <w:bookmarkStart w:id="140" w:name="_Toc2769"/>
      <w:bookmarkStart w:id="141" w:name="_Toc19232"/>
      <w:bookmarkStart w:id="142" w:name="_Toc18711"/>
      <w:bookmarkStart w:id="143" w:name="_Toc13897"/>
      <w:bookmarkStart w:id="144" w:name="_Toc10900"/>
      <w:bookmarkStart w:id="145" w:name="_Toc32569"/>
      <w:r>
        <w:rPr>
          <w:rFonts w:hint="eastAsia" w:ascii="宋体" w:hAnsi="宋体" w:eastAsia="宋体" w:cs="宋体"/>
          <w:b/>
          <w:snapToGrid w:val="0"/>
          <w:color w:val="auto"/>
          <w:sz w:val="24"/>
          <w:szCs w:val="24"/>
          <w:highlight w:val="none"/>
        </w:rPr>
        <w:t>16．</w:t>
      </w:r>
      <w:bookmarkEnd w:id="139"/>
      <w:bookmarkEnd w:id="140"/>
      <w:bookmarkEnd w:id="141"/>
      <w:bookmarkEnd w:id="142"/>
      <w:bookmarkEnd w:id="143"/>
      <w:r>
        <w:rPr>
          <w:rFonts w:hint="eastAsia" w:ascii="宋体" w:hAnsi="宋体" w:eastAsia="宋体" w:cs="宋体"/>
          <w:b/>
          <w:snapToGrid w:val="0"/>
          <w:color w:val="auto"/>
          <w:sz w:val="24"/>
          <w:szCs w:val="24"/>
          <w:highlight w:val="none"/>
          <w:lang w:eastAsia="zh-CN"/>
        </w:rPr>
        <w:t>评标结果公示</w:t>
      </w:r>
      <w:bookmarkEnd w:id="144"/>
      <w:bookmarkEnd w:id="145"/>
    </w:p>
    <w:p w14:paraId="7F32E151">
      <w:pPr>
        <w:keepNext w:val="0"/>
        <w:keepLines w:val="0"/>
        <w:pageBreakBefore w:val="0"/>
        <w:widowControl w:val="0"/>
        <w:kinsoku/>
        <w:wordWrap w:val="0"/>
        <w:overflowPunct/>
        <w:topLinePunct w:val="0"/>
        <w:autoSpaceDE/>
        <w:autoSpaceDN/>
        <w:bidi w:val="0"/>
        <w:adjustRightInd/>
        <w:snapToGrid/>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16.1</w:t>
      </w:r>
      <w:r>
        <w:rPr>
          <w:rFonts w:hint="eastAsia" w:ascii="宋体" w:hAnsi="宋体" w:eastAsia="宋体" w:cs="宋体"/>
          <w:snapToGrid w:val="0"/>
          <w:color w:val="auto"/>
          <w:kern w:val="0"/>
          <w:sz w:val="24"/>
          <w:szCs w:val="24"/>
          <w:highlight w:val="none"/>
        </w:rPr>
        <w:t xml:space="preserve"> 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评标委员会推荐定标候选人后，</w:t>
      </w:r>
      <w:r>
        <w:rPr>
          <w:rFonts w:hint="eastAsia" w:ascii="宋体" w:hAnsi="宋体" w:eastAsia="宋体" w:cs="宋体"/>
          <w:snapToGrid w:val="0"/>
          <w:color w:val="auto"/>
          <w:kern w:val="0"/>
          <w:sz w:val="24"/>
          <w:szCs w:val="24"/>
          <w:highlight w:val="none"/>
        </w:rPr>
        <w:t>招标人应</w:t>
      </w:r>
      <w:r>
        <w:rPr>
          <w:rFonts w:hint="eastAsia" w:ascii="宋体" w:hAnsi="宋体" w:eastAsia="宋体" w:cs="宋体"/>
          <w:snapToGrid w:val="0"/>
          <w:color w:val="auto"/>
          <w:kern w:val="0"/>
          <w:sz w:val="24"/>
          <w:szCs w:val="24"/>
          <w:highlight w:val="none"/>
          <w:lang w:eastAsia="zh-CN"/>
        </w:rPr>
        <w:t>于评标会结束后</w:t>
      </w:r>
      <w:r>
        <w:rPr>
          <w:rFonts w:hint="eastAsia" w:ascii="宋体" w:hAnsi="宋体" w:eastAsia="宋体" w:cs="宋体"/>
          <w:snapToGrid w:val="0"/>
          <w:color w:val="auto"/>
          <w:kern w:val="0"/>
          <w:sz w:val="24"/>
          <w:szCs w:val="24"/>
          <w:highlight w:val="none"/>
          <w:lang w:val="en-US" w:eastAsia="zh-CN"/>
        </w:rPr>
        <w:t>3日内将</w:t>
      </w:r>
      <w:r>
        <w:rPr>
          <w:rFonts w:hint="eastAsia" w:ascii="宋体" w:hAnsi="宋体" w:eastAsia="宋体" w:cs="宋体"/>
          <w:snapToGrid w:val="0"/>
          <w:color w:val="auto"/>
          <w:kern w:val="0"/>
          <w:sz w:val="24"/>
          <w:szCs w:val="24"/>
          <w:highlight w:val="none"/>
          <w:lang w:eastAsia="zh-CN"/>
        </w:rPr>
        <w:t>定</w:t>
      </w:r>
      <w:r>
        <w:rPr>
          <w:rFonts w:hint="eastAsia" w:ascii="宋体" w:hAnsi="宋体" w:eastAsia="宋体" w:cs="宋体"/>
          <w:snapToGrid w:val="0"/>
          <w:color w:val="auto"/>
          <w:kern w:val="0"/>
          <w:sz w:val="24"/>
          <w:szCs w:val="24"/>
          <w:highlight w:val="none"/>
        </w:rPr>
        <w:t>标候选</w:t>
      </w:r>
      <w:r>
        <w:rPr>
          <w:rFonts w:hint="eastAsia" w:ascii="宋体" w:hAnsi="宋体" w:eastAsia="宋体" w:cs="宋体"/>
          <w:snapToGrid w:val="0"/>
          <w:color w:val="auto"/>
          <w:kern w:val="0"/>
          <w:sz w:val="24"/>
          <w:szCs w:val="24"/>
          <w:highlight w:val="none"/>
          <w:lang w:eastAsia="zh-CN"/>
        </w:rPr>
        <w:t>人和评标情况</w:t>
      </w:r>
      <w:r>
        <w:rPr>
          <w:rFonts w:hint="eastAsia" w:ascii="宋体" w:hAnsi="宋体" w:eastAsia="宋体" w:cs="宋体"/>
          <w:snapToGrid w:val="0"/>
          <w:color w:val="auto"/>
          <w:kern w:val="0"/>
          <w:sz w:val="24"/>
          <w:szCs w:val="24"/>
          <w:highlight w:val="none"/>
          <w:lang w:val="en-US" w:eastAsia="zh-CN"/>
        </w:rPr>
        <w:t>在广东省招标投标监管网和</w:t>
      </w:r>
      <w:r>
        <w:rPr>
          <w:rFonts w:hint="eastAsia" w:ascii="宋体" w:hAnsi="宋体" w:eastAsia="宋体" w:cs="宋体"/>
          <w:snapToGrid w:val="0"/>
          <w:color w:val="auto"/>
          <w:kern w:val="0"/>
          <w:sz w:val="24"/>
          <w:szCs w:val="24"/>
          <w:highlight w:val="none"/>
        </w:rPr>
        <w:t>韶关市公共资源交易中心</w:t>
      </w:r>
      <w:r>
        <w:rPr>
          <w:rFonts w:hint="eastAsia" w:ascii="宋体" w:hAnsi="宋体" w:eastAsia="宋体" w:cs="宋体"/>
          <w:snapToGrid w:val="0"/>
          <w:color w:val="auto"/>
          <w:kern w:val="0"/>
          <w:sz w:val="24"/>
          <w:szCs w:val="24"/>
          <w:highlight w:val="none"/>
          <w:lang w:eastAsia="zh-CN"/>
        </w:rPr>
        <w:t>建设工程交易系统</w:t>
      </w:r>
      <w:r>
        <w:rPr>
          <w:rFonts w:hint="eastAsia" w:ascii="宋体" w:hAnsi="宋体" w:eastAsia="宋体" w:cs="宋体"/>
          <w:snapToGrid w:val="0"/>
          <w:color w:val="auto"/>
          <w:kern w:val="0"/>
          <w:sz w:val="24"/>
          <w:szCs w:val="24"/>
          <w:highlight w:val="none"/>
          <w:lang w:val="en-US" w:eastAsia="zh-CN"/>
        </w:rPr>
        <w:t>上</w:t>
      </w:r>
      <w:r>
        <w:rPr>
          <w:rFonts w:hint="eastAsia" w:ascii="宋体" w:hAnsi="宋体" w:eastAsia="宋体" w:cs="宋体"/>
          <w:snapToGrid w:val="0"/>
          <w:color w:val="auto"/>
          <w:kern w:val="0"/>
          <w:sz w:val="24"/>
          <w:szCs w:val="24"/>
          <w:highlight w:val="none"/>
        </w:rPr>
        <w:t>公示</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公示时间不少于3日。</w:t>
      </w:r>
      <w:r>
        <w:rPr>
          <w:rFonts w:hint="eastAsia" w:ascii="宋体" w:hAnsi="宋体" w:eastAsia="宋体" w:cs="宋体"/>
          <w:snapToGrid w:val="0"/>
          <w:color w:val="auto"/>
          <w:kern w:val="0"/>
          <w:sz w:val="24"/>
          <w:szCs w:val="24"/>
          <w:highlight w:val="none"/>
          <w:lang w:eastAsia="zh-CN"/>
        </w:rPr>
        <w:t>公示主要内容包括：（</w:t>
      </w:r>
      <w:r>
        <w:rPr>
          <w:rFonts w:hint="eastAsia" w:ascii="宋体" w:hAnsi="宋体" w:eastAsia="宋体" w:cs="宋体"/>
          <w:snapToGrid w:val="0"/>
          <w:color w:val="auto"/>
          <w:kern w:val="0"/>
          <w:sz w:val="24"/>
          <w:szCs w:val="24"/>
          <w:highlight w:val="none"/>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48FF15C5">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4E2EF6D0">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7C0D1AC4">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1F278778">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752AFC36">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63F4223C">
      <w:pPr>
        <w:spacing w:before="78" w:line="220" w:lineRule="auto"/>
        <w:jc w:val="both"/>
        <w:outlineLvl w:val="1"/>
        <w:rPr>
          <w:rFonts w:hint="eastAsia" w:ascii="宋体" w:hAnsi="宋体" w:eastAsia="宋体" w:cs="宋体"/>
          <w:b/>
          <w:bCs/>
          <w:color w:val="auto"/>
          <w:spacing w:val="-3"/>
          <w:sz w:val="24"/>
          <w:szCs w:val="24"/>
          <w:highlight w:val="none"/>
        </w:rPr>
      </w:pPr>
    </w:p>
    <w:p w14:paraId="0AEE7CF2">
      <w:pPr>
        <w:spacing w:before="78" w:line="220" w:lineRule="auto"/>
        <w:ind w:left="9"/>
        <w:jc w:val="center"/>
        <w:outlineLvl w:val="1"/>
        <w:rPr>
          <w:rFonts w:hint="eastAsia" w:ascii="宋体" w:hAnsi="宋体" w:eastAsia="宋体" w:cs="宋体"/>
          <w:b/>
          <w:bCs/>
          <w:color w:val="auto"/>
          <w:spacing w:val="-3"/>
          <w:sz w:val="24"/>
          <w:szCs w:val="24"/>
          <w:highlight w:val="none"/>
        </w:rPr>
      </w:pPr>
      <w:bookmarkStart w:id="146" w:name="_Toc16554"/>
    </w:p>
    <w:p w14:paraId="6660FBC8">
      <w:pPr>
        <w:pStyle w:val="8"/>
        <w:rPr>
          <w:rFonts w:hint="eastAsia" w:ascii="宋体" w:hAnsi="宋体" w:eastAsia="宋体" w:cs="宋体"/>
          <w:b/>
          <w:bCs/>
          <w:color w:val="auto"/>
          <w:spacing w:val="-3"/>
          <w:sz w:val="24"/>
          <w:szCs w:val="24"/>
          <w:highlight w:val="none"/>
        </w:rPr>
      </w:pPr>
    </w:p>
    <w:p w14:paraId="661CF816">
      <w:pPr>
        <w:pStyle w:val="8"/>
        <w:rPr>
          <w:rFonts w:hint="eastAsia" w:ascii="宋体" w:hAnsi="宋体" w:eastAsia="宋体" w:cs="宋体"/>
          <w:b/>
          <w:bCs/>
          <w:color w:val="auto"/>
          <w:spacing w:val="-3"/>
          <w:sz w:val="24"/>
          <w:szCs w:val="24"/>
          <w:highlight w:val="none"/>
        </w:rPr>
      </w:pPr>
    </w:p>
    <w:p w14:paraId="375F8534">
      <w:pPr>
        <w:pStyle w:val="8"/>
        <w:rPr>
          <w:rFonts w:hint="eastAsia" w:ascii="宋体" w:hAnsi="宋体" w:eastAsia="宋体" w:cs="宋体"/>
          <w:b/>
          <w:bCs/>
          <w:color w:val="auto"/>
          <w:spacing w:val="-3"/>
          <w:sz w:val="24"/>
          <w:szCs w:val="24"/>
          <w:highlight w:val="none"/>
        </w:rPr>
      </w:pPr>
    </w:p>
    <w:p w14:paraId="09271562">
      <w:pPr>
        <w:pStyle w:val="8"/>
        <w:rPr>
          <w:rFonts w:hint="eastAsia" w:ascii="宋体" w:hAnsi="宋体" w:eastAsia="宋体" w:cs="宋体"/>
          <w:b/>
          <w:bCs/>
          <w:color w:val="auto"/>
          <w:spacing w:val="-3"/>
          <w:sz w:val="24"/>
          <w:szCs w:val="24"/>
          <w:highlight w:val="none"/>
        </w:rPr>
      </w:pPr>
    </w:p>
    <w:p w14:paraId="7C224001">
      <w:pPr>
        <w:pStyle w:val="8"/>
        <w:rPr>
          <w:rFonts w:hint="eastAsia" w:ascii="宋体" w:hAnsi="宋体" w:eastAsia="宋体" w:cs="宋体"/>
          <w:b/>
          <w:bCs/>
          <w:color w:val="auto"/>
          <w:spacing w:val="-3"/>
          <w:sz w:val="24"/>
          <w:szCs w:val="24"/>
          <w:highlight w:val="none"/>
        </w:rPr>
      </w:pPr>
    </w:p>
    <w:p w14:paraId="3F1982C2">
      <w:pPr>
        <w:pStyle w:val="8"/>
        <w:rPr>
          <w:rFonts w:hint="eastAsia" w:ascii="宋体" w:hAnsi="宋体" w:eastAsia="宋体" w:cs="宋体"/>
          <w:b/>
          <w:bCs/>
          <w:color w:val="auto"/>
          <w:spacing w:val="-3"/>
          <w:sz w:val="24"/>
          <w:szCs w:val="24"/>
          <w:highlight w:val="none"/>
        </w:rPr>
      </w:pPr>
    </w:p>
    <w:p w14:paraId="0B514550">
      <w:pPr>
        <w:pStyle w:val="8"/>
        <w:rPr>
          <w:rFonts w:hint="eastAsia" w:ascii="宋体" w:hAnsi="宋体" w:eastAsia="宋体" w:cs="宋体"/>
          <w:b/>
          <w:bCs/>
          <w:color w:val="auto"/>
          <w:spacing w:val="-3"/>
          <w:sz w:val="24"/>
          <w:szCs w:val="24"/>
          <w:highlight w:val="none"/>
        </w:rPr>
      </w:pPr>
    </w:p>
    <w:p w14:paraId="613BEBE5">
      <w:pPr>
        <w:pStyle w:val="8"/>
        <w:rPr>
          <w:rFonts w:hint="eastAsia" w:ascii="宋体" w:hAnsi="宋体" w:eastAsia="宋体" w:cs="宋体"/>
          <w:b/>
          <w:bCs/>
          <w:color w:val="auto"/>
          <w:spacing w:val="-3"/>
          <w:sz w:val="24"/>
          <w:szCs w:val="24"/>
          <w:highlight w:val="none"/>
        </w:rPr>
      </w:pPr>
    </w:p>
    <w:p w14:paraId="0CB35F17">
      <w:pPr>
        <w:pStyle w:val="8"/>
        <w:rPr>
          <w:rFonts w:hint="eastAsia" w:ascii="宋体" w:hAnsi="宋体" w:eastAsia="宋体" w:cs="宋体"/>
          <w:b/>
          <w:bCs/>
          <w:color w:val="auto"/>
          <w:spacing w:val="-3"/>
          <w:sz w:val="24"/>
          <w:szCs w:val="24"/>
          <w:highlight w:val="none"/>
        </w:rPr>
      </w:pPr>
    </w:p>
    <w:p w14:paraId="30E41AD8">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02E8A263">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0494C74E">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38586309">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1DBAD514">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363F5B6B">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49355212">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00C747EF">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652AC775">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793C06B0">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2E9F454B">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3BA903F1">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525FB2C1">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0D4B050C">
      <w:pPr>
        <w:spacing w:before="78" w:line="220" w:lineRule="auto"/>
        <w:ind w:left="9"/>
        <w:jc w:val="center"/>
        <w:outlineLvl w:val="1"/>
        <w:rPr>
          <w:rFonts w:hint="eastAsia" w:ascii="宋体" w:hAnsi="宋体" w:eastAsia="宋体" w:cs="宋体"/>
          <w:b/>
          <w:bCs/>
          <w:color w:val="auto"/>
          <w:spacing w:val="-3"/>
          <w:sz w:val="24"/>
          <w:szCs w:val="24"/>
          <w:highlight w:val="none"/>
        </w:rPr>
      </w:pPr>
    </w:p>
    <w:p w14:paraId="0B19371A">
      <w:pPr>
        <w:spacing w:before="78" w:line="220" w:lineRule="auto"/>
        <w:ind w:left="9"/>
        <w:jc w:val="center"/>
        <w:outlineLvl w:val="1"/>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第四节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否决投标条件</w:t>
      </w:r>
      <w:bookmarkEnd w:id="146"/>
    </w:p>
    <w:p w14:paraId="1EFFC73A">
      <w:pPr>
        <w:pStyle w:val="6"/>
        <w:spacing w:line="256" w:lineRule="auto"/>
        <w:rPr>
          <w:rFonts w:hint="eastAsia" w:ascii="宋体" w:hAnsi="宋体" w:eastAsia="宋体" w:cs="宋体"/>
          <w:color w:val="auto"/>
          <w:highlight w:val="none"/>
        </w:rPr>
      </w:pPr>
    </w:p>
    <w:p w14:paraId="70DA8BCC">
      <w:pPr>
        <w:spacing w:before="78" w:line="330" w:lineRule="auto"/>
        <w:ind w:left="10" w:right="65" w:firstLine="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本节所集中列示的否决投标条件，是本章第三节“投标人须知正文</w:t>
      </w:r>
      <w:r>
        <w:rPr>
          <w:rFonts w:hint="eastAsia" w:ascii="宋体" w:hAnsi="宋体" w:eastAsia="宋体" w:cs="宋体"/>
          <w:color w:val="auto"/>
          <w:spacing w:val="-72"/>
          <w:sz w:val="24"/>
          <w:szCs w:val="24"/>
          <w:highlight w:val="none"/>
        </w:rPr>
        <w:t xml:space="preserve"> </w:t>
      </w:r>
      <w:r>
        <w:rPr>
          <w:rFonts w:hint="eastAsia" w:ascii="宋体" w:hAnsi="宋体" w:eastAsia="宋体" w:cs="宋体"/>
          <w:color w:val="auto"/>
          <w:spacing w:val="-3"/>
          <w:sz w:val="24"/>
          <w:szCs w:val="24"/>
          <w:highlight w:val="none"/>
        </w:rPr>
        <w:t>”的组成部分，</w:t>
      </w:r>
      <w:r>
        <w:rPr>
          <w:rFonts w:hint="eastAsia" w:ascii="宋体" w:hAnsi="宋体" w:eastAsia="宋体" w:cs="宋体"/>
          <w:color w:val="auto"/>
          <w:spacing w:val="-2"/>
          <w:sz w:val="24"/>
          <w:szCs w:val="24"/>
          <w:highlight w:val="none"/>
        </w:rPr>
        <w:t>是对本章第三节所规定的否决投标条件的总</w:t>
      </w:r>
      <w:r>
        <w:rPr>
          <w:rFonts w:hint="eastAsia" w:ascii="宋体" w:hAnsi="宋体" w:eastAsia="宋体" w:cs="宋体"/>
          <w:color w:val="auto"/>
          <w:spacing w:val="-3"/>
          <w:sz w:val="24"/>
          <w:szCs w:val="24"/>
          <w:highlight w:val="none"/>
        </w:rPr>
        <w:t>结和补充。</w:t>
      </w:r>
      <w:r>
        <w:rPr>
          <w:rFonts w:hint="eastAsia" w:ascii="宋体" w:hAnsi="宋体" w:eastAsia="宋体" w:cs="宋体"/>
          <w:b/>
          <w:bCs/>
          <w:color w:val="auto"/>
          <w:spacing w:val="-3"/>
          <w:sz w:val="24"/>
          <w:szCs w:val="24"/>
          <w:highlight w:val="none"/>
        </w:rPr>
        <w:t>投标人未有列入本节情形的，评</w:t>
      </w:r>
      <w:r>
        <w:rPr>
          <w:rFonts w:hint="eastAsia" w:ascii="宋体" w:hAnsi="宋体" w:eastAsia="宋体" w:cs="宋体"/>
          <w:b/>
          <w:bCs/>
          <w:color w:val="auto"/>
          <w:spacing w:val="-2"/>
          <w:sz w:val="24"/>
          <w:szCs w:val="24"/>
          <w:highlight w:val="none"/>
        </w:rPr>
        <w:t>标时一律不得否决其投标。</w:t>
      </w:r>
      <w:r>
        <w:rPr>
          <w:rFonts w:hint="eastAsia" w:ascii="宋体" w:hAnsi="宋体" w:eastAsia="宋体" w:cs="宋体"/>
          <w:color w:val="auto"/>
          <w:spacing w:val="-2"/>
          <w:sz w:val="24"/>
          <w:szCs w:val="24"/>
          <w:highlight w:val="none"/>
        </w:rPr>
        <w:t>本节所称“规定</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”均指招标文件的规</w:t>
      </w:r>
      <w:r>
        <w:rPr>
          <w:rFonts w:hint="eastAsia" w:ascii="宋体" w:hAnsi="宋体" w:eastAsia="宋体" w:cs="宋体"/>
          <w:color w:val="auto"/>
          <w:spacing w:val="-3"/>
          <w:sz w:val="24"/>
          <w:szCs w:val="24"/>
          <w:highlight w:val="none"/>
        </w:rPr>
        <w:t>定。</w:t>
      </w:r>
    </w:p>
    <w:p w14:paraId="5C70497D">
      <w:pPr>
        <w:spacing w:before="34" w:line="220" w:lineRule="auto"/>
        <w:ind w:left="495"/>
        <w:outlineLvl w:val="2"/>
        <w:rPr>
          <w:rFonts w:hint="eastAsia" w:ascii="宋体" w:hAnsi="宋体" w:eastAsia="宋体" w:cs="宋体"/>
          <w:color w:val="auto"/>
          <w:sz w:val="24"/>
          <w:szCs w:val="24"/>
          <w:highlight w:val="none"/>
        </w:rPr>
      </w:pPr>
      <w:bookmarkStart w:id="147" w:name="_Toc15082"/>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．资格评审环节</w:t>
      </w:r>
      <w:bookmarkEnd w:id="147"/>
    </w:p>
    <w:p w14:paraId="160261BC">
      <w:pPr>
        <w:spacing w:before="150" w:line="280" w:lineRule="auto"/>
        <w:ind w:right="200" w:firstLine="492"/>
        <w:rPr>
          <w:rFonts w:hint="eastAsia" w:ascii="宋体" w:hAnsi="宋体" w:eastAsia="宋体" w:cs="宋体"/>
          <w:color w:val="auto"/>
          <w:spacing w:val="-3"/>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投标人有下列情形之一的，评标委员会应否决其投标。被否决的投标人，不进入形</w:t>
      </w:r>
      <w:r>
        <w:rPr>
          <w:rFonts w:hint="eastAsia" w:ascii="宋体" w:hAnsi="宋体" w:eastAsia="宋体" w:cs="宋体"/>
          <w:color w:val="auto"/>
          <w:spacing w:val="-3"/>
          <w:sz w:val="24"/>
          <w:szCs w:val="24"/>
          <w:highlight w:val="none"/>
        </w:rPr>
        <w:t>式评审环节。</w:t>
      </w:r>
    </w:p>
    <w:p w14:paraId="0D52E19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（1）有本章第三节第 2.4 条“禁止投标条款 ”规定的任何一种情形；</w:t>
      </w:r>
    </w:p>
    <w:p w14:paraId="603309E4">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（2）投标人资质不符合规定的；</w:t>
      </w:r>
    </w:p>
    <w:p w14:paraId="5D4AA6B6">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（3）投标人名称与营业执照、资质证书、安全生产许可证上的企业名称相互不一致的；其资质证书、安全生产许可证不是由住房城乡建设主管部门颁发的；营业执照、资质证书、安全生产许可证（可参考网址 https://zlaq.mohurd.gov.cn/fwmh/bjxcjgl/fwmh/pages/construction_safety/qyaqscxkz/qyaqscxkz）被吊销、暂扣或不在有效期内的；</w:t>
      </w:r>
    </w:p>
    <w:p w14:paraId="1AEC6BC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11696778">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240"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（4）拟派项目经理、项目技术负责人、专职安全员的条件不符合规定的；拟派专职安全员数量不符合规定的；项目技术负责人未在投标文件《项目技术负责人简历表》中签字确认。</w:t>
      </w:r>
    </w:p>
    <w:p w14:paraId="7D8B8E4A">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温馨提示：建造师打印电子证书后，应在个人签名处手写本人签名，未手写签名或与签名图像笔迹不一致的，该电子证书无效。</w:t>
      </w:r>
    </w:p>
    <w:p w14:paraId="55F4CA10">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经理简历表》中拟派项目经理与《开标一览表》不一致的；拟派的项目经理未在投标文件《项目经理简历表》中签字确认；一级建造师的注册证书不是国家住建部颁发的；建造师的注册单位与投标人不一致的；项目管理班子组成人员的各类证书、证件、证明不在有效期内的（建造师注册证书不在使用有效期内的）；擅自修改、遗漏《项目经理任职声明》实质性内容的；</w:t>
      </w:r>
    </w:p>
    <w:p w14:paraId="1B67E4FD">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注：投标人已经工商变更，但其员工执业资格注册证书的注册单位名称未完成变更的，不得否决其投标。</w:t>
      </w:r>
    </w:p>
    <w:p w14:paraId="311DFE69">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鉴于目前继续教育开展的实际情况，建筑和市政工程施工现场专业人员（例如：施工员、质量员、材料员、资料员）的岗位证书或培训证书不审查其证书的有效期。</w:t>
      </w:r>
    </w:p>
    <w:p w14:paraId="6C0F58AC">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（6）招标文件规定不接受联合体投标，但以联合体投标的；</w:t>
      </w:r>
    </w:p>
    <w:p w14:paraId="2545E353">
      <w:pPr>
        <w:keepNext w:val="0"/>
        <w:keepLines w:val="0"/>
        <w:pageBreakBefore w:val="0"/>
        <w:widowControl/>
        <w:kinsoku w:val="0"/>
        <w:wordWrap/>
        <w:overflowPunct/>
        <w:topLinePunct w:val="0"/>
        <w:autoSpaceDE w:val="0"/>
        <w:autoSpaceDN w:val="0"/>
        <w:bidi w:val="0"/>
        <w:adjustRightInd w:val="0"/>
        <w:snapToGrid w:val="0"/>
        <w:spacing w:line="360" w:lineRule="auto"/>
        <w:ind w:right="198" w:firstLine="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）投标人为外省建筑企业，但未提供“进粤企业和人员诚信信息登记平台 ”企业和拟派人员信息情况打印页或网页截图的。</w:t>
      </w:r>
    </w:p>
    <w:p w14:paraId="6D70902A">
      <w:pPr>
        <w:spacing w:before="154" w:line="221" w:lineRule="auto"/>
        <w:ind w:left="477"/>
        <w:outlineLvl w:val="2"/>
        <w:rPr>
          <w:rFonts w:hint="eastAsia" w:ascii="宋体" w:hAnsi="宋体" w:eastAsia="宋体" w:cs="宋体"/>
          <w:color w:val="auto"/>
          <w:sz w:val="24"/>
          <w:szCs w:val="24"/>
          <w:highlight w:val="none"/>
        </w:rPr>
      </w:pPr>
      <w:bookmarkStart w:id="148" w:name="_Toc5925"/>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．形式评审环节</w:t>
      </w:r>
      <w:bookmarkEnd w:id="148"/>
    </w:p>
    <w:p w14:paraId="26483CE3">
      <w:pPr>
        <w:keepNext w:val="0"/>
        <w:keepLines w:val="0"/>
        <w:pageBreakBefore w:val="0"/>
        <w:widowControl/>
        <w:kinsoku w:val="0"/>
        <w:wordWrap/>
        <w:overflowPunct/>
        <w:topLinePunct w:val="0"/>
        <w:autoSpaceDE w:val="0"/>
        <w:autoSpaceDN w:val="0"/>
        <w:bidi w:val="0"/>
        <w:adjustRightInd w:val="0"/>
        <w:snapToGrid w:val="0"/>
        <w:spacing w:line="360" w:lineRule="auto"/>
        <w:ind w:right="200" w:firstLine="48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投标人有下列情形之一的，评标委员会应否决其投标。被否决的投标人，不进入响应性评审环节。</w:t>
      </w:r>
    </w:p>
    <w:p w14:paraId="0C2F9E3F">
      <w:pPr>
        <w:keepNext w:val="0"/>
        <w:keepLines w:val="0"/>
        <w:pageBreakBefore w:val="0"/>
        <w:widowControl/>
        <w:kinsoku w:val="0"/>
        <w:wordWrap/>
        <w:overflowPunct/>
        <w:topLinePunct w:val="0"/>
        <w:autoSpaceDE w:val="0"/>
        <w:autoSpaceDN w:val="0"/>
        <w:bidi w:val="0"/>
        <w:adjustRightInd w:val="0"/>
        <w:snapToGrid w:val="0"/>
        <w:spacing w:line="360" w:lineRule="auto"/>
        <w:ind w:left="49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（1）各分册没按招标文件规定加盖电子印章；</w:t>
      </w:r>
    </w:p>
    <w:p w14:paraId="2D11B641">
      <w:pPr>
        <w:keepNext w:val="0"/>
        <w:keepLines w:val="0"/>
        <w:pageBreakBefore w:val="0"/>
        <w:widowControl/>
        <w:kinsoku w:val="0"/>
        <w:wordWrap/>
        <w:overflowPunct/>
        <w:topLinePunct w:val="0"/>
        <w:autoSpaceDE w:val="0"/>
        <w:autoSpaceDN w:val="0"/>
        <w:bidi w:val="0"/>
        <w:adjustRightInd w:val="0"/>
        <w:snapToGrid w:val="0"/>
        <w:spacing w:line="360" w:lineRule="auto"/>
        <w:ind w:left="1" w:right="200" w:firstLine="49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（2）本章第三节第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10.2.2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10.3.2</w:t>
      </w:r>
      <w:r>
        <w:rPr>
          <w:rFonts w:hint="eastAsia" w:ascii="宋体" w:hAnsi="宋体" w:eastAsia="宋体" w:cs="宋体"/>
          <w:color w:val="auto"/>
          <w:spacing w:val="-8"/>
          <w:sz w:val="24"/>
          <w:szCs w:val="24"/>
          <w:highlight w:val="none"/>
        </w:rPr>
        <w:t xml:space="preserve"> 目、第</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8"/>
          <w:sz w:val="24"/>
          <w:szCs w:val="24"/>
          <w:highlight w:val="none"/>
        </w:rPr>
        <w:t>10.4.3</w:t>
      </w:r>
      <w:r>
        <w:rPr>
          <w:rFonts w:hint="eastAsia" w:ascii="宋体" w:hAnsi="宋体" w:eastAsia="宋体" w:cs="宋体"/>
          <w:color w:val="auto"/>
          <w:spacing w:val="-8"/>
          <w:sz w:val="24"/>
          <w:szCs w:val="24"/>
          <w:highlight w:val="none"/>
        </w:rPr>
        <w:t xml:space="preserve"> 目中规定的“所有投标人</w:t>
      </w:r>
      <w:r>
        <w:rPr>
          <w:rFonts w:hint="eastAsia" w:ascii="宋体" w:hAnsi="宋体" w:eastAsia="宋体" w:cs="宋体"/>
          <w:color w:val="auto"/>
          <w:spacing w:val="-1"/>
          <w:sz w:val="24"/>
          <w:szCs w:val="24"/>
          <w:highlight w:val="none"/>
        </w:rPr>
        <w:t>均应提供</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”的组成内容（包括该组成内容的所附资料）中，</w:t>
      </w:r>
      <w:r>
        <w:rPr>
          <w:rFonts w:hint="eastAsia" w:ascii="宋体" w:hAnsi="宋体" w:eastAsia="宋体" w:cs="宋体"/>
          <w:color w:val="auto"/>
          <w:spacing w:val="-2"/>
          <w:sz w:val="24"/>
          <w:szCs w:val="24"/>
          <w:highlight w:val="none"/>
        </w:rPr>
        <w:t>任何一项有缺漏的；</w:t>
      </w:r>
    </w:p>
    <w:p w14:paraId="306681E4">
      <w:pPr>
        <w:keepNext w:val="0"/>
        <w:keepLines w:val="0"/>
        <w:pageBreakBefore w:val="0"/>
        <w:widowControl/>
        <w:kinsoku w:val="0"/>
        <w:wordWrap/>
        <w:overflowPunct/>
        <w:topLinePunct w:val="0"/>
        <w:autoSpaceDE w:val="0"/>
        <w:autoSpaceDN w:val="0"/>
        <w:bidi w:val="0"/>
        <w:adjustRightInd w:val="0"/>
        <w:snapToGrid w:val="0"/>
        <w:spacing w:line="360" w:lineRule="auto"/>
        <w:ind w:left="8" w:right="200" w:firstLine="4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（3）关键字迹模糊、无法辨认，且该种过错将导致评标委员会无法判断投标文件是</w:t>
      </w:r>
      <w:r>
        <w:rPr>
          <w:rFonts w:hint="eastAsia" w:ascii="宋体" w:hAnsi="宋体" w:eastAsia="宋体" w:cs="宋体"/>
          <w:color w:val="auto"/>
          <w:spacing w:val="-2"/>
          <w:sz w:val="24"/>
          <w:szCs w:val="24"/>
          <w:highlight w:val="none"/>
        </w:rPr>
        <w:t>否响应招标文件实质性要求的；有涂改、行间插字或删除，但未加盖单位章或由投标人</w:t>
      </w:r>
      <w:r>
        <w:rPr>
          <w:rFonts w:hint="eastAsia" w:ascii="宋体" w:hAnsi="宋体" w:eastAsia="宋体" w:cs="宋体"/>
          <w:color w:val="auto"/>
          <w:spacing w:val="-1"/>
          <w:sz w:val="24"/>
          <w:szCs w:val="24"/>
          <w:highlight w:val="none"/>
        </w:rPr>
        <w:t>的法定代表人或其委托代理人签字确认的；</w:t>
      </w:r>
    </w:p>
    <w:p w14:paraId="1D5E7E8B">
      <w:pPr>
        <w:keepNext w:val="0"/>
        <w:keepLines w:val="0"/>
        <w:pageBreakBefore w:val="0"/>
        <w:widowControl/>
        <w:kinsoku w:val="0"/>
        <w:wordWrap/>
        <w:overflowPunct/>
        <w:topLinePunct w:val="0"/>
        <w:autoSpaceDE w:val="0"/>
        <w:autoSpaceDN w:val="0"/>
        <w:bidi w:val="0"/>
        <w:adjustRightInd w:val="0"/>
        <w:snapToGrid w:val="0"/>
        <w:spacing w:line="360" w:lineRule="auto"/>
        <w:ind w:left="43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（4）投标文件未按规定签字、盖章的。</w:t>
      </w:r>
    </w:p>
    <w:p w14:paraId="361A256C">
      <w:pPr>
        <w:spacing w:before="227" w:line="221" w:lineRule="auto"/>
        <w:ind w:left="475"/>
        <w:outlineLvl w:val="2"/>
        <w:rPr>
          <w:rFonts w:hint="eastAsia" w:ascii="宋体" w:hAnsi="宋体" w:eastAsia="宋体" w:cs="宋体"/>
          <w:color w:val="auto"/>
          <w:sz w:val="24"/>
          <w:szCs w:val="24"/>
          <w:highlight w:val="none"/>
        </w:rPr>
      </w:pPr>
      <w:bookmarkStart w:id="149" w:name="_Toc19828"/>
      <w:r>
        <w:rPr>
          <w:rFonts w:hint="eastAsia" w:ascii="宋体" w:hAnsi="宋体" w:eastAsia="宋体" w:cs="宋体"/>
          <w:b/>
          <w:bCs/>
          <w:color w:val="auto"/>
          <w:spacing w:val="-6"/>
          <w:sz w:val="24"/>
          <w:szCs w:val="24"/>
          <w:highlight w:val="none"/>
        </w:rPr>
        <w:t>3</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6"/>
          <w:sz w:val="24"/>
          <w:szCs w:val="24"/>
          <w:highlight w:val="none"/>
        </w:rPr>
        <w:t>．响应性评审环节</w:t>
      </w:r>
      <w:bookmarkEnd w:id="149"/>
    </w:p>
    <w:p w14:paraId="58201269">
      <w:pPr>
        <w:spacing w:before="151" w:line="327" w:lineRule="auto"/>
        <w:ind w:left="1" w:right="200"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投标人有下列情形之一的，评标委员会应否决其投标。被否决的投标人，不进入详细评审阶段。</w:t>
      </w:r>
    </w:p>
    <w:p w14:paraId="3701EA00">
      <w:pPr>
        <w:spacing w:before="31" w:line="279" w:lineRule="auto"/>
        <w:ind w:left="40" w:right="200" w:firstLine="45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（1）承诺的投标有效期短于规定的；质量标准低于规定的；工期超出规定的；擅</w:t>
      </w:r>
      <w:r>
        <w:rPr>
          <w:rFonts w:hint="eastAsia" w:ascii="宋体" w:hAnsi="宋体" w:eastAsia="宋体" w:cs="宋体"/>
          <w:color w:val="auto"/>
          <w:spacing w:val="-2"/>
          <w:sz w:val="24"/>
          <w:szCs w:val="24"/>
          <w:highlight w:val="none"/>
        </w:rPr>
        <w:t>自修改、遗漏《投标函》《各项承诺一览表》实质性内容的；</w:t>
      </w:r>
    </w:p>
    <w:p w14:paraId="4BBD2A16">
      <w:pPr>
        <w:spacing w:before="157" w:line="278" w:lineRule="auto"/>
        <w:ind w:left="2" w:right="200" w:firstLine="48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（2）编制《投标总价》的造价工程师，其注册证书不是</w:t>
      </w:r>
      <w:r>
        <w:rPr>
          <w:rFonts w:hint="eastAsia" w:ascii="宋体" w:hAnsi="宋体" w:eastAsia="宋体" w:cs="宋体"/>
          <w:b/>
          <w:bCs/>
          <w:color w:val="auto"/>
          <w:spacing w:val="1"/>
          <w:sz w:val="24"/>
          <w:szCs w:val="24"/>
          <w:highlight w:val="none"/>
        </w:rPr>
        <w:t>住建部门</w:t>
      </w:r>
      <w:r>
        <w:rPr>
          <w:rFonts w:hint="eastAsia" w:ascii="宋体" w:hAnsi="宋体" w:eastAsia="宋体" w:cs="宋体"/>
          <w:color w:val="auto"/>
          <w:spacing w:val="1"/>
          <w:sz w:val="24"/>
          <w:szCs w:val="24"/>
          <w:highlight w:val="none"/>
        </w:rPr>
        <w:t>颁发的；其注册</w:t>
      </w:r>
      <w:r>
        <w:rPr>
          <w:rFonts w:hint="eastAsia" w:ascii="宋体" w:hAnsi="宋体" w:eastAsia="宋体" w:cs="宋体"/>
          <w:color w:val="auto"/>
          <w:sz w:val="24"/>
          <w:szCs w:val="24"/>
          <w:highlight w:val="none"/>
        </w:rPr>
        <w:t>单位与投标人（或造价咨询人）不一致的；</w:t>
      </w:r>
      <w:r>
        <w:rPr>
          <w:rFonts w:hint="eastAsia" w:ascii="宋体" w:hAnsi="宋体" w:eastAsia="宋体" w:cs="宋体"/>
          <w:color w:val="auto"/>
          <w:spacing w:val="-1"/>
          <w:sz w:val="24"/>
          <w:szCs w:val="24"/>
          <w:highlight w:val="none"/>
        </w:rPr>
        <w:t>其注册证书不在有效期内的。</w:t>
      </w:r>
    </w:p>
    <w:p w14:paraId="28A865F2">
      <w:pPr>
        <w:spacing w:before="156" w:line="329" w:lineRule="auto"/>
        <w:ind w:right="200" w:firstLine="480"/>
        <w:jc w:val="both"/>
        <w:rPr>
          <w:rFonts w:hint="eastAsia" w:ascii="宋体" w:hAnsi="宋体" w:eastAsia="宋体" w:cs="宋体"/>
          <w:color w:val="auto"/>
          <w:highlight w:val="none"/>
        </w:rPr>
      </w:pPr>
      <w:r>
        <w:rPr>
          <w:rFonts w:hint="eastAsia" w:ascii="宋体" w:hAnsi="宋体" w:eastAsia="宋体" w:cs="宋体"/>
          <w:b/>
          <w:bCs/>
          <w:color w:val="auto"/>
          <w:spacing w:val="-4"/>
          <w:sz w:val="24"/>
          <w:szCs w:val="24"/>
          <w:highlight w:val="none"/>
        </w:rPr>
        <w:t>注：投标人（或造价咨询人）已经工商变更，但其员工的执业资格注</w:t>
      </w:r>
      <w:r>
        <w:rPr>
          <w:rFonts w:hint="eastAsia" w:ascii="宋体" w:hAnsi="宋体" w:eastAsia="宋体" w:cs="宋体"/>
          <w:b/>
          <w:bCs/>
          <w:color w:val="auto"/>
          <w:spacing w:val="-5"/>
          <w:sz w:val="24"/>
          <w:szCs w:val="24"/>
          <w:highlight w:val="none"/>
        </w:rPr>
        <w:t>册证书的注册单位名称未完成变更的，不得否决其投标。此条与 10.3.1 中的造价工程师执业（含二级造价工程师）指引相一致。</w:t>
      </w:r>
    </w:p>
    <w:p w14:paraId="5C2D0203">
      <w:pPr>
        <w:spacing w:before="78" w:line="299" w:lineRule="auto"/>
        <w:ind w:left="2" w:right="81"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（3）投标人委托造价咨询单位编制《投标总价》，但未在《投标总价扉页》“投标人</w:t>
      </w:r>
      <w:r>
        <w:rPr>
          <w:rFonts w:hint="eastAsia" w:ascii="宋体" w:hAnsi="宋体" w:eastAsia="宋体" w:cs="宋体"/>
          <w:color w:val="auto"/>
          <w:spacing w:val="-86"/>
          <w:sz w:val="24"/>
          <w:szCs w:val="24"/>
          <w:highlight w:val="none"/>
        </w:rPr>
        <w:t xml:space="preserve"> </w:t>
      </w:r>
      <w:r>
        <w:rPr>
          <w:rFonts w:hint="eastAsia" w:ascii="宋体" w:hAnsi="宋体" w:eastAsia="宋体" w:cs="宋体"/>
          <w:color w:val="auto"/>
          <w:spacing w:val="1"/>
          <w:sz w:val="24"/>
          <w:szCs w:val="24"/>
          <w:highlight w:val="none"/>
        </w:rPr>
        <w:t>”栏目加盖造价咨询人公章的；未提</w:t>
      </w:r>
      <w:r>
        <w:rPr>
          <w:rFonts w:hint="eastAsia" w:ascii="宋体" w:hAnsi="宋体" w:eastAsia="宋体" w:cs="宋体"/>
          <w:color w:val="auto"/>
          <w:sz w:val="24"/>
          <w:szCs w:val="24"/>
          <w:highlight w:val="none"/>
        </w:rPr>
        <w:t>供造价咨询人的营业执照副本彩</w:t>
      </w:r>
      <w:r>
        <w:rPr>
          <w:rFonts w:hint="eastAsia" w:ascii="宋体" w:hAnsi="宋体" w:eastAsia="宋体" w:cs="宋体"/>
          <w:color w:val="auto"/>
          <w:spacing w:val="-3"/>
          <w:sz w:val="24"/>
          <w:szCs w:val="24"/>
          <w:highlight w:val="none"/>
        </w:rPr>
        <w:t>色扫描件；</w:t>
      </w:r>
    </w:p>
    <w:p w14:paraId="59FDCAA7">
      <w:pPr>
        <w:spacing w:before="151" w:line="360" w:lineRule="auto"/>
        <w:ind w:right="21" w:firstLine="490"/>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rPr>
        <w:t>（4）出现两个或两个以上投标总价的（同一个投标总价大、小写不一致的除外）；投标总价超出</w:t>
      </w:r>
      <w:r>
        <w:rPr>
          <w:rFonts w:hint="eastAsia" w:ascii="宋体" w:hAnsi="宋体" w:eastAsia="宋体" w:cs="宋体"/>
          <w:color w:val="auto"/>
          <w:spacing w:val="-2"/>
          <w:sz w:val="24"/>
          <w:szCs w:val="24"/>
          <w:highlight w:val="none"/>
          <w:lang w:val="en-US" w:eastAsia="zh-CN"/>
        </w:rPr>
        <w:t>最高投标限价</w:t>
      </w:r>
      <w:r>
        <w:rPr>
          <w:rFonts w:hint="eastAsia" w:ascii="宋体" w:hAnsi="宋体" w:eastAsia="宋体" w:cs="宋体"/>
          <w:color w:val="auto"/>
          <w:spacing w:val="-2"/>
          <w:sz w:val="24"/>
          <w:szCs w:val="24"/>
          <w:highlight w:val="none"/>
        </w:rPr>
        <w:t>的；安全生产措施费少于规定的；暂列金额、暂估价未按照招标工程量清单统一报价的；擅自修改、增减招标工程量清单项目（包括措施项目）的；投标人的投标报价低于招标项目的成本警示价但未提供成本分析资料等报价依据</w:t>
      </w:r>
      <w:r>
        <w:rPr>
          <w:rFonts w:hint="eastAsia" w:ascii="宋体" w:hAnsi="宋体" w:eastAsia="宋体" w:cs="宋体"/>
          <w:color w:val="auto"/>
          <w:spacing w:val="-2"/>
          <w:sz w:val="24"/>
          <w:szCs w:val="24"/>
          <w:highlight w:val="none"/>
          <w:lang w:eastAsia="zh-CN"/>
        </w:rPr>
        <w:t>；</w:t>
      </w:r>
    </w:p>
    <w:p w14:paraId="2C7202B0">
      <w:pPr>
        <w:spacing w:before="151" w:line="360" w:lineRule="auto"/>
        <w:ind w:right="21" w:firstLine="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注：成本警示价＝最高投标限价×85%。如果某投标人的投标报价低于招标项目的成本警示价，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13FAA707">
      <w:pPr>
        <w:spacing w:before="156" w:line="299" w:lineRule="auto"/>
        <w:ind w:right="81" w:firstLine="49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（5）在施工组织设计评审中，评标委员会认定质量、进度保障措施与国家和省市</w:t>
      </w:r>
      <w:r>
        <w:rPr>
          <w:rFonts w:hint="eastAsia" w:ascii="宋体" w:hAnsi="宋体" w:eastAsia="宋体" w:cs="宋体"/>
          <w:color w:val="auto"/>
          <w:spacing w:val="-3"/>
          <w:sz w:val="24"/>
          <w:szCs w:val="24"/>
          <w:highlight w:val="none"/>
        </w:rPr>
        <w:t>现行有关规范、规定、标准有重大偏差，</w:t>
      </w:r>
      <w:r>
        <w:rPr>
          <w:rFonts w:hint="eastAsia" w:ascii="宋体" w:hAnsi="宋体" w:eastAsia="宋体" w:cs="宋体"/>
          <w:b/>
          <w:bCs/>
          <w:color w:val="auto"/>
          <w:spacing w:val="-3"/>
          <w:sz w:val="24"/>
          <w:szCs w:val="24"/>
          <w:highlight w:val="none"/>
        </w:rPr>
        <w:t>且该种过错将导致工程质量、进度管理目标无</w:t>
      </w:r>
      <w:r>
        <w:rPr>
          <w:rFonts w:hint="eastAsia" w:ascii="宋体" w:hAnsi="宋体" w:eastAsia="宋体" w:cs="宋体"/>
          <w:b/>
          <w:bCs/>
          <w:color w:val="auto"/>
          <w:spacing w:val="-4"/>
          <w:sz w:val="24"/>
          <w:szCs w:val="24"/>
          <w:highlight w:val="none"/>
        </w:rPr>
        <w:t>法实现的</w:t>
      </w:r>
      <w:r>
        <w:rPr>
          <w:rFonts w:hint="eastAsia" w:ascii="宋体" w:hAnsi="宋体" w:eastAsia="宋体" w:cs="宋体"/>
          <w:color w:val="auto"/>
          <w:spacing w:val="-4"/>
          <w:sz w:val="24"/>
          <w:szCs w:val="24"/>
          <w:highlight w:val="none"/>
        </w:rPr>
        <w:t>。</w:t>
      </w:r>
    </w:p>
    <w:p w14:paraId="6ECCBC11">
      <w:pPr>
        <w:spacing w:before="151" w:line="221" w:lineRule="auto"/>
        <w:ind w:left="476"/>
        <w:outlineLvl w:val="2"/>
        <w:rPr>
          <w:rFonts w:hint="eastAsia" w:ascii="宋体" w:hAnsi="宋体" w:eastAsia="宋体" w:cs="宋体"/>
          <w:color w:val="auto"/>
          <w:sz w:val="24"/>
          <w:szCs w:val="24"/>
          <w:highlight w:val="none"/>
        </w:rPr>
      </w:pPr>
      <w:bookmarkStart w:id="150" w:name="_Toc1458"/>
      <w:r>
        <w:rPr>
          <w:rFonts w:hint="eastAsia" w:ascii="宋体" w:hAnsi="宋体" w:eastAsia="宋体" w:cs="宋体"/>
          <w:b/>
          <w:bCs/>
          <w:color w:val="auto"/>
          <w:spacing w:val="-11"/>
          <w:sz w:val="24"/>
          <w:szCs w:val="24"/>
          <w:highlight w:val="none"/>
        </w:rPr>
        <w:t>4</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11"/>
          <w:sz w:val="24"/>
          <w:szCs w:val="24"/>
          <w:highlight w:val="none"/>
        </w:rPr>
        <w:t>．其他</w:t>
      </w:r>
      <w:bookmarkEnd w:id="150"/>
    </w:p>
    <w:p w14:paraId="661EC0BB">
      <w:pPr>
        <w:spacing w:before="153" w:line="326" w:lineRule="auto"/>
        <w:ind w:firstLine="47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在任何评标环节（或阶段</w:t>
      </w:r>
      <w:r>
        <w:rPr>
          <w:rFonts w:hint="eastAsia" w:ascii="宋体" w:hAnsi="宋体" w:eastAsia="宋体" w:cs="宋体"/>
          <w:color w:val="auto"/>
          <w:spacing w:val="-36"/>
          <w:sz w:val="24"/>
          <w:szCs w:val="24"/>
          <w:highlight w:val="none"/>
        </w:rPr>
        <w:t>），</w:t>
      </w:r>
      <w:r>
        <w:rPr>
          <w:rFonts w:hint="eastAsia" w:ascii="宋体" w:hAnsi="宋体" w:eastAsia="宋体" w:cs="宋体"/>
          <w:color w:val="auto"/>
          <w:spacing w:val="-4"/>
          <w:sz w:val="24"/>
          <w:szCs w:val="24"/>
          <w:highlight w:val="none"/>
        </w:rPr>
        <w:t>投标人有下列情形之一的，评标委员会应否</w:t>
      </w:r>
      <w:r>
        <w:rPr>
          <w:rFonts w:hint="eastAsia" w:ascii="宋体" w:hAnsi="宋体" w:eastAsia="宋体" w:cs="宋体"/>
          <w:color w:val="auto"/>
          <w:spacing w:val="-5"/>
          <w:sz w:val="24"/>
          <w:szCs w:val="24"/>
          <w:highlight w:val="none"/>
        </w:rPr>
        <w:t>决其投标。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被否决的投标人，不进入下一环节（或阶段）。</w:t>
      </w:r>
    </w:p>
    <w:p w14:paraId="48B56398">
      <w:pPr>
        <w:spacing w:before="33"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（1）不按评标委员会要求澄清、说明或补正的；</w:t>
      </w:r>
    </w:p>
    <w:p w14:paraId="56BDFC4F">
      <w:pPr>
        <w:spacing w:before="154" w:line="219"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（2）有下列情形之一，被评标委员会认定属于串通投标的：</w:t>
      </w:r>
    </w:p>
    <w:p w14:paraId="2522ABAB">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①不同投标人的投标文件两处以上（含两处）错、漏一致；</w:t>
      </w:r>
    </w:p>
    <w:p w14:paraId="2D9D4BC9">
      <w:pPr>
        <w:keepNext w:val="0"/>
        <w:keepLines w:val="0"/>
        <w:pageBreakBefore w:val="0"/>
        <w:widowControl/>
        <w:kinsoku w:val="0"/>
        <w:wordWrap/>
        <w:overflowPunct/>
        <w:topLinePunct w:val="0"/>
        <w:autoSpaceDE w:val="0"/>
        <w:autoSpaceDN w:val="0"/>
        <w:bidi w:val="0"/>
        <w:adjustRightInd w:val="0"/>
        <w:snapToGrid w:val="0"/>
        <w:spacing w:before="156" w:line="278" w:lineRule="auto"/>
        <w:ind w:right="21"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②不同投标人的投标总价相近且各分项报价、综合单价分析表内容混乱不能相互对</w:t>
      </w:r>
      <w:r>
        <w:rPr>
          <w:rFonts w:hint="eastAsia" w:ascii="宋体" w:hAnsi="宋体" w:eastAsia="宋体" w:cs="宋体"/>
          <w:color w:val="auto"/>
          <w:spacing w:val="-6"/>
          <w:sz w:val="24"/>
          <w:szCs w:val="24"/>
          <w:highlight w:val="none"/>
        </w:rPr>
        <w:t>应、乱调乱压或乱抬的，而在询标时没有合理的解释或者不能提供计算依据和</w:t>
      </w:r>
      <w:r>
        <w:rPr>
          <w:rFonts w:hint="eastAsia" w:ascii="宋体" w:hAnsi="宋体" w:eastAsia="宋体" w:cs="宋体"/>
          <w:color w:val="auto"/>
          <w:spacing w:val="-7"/>
          <w:sz w:val="24"/>
          <w:szCs w:val="24"/>
          <w:highlight w:val="none"/>
        </w:rPr>
        <w:t>报价依据；</w:t>
      </w:r>
    </w:p>
    <w:p w14:paraId="5E0C8B0A">
      <w:pPr>
        <w:keepNext w:val="0"/>
        <w:keepLines w:val="0"/>
        <w:pageBreakBefore w:val="0"/>
        <w:widowControl/>
        <w:kinsoku w:val="0"/>
        <w:wordWrap/>
        <w:overflowPunct/>
        <w:topLinePunct w:val="0"/>
        <w:autoSpaceDE w:val="0"/>
        <w:autoSpaceDN w:val="0"/>
        <w:bidi w:val="0"/>
        <w:adjustRightInd w:val="0"/>
        <w:snapToGrid w:val="0"/>
        <w:spacing w:before="157"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③不同投标人的投标各项报价存在异常一致</w:t>
      </w:r>
      <w:r>
        <w:rPr>
          <w:rFonts w:hint="eastAsia" w:ascii="宋体" w:hAnsi="宋体" w:eastAsia="宋体" w:cs="宋体"/>
          <w:color w:val="auto"/>
          <w:spacing w:val="-1"/>
          <w:sz w:val="24"/>
          <w:szCs w:val="24"/>
          <w:highlight w:val="none"/>
        </w:rPr>
        <w:t>或者呈规律性变化；</w:t>
      </w:r>
    </w:p>
    <w:p w14:paraId="0DB0011F">
      <w:pPr>
        <w:keepNext w:val="0"/>
        <w:keepLines w:val="0"/>
        <w:pageBreakBefore w:val="0"/>
        <w:widowControl/>
        <w:kinsoku w:val="0"/>
        <w:wordWrap/>
        <w:overflowPunct/>
        <w:topLinePunct w:val="0"/>
        <w:autoSpaceDE w:val="0"/>
        <w:autoSpaceDN w:val="0"/>
        <w:bidi w:val="0"/>
        <w:adjustRightInd w:val="0"/>
        <w:snapToGrid w:val="0"/>
        <w:spacing w:before="156"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④不同投标人的投标文件由同一单位或者同一个人编制；</w:t>
      </w:r>
    </w:p>
    <w:p w14:paraId="69EA40D7">
      <w:pPr>
        <w:keepNext w:val="0"/>
        <w:keepLines w:val="0"/>
        <w:pageBreakBefore w:val="0"/>
        <w:widowControl/>
        <w:kinsoku w:val="0"/>
        <w:wordWrap/>
        <w:overflowPunct/>
        <w:topLinePunct w:val="0"/>
        <w:autoSpaceDE w:val="0"/>
        <w:autoSpaceDN w:val="0"/>
        <w:bidi w:val="0"/>
        <w:adjustRightInd w:val="0"/>
        <w:snapToGrid w:val="0"/>
        <w:spacing w:before="157" w:line="280" w:lineRule="auto"/>
        <w:ind w:left="1" w:right="81"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⑤不同投标人的投标文件中投标资料（包括电子资料）相互混装或项目班子成员出</w:t>
      </w:r>
      <w:r>
        <w:rPr>
          <w:rFonts w:hint="eastAsia" w:ascii="宋体" w:hAnsi="宋体" w:eastAsia="宋体" w:cs="宋体"/>
          <w:color w:val="auto"/>
          <w:spacing w:val="-3"/>
          <w:sz w:val="24"/>
          <w:szCs w:val="24"/>
          <w:highlight w:val="none"/>
        </w:rPr>
        <w:t>现同一人；</w:t>
      </w:r>
    </w:p>
    <w:p w14:paraId="656BD1E5">
      <w:pPr>
        <w:keepNext w:val="0"/>
        <w:keepLines w:val="0"/>
        <w:pageBreakBefore w:val="0"/>
        <w:widowControl/>
        <w:kinsoku w:val="0"/>
        <w:wordWrap/>
        <w:overflowPunct/>
        <w:topLinePunct w:val="0"/>
        <w:autoSpaceDE w:val="0"/>
        <w:autoSpaceDN w:val="0"/>
        <w:bidi w:val="0"/>
        <w:adjustRightInd w:val="0"/>
        <w:snapToGrid w:val="0"/>
        <w:spacing w:before="152" w:line="279" w:lineRule="auto"/>
        <w:ind w:left="3" w:right="8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⑥不同投标人的投标文件由同一电脑编制或同一台附属设备打印，或投标报价用同</w:t>
      </w:r>
      <w:r>
        <w:rPr>
          <w:rFonts w:hint="eastAsia" w:ascii="宋体" w:hAnsi="宋体" w:eastAsia="宋体" w:cs="宋体"/>
          <w:color w:val="auto"/>
          <w:spacing w:val="-1"/>
          <w:sz w:val="24"/>
          <w:szCs w:val="24"/>
          <w:highlight w:val="none"/>
        </w:rPr>
        <w:t>一个预算编制软件密码锁制作或出自同一电子文档；</w:t>
      </w:r>
    </w:p>
    <w:p w14:paraId="444FC7CC">
      <w:pPr>
        <w:keepNext w:val="0"/>
        <w:keepLines w:val="0"/>
        <w:pageBreakBefore w:val="0"/>
        <w:widowControl/>
        <w:kinsoku w:val="0"/>
        <w:wordWrap/>
        <w:overflowPunct/>
        <w:topLinePunct w:val="0"/>
        <w:autoSpaceDE w:val="0"/>
        <w:autoSpaceDN w:val="0"/>
        <w:bidi w:val="0"/>
        <w:adjustRightInd w:val="0"/>
        <w:snapToGrid w:val="0"/>
        <w:spacing w:before="155" w:line="218" w:lineRule="auto"/>
        <w:ind w:left="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⑦不同投标人的投标保证由同一企业或同一账户资金缴纳；</w:t>
      </w:r>
    </w:p>
    <w:p w14:paraId="7BCF0647">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pacing w:val="-6"/>
          <w:sz w:val="24"/>
          <w:szCs w:val="24"/>
          <w:highlight w:val="none"/>
        </w:rPr>
      </w:pPr>
      <w:r>
        <w:rPr>
          <w:rFonts w:hint="eastAsia" w:ascii="宋体" w:hAnsi="宋体" w:eastAsia="宋体" w:cs="宋体"/>
          <w:color w:val="auto"/>
          <w:spacing w:val="5"/>
          <w:sz w:val="24"/>
          <w:szCs w:val="24"/>
          <w:highlight w:val="none"/>
        </w:rPr>
        <w:t>⑧不同投标人委托同一个人或注册在同一家企业的注册人员或同一家企业为其投</w:t>
      </w:r>
      <w:r>
        <w:rPr>
          <w:rFonts w:hint="eastAsia" w:ascii="宋体" w:hAnsi="宋体" w:eastAsia="宋体" w:cs="宋体"/>
          <w:color w:val="auto"/>
          <w:spacing w:val="-2"/>
          <w:sz w:val="24"/>
          <w:szCs w:val="24"/>
          <w:highlight w:val="none"/>
        </w:rPr>
        <w:t>标提供投标咨询、商务报价、技术咨询（招标项目本身要求采用专有技术的除外）等服</w:t>
      </w:r>
      <w:r>
        <w:rPr>
          <w:rFonts w:hint="eastAsia" w:ascii="宋体" w:hAnsi="宋体" w:eastAsia="宋体" w:cs="宋体"/>
          <w:color w:val="auto"/>
          <w:spacing w:val="-6"/>
          <w:sz w:val="24"/>
          <w:szCs w:val="24"/>
          <w:highlight w:val="none"/>
        </w:rPr>
        <w:t>务。</w:t>
      </w:r>
    </w:p>
    <w:p w14:paraId="00B2008F">
      <w:pPr>
        <w:keepNext w:val="0"/>
        <w:keepLines w:val="0"/>
        <w:pageBreakBefore w:val="0"/>
        <w:widowControl/>
        <w:kinsoku w:val="0"/>
        <w:wordWrap/>
        <w:overflowPunct/>
        <w:topLinePunct w:val="0"/>
        <w:autoSpaceDE w:val="0"/>
        <w:autoSpaceDN w:val="0"/>
        <w:bidi w:val="0"/>
        <w:adjustRightInd w:val="0"/>
        <w:snapToGrid w:val="0"/>
        <w:spacing w:before="152" w:line="279" w:lineRule="auto"/>
        <w:ind w:left="3" w:right="81" w:firstLine="474"/>
        <w:textAlignment w:val="baseline"/>
        <w:rPr>
          <w:rFonts w:hint="eastAsia" w:ascii="宋体" w:hAnsi="宋体" w:eastAsia="宋体" w:cs="宋体"/>
          <w:color w:val="auto"/>
          <w:spacing w:val="-6"/>
          <w:sz w:val="24"/>
          <w:szCs w:val="24"/>
          <w:highlight w:val="none"/>
        </w:rPr>
        <w:sectPr>
          <w:headerReference r:id="rId8" w:type="default"/>
          <w:footerReference r:id="rId9" w:type="default"/>
          <w:pgSz w:w="11906" w:h="16839"/>
          <w:pgMar w:top="1440" w:right="946" w:bottom="1440" w:left="1080" w:header="0" w:footer="1023"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spacing w:val="-6"/>
          <w:sz w:val="24"/>
          <w:szCs w:val="24"/>
          <w:highlight w:val="none"/>
          <w:lang w:val="en-US" w:eastAsia="zh-CN"/>
        </w:rPr>
        <w:t>⑨监督部门于韶关市公共交易一体化平台发现系统提示风险预警，如提示投标单位上传投标文件使用的电脑IP地址一致等。</w:t>
      </w:r>
    </w:p>
    <w:p w14:paraId="5B7C83AF">
      <w:pPr>
        <w:keepNext w:val="0"/>
        <w:keepLines w:val="0"/>
        <w:pageBreakBefore w:val="0"/>
        <w:widowControl/>
        <w:kinsoku w:val="0"/>
        <w:wordWrap/>
        <w:overflowPunct/>
        <w:topLinePunct w:val="0"/>
        <w:autoSpaceDE w:val="0"/>
        <w:autoSpaceDN w:val="0"/>
        <w:bidi w:val="0"/>
        <w:adjustRightInd w:val="0"/>
        <w:snapToGrid w:val="0"/>
        <w:spacing w:before="157" w:line="299" w:lineRule="auto"/>
        <w:ind w:right="81" w:firstLine="477"/>
        <w:textAlignment w:val="baseline"/>
        <w:rPr>
          <w:rFonts w:hint="eastAsia" w:ascii="宋体" w:hAnsi="宋体" w:eastAsia="宋体" w:cs="宋体"/>
          <w:color w:val="auto"/>
          <w:spacing w:val="-6"/>
          <w:sz w:val="24"/>
          <w:szCs w:val="24"/>
          <w:highlight w:val="none"/>
        </w:rPr>
      </w:pPr>
    </w:p>
    <w:p w14:paraId="55EEBDA7">
      <w:pPr>
        <w:spacing w:before="78" w:line="220" w:lineRule="auto"/>
        <w:ind w:left="9"/>
        <w:jc w:val="center"/>
        <w:outlineLvl w:val="1"/>
        <w:rPr>
          <w:rFonts w:hint="eastAsia" w:ascii="宋体" w:hAnsi="宋体" w:eastAsia="宋体" w:cs="宋体"/>
          <w:color w:val="auto"/>
          <w:sz w:val="24"/>
          <w:szCs w:val="24"/>
          <w:highlight w:val="none"/>
        </w:rPr>
      </w:pPr>
      <w:bookmarkStart w:id="151" w:name="bookmark57"/>
      <w:bookmarkEnd w:id="151"/>
      <w:bookmarkStart w:id="152" w:name="_Toc22243"/>
      <w:r>
        <w:rPr>
          <w:rFonts w:hint="eastAsia"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五</w:t>
      </w:r>
      <w:r>
        <w:rPr>
          <w:rFonts w:hint="eastAsia" w:ascii="宋体" w:hAnsi="宋体" w:eastAsia="宋体" w:cs="宋体"/>
          <w:b/>
          <w:bCs/>
          <w:color w:val="auto"/>
          <w:spacing w:val="-3"/>
          <w:sz w:val="24"/>
          <w:szCs w:val="24"/>
          <w:highlight w:val="none"/>
        </w:rPr>
        <w:t>节</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定标规定及细则（本项目采用票决数量法定标）</w:t>
      </w:r>
      <w:bookmarkEnd w:id="152"/>
    </w:p>
    <w:p w14:paraId="22BE35D4">
      <w:pPr>
        <w:pStyle w:val="6"/>
        <w:spacing w:line="256" w:lineRule="auto"/>
        <w:rPr>
          <w:rFonts w:hint="eastAsia" w:ascii="宋体" w:hAnsi="宋体" w:eastAsia="宋体" w:cs="宋体"/>
          <w:color w:val="auto"/>
          <w:highlight w:val="none"/>
        </w:rPr>
      </w:pPr>
    </w:p>
    <w:p w14:paraId="48FF6F1A">
      <w:pPr>
        <w:keepNext w:val="0"/>
        <w:keepLines w:val="0"/>
        <w:pageBreakBefore w:val="0"/>
        <w:wordWrap/>
        <w:overflowPunct/>
        <w:topLinePunct w:val="0"/>
        <w:bidi w:val="0"/>
        <w:spacing w:line="360" w:lineRule="auto"/>
        <w:ind w:firstLine="482" w:firstLineChars="200"/>
        <w:rPr>
          <w:rStyle w:val="21"/>
          <w:rFonts w:hint="eastAsia" w:ascii="宋体" w:hAnsi="宋体" w:eastAsia="宋体" w:cs="宋体"/>
          <w:b/>
          <w:bCs/>
          <w:color w:val="auto"/>
          <w:kern w:val="0"/>
          <w:sz w:val="24"/>
          <w:szCs w:val="24"/>
          <w:highlight w:val="none"/>
        </w:rPr>
      </w:pPr>
      <w:r>
        <w:rPr>
          <w:rStyle w:val="21"/>
          <w:rFonts w:hint="eastAsia" w:hAnsi="宋体" w:eastAsia="宋体" w:cs="宋体"/>
          <w:b/>
          <w:bCs/>
          <w:color w:val="auto"/>
          <w:kern w:val="0"/>
          <w:sz w:val="24"/>
          <w:szCs w:val="24"/>
          <w:highlight w:val="none"/>
          <w:lang w:val="en-US" w:eastAsia="zh-CN"/>
        </w:rPr>
        <w:t>1.</w:t>
      </w:r>
      <w:r>
        <w:rPr>
          <w:rStyle w:val="21"/>
          <w:rFonts w:hint="eastAsia" w:ascii="宋体" w:hAnsi="宋体" w:eastAsia="宋体" w:cs="宋体"/>
          <w:b/>
          <w:bCs/>
          <w:color w:val="auto"/>
          <w:kern w:val="0"/>
          <w:sz w:val="24"/>
          <w:szCs w:val="24"/>
          <w:highlight w:val="none"/>
          <w:lang w:eastAsia="zh-CN"/>
        </w:rPr>
        <w:t>确定</w:t>
      </w:r>
      <w:r>
        <w:rPr>
          <w:rStyle w:val="21"/>
          <w:rFonts w:hint="eastAsia" w:ascii="宋体" w:hAnsi="宋体" w:eastAsia="宋体" w:cs="宋体"/>
          <w:b/>
          <w:bCs/>
          <w:color w:val="auto"/>
          <w:kern w:val="0"/>
          <w:sz w:val="24"/>
          <w:szCs w:val="24"/>
          <w:highlight w:val="none"/>
        </w:rPr>
        <w:t>定标时间</w:t>
      </w:r>
    </w:p>
    <w:p w14:paraId="4A4B0186">
      <w:pPr>
        <w:keepNext w:val="0"/>
        <w:keepLines w:val="0"/>
        <w:pageBreakBefore w:val="0"/>
        <w:wordWrap/>
        <w:overflowPunct/>
        <w:topLinePunct w:val="0"/>
        <w:bidi w:val="0"/>
        <w:spacing w:line="360" w:lineRule="auto"/>
        <w:ind w:firstLine="480" w:firstLineChars="200"/>
        <w:rPr>
          <w:color w:val="auto"/>
          <w:highlight w:val="none"/>
        </w:rPr>
      </w:pPr>
      <w:r>
        <w:rPr>
          <w:rFonts w:hint="eastAsia"/>
          <w:color w:val="auto"/>
          <w:sz w:val="24"/>
          <w:szCs w:val="24"/>
          <w:highlight w:val="none"/>
          <w:lang w:eastAsia="zh-CN"/>
        </w:rPr>
        <w:t>定标会由招标人组织，原则上应当在定标候选人公示结束后5个工作日内</w:t>
      </w:r>
      <w:r>
        <w:rPr>
          <w:rFonts w:hint="eastAsia"/>
          <w:color w:val="auto"/>
          <w:sz w:val="24"/>
          <w:szCs w:val="24"/>
          <w:highlight w:val="none"/>
          <w:lang w:val="en-US" w:eastAsia="zh-CN"/>
        </w:rPr>
        <w:t>进入韶关市</w:t>
      </w:r>
      <w:r>
        <w:rPr>
          <w:rFonts w:hint="eastAsia"/>
          <w:color w:val="auto"/>
          <w:sz w:val="24"/>
          <w:szCs w:val="24"/>
          <w:highlight w:val="none"/>
          <w:lang w:eastAsia="zh-CN"/>
        </w:rPr>
        <w:t>公共资源交易</w:t>
      </w:r>
      <w:r>
        <w:rPr>
          <w:rFonts w:hint="eastAsia"/>
          <w:color w:val="auto"/>
          <w:sz w:val="24"/>
          <w:szCs w:val="24"/>
          <w:highlight w:val="none"/>
          <w:lang w:val="en-US" w:eastAsia="zh-CN"/>
        </w:rPr>
        <w:t>中心召开定标会议,</w:t>
      </w:r>
      <w:r>
        <w:rPr>
          <w:rFonts w:hint="eastAsia"/>
          <w:color w:val="auto"/>
          <w:sz w:val="24"/>
          <w:szCs w:val="24"/>
          <w:highlight w:val="none"/>
        </w:rPr>
        <w:t>定标会议全过程录音录像</w:t>
      </w:r>
      <w:r>
        <w:rPr>
          <w:rFonts w:hint="eastAsia"/>
          <w:color w:val="auto"/>
          <w:sz w:val="24"/>
          <w:szCs w:val="24"/>
          <w:highlight w:val="none"/>
          <w:lang w:eastAsia="zh-CN"/>
        </w:rPr>
        <w:t>，不</w:t>
      </w:r>
      <w:r>
        <w:rPr>
          <w:rFonts w:hint="eastAsia"/>
          <w:color w:val="auto"/>
          <w:sz w:val="24"/>
          <w:szCs w:val="24"/>
          <w:highlight w:val="none"/>
          <w:lang w:val="en-US" w:eastAsia="zh-CN"/>
        </w:rPr>
        <w:t>能按时定标的，</w:t>
      </w:r>
      <w:r>
        <w:rPr>
          <w:rFonts w:hint="eastAsia"/>
          <w:color w:val="auto"/>
          <w:sz w:val="24"/>
          <w:szCs w:val="24"/>
          <w:highlight w:val="none"/>
          <w:lang w:eastAsia="zh-CN"/>
        </w:rPr>
        <w:t>应当</w:t>
      </w:r>
      <w:r>
        <w:rPr>
          <w:rFonts w:hint="eastAsia"/>
          <w:color w:val="auto"/>
          <w:sz w:val="24"/>
          <w:szCs w:val="24"/>
          <w:highlight w:val="none"/>
        </w:rPr>
        <w:t>通过</w:t>
      </w:r>
      <w:r>
        <w:rPr>
          <w:rFonts w:hint="eastAsia"/>
          <w:color w:val="auto"/>
          <w:sz w:val="24"/>
          <w:szCs w:val="24"/>
          <w:highlight w:val="none"/>
          <w:lang w:val="en-US" w:eastAsia="zh-CN"/>
        </w:rPr>
        <w:t>广东省招标投标监管网和全国公共资源交易平台（广东省·韶关市）</w:t>
      </w:r>
      <w:r>
        <w:rPr>
          <w:rFonts w:hint="eastAsia"/>
          <w:color w:val="auto"/>
          <w:sz w:val="24"/>
          <w:szCs w:val="24"/>
          <w:highlight w:val="none"/>
        </w:rPr>
        <w:t>公布延期原因和</w:t>
      </w:r>
      <w:r>
        <w:rPr>
          <w:rFonts w:hint="eastAsia"/>
          <w:color w:val="auto"/>
          <w:sz w:val="24"/>
          <w:szCs w:val="24"/>
          <w:highlight w:val="none"/>
          <w:lang w:eastAsia="zh-CN"/>
        </w:rPr>
        <w:t>最终</w:t>
      </w:r>
      <w:r>
        <w:rPr>
          <w:rFonts w:hint="eastAsia"/>
          <w:color w:val="auto"/>
          <w:sz w:val="24"/>
          <w:szCs w:val="24"/>
          <w:highlight w:val="none"/>
        </w:rPr>
        <w:t>定标时间。</w:t>
      </w:r>
      <w:r>
        <w:rPr>
          <w:rFonts w:hint="eastAsia"/>
          <w:color w:val="auto"/>
          <w:sz w:val="24"/>
          <w:szCs w:val="24"/>
          <w:highlight w:val="none"/>
          <w:lang w:eastAsia="zh-CN"/>
        </w:rPr>
        <w:t>若招标人需要对定标候选人或拟派项目负责人进行考察的，定标时间可以适当延迟，但延迟一般不超过 3 个工作日。</w:t>
      </w:r>
    </w:p>
    <w:p w14:paraId="6B39F061">
      <w:pPr>
        <w:keepNext w:val="0"/>
        <w:keepLines w:val="0"/>
        <w:pageBreakBefore w:val="0"/>
        <w:wordWrap/>
        <w:overflowPunct/>
        <w:topLinePunct w:val="0"/>
        <w:bidi w:val="0"/>
        <w:spacing w:line="360" w:lineRule="auto"/>
        <w:ind w:firstLine="480" w:firstLineChars="200"/>
        <w:rPr>
          <w:rStyle w:val="21"/>
          <w:rFonts w:hint="eastAsia" w:ascii="宋体" w:hAnsi="宋体" w:eastAsia="宋体" w:cs="宋体"/>
          <w:color w:val="auto"/>
          <w:kern w:val="0"/>
          <w:sz w:val="24"/>
          <w:szCs w:val="24"/>
          <w:highlight w:val="none"/>
        </w:rPr>
      </w:pPr>
    </w:p>
    <w:p w14:paraId="1ADC89B1">
      <w:pPr>
        <w:keepNext w:val="0"/>
        <w:keepLines w:val="0"/>
        <w:pageBreakBefore w:val="0"/>
        <w:wordWrap/>
        <w:overflowPunct/>
        <w:topLinePunct w:val="0"/>
        <w:bidi w:val="0"/>
        <w:spacing w:line="360" w:lineRule="auto"/>
        <w:ind w:firstLine="482" w:firstLineChars="200"/>
        <w:rPr>
          <w:rStyle w:val="21"/>
          <w:rFonts w:hint="eastAsia" w:ascii="宋体" w:hAnsi="宋体" w:eastAsia="宋体" w:cs="宋体"/>
          <w:b/>
          <w:bCs/>
          <w:color w:val="auto"/>
          <w:kern w:val="0"/>
          <w:sz w:val="24"/>
          <w:szCs w:val="24"/>
          <w:highlight w:val="none"/>
          <w:lang w:eastAsia="zh-CN"/>
        </w:rPr>
      </w:pPr>
      <w:r>
        <w:rPr>
          <w:rStyle w:val="21"/>
          <w:rFonts w:hint="eastAsia" w:hAnsi="宋体" w:eastAsia="宋体" w:cs="宋体"/>
          <w:b/>
          <w:bCs/>
          <w:color w:val="auto"/>
          <w:kern w:val="0"/>
          <w:sz w:val="24"/>
          <w:szCs w:val="24"/>
          <w:highlight w:val="none"/>
          <w:lang w:val="en-US" w:eastAsia="zh-CN"/>
        </w:rPr>
        <w:t>2</w:t>
      </w:r>
      <w:r>
        <w:rPr>
          <w:rStyle w:val="21"/>
          <w:rFonts w:hint="eastAsia" w:ascii="宋体" w:hAnsi="宋体" w:eastAsia="宋体" w:cs="宋体"/>
          <w:b/>
          <w:bCs/>
          <w:color w:val="auto"/>
          <w:kern w:val="0"/>
          <w:sz w:val="24"/>
          <w:szCs w:val="24"/>
          <w:highlight w:val="none"/>
        </w:rPr>
        <w:t>.</w:t>
      </w:r>
      <w:r>
        <w:rPr>
          <w:rStyle w:val="21"/>
          <w:rFonts w:hint="eastAsia" w:ascii="宋体" w:hAnsi="宋体" w:eastAsia="宋体" w:cs="宋体"/>
          <w:b/>
          <w:bCs/>
          <w:color w:val="auto"/>
          <w:kern w:val="0"/>
          <w:sz w:val="24"/>
          <w:szCs w:val="24"/>
          <w:highlight w:val="none"/>
          <w:lang w:eastAsia="zh-CN"/>
        </w:rPr>
        <w:t>定标委员会</w:t>
      </w:r>
    </w:p>
    <w:p w14:paraId="771B5860">
      <w:pPr>
        <w:keepNext w:val="0"/>
        <w:keepLines w:val="0"/>
        <w:pageBreakBefore w:val="0"/>
        <w:wordWrap/>
        <w:overflowPunct/>
        <w:topLinePunct w:val="0"/>
        <w:bidi w:val="0"/>
        <w:spacing w:line="360" w:lineRule="auto"/>
        <w:ind w:firstLine="480" w:firstLineChars="200"/>
        <w:rPr>
          <w:rStyle w:val="21"/>
          <w:rFonts w:hint="eastAsia" w:hAnsi="宋体" w:eastAsia="宋体" w:cs="宋体"/>
          <w:b w:val="0"/>
          <w:bCs w:val="0"/>
          <w:color w:val="auto"/>
          <w:kern w:val="0"/>
          <w:sz w:val="24"/>
          <w:szCs w:val="24"/>
          <w:highlight w:val="none"/>
          <w:lang w:val="en-US" w:eastAsia="zh-CN"/>
        </w:rPr>
      </w:pPr>
      <w:r>
        <w:rPr>
          <w:rStyle w:val="21"/>
          <w:rFonts w:hint="eastAsia" w:hAnsi="宋体" w:eastAsia="宋体" w:cs="宋体"/>
          <w:b w:val="0"/>
          <w:bCs w:val="0"/>
          <w:color w:val="auto"/>
          <w:kern w:val="0"/>
          <w:sz w:val="24"/>
          <w:szCs w:val="24"/>
          <w:highlight w:val="none"/>
          <w:lang w:val="en-US" w:eastAsia="zh-CN"/>
        </w:rPr>
        <w:t>2.1定标委员会实行招标人负责制，由招标人的法定代表人或者主要负责人负责组建和管理。定标委员会的组成方式和人员由招标人自行确定，成员原则上从招标人、项目业主、代建管理机构或者使用单位的领导班子成员、经营管理人员，或具备中级及以上职称、具有注册职业资格证的工程技术（经济）人员中产生，以上人员难以满足时也可从广东省综合评标评审专家库抽取补足(专家人数原则上不超过2人)，成员数量为7人以上单数，成员数量应在招标文件中明确。定标委员会应当推荐定标组长，招标人（不含代理机构）的法定代表人或者主要负责人参加定标委员会的，由其直接担任定标委员会组长。定标委员会名单在中标结果公告前应当保密。</w:t>
      </w:r>
    </w:p>
    <w:p w14:paraId="2AB8281C">
      <w:pPr>
        <w:keepNext w:val="0"/>
        <w:keepLines w:val="0"/>
        <w:pageBreakBefore w:val="0"/>
        <w:wordWrap/>
        <w:overflowPunct/>
        <w:topLinePunct w:val="0"/>
        <w:bidi w:val="0"/>
        <w:spacing w:line="360" w:lineRule="auto"/>
        <w:ind w:firstLine="480" w:firstLineChars="200"/>
        <w:rPr>
          <w:rStyle w:val="21"/>
          <w:rFonts w:hint="eastAsia" w:hAnsi="宋体" w:eastAsia="宋体" w:cs="宋体"/>
          <w:b w:val="0"/>
          <w:bCs w:val="0"/>
          <w:color w:val="auto"/>
          <w:kern w:val="0"/>
          <w:sz w:val="24"/>
          <w:szCs w:val="24"/>
          <w:highlight w:val="none"/>
          <w:lang w:val="en-US" w:eastAsia="zh-CN"/>
        </w:rPr>
      </w:pPr>
      <w:r>
        <w:rPr>
          <w:rStyle w:val="21"/>
          <w:rFonts w:hint="eastAsia" w:hAnsi="宋体" w:eastAsia="宋体" w:cs="宋体"/>
          <w:b w:val="0"/>
          <w:bCs w:val="0"/>
          <w:color w:val="auto"/>
          <w:kern w:val="0"/>
          <w:sz w:val="24"/>
          <w:szCs w:val="24"/>
          <w:highlight w:val="none"/>
          <w:lang w:val="en-US" w:eastAsia="zh-CN"/>
        </w:rPr>
        <w:t>2.2定标委员会应从评标委员会推荐的定标候选人中确定1名中标人，并向招标人提交书面定标报告。定标委员会成员应客观、公正地履行定标职责，在未公示中标结果前，对定标过程和结果严格保密，根据评标委员会的评标报告、综合考虑报价、技术、信用、招标人的清标和前期考察结果（如有）等因素，严格按照法律法规的规定和招标文件规定的定标办法、定标要素、“择优”和“比劣”标准，从评标委员会推荐的定标候选人中择优确定中标人，并对所提出的定标意见承担相应责任。</w:t>
      </w:r>
    </w:p>
    <w:p w14:paraId="739A3242">
      <w:pPr>
        <w:keepNext w:val="0"/>
        <w:keepLines w:val="0"/>
        <w:pageBreakBefore w:val="0"/>
        <w:wordWrap/>
        <w:overflowPunct/>
        <w:topLinePunct w:val="0"/>
        <w:bidi w:val="0"/>
        <w:spacing w:line="360" w:lineRule="auto"/>
        <w:ind w:firstLine="482" w:firstLineChars="200"/>
        <w:rPr>
          <w:rStyle w:val="21"/>
          <w:rFonts w:hint="eastAsia" w:ascii="宋体" w:hAnsi="宋体" w:eastAsia="宋体" w:cs="宋体"/>
          <w:b/>
          <w:bCs/>
          <w:color w:val="auto"/>
          <w:kern w:val="0"/>
          <w:sz w:val="24"/>
          <w:szCs w:val="24"/>
          <w:highlight w:val="none"/>
          <w:lang w:val="en-US" w:eastAsia="zh-CN"/>
        </w:rPr>
      </w:pPr>
      <w:r>
        <w:rPr>
          <w:rStyle w:val="21"/>
          <w:rFonts w:hint="eastAsia" w:hAnsi="宋体" w:eastAsia="宋体" w:cs="宋体"/>
          <w:b/>
          <w:bCs/>
          <w:color w:val="auto"/>
          <w:kern w:val="0"/>
          <w:sz w:val="24"/>
          <w:szCs w:val="24"/>
          <w:highlight w:val="none"/>
          <w:lang w:val="en-US" w:eastAsia="zh-CN"/>
        </w:rPr>
        <w:t>3</w:t>
      </w:r>
      <w:r>
        <w:rPr>
          <w:rStyle w:val="21"/>
          <w:rFonts w:hint="eastAsia" w:ascii="宋体" w:hAnsi="宋体" w:eastAsia="宋体" w:cs="宋体"/>
          <w:b/>
          <w:bCs/>
          <w:color w:val="auto"/>
          <w:kern w:val="0"/>
          <w:sz w:val="24"/>
          <w:szCs w:val="24"/>
          <w:highlight w:val="none"/>
        </w:rPr>
        <w:t>.</w:t>
      </w:r>
      <w:r>
        <w:rPr>
          <w:rStyle w:val="21"/>
          <w:rFonts w:hint="eastAsia" w:ascii="宋体" w:hAnsi="宋体" w:eastAsia="宋体" w:cs="宋体"/>
          <w:b/>
          <w:bCs/>
          <w:color w:val="auto"/>
          <w:kern w:val="0"/>
          <w:sz w:val="24"/>
          <w:szCs w:val="24"/>
          <w:highlight w:val="none"/>
          <w:lang w:val="en-US" w:eastAsia="zh-CN"/>
        </w:rPr>
        <w:t>组建招标监督小组</w:t>
      </w:r>
    </w:p>
    <w:p w14:paraId="50B63A47">
      <w:pPr>
        <w:keepNext w:val="0"/>
        <w:keepLines w:val="0"/>
        <w:pageBreakBefore w:val="0"/>
        <w:wordWrap/>
        <w:overflowPunct/>
        <w:topLinePunct w:val="0"/>
        <w:bidi w:val="0"/>
        <w:spacing w:line="360" w:lineRule="auto"/>
        <w:ind w:firstLine="480" w:firstLineChars="200"/>
        <w:rPr>
          <w:rStyle w:val="21"/>
          <w:rFonts w:hint="eastAsia" w:ascii="宋体" w:hAnsi="宋体" w:eastAsia="宋体" w:cs="宋体"/>
          <w:color w:val="auto"/>
          <w:kern w:val="0"/>
          <w:sz w:val="24"/>
          <w:szCs w:val="24"/>
          <w:highlight w:val="none"/>
          <w:lang w:val="en-US" w:eastAsia="zh-CN"/>
        </w:rPr>
      </w:pPr>
      <w:r>
        <w:rPr>
          <w:rStyle w:val="21"/>
          <w:rFonts w:hint="eastAsia" w:ascii="宋体" w:hAnsi="宋体" w:eastAsia="宋体" w:cs="宋体"/>
          <w:color w:val="auto"/>
          <w:kern w:val="0"/>
          <w:sz w:val="24"/>
          <w:szCs w:val="24"/>
          <w:highlight w:val="none"/>
          <w:lang w:val="en-US" w:eastAsia="zh-CN"/>
        </w:rPr>
        <w:t>招标人应及时组建招标监督小组，招标监督小组原则上由不少于 3 人组成，人员可由招标人直接委派，也可以从招标人的上级主管单位、项目业主单位、使用单位等补充委派，并确定一名组长负责统筹监督工作。同一人不得同时担任定标委员会成员和招标监督小组成员中的两个角色。招标监督小组的职责是对定标委员会的组建、定标过程及招标人在定标前的清标环节和对定标候选人的考察等进行全程监督，确保定标过程公正、公平。发现异常情况及时提醒、进行纠正，但不得就定标涉及的实质内容发表意见或者参与定标讨论。</w:t>
      </w:r>
    </w:p>
    <w:p w14:paraId="674FA459">
      <w:pPr>
        <w:keepNext w:val="0"/>
        <w:keepLines w:val="0"/>
        <w:pageBreakBefore w:val="0"/>
        <w:wordWrap/>
        <w:overflowPunct/>
        <w:topLinePunct w:val="0"/>
        <w:bidi w:val="0"/>
        <w:spacing w:line="360" w:lineRule="auto"/>
        <w:ind w:firstLine="482" w:firstLineChars="200"/>
        <w:rPr>
          <w:rFonts w:hint="eastAsia"/>
          <w:color w:val="auto"/>
          <w:sz w:val="24"/>
          <w:szCs w:val="24"/>
          <w:highlight w:val="none"/>
        </w:rPr>
      </w:pPr>
      <w:r>
        <w:rPr>
          <w:rStyle w:val="21"/>
          <w:rFonts w:hint="eastAsia" w:hAnsi="宋体" w:eastAsia="宋体" w:cs="宋体"/>
          <w:b/>
          <w:bCs/>
          <w:color w:val="auto"/>
          <w:kern w:val="0"/>
          <w:sz w:val="24"/>
          <w:szCs w:val="24"/>
          <w:highlight w:val="none"/>
          <w:lang w:val="en-US" w:eastAsia="zh-CN"/>
        </w:rPr>
        <w:t>4</w:t>
      </w:r>
      <w:r>
        <w:rPr>
          <w:rStyle w:val="21"/>
          <w:rFonts w:hint="eastAsia" w:ascii="宋体" w:hAnsi="宋体" w:eastAsia="宋体" w:cs="宋体"/>
          <w:b/>
          <w:bCs/>
          <w:color w:val="auto"/>
          <w:kern w:val="0"/>
          <w:sz w:val="24"/>
          <w:szCs w:val="24"/>
          <w:highlight w:val="none"/>
        </w:rPr>
        <w:t>.</w:t>
      </w:r>
      <w:r>
        <w:rPr>
          <w:rStyle w:val="21"/>
          <w:rFonts w:hint="eastAsia" w:ascii="宋体" w:hAnsi="宋体" w:eastAsia="宋体" w:cs="宋体"/>
          <w:b/>
          <w:bCs/>
          <w:color w:val="auto"/>
          <w:kern w:val="0"/>
          <w:sz w:val="24"/>
          <w:szCs w:val="24"/>
          <w:highlight w:val="none"/>
          <w:lang w:eastAsia="zh-CN"/>
        </w:rPr>
        <w:t>定标办法</w:t>
      </w:r>
      <w:bookmarkStart w:id="153" w:name="OLE_LINK3"/>
      <w:r>
        <w:rPr>
          <w:rStyle w:val="21"/>
          <w:rFonts w:hint="eastAsia" w:ascii="宋体" w:hAnsi="宋体" w:eastAsia="宋体" w:cs="宋体"/>
          <w:b/>
          <w:bCs/>
          <w:color w:val="auto"/>
          <w:kern w:val="0"/>
          <w:sz w:val="24"/>
          <w:szCs w:val="24"/>
          <w:highlight w:val="none"/>
          <w:lang w:eastAsia="zh-CN"/>
        </w:rPr>
        <w:t>：</w:t>
      </w:r>
      <w:r>
        <w:rPr>
          <w:rFonts w:hint="eastAsia"/>
          <w:b/>
          <w:bCs/>
          <w:color w:val="auto"/>
          <w:sz w:val="24"/>
          <w:szCs w:val="24"/>
          <w:highlight w:val="none"/>
          <w:lang w:val="en-US" w:eastAsia="zh-CN"/>
        </w:rPr>
        <w:t>本项目</w:t>
      </w:r>
      <w:bookmarkEnd w:id="153"/>
      <w:r>
        <w:rPr>
          <w:rFonts w:hint="eastAsia"/>
          <w:b/>
          <w:bCs/>
          <w:color w:val="auto"/>
          <w:sz w:val="24"/>
          <w:szCs w:val="24"/>
          <w:highlight w:val="none"/>
          <w:lang w:val="en-US" w:eastAsia="zh-CN"/>
        </w:rPr>
        <w:t>采用票决数量法定标。</w:t>
      </w:r>
    </w:p>
    <w:p w14:paraId="33A6A2F0">
      <w:pPr>
        <w:keepNext w:val="0"/>
        <w:keepLines w:val="0"/>
        <w:pageBreakBefore w:val="0"/>
        <w:wordWrap/>
        <w:overflowPunct/>
        <w:topLinePunct w:val="0"/>
        <w:bidi w:val="0"/>
        <w:spacing w:line="360" w:lineRule="auto"/>
        <w:ind w:firstLine="482" w:firstLineChars="200"/>
        <w:rPr>
          <w:rStyle w:val="21"/>
          <w:rFonts w:hint="eastAsia" w:hAnsi="宋体" w:eastAsia="宋体" w:cs="宋体"/>
          <w:b/>
          <w:bCs/>
          <w:color w:val="auto"/>
          <w:kern w:val="0"/>
          <w:sz w:val="24"/>
          <w:szCs w:val="24"/>
          <w:highlight w:val="none"/>
          <w:lang w:val="en-US" w:eastAsia="zh-CN"/>
        </w:rPr>
      </w:pPr>
      <w:r>
        <w:rPr>
          <w:rStyle w:val="21"/>
          <w:rFonts w:hint="eastAsia" w:hAnsi="宋体" w:eastAsia="宋体" w:cs="宋体"/>
          <w:b/>
          <w:bCs/>
          <w:color w:val="auto"/>
          <w:kern w:val="0"/>
          <w:sz w:val="24"/>
          <w:szCs w:val="24"/>
          <w:highlight w:val="none"/>
          <w:lang w:val="en-US" w:eastAsia="zh-CN"/>
        </w:rPr>
        <w:t>5.定标细则</w:t>
      </w:r>
    </w:p>
    <w:p w14:paraId="7A3AEFB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5.1票决数量法程序</w:t>
      </w:r>
    </w:p>
    <w:p w14:paraId="5CFE575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color w:val="auto"/>
          <w:highlight w:val="none"/>
        </w:rPr>
      </w:pPr>
      <w:r>
        <w:rPr>
          <w:rFonts w:hint="eastAsia" w:ascii="宋体" w:hAnsi="宋体" w:eastAsia="宋体" w:cs="宋体"/>
          <w:b w:val="0"/>
          <w:i w:val="0"/>
          <w:snapToGrid/>
          <w:color w:val="auto"/>
          <w:sz w:val="24"/>
          <w:szCs w:val="24"/>
          <w:highlight w:val="none"/>
          <w:u w:val="none"/>
          <w:shd w:val="clear" w:color="auto" w:fill="FFFFFF"/>
          <w:lang w:eastAsia="zh-CN"/>
        </w:rPr>
        <w:t>定标委员会成员对定标候选人进行记名投票，得票最高的即为中标人。当最高得票相同时，对得票最高的定标候选人再次进行记名投票，直至选出中标人。</w:t>
      </w:r>
    </w:p>
    <w:p w14:paraId="72D904B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5.1.1.</w:t>
      </w:r>
      <w:r>
        <w:rPr>
          <w:rFonts w:hint="eastAsia" w:ascii="宋体" w:hAnsi="宋体" w:eastAsia="宋体" w:cs="宋体"/>
          <w:b/>
          <w:bCs/>
          <w:color w:val="auto"/>
          <w:sz w:val="24"/>
          <w:szCs w:val="24"/>
          <w:highlight w:val="none"/>
          <w:u w:val="none"/>
          <w:shd w:val="clear" w:color="auto" w:fill="FFFFFF"/>
        </w:rPr>
        <w:t>项目情况介绍</w:t>
      </w:r>
    </w:p>
    <w:p w14:paraId="5523094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5315711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5.1.2.</w:t>
      </w:r>
      <w:r>
        <w:rPr>
          <w:rFonts w:hint="eastAsia" w:ascii="宋体" w:hAnsi="宋体" w:eastAsia="宋体" w:cs="宋体"/>
          <w:b/>
          <w:bCs/>
          <w:color w:val="auto"/>
          <w:sz w:val="24"/>
          <w:szCs w:val="24"/>
          <w:highlight w:val="none"/>
          <w:u w:val="none"/>
          <w:shd w:val="clear" w:color="auto" w:fill="FFFFFF"/>
        </w:rPr>
        <w:t>审阅定标资料</w:t>
      </w:r>
    </w:p>
    <w:p w14:paraId="5BE2A65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22CB8EFE">
      <w:pPr>
        <w:pStyle w:val="13"/>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5.1.3.</w:t>
      </w:r>
      <w:r>
        <w:rPr>
          <w:rFonts w:hint="eastAsia" w:ascii="宋体" w:hAnsi="宋体" w:eastAsia="宋体" w:cs="宋体"/>
          <w:b/>
          <w:bCs/>
          <w:color w:val="auto"/>
          <w:sz w:val="24"/>
          <w:szCs w:val="24"/>
          <w:highlight w:val="none"/>
          <w:u w:val="none"/>
          <w:shd w:val="clear" w:color="auto" w:fill="FFFFFF"/>
        </w:rPr>
        <w:t>疑问澄清</w:t>
      </w:r>
    </w:p>
    <w:p w14:paraId="090BCC6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lang w:val="en-US" w:eastAsia="zh-CN"/>
        </w:rPr>
        <w:t>定标会议</w:t>
      </w:r>
      <w:r>
        <w:rPr>
          <w:rFonts w:hint="eastAsia" w:ascii="宋体" w:hAnsi="宋体" w:eastAsia="宋体" w:cs="宋体"/>
          <w:color w:val="auto"/>
          <w:sz w:val="24"/>
          <w:szCs w:val="24"/>
          <w:highlight w:val="none"/>
          <w:u w:val="none"/>
          <w:shd w:val="clear" w:color="auto" w:fill="FFFFFF"/>
        </w:rPr>
        <w:t>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63A1FEE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5.1.4.投票，收票，点票和汇总</w:t>
      </w:r>
    </w:p>
    <w:p w14:paraId="07D9066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当最高得票相同时，对得票最高的定标候选人再次进行记名投票，直至选出中标人。</w:t>
      </w:r>
    </w:p>
    <w:p w14:paraId="51702C3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p>
    <w:p w14:paraId="555EF63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5.1.5.公布结果和出具定标报告</w:t>
      </w:r>
    </w:p>
    <w:p w14:paraId="1ACC9FF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6921EFEB">
      <w:pPr>
        <w:pStyle w:val="13"/>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5.1.6.</w:t>
      </w:r>
      <w:r>
        <w:rPr>
          <w:rFonts w:hint="eastAsia" w:ascii="宋体" w:hAnsi="宋体" w:eastAsia="宋体" w:cs="宋体"/>
          <w:b/>
          <w:bCs/>
          <w:color w:val="auto"/>
          <w:sz w:val="24"/>
          <w:szCs w:val="24"/>
          <w:highlight w:val="none"/>
          <w:u w:val="none"/>
          <w:shd w:val="clear" w:color="auto" w:fill="FFFFFF"/>
        </w:rPr>
        <w:t>全程监督</w:t>
      </w:r>
    </w:p>
    <w:p w14:paraId="36100CC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w:t>
      </w:r>
      <w:r>
        <w:rPr>
          <w:rFonts w:hint="eastAsia" w:ascii="宋体" w:hAnsi="宋体" w:eastAsia="宋体" w:cs="宋体"/>
          <w:b w:val="0"/>
          <w:bCs/>
          <w:color w:val="auto"/>
          <w:sz w:val="24"/>
          <w:szCs w:val="24"/>
          <w:highlight w:val="none"/>
          <w:lang w:val="en-US" w:eastAsia="zh-CN"/>
        </w:rPr>
        <w:t>定标会议</w:t>
      </w:r>
      <w:r>
        <w:rPr>
          <w:rFonts w:hint="eastAsia" w:ascii="宋体" w:hAnsi="宋体" w:eastAsia="宋体" w:cs="宋体"/>
          <w:b w:val="0"/>
          <w:bCs/>
          <w:color w:val="auto"/>
          <w:sz w:val="24"/>
          <w:szCs w:val="24"/>
          <w:highlight w:val="none"/>
          <w:lang w:eastAsia="zh-CN"/>
        </w:rPr>
        <w:t>的全过程进行监督，确保程序合规、记录完整，结论形成过程公正、透明。</w:t>
      </w:r>
    </w:p>
    <w:p w14:paraId="7710C1E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5.2定标因素</w:t>
      </w:r>
    </w:p>
    <w:p w14:paraId="67F4652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71D36B0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（1）拟派团队管理能力与水平（履约能力）</w:t>
      </w:r>
    </w:p>
    <w:p w14:paraId="46683A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4D63412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2</w:t>
      </w:r>
      <w:r>
        <w:rPr>
          <w:rFonts w:hint="eastAsia" w:ascii="宋体" w:hAnsi="宋体" w:eastAsia="宋体" w:cs="宋体"/>
          <w:b w:val="0"/>
          <w:bCs w:val="0"/>
          <w:color w:val="auto"/>
          <w:spacing w:val="0"/>
          <w:position w:val="0"/>
          <w:sz w:val="24"/>
          <w:szCs w:val="24"/>
          <w:highlight w:val="none"/>
          <w:u w:val="none" w:color="auto"/>
          <w:lang w:val="en-US" w:eastAsia="zh-CN"/>
        </w:rPr>
        <w:t>）企业实力</w:t>
      </w:r>
    </w:p>
    <w:p w14:paraId="0FEEE48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相对标准：企业实力强的定标候选人优于企业实力一般的定标候选人。</w:t>
      </w:r>
    </w:p>
    <w:p w14:paraId="1B09165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w:t>
      </w:r>
      <w:r>
        <w:rPr>
          <w:rFonts w:hint="eastAsia" w:hAnsi="宋体" w:cs="宋体"/>
          <w:b w:val="0"/>
          <w:bCs w:val="0"/>
          <w:color w:val="auto"/>
          <w:spacing w:val="0"/>
          <w:position w:val="0"/>
          <w:sz w:val="24"/>
          <w:szCs w:val="24"/>
          <w:highlight w:val="none"/>
          <w:u w:val="none" w:color="auto"/>
          <w:lang w:val="en-US" w:eastAsia="zh-CN"/>
        </w:rPr>
        <w:t>3</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14:paraId="3CCCC88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30E1EC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（4）农民工工资保障情况</w:t>
      </w:r>
    </w:p>
    <w:p w14:paraId="71F4519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w:t>
      </w:r>
      <w:r>
        <w:rPr>
          <w:rFonts w:hint="eastAsia" w:ascii="宋体" w:hAnsi="宋体" w:eastAsia="宋体" w:cs="宋体"/>
          <w:b w:val="0"/>
          <w:bCs w:val="0"/>
          <w:color w:val="auto"/>
          <w:kern w:val="0"/>
          <w:sz w:val="24"/>
          <w:szCs w:val="24"/>
          <w:highlight w:val="none"/>
          <w:u w:val="none"/>
          <w:shd w:val="clear" w:color="auto" w:fill="FFFFFF"/>
          <w:lang w:val="en-US" w:eastAsia="zh-CN" w:bidi="ar-SA"/>
        </w:rPr>
        <w:t>定标候选人提交的证明材料和招标人查询的材料进行评审）。</w:t>
      </w:r>
    </w:p>
    <w:p w14:paraId="16A9BE9D">
      <w:pPr>
        <w:pStyle w:val="8"/>
        <w:rPr>
          <w:rFonts w:hint="eastAsia"/>
          <w:color w:val="auto"/>
          <w:lang w:val="en-US" w:eastAsia="zh-CN"/>
        </w:rPr>
      </w:pPr>
    </w:p>
    <w:p w14:paraId="024914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6.定标结果公示</w:t>
      </w:r>
    </w:p>
    <w:p w14:paraId="1AC2AD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1"/>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21"/>
          <w:rFonts w:hint="eastAsia" w:ascii="宋体" w:hAnsi="宋体" w:eastAsia="宋体" w:cs="宋体"/>
          <w:b w:val="0"/>
          <w:bCs w:val="0"/>
          <w:color w:val="auto"/>
          <w:kern w:val="0"/>
          <w:sz w:val="24"/>
          <w:szCs w:val="24"/>
          <w:highlight w:val="none"/>
          <w:lang w:val="en-US" w:eastAsia="zh-CN"/>
        </w:rPr>
        <w:t>后</w:t>
      </w:r>
      <w:r>
        <w:rPr>
          <w:rStyle w:val="21"/>
          <w:rFonts w:hint="eastAsia" w:ascii="宋体" w:hAnsi="宋体" w:eastAsia="宋体" w:cs="宋体"/>
          <w:color w:val="auto"/>
          <w:kern w:val="0"/>
          <w:sz w:val="24"/>
          <w:szCs w:val="24"/>
          <w:highlight w:val="none"/>
          <w:lang w:val="en-US" w:eastAsia="zh-CN"/>
        </w:rPr>
        <w:t>，招标人应于定标会结束后3日内将定标结果在广东省招标投标监管网和韶关市公共资源交易中心工程交易系统上公示，公示时间不少于3日。招标人及行政监督主管部门按照有关法律法规处理有关异议投诉。公示主要内容包括：公示主要内容包括：定标报告（定标成员信息除外）、中标人名单、中标价和拟投入本项目的项目负责人、技术负责人及各专业负责人（如有）等内容。</w:t>
      </w:r>
    </w:p>
    <w:p w14:paraId="7E32015C">
      <w:pPr>
        <w:keepNext w:val="0"/>
        <w:keepLines w:val="0"/>
        <w:pageBreakBefore w:val="0"/>
        <w:wordWrap/>
        <w:overflowPunct/>
        <w:topLinePunct w:val="0"/>
        <w:bidi w:val="0"/>
        <w:spacing w:line="360" w:lineRule="auto"/>
        <w:rPr>
          <w:rFonts w:hint="eastAsia"/>
          <w:color w:val="auto"/>
          <w:sz w:val="24"/>
          <w:szCs w:val="24"/>
          <w:highlight w:val="none"/>
          <w:lang w:val="en-US" w:eastAsia="zh-CN"/>
        </w:rPr>
      </w:pPr>
    </w:p>
    <w:p w14:paraId="3CEEB8C0">
      <w:pPr>
        <w:keepNext w:val="0"/>
        <w:keepLines w:val="0"/>
        <w:pageBreakBefore w:val="0"/>
        <w:wordWrap/>
        <w:overflowPunct/>
        <w:topLinePunct w:val="0"/>
        <w:bidi w:val="0"/>
        <w:spacing w:before="78" w:line="360" w:lineRule="auto"/>
        <w:ind w:left="3525"/>
        <w:outlineLvl w:val="0"/>
        <w:rPr>
          <w:rFonts w:hint="eastAsia" w:ascii="宋体" w:hAnsi="宋体" w:eastAsia="宋体" w:cs="宋体"/>
          <w:b/>
          <w:bCs/>
          <w:color w:val="auto"/>
          <w:spacing w:val="-7"/>
          <w:sz w:val="24"/>
          <w:szCs w:val="24"/>
          <w:highlight w:val="none"/>
        </w:rPr>
      </w:pPr>
    </w:p>
    <w:p w14:paraId="3C22D184">
      <w:pPr>
        <w:pStyle w:val="4"/>
        <w:rPr>
          <w:rFonts w:hint="eastAsia" w:ascii="宋体" w:hAnsi="宋体" w:eastAsia="宋体" w:cs="宋体"/>
          <w:b/>
          <w:bCs/>
          <w:color w:val="auto"/>
          <w:spacing w:val="-7"/>
          <w:sz w:val="24"/>
          <w:szCs w:val="24"/>
          <w:highlight w:val="none"/>
        </w:rPr>
      </w:pPr>
    </w:p>
    <w:p w14:paraId="36F36E07">
      <w:pPr>
        <w:rPr>
          <w:rFonts w:hint="eastAsia" w:ascii="宋体" w:hAnsi="宋体" w:eastAsia="宋体" w:cs="宋体"/>
          <w:b/>
          <w:bCs/>
          <w:color w:val="auto"/>
          <w:spacing w:val="-7"/>
          <w:sz w:val="24"/>
          <w:szCs w:val="24"/>
          <w:highlight w:val="none"/>
        </w:rPr>
      </w:pPr>
    </w:p>
    <w:p w14:paraId="7F98C488">
      <w:pPr>
        <w:pStyle w:val="4"/>
        <w:rPr>
          <w:rFonts w:hint="eastAsia" w:ascii="宋体" w:hAnsi="宋体" w:eastAsia="宋体" w:cs="宋体"/>
          <w:b/>
          <w:bCs/>
          <w:color w:val="auto"/>
          <w:spacing w:val="-7"/>
          <w:sz w:val="24"/>
          <w:szCs w:val="24"/>
          <w:highlight w:val="none"/>
        </w:rPr>
      </w:pPr>
    </w:p>
    <w:p w14:paraId="191F5911">
      <w:pPr>
        <w:rPr>
          <w:rFonts w:hint="eastAsia" w:ascii="宋体" w:hAnsi="宋体" w:eastAsia="宋体" w:cs="宋体"/>
          <w:b/>
          <w:bCs/>
          <w:color w:val="auto"/>
          <w:spacing w:val="-7"/>
          <w:sz w:val="24"/>
          <w:szCs w:val="24"/>
          <w:highlight w:val="none"/>
        </w:rPr>
      </w:pPr>
    </w:p>
    <w:p w14:paraId="44391741">
      <w:pPr>
        <w:pStyle w:val="4"/>
        <w:rPr>
          <w:rFonts w:hint="eastAsia" w:ascii="宋体" w:hAnsi="宋体" w:eastAsia="宋体" w:cs="宋体"/>
          <w:b/>
          <w:bCs/>
          <w:color w:val="auto"/>
          <w:spacing w:val="-7"/>
          <w:sz w:val="24"/>
          <w:szCs w:val="24"/>
          <w:highlight w:val="none"/>
        </w:rPr>
      </w:pPr>
    </w:p>
    <w:p w14:paraId="0F74864B">
      <w:pPr>
        <w:rPr>
          <w:rFonts w:hint="eastAsia" w:ascii="宋体" w:hAnsi="宋体" w:eastAsia="宋体" w:cs="宋体"/>
          <w:b/>
          <w:bCs/>
          <w:color w:val="auto"/>
          <w:spacing w:val="-7"/>
          <w:sz w:val="24"/>
          <w:szCs w:val="24"/>
          <w:highlight w:val="none"/>
        </w:rPr>
      </w:pPr>
    </w:p>
    <w:p w14:paraId="3C087A0D">
      <w:pPr>
        <w:pStyle w:val="8"/>
        <w:rPr>
          <w:rFonts w:hint="eastAsia" w:ascii="宋体" w:hAnsi="宋体" w:eastAsia="宋体" w:cs="宋体"/>
          <w:b/>
          <w:bCs/>
          <w:color w:val="auto"/>
          <w:spacing w:val="-7"/>
          <w:sz w:val="24"/>
          <w:szCs w:val="24"/>
          <w:highlight w:val="none"/>
        </w:rPr>
      </w:pPr>
    </w:p>
    <w:p w14:paraId="67D7D22E">
      <w:pPr>
        <w:pStyle w:val="8"/>
        <w:rPr>
          <w:rFonts w:hint="eastAsia" w:ascii="宋体" w:hAnsi="宋体" w:eastAsia="宋体" w:cs="宋体"/>
          <w:b/>
          <w:bCs/>
          <w:color w:val="auto"/>
          <w:spacing w:val="-7"/>
          <w:sz w:val="24"/>
          <w:szCs w:val="24"/>
          <w:highlight w:val="none"/>
        </w:rPr>
      </w:pPr>
    </w:p>
    <w:p w14:paraId="362ABAF3">
      <w:pPr>
        <w:pStyle w:val="8"/>
        <w:rPr>
          <w:rFonts w:hint="eastAsia" w:ascii="宋体" w:hAnsi="宋体" w:eastAsia="宋体" w:cs="宋体"/>
          <w:b/>
          <w:bCs/>
          <w:color w:val="auto"/>
          <w:spacing w:val="-7"/>
          <w:sz w:val="24"/>
          <w:szCs w:val="24"/>
          <w:highlight w:val="none"/>
        </w:rPr>
      </w:pPr>
    </w:p>
    <w:p w14:paraId="183CCF42">
      <w:pPr>
        <w:pStyle w:val="8"/>
        <w:rPr>
          <w:rFonts w:hint="eastAsia" w:ascii="宋体" w:hAnsi="宋体" w:eastAsia="宋体" w:cs="宋体"/>
          <w:b/>
          <w:bCs/>
          <w:color w:val="auto"/>
          <w:spacing w:val="-7"/>
          <w:sz w:val="24"/>
          <w:szCs w:val="24"/>
          <w:highlight w:val="none"/>
        </w:rPr>
      </w:pPr>
    </w:p>
    <w:p w14:paraId="5E720277">
      <w:pPr>
        <w:pStyle w:val="8"/>
        <w:rPr>
          <w:rFonts w:hint="eastAsia" w:ascii="宋体" w:hAnsi="宋体" w:eastAsia="宋体" w:cs="宋体"/>
          <w:b/>
          <w:bCs/>
          <w:color w:val="auto"/>
          <w:spacing w:val="-7"/>
          <w:sz w:val="24"/>
          <w:szCs w:val="24"/>
          <w:highlight w:val="none"/>
        </w:rPr>
      </w:pPr>
    </w:p>
    <w:p w14:paraId="5AA2DB94">
      <w:pPr>
        <w:pStyle w:val="8"/>
        <w:rPr>
          <w:rFonts w:hint="eastAsia" w:ascii="宋体" w:hAnsi="宋体" w:eastAsia="宋体" w:cs="宋体"/>
          <w:b/>
          <w:bCs/>
          <w:color w:val="auto"/>
          <w:spacing w:val="-7"/>
          <w:sz w:val="24"/>
          <w:szCs w:val="24"/>
          <w:highlight w:val="none"/>
        </w:rPr>
      </w:pPr>
    </w:p>
    <w:p w14:paraId="11E28027">
      <w:pPr>
        <w:rPr>
          <w:rFonts w:hint="eastAsia" w:ascii="宋体" w:hAnsi="宋体" w:eastAsia="宋体" w:cs="宋体"/>
          <w:b/>
          <w:bCs/>
          <w:color w:val="auto"/>
          <w:spacing w:val="-7"/>
          <w:sz w:val="24"/>
          <w:szCs w:val="24"/>
          <w:highlight w:val="none"/>
        </w:rPr>
      </w:pPr>
    </w:p>
    <w:p w14:paraId="6824BC27">
      <w:pPr>
        <w:spacing w:before="78" w:line="220" w:lineRule="auto"/>
        <w:ind w:left="9"/>
        <w:jc w:val="center"/>
        <w:outlineLvl w:val="1"/>
        <w:rPr>
          <w:rFonts w:hint="eastAsia" w:ascii="宋体" w:hAnsi="宋体" w:eastAsia="宋体" w:cs="宋体"/>
          <w:b/>
          <w:bCs/>
          <w:color w:val="auto"/>
          <w:spacing w:val="-3"/>
          <w:sz w:val="24"/>
          <w:szCs w:val="24"/>
          <w:highlight w:val="none"/>
        </w:rPr>
      </w:pPr>
      <w:bookmarkStart w:id="154" w:name="_Toc209"/>
      <w:bookmarkStart w:id="155" w:name="_Toc4926"/>
    </w:p>
    <w:p w14:paraId="6674D3F8">
      <w:pPr>
        <w:spacing w:before="78" w:line="220" w:lineRule="auto"/>
        <w:ind w:left="9"/>
        <w:jc w:val="center"/>
        <w:outlineLvl w:val="1"/>
        <w:rPr>
          <w:rFonts w:hint="eastAsia" w:ascii="宋体" w:hAnsi="宋体" w:eastAsia="宋体" w:cs="宋体"/>
          <w:b/>
          <w:bCs/>
          <w:color w:val="auto"/>
          <w:spacing w:val="-3"/>
          <w:sz w:val="24"/>
          <w:szCs w:val="24"/>
          <w:highlight w:val="none"/>
          <w:lang w:val="en-US" w:eastAsia="zh-CN"/>
        </w:rPr>
      </w:pPr>
      <w:r>
        <w:rPr>
          <w:rFonts w:hint="eastAsia" w:ascii="宋体" w:hAnsi="宋体" w:eastAsia="宋体" w:cs="宋体"/>
          <w:b/>
          <w:bCs/>
          <w:color w:val="auto"/>
          <w:spacing w:val="-3"/>
          <w:sz w:val="24"/>
          <w:szCs w:val="24"/>
          <w:highlight w:val="none"/>
        </w:rPr>
        <w:t>第</w:t>
      </w:r>
      <w:r>
        <w:rPr>
          <w:rFonts w:hint="eastAsia" w:ascii="宋体" w:hAnsi="宋体" w:eastAsia="宋体" w:cs="宋体"/>
          <w:b/>
          <w:bCs/>
          <w:color w:val="auto"/>
          <w:spacing w:val="-3"/>
          <w:sz w:val="24"/>
          <w:szCs w:val="24"/>
          <w:highlight w:val="none"/>
          <w:lang w:val="en-US" w:eastAsia="zh-CN"/>
        </w:rPr>
        <w:t>六</w:t>
      </w:r>
      <w:r>
        <w:rPr>
          <w:rFonts w:hint="eastAsia" w:ascii="宋体" w:hAnsi="宋体" w:eastAsia="宋体" w:cs="宋体"/>
          <w:b/>
          <w:bCs/>
          <w:color w:val="auto"/>
          <w:spacing w:val="-3"/>
          <w:sz w:val="24"/>
          <w:szCs w:val="24"/>
          <w:highlight w:val="none"/>
        </w:rPr>
        <w:t>节 中标确认</w:t>
      </w:r>
      <w:bookmarkEnd w:id="154"/>
      <w:bookmarkEnd w:id="155"/>
    </w:p>
    <w:p w14:paraId="7A05DAD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1.中标人确定</w:t>
      </w:r>
    </w:p>
    <w:p w14:paraId="36D267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1.1 中标人确定。定标结果公示期满无异议的，招标人确认中标人，中标人的投标报价即为中标价。</w:t>
      </w:r>
    </w:p>
    <w:p w14:paraId="755409C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在中标人确定之日起七日内向中标人发出中标通知书并将中标结果通知其他投标人。在中标通知书发出后五日内，将投标保证金及银行同期存款利息退回定标候选人以外的投标人，在书面合同订立之日起五日内将投标保证金及银行同期存款利息退回中标人和其他定标候选人。（具体投标保证金退回按韶关市公共资源交易中心相应规定操作）</w:t>
      </w:r>
    </w:p>
    <w:p w14:paraId="13C8676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3622870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异议和投诉</w:t>
      </w:r>
    </w:p>
    <w:p w14:paraId="6F7733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中标结果有异议的，应当在定标候选人和定标结果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138E001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2.2在定标候选人和定标结果公示期间有关评标结果的异议成立的，招标人原则上应当组织原评标委员会和原定标委员会对有关的问题予以纠正，问题纠正后再公示定标候选人和中标人。</w:t>
      </w:r>
    </w:p>
    <w:p w14:paraId="2D44F3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0EE7EECE">
      <w:pPr>
        <w:pStyle w:val="13"/>
        <w:keepNext w:val="0"/>
        <w:keepLines w:val="0"/>
        <w:pageBreakBefore w:val="0"/>
        <w:widowControl w:val="0"/>
        <w:shd w:val="clear" w:color="auto" w:fill="auto"/>
        <w:kinsoku/>
        <w:wordWrap/>
        <w:overflowPunct/>
        <w:topLinePunct w:val="0"/>
        <w:bidi w:val="0"/>
        <w:adjustRightInd/>
        <w:snapToGrid/>
        <w:spacing w:before="0" w:beforeLines="0" w:after="0" w:afterLines="0" w:line="360" w:lineRule="auto"/>
        <w:ind w:left="0" w:leftChars="0" w:firstLine="482" w:firstLineChars="200"/>
        <w:jc w:val="both"/>
        <w:textAlignment w:val="auto"/>
        <w:outlineLvl w:val="9"/>
        <w:rPr>
          <w:rFonts w:hint="eastAsia" w:ascii="宋体" w:hAnsi="宋体" w:eastAsia="宋体" w:cs="宋体"/>
          <w:b/>
          <w:bCs/>
          <w:i/>
          <w:color w:val="auto"/>
          <w:sz w:val="24"/>
          <w:szCs w:val="24"/>
          <w:highlight w:val="none"/>
        </w:rPr>
      </w:pPr>
      <w:bookmarkStart w:id="156" w:name="_Toc236550039"/>
      <w:r>
        <w:rPr>
          <w:rStyle w:val="18"/>
          <w:rFonts w:hint="eastAsia" w:ascii="宋体" w:hAnsi="宋体" w:eastAsia="宋体" w:cs="宋体"/>
          <w:b/>
          <w:bCs/>
          <w:i w:val="0"/>
          <w:color w:val="auto"/>
          <w:sz w:val="24"/>
          <w:szCs w:val="24"/>
          <w:highlight w:val="none"/>
          <w:lang w:val="en-US" w:eastAsia="zh-CN"/>
        </w:rPr>
        <w:t>3</w:t>
      </w:r>
      <w:r>
        <w:rPr>
          <w:rStyle w:val="18"/>
          <w:rFonts w:hint="eastAsia" w:ascii="宋体" w:hAnsi="宋体" w:eastAsia="宋体" w:cs="宋体"/>
          <w:b/>
          <w:bCs/>
          <w:i w:val="0"/>
          <w:color w:val="auto"/>
          <w:sz w:val="24"/>
          <w:szCs w:val="24"/>
          <w:highlight w:val="none"/>
        </w:rPr>
        <w:t>．废除授标</w:t>
      </w:r>
      <w:bookmarkEnd w:id="156"/>
      <w:r>
        <w:rPr>
          <w:rStyle w:val="18"/>
          <w:rFonts w:hint="eastAsia" w:ascii="宋体" w:hAnsi="宋体" w:eastAsia="宋体" w:cs="宋体"/>
          <w:b/>
          <w:bCs/>
          <w:i w:val="0"/>
          <w:color w:val="auto"/>
          <w:sz w:val="24"/>
          <w:szCs w:val="24"/>
          <w:highlight w:val="none"/>
        </w:rPr>
        <w:t>及授标</w:t>
      </w:r>
    </w:p>
    <w:p w14:paraId="6F5D045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3.1评定标完成后，中标人有下列情形之一的，招标人应按规定取消中标人资格或废除授标：</w:t>
      </w:r>
    </w:p>
    <w:p w14:paraId="5761EDE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29A613F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34437C4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2CD47F0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0DCDC1B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1EBFDBB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1CB820B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18D4A23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382F114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2CE748D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（10）招标文件明确规定可以废除授标的其他情形。</w:t>
      </w:r>
    </w:p>
    <w:p w14:paraId="4CF98D6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中标人被取消中标人资格或废除授标，招标人可以组织定标委员会召开定标会议重新进行定标，重新定标后再进行定标结果公示。如果招标人认为其他定标候选人的条件明显不利于招标人的，也可以重新招标。</w:t>
      </w:r>
    </w:p>
    <w:p w14:paraId="456F4F2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3.3 招标人有下列情形之一的，应依法承担相应的责任：</w:t>
      </w:r>
    </w:p>
    <w:p w14:paraId="066BAEA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（1）无正当理由不发出中标通知书的；</w:t>
      </w:r>
    </w:p>
    <w:p w14:paraId="47FF8AB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（2）招标人不按照规定确定中标人的；</w:t>
      </w:r>
    </w:p>
    <w:p w14:paraId="30126BB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（3）中标通知书发出后无正当理由改变中标结果的；</w:t>
      </w:r>
    </w:p>
    <w:p w14:paraId="08A581F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（4）无正当理由不与中标人签订工程总承包合同的；</w:t>
      </w:r>
    </w:p>
    <w:p w14:paraId="058A589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1"/>
          <w:rFonts w:hint="eastAsia" w:ascii="宋体" w:hAnsi="宋体" w:eastAsia="宋体" w:cs="宋体"/>
          <w:color w:val="auto"/>
          <w:kern w:val="0"/>
          <w:sz w:val="24"/>
          <w:szCs w:val="24"/>
          <w:highlight w:val="none"/>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（5）在签订工程总承包合同时向中标人提出附加条件或者更改合同实质性内容的。</w:t>
      </w:r>
    </w:p>
    <w:p w14:paraId="453B91BC">
      <w:pPr>
        <w:keepNext w:val="0"/>
        <w:keepLines w:val="0"/>
        <w:pageBreakBefore w:val="0"/>
        <w:wordWrap/>
        <w:overflowPunct/>
        <w:topLinePunct w:val="0"/>
        <w:bidi w:val="0"/>
        <w:spacing w:line="360" w:lineRule="auto"/>
        <w:rPr>
          <w:rFonts w:hint="eastAsia"/>
          <w:color w:val="auto"/>
          <w:sz w:val="24"/>
          <w:szCs w:val="24"/>
          <w:highlight w:val="none"/>
        </w:rPr>
        <w:sectPr>
          <w:headerReference r:id="rId10" w:type="default"/>
          <w:footerReference r:id="rId11" w:type="default"/>
          <w:endnotePr>
            <w:numFmt w:val="decimal"/>
          </w:endnotePr>
          <w:pgSz w:w="11906" w:h="16838"/>
          <w:pgMar w:top="1247" w:right="1304" w:bottom="1247" w:left="1304" w:header="850" w:footer="544" w:gutter="0"/>
          <w:cols w:space="720" w:num="1"/>
          <w:rtlGutter w:val="0"/>
          <w:docGrid w:linePitch="327" w:charSpace="0"/>
        </w:sectPr>
      </w:pPr>
    </w:p>
    <w:p w14:paraId="5413A7C9">
      <w:pPr>
        <w:spacing w:before="78" w:line="219" w:lineRule="auto"/>
        <w:ind w:left="3525"/>
        <w:outlineLvl w:val="0"/>
        <w:rPr>
          <w:rFonts w:hint="eastAsia" w:ascii="宋体" w:hAnsi="宋体" w:eastAsia="宋体" w:cs="宋体"/>
          <w:color w:val="auto"/>
          <w:sz w:val="24"/>
          <w:szCs w:val="24"/>
          <w:highlight w:val="none"/>
        </w:rPr>
      </w:pPr>
      <w:bookmarkStart w:id="157" w:name="_Toc13655"/>
      <w:r>
        <w:rPr>
          <w:rFonts w:hint="eastAsia" w:ascii="宋体" w:hAnsi="宋体" w:eastAsia="宋体" w:cs="宋体"/>
          <w:b/>
          <w:bCs/>
          <w:color w:val="auto"/>
          <w:spacing w:val="-7"/>
          <w:sz w:val="24"/>
          <w:szCs w:val="24"/>
          <w:highlight w:val="none"/>
        </w:rPr>
        <w:t>第二章</w:t>
      </w:r>
      <w:r>
        <w:rPr>
          <w:rFonts w:hint="eastAsia" w:ascii="宋体" w:hAnsi="宋体" w:eastAsia="宋体" w:cs="宋体"/>
          <w:color w:val="auto"/>
          <w:spacing w:val="32"/>
          <w:sz w:val="24"/>
          <w:szCs w:val="24"/>
          <w:highlight w:val="none"/>
        </w:rPr>
        <w:t xml:space="preserve"> </w:t>
      </w:r>
      <w:r>
        <w:rPr>
          <w:rFonts w:hint="eastAsia" w:ascii="宋体" w:hAnsi="宋体" w:eastAsia="宋体" w:cs="宋体"/>
          <w:b/>
          <w:bCs/>
          <w:color w:val="auto"/>
          <w:spacing w:val="-7"/>
          <w:sz w:val="24"/>
          <w:szCs w:val="24"/>
          <w:highlight w:val="none"/>
        </w:rPr>
        <w:t>中标人须知</w:t>
      </w:r>
      <w:bookmarkEnd w:id="157"/>
    </w:p>
    <w:p w14:paraId="73FD4C9A">
      <w:pPr>
        <w:spacing w:before="78" w:line="219" w:lineRule="auto"/>
        <w:ind w:left="582"/>
        <w:outlineLvl w:val="2"/>
        <w:rPr>
          <w:rFonts w:hint="eastAsia" w:ascii="宋体" w:hAnsi="宋体" w:eastAsia="宋体" w:cs="宋体"/>
          <w:color w:val="auto"/>
          <w:sz w:val="24"/>
          <w:szCs w:val="24"/>
          <w:highlight w:val="none"/>
        </w:rPr>
      </w:pPr>
      <w:bookmarkStart w:id="158" w:name="_Toc21697"/>
      <w:r>
        <w:rPr>
          <w:rFonts w:hint="eastAsia" w:ascii="宋体" w:hAnsi="宋体" w:eastAsia="宋体" w:cs="宋体"/>
          <w:b/>
          <w:bCs/>
          <w:color w:val="auto"/>
          <w:spacing w:val="-9"/>
          <w:sz w:val="24"/>
          <w:szCs w:val="24"/>
          <w:highlight w:val="none"/>
        </w:rPr>
        <w:t>1</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9"/>
          <w:sz w:val="24"/>
          <w:szCs w:val="24"/>
          <w:highlight w:val="none"/>
        </w:rPr>
        <w:t>．中标通知书</w:t>
      </w:r>
      <w:bookmarkEnd w:id="158"/>
    </w:p>
    <w:p w14:paraId="72AC753B">
      <w:pPr>
        <w:spacing w:before="152" w:line="332" w:lineRule="auto"/>
        <w:ind w:left="17" w:firstLine="559"/>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招标人</w:t>
      </w:r>
      <w:r>
        <w:rPr>
          <w:rFonts w:hint="eastAsia" w:ascii="宋体" w:hAnsi="宋体" w:eastAsia="宋体" w:cs="宋体"/>
          <w:color w:val="auto"/>
          <w:spacing w:val="1"/>
          <w:sz w:val="24"/>
          <w:szCs w:val="24"/>
          <w:highlight w:val="none"/>
          <w:lang w:val="en-US" w:eastAsia="zh-CN"/>
        </w:rPr>
        <w:t>应</w:t>
      </w:r>
      <w:r>
        <w:rPr>
          <w:rFonts w:hint="eastAsia" w:ascii="宋体" w:hAnsi="宋体" w:eastAsia="宋体" w:cs="宋体"/>
          <w:color w:val="auto"/>
          <w:spacing w:val="1"/>
          <w:sz w:val="24"/>
          <w:szCs w:val="24"/>
          <w:highlight w:val="none"/>
        </w:rPr>
        <w:t>在中标人确定之日起</w:t>
      </w:r>
      <w:r>
        <w:rPr>
          <w:rFonts w:hint="eastAsia" w:ascii="宋体" w:hAnsi="宋体" w:eastAsia="宋体" w:cs="宋体"/>
          <w:color w:val="auto"/>
          <w:spacing w:val="-49"/>
          <w:sz w:val="24"/>
          <w:szCs w:val="24"/>
          <w:highlight w:val="none"/>
        </w:rPr>
        <w:t xml:space="preserve"> </w:t>
      </w:r>
      <w:r>
        <w:rPr>
          <w:rFonts w:hint="eastAsia" w:ascii="宋体" w:hAnsi="宋体" w:eastAsia="宋体" w:cs="宋体"/>
          <w:color w:val="auto"/>
          <w:spacing w:val="1"/>
          <w:sz w:val="24"/>
          <w:szCs w:val="24"/>
          <w:highlight w:val="none"/>
        </w:rPr>
        <w:t>7日内向中</w:t>
      </w:r>
      <w:r>
        <w:rPr>
          <w:rFonts w:hint="eastAsia" w:ascii="宋体" w:hAnsi="宋体" w:eastAsia="宋体" w:cs="宋体"/>
          <w:color w:val="auto"/>
          <w:sz w:val="24"/>
          <w:szCs w:val="24"/>
          <w:highlight w:val="none"/>
        </w:rPr>
        <w:t>标人发</w:t>
      </w:r>
      <w:r>
        <w:rPr>
          <w:rFonts w:hint="eastAsia" w:ascii="宋体" w:hAnsi="宋体" w:eastAsia="宋体" w:cs="宋体"/>
          <w:color w:val="auto"/>
          <w:spacing w:val="-3"/>
          <w:sz w:val="24"/>
          <w:szCs w:val="24"/>
          <w:highlight w:val="none"/>
        </w:rPr>
        <w:t>出中标通知书，中标人必须按韶关市公共资源交易中心的规定办理相关手续后方可领取。</w:t>
      </w:r>
      <w:r>
        <w:rPr>
          <w:rFonts w:hint="eastAsia" w:ascii="宋体" w:hAnsi="宋体" w:eastAsia="宋体" w:cs="宋体"/>
          <w:color w:val="auto"/>
          <w:spacing w:val="-2"/>
          <w:sz w:val="24"/>
          <w:szCs w:val="24"/>
          <w:highlight w:val="none"/>
        </w:rPr>
        <w:t>中标通知书对招标人和中标人均具有法律约束力。中标通知书发出后，招标人改变中标</w:t>
      </w:r>
      <w:r>
        <w:rPr>
          <w:rFonts w:hint="eastAsia" w:ascii="宋体" w:hAnsi="宋体" w:eastAsia="宋体" w:cs="宋体"/>
          <w:color w:val="auto"/>
          <w:spacing w:val="-1"/>
          <w:sz w:val="24"/>
          <w:szCs w:val="24"/>
          <w:highlight w:val="none"/>
        </w:rPr>
        <w:t>结果和中标人放弃中标的，应当承担法律责任。</w:t>
      </w:r>
    </w:p>
    <w:p w14:paraId="0FA046D1">
      <w:pPr>
        <w:pStyle w:val="6"/>
        <w:spacing w:line="394" w:lineRule="auto"/>
        <w:rPr>
          <w:rFonts w:hint="eastAsia" w:ascii="宋体" w:hAnsi="宋体" w:eastAsia="宋体" w:cs="宋体"/>
          <w:color w:val="auto"/>
          <w:highlight w:val="none"/>
        </w:rPr>
      </w:pPr>
    </w:p>
    <w:p w14:paraId="4EF45B28">
      <w:pPr>
        <w:spacing w:before="78" w:line="221" w:lineRule="auto"/>
        <w:ind w:left="572"/>
        <w:outlineLvl w:val="2"/>
        <w:rPr>
          <w:rFonts w:hint="eastAsia" w:ascii="宋体" w:hAnsi="宋体" w:eastAsia="宋体" w:cs="宋体"/>
          <w:color w:val="auto"/>
          <w:sz w:val="24"/>
          <w:szCs w:val="24"/>
          <w:highlight w:val="none"/>
        </w:rPr>
      </w:pPr>
      <w:bookmarkStart w:id="159" w:name="_Toc979"/>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．中标结果公示</w:t>
      </w:r>
      <w:bookmarkEnd w:id="159"/>
    </w:p>
    <w:p w14:paraId="4213F0D5">
      <w:pPr>
        <w:spacing w:before="115" w:line="316" w:lineRule="auto"/>
        <w:ind w:left="2" w:right="203" w:firstLine="595"/>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中标通知书发出后</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2"/>
          <w:sz w:val="24"/>
          <w:szCs w:val="24"/>
          <w:highlight w:val="none"/>
        </w:rPr>
        <w:t>15日内，招标人应将中标结果在广东省招标投标</w:t>
      </w:r>
      <w:r>
        <w:rPr>
          <w:rFonts w:hint="eastAsia" w:ascii="宋体" w:hAnsi="宋体" w:eastAsia="宋体" w:cs="宋体"/>
          <w:color w:val="auto"/>
          <w:spacing w:val="-3"/>
          <w:sz w:val="24"/>
          <w:szCs w:val="24"/>
          <w:highlight w:val="none"/>
        </w:rPr>
        <w:t>监管网（http:</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//zbtb.gd.gov.cn）、全国公共资源交易平台（广东省</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·韶关市</w:t>
      </w:r>
      <w:r>
        <w:rPr>
          <w:rFonts w:hint="eastAsia" w:ascii="宋体" w:hAnsi="宋体" w:eastAsia="宋体" w:cs="宋体"/>
          <w:color w:val="auto"/>
          <w:spacing w:val="-34"/>
          <w:sz w:val="24"/>
          <w:szCs w:val="24"/>
          <w:highlight w:val="none"/>
        </w:rPr>
        <w:t>）（</w:t>
      </w:r>
      <w:r>
        <w:rPr>
          <w:rFonts w:hint="eastAsia" w:ascii="宋体" w:hAnsi="宋体" w:eastAsia="宋体" w:cs="宋体"/>
          <w:color w:val="auto"/>
          <w:spacing w:val="-2"/>
          <w:sz w:val="24"/>
          <w:szCs w:val="24"/>
          <w:highlight w:val="none"/>
        </w:rPr>
        <w:t>https://ygp.</w:t>
      </w:r>
      <w:r>
        <w:rPr>
          <w:rFonts w:hint="eastAsia" w:ascii="宋体" w:hAnsi="宋体" w:eastAsia="宋体" w:cs="宋体"/>
          <w:color w:val="auto"/>
          <w:spacing w:val="-3"/>
          <w:sz w:val="24"/>
          <w:szCs w:val="24"/>
          <w:highlight w:val="none"/>
        </w:rPr>
        <w:t>gdzwfw.gov.</w:t>
      </w:r>
      <w:r>
        <w:rPr>
          <w:rFonts w:hint="eastAsia" w:ascii="宋体" w:hAnsi="宋体" w:eastAsia="宋体" w:cs="宋体"/>
          <w:color w:val="auto"/>
          <w:sz w:val="24"/>
          <w:szCs w:val="24"/>
          <w:highlight w:val="none"/>
        </w:rPr>
        <w:t xml:space="preserve"> cn/ggzy-portal/#/440200/index）进行公示。</w:t>
      </w:r>
    </w:p>
    <w:p w14:paraId="3E0F2192">
      <w:pPr>
        <w:pStyle w:val="6"/>
        <w:spacing w:line="475" w:lineRule="auto"/>
        <w:rPr>
          <w:rFonts w:hint="eastAsia" w:ascii="宋体" w:hAnsi="宋体" w:eastAsia="宋体" w:cs="宋体"/>
          <w:color w:val="auto"/>
          <w:highlight w:val="none"/>
        </w:rPr>
      </w:pPr>
    </w:p>
    <w:p w14:paraId="0D126311">
      <w:pPr>
        <w:spacing w:before="79" w:line="221" w:lineRule="auto"/>
        <w:ind w:left="570"/>
        <w:outlineLvl w:val="2"/>
        <w:rPr>
          <w:rFonts w:hint="eastAsia" w:ascii="宋体" w:hAnsi="宋体" w:eastAsia="宋体" w:cs="宋体"/>
          <w:color w:val="auto"/>
          <w:sz w:val="24"/>
          <w:szCs w:val="24"/>
          <w:highlight w:val="none"/>
        </w:rPr>
      </w:pPr>
      <w:bookmarkStart w:id="160" w:name="_Toc13145"/>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．履约保证</w:t>
      </w:r>
      <w:bookmarkEnd w:id="160"/>
    </w:p>
    <w:p w14:paraId="768BD984">
      <w:pPr>
        <w:keepNext w:val="0"/>
        <w:keepLines w:val="0"/>
        <w:pageBreakBefore w:val="0"/>
        <w:widowControl/>
        <w:kinsoku w:val="0"/>
        <w:wordWrap/>
        <w:overflowPunct/>
        <w:topLinePunct w:val="0"/>
        <w:autoSpaceDE w:val="0"/>
        <w:autoSpaceDN w:val="0"/>
        <w:bidi w:val="0"/>
        <w:adjustRightInd w:val="0"/>
        <w:snapToGrid w:val="0"/>
        <w:spacing w:before="153" w:line="312" w:lineRule="auto"/>
        <w:ind w:firstLine="47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3.1</w:t>
      </w:r>
      <w:r>
        <w:rPr>
          <w:rFonts w:hint="eastAsia" w:ascii="宋体" w:hAnsi="宋体" w:eastAsia="宋体" w:cs="宋体"/>
          <w:b/>
          <w:bCs/>
          <w:color w:val="auto"/>
          <w:spacing w:val="17"/>
          <w:sz w:val="24"/>
          <w:szCs w:val="24"/>
          <w:highlight w:val="none"/>
        </w:rPr>
        <w:t xml:space="preserve">  </w:t>
      </w:r>
      <w:r>
        <w:rPr>
          <w:rFonts w:hint="eastAsia" w:ascii="宋体" w:hAnsi="宋体" w:eastAsia="宋体" w:cs="宋体"/>
          <w:color w:val="auto"/>
          <w:spacing w:val="-3"/>
          <w:sz w:val="24"/>
          <w:szCs w:val="24"/>
          <w:highlight w:val="none"/>
        </w:rPr>
        <w:t>中标人须在领取中标通知书之日起</w:t>
      </w:r>
      <w:r>
        <w:rPr>
          <w:rFonts w:hint="eastAsia" w:ascii="宋体" w:hAnsi="宋体" w:eastAsia="宋体" w:cs="宋体"/>
          <w:color w:val="auto"/>
          <w:spacing w:val="-3"/>
          <w:sz w:val="24"/>
          <w:szCs w:val="24"/>
          <w:highlight w:val="none"/>
          <w:u w:val="single"/>
          <w:lang w:val="en-US" w:eastAsia="zh-CN"/>
        </w:rPr>
        <w:t xml:space="preserve"> 10 </w:t>
      </w:r>
      <w:r>
        <w:rPr>
          <w:rFonts w:hint="eastAsia" w:ascii="宋体" w:hAnsi="宋体" w:eastAsia="宋体" w:cs="宋体"/>
          <w:color w:val="auto"/>
          <w:spacing w:val="-3"/>
          <w:sz w:val="24"/>
          <w:szCs w:val="24"/>
          <w:highlight w:val="none"/>
        </w:rPr>
        <w:t>个工作日内、签订合同前向招标人提交金额</w:t>
      </w:r>
      <w:r>
        <w:rPr>
          <w:rFonts w:hint="eastAsia" w:ascii="宋体" w:hAnsi="宋体" w:eastAsia="宋体" w:cs="宋体"/>
          <w:color w:val="auto"/>
          <w:spacing w:val="-1"/>
          <w:position w:val="2"/>
          <w:sz w:val="24"/>
          <w:szCs w:val="24"/>
          <w:highlight w:val="none"/>
        </w:rPr>
        <w:t>为中标价</w:t>
      </w:r>
      <w:r>
        <w:rPr>
          <w:rFonts w:hint="eastAsia" w:ascii="宋体" w:hAnsi="宋体" w:eastAsia="宋体" w:cs="宋体"/>
          <w:color w:val="auto"/>
          <w:spacing w:val="-1"/>
          <w:position w:val="2"/>
          <w:sz w:val="24"/>
          <w:szCs w:val="24"/>
          <w:highlight w:val="none"/>
          <w:u w:val="single"/>
          <w:lang w:val="en-US" w:eastAsia="zh-CN"/>
        </w:rPr>
        <w:t xml:space="preserve"> 5</w:t>
      </w:r>
      <w:r>
        <w:rPr>
          <w:rFonts w:hint="eastAsia" w:ascii="宋体" w:hAnsi="宋体" w:eastAsia="宋体" w:cs="宋体"/>
          <w:color w:val="auto"/>
          <w:spacing w:val="-1"/>
          <w:position w:val="2"/>
          <w:sz w:val="24"/>
          <w:szCs w:val="24"/>
          <w:highlight w:val="none"/>
          <w:u w:val="single"/>
        </w:rPr>
        <w:t xml:space="preserve">%  </w:t>
      </w:r>
      <w:r>
        <w:rPr>
          <w:rFonts w:hint="eastAsia" w:ascii="宋体" w:hAnsi="宋体" w:eastAsia="宋体" w:cs="宋体"/>
          <w:color w:val="auto"/>
          <w:spacing w:val="-1"/>
          <w:position w:val="2"/>
          <w:sz w:val="24"/>
          <w:szCs w:val="24"/>
          <w:highlight w:val="none"/>
        </w:rPr>
        <w:t>的履约保证。联合体中标的，由联合体牵头人提交。</w:t>
      </w:r>
    </w:p>
    <w:p w14:paraId="49C84C93">
      <w:pPr>
        <w:spacing w:before="89" w:line="286" w:lineRule="auto"/>
        <w:ind w:left="12" w:right="108" w:firstLine="473"/>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3.2</w:t>
      </w:r>
      <w:r>
        <w:rPr>
          <w:rFonts w:hint="eastAsia" w:ascii="宋体" w:hAnsi="宋体" w:eastAsia="宋体" w:cs="宋体"/>
          <w:b/>
          <w:bCs/>
          <w:color w:val="auto"/>
          <w:spacing w:val="34"/>
          <w:w w:val="101"/>
          <w:sz w:val="24"/>
          <w:szCs w:val="24"/>
          <w:highlight w:val="none"/>
        </w:rPr>
        <w:t xml:space="preserve"> </w:t>
      </w:r>
      <w:r>
        <w:rPr>
          <w:rFonts w:hint="eastAsia" w:ascii="宋体" w:hAnsi="宋体" w:eastAsia="宋体" w:cs="宋体"/>
          <w:color w:val="auto"/>
          <w:spacing w:val="-1"/>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2"/>
          <w:sz w:val="24"/>
          <w:szCs w:val="24"/>
          <w:highlight w:val="none"/>
        </w:rPr>
        <w:t>。商业保函、银行保函或保险合同（或保险单）的</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1"/>
          <w:sz w:val="24"/>
          <w:szCs w:val="24"/>
          <w:highlight w:val="none"/>
        </w:rPr>
        <w:t>有效期应当自合同生效之日起至项目通过竣工验收之日后</w:t>
      </w:r>
      <w:r>
        <w:rPr>
          <w:rFonts w:hint="eastAsia" w:ascii="宋体" w:hAnsi="宋体" w:eastAsia="宋体" w:cs="宋体"/>
          <w:color w:val="auto"/>
          <w:spacing w:val="-41"/>
          <w:sz w:val="24"/>
          <w:szCs w:val="24"/>
          <w:highlight w:val="none"/>
        </w:rPr>
        <w:t xml:space="preserve"> </w:t>
      </w:r>
      <w:r>
        <w:rPr>
          <w:rFonts w:hint="eastAsia" w:ascii="宋体" w:hAnsi="宋体" w:eastAsia="宋体" w:cs="宋体"/>
          <w:color w:val="auto"/>
          <w:spacing w:val="-1"/>
          <w:sz w:val="24"/>
          <w:szCs w:val="24"/>
          <w:highlight w:val="none"/>
        </w:rPr>
        <w:t>28 天止。</w:t>
      </w:r>
    </w:p>
    <w:p w14:paraId="2796A316">
      <w:pPr>
        <w:wordWrap w:val="0"/>
        <w:spacing w:line="440" w:lineRule="exact"/>
        <w:ind w:firstLine="562"/>
        <w:rPr>
          <w:rFonts w:hint="eastAsia" w:ascii="宋体" w:hAnsi="宋体" w:eastAsia="宋体" w:cs="宋体"/>
          <w:color w:val="auto"/>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35FFE1C4">
      <w:pPr>
        <w:spacing w:before="145" w:line="319" w:lineRule="auto"/>
        <w:ind w:left="12" w:right="108"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3.3</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4"/>
          <w:sz w:val="24"/>
          <w:szCs w:val="24"/>
          <w:highlight w:val="none"/>
        </w:rPr>
        <w:t>中标人在领取中标通知书之日起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10 个工</w:t>
      </w:r>
      <w:r>
        <w:rPr>
          <w:rFonts w:hint="eastAsia" w:ascii="宋体" w:hAnsi="宋体" w:eastAsia="宋体" w:cs="宋体"/>
          <w:color w:val="auto"/>
          <w:spacing w:val="-5"/>
          <w:sz w:val="24"/>
          <w:szCs w:val="24"/>
          <w:highlight w:val="none"/>
        </w:rPr>
        <w:t>作日内仍未提交履约保证的，招标人发</w:t>
      </w:r>
      <w:r>
        <w:rPr>
          <w:rFonts w:hint="eastAsia" w:ascii="宋体" w:hAnsi="宋体" w:eastAsia="宋体" w:cs="宋体"/>
          <w:color w:val="auto"/>
          <w:spacing w:val="1"/>
          <w:sz w:val="24"/>
          <w:szCs w:val="24"/>
          <w:highlight w:val="none"/>
        </w:rPr>
        <w:t>出第一次提醒函；在领取中标通知书之日起</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1"/>
          <w:sz w:val="24"/>
          <w:szCs w:val="24"/>
          <w:highlight w:val="none"/>
        </w:rPr>
        <w:t>15 个工作日内仍未提交的</w:t>
      </w:r>
      <w:r>
        <w:rPr>
          <w:rFonts w:hint="eastAsia" w:ascii="宋体" w:hAnsi="宋体" w:eastAsia="宋体" w:cs="宋体"/>
          <w:color w:val="auto"/>
          <w:sz w:val="24"/>
          <w:szCs w:val="24"/>
          <w:highlight w:val="none"/>
        </w:rPr>
        <w:t>，招标人发出第</w:t>
      </w:r>
      <w:r>
        <w:rPr>
          <w:rFonts w:hint="eastAsia" w:ascii="宋体" w:hAnsi="宋体" w:eastAsia="宋体" w:cs="宋体"/>
          <w:color w:val="auto"/>
          <w:spacing w:val="1"/>
          <w:sz w:val="24"/>
          <w:szCs w:val="24"/>
          <w:highlight w:val="none"/>
        </w:rPr>
        <w:t>二次提醒函；在领取中标通知书之日起</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1"/>
          <w:sz w:val="24"/>
          <w:szCs w:val="24"/>
          <w:highlight w:val="none"/>
        </w:rPr>
        <w:t>20 个工作日内仍未提交的，视其放弃中标。并</w:t>
      </w:r>
      <w:r>
        <w:rPr>
          <w:rFonts w:hint="eastAsia" w:ascii="宋体" w:hAnsi="宋体" w:eastAsia="宋体" w:cs="宋体"/>
          <w:color w:val="auto"/>
          <w:spacing w:val="-2"/>
          <w:sz w:val="24"/>
          <w:szCs w:val="24"/>
          <w:highlight w:val="none"/>
        </w:rPr>
        <w:t>由招标人通报建设行政管理部门。如采用商业保函、银行保函或保险合同方式缴纳履约保证金，在保函或保险合同到期前一个月，中标人须主动办理续期手续或提交新的商业</w:t>
      </w:r>
      <w:r>
        <w:rPr>
          <w:rFonts w:hint="eastAsia" w:ascii="宋体" w:hAnsi="宋体" w:eastAsia="宋体" w:cs="宋体"/>
          <w:color w:val="auto"/>
          <w:spacing w:val="-1"/>
          <w:sz w:val="24"/>
          <w:szCs w:val="24"/>
          <w:highlight w:val="none"/>
        </w:rPr>
        <w:t>保函、银行保函或保险合同。</w:t>
      </w:r>
    </w:p>
    <w:p w14:paraId="514C5854">
      <w:pPr>
        <w:spacing w:before="152" w:line="299" w:lineRule="auto"/>
        <w:ind w:left="12"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3.4  </w:t>
      </w:r>
      <w:r>
        <w:rPr>
          <w:rFonts w:hint="eastAsia" w:ascii="宋体" w:hAnsi="宋体" w:eastAsia="宋体" w:cs="宋体"/>
          <w:color w:val="auto"/>
          <w:sz w:val="24"/>
          <w:szCs w:val="24"/>
          <w:highlight w:val="none"/>
        </w:rPr>
        <w:t>在工程实施过程中，如果承包人（即招标阶段的中标人，下同）由于自身的资</w:t>
      </w:r>
      <w:r>
        <w:rPr>
          <w:rFonts w:hint="eastAsia" w:ascii="宋体" w:hAnsi="宋体" w:eastAsia="宋体" w:cs="宋体"/>
          <w:color w:val="auto"/>
          <w:spacing w:val="-2"/>
          <w:sz w:val="24"/>
          <w:szCs w:val="24"/>
          <w:highlight w:val="none"/>
        </w:rPr>
        <w:t>金、技术、质量、非不可抗力等原因给发包人（即招标阶段的招标人，下同）造成经济</w:t>
      </w:r>
      <w:r>
        <w:rPr>
          <w:rFonts w:hint="eastAsia" w:ascii="宋体" w:hAnsi="宋体" w:eastAsia="宋体" w:cs="宋体"/>
          <w:color w:val="auto"/>
          <w:spacing w:val="-1"/>
          <w:sz w:val="24"/>
          <w:szCs w:val="24"/>
          <w:highlight w:val="none"/>
        </w:rPr>
        <w:t>损失，发包人有权扣划相应金额的履约保证。</w:t>
      </w:r>
    </w:p>
    <w:p w14:paraId="0B05782F">
      <w:pPr>
        <w:spacing w:before="154" w:line="220" w:lineRule="auto"/>
        <w:ind w:left="48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3.5  </w:t>
      </w:r>
      <w:r>
        <w:rPr>
          <w:rFonts w:hint="eastAsia" w:ascii="宋体" w:hAnsi="宋体" w:eastAsia="宋体" w:cs="宋体"/>
          <w:color w:val="auto"/>
          <w:sz w:val="24"/>
          <w:szCs w:val="24"/>
          <w:highlight w:val="none"/>
        </w:rPr>
        <w:t>项目通过竣工验收之日后</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28 天内，发包人将履</w:t>
      </w:r>
      <w:r>
        <w:rPr>
          <w:rFonts w:hint="eastAsia" w:ascii="宋体" w:hAnsi="宋体" w:eastAsia="宋体" w:cs="宋体"/>
          <w:color w:val="auto"/>
          <w:spacing w:val="-1"/>
          <w:sz w:val="24"/>
          <w:szCs w:val="24"/>
          <w:highlight w:val="none"/>
        </w:rPr>
        <w:t>约保证退还给承包人。</w:t>
      </w:r>
    </w:p>
    <w:p w14:paraId="5942DFEF">
      <w:pPr>
        <w:pStyle w:val="6"/>
        <w:spacing w:line="256" w:lineRule="auto"/>
        <w:rPr>
          <w:rFonts w:hint="eastAsia" w:ascii="宋体" w:hAnsi="宋体" w:eastAsia="宋体" w:cs="宋体"/>
          <w:color w:val="auto"/>
          <w:highlight w:val="none"/>
        </w:rPr>
      </w:pPr>
    </w:p>
    <w:p w14:paraId="0EC79573">
      <w:pPr>
        <w:pStyle w:val="6"/>
        <w:spacing w:line="257" w:lineRule="auto"/>
        <w:rPr>
          <w:rFonts w:hint="eastAsia" w:ascii="宋体" w:hAnsi="宋体" w:eastAsia="宋体" w:cs="宋体"/>
          <w:color w:val="auto"/>
          <w:highlight w:val="none"/>
        </w:rPr>
      </w:pPr>
    </w:p>
    <w:p w14:paraId="6839761F">
      <w:pPr>
        <w:spacing w:before="78" w:line="222" w:lineRule="auto"/>
        <w:ind w:left="488"/>
        <w:outlineLvl w:val="2"/>
        <w:rPr>
          <w:rFonts w:hint="eastAsia" w:ascii="宋体" w:hAnsi="宋体" w:eastAsia="宋体" w:cs="宋体"/>
          <w:color w:val="auto"/>
          <w:sz w:val="24"/>
          <w:szCs w:val="24"/>
          <w:highlight w:val="none"/>
        </w:rPr>
      </w:pPr>
      <w:bookmarkStart w:id="161" w:name="_Toc133"/>
      <w:r>
        <w:rPr>
          <w:rFonts w:hint="eastAsia" w:ascii="宋体" w:hAnsi="宋体" w:eastAsia="宋体" w:cs="宋体"/>
          <w:b/>
          <w:bCs/>
          <w:color w:val="auto"/>
          <w:spacing w:val="-8"/>
          <w:sz w:val="24"/>
          <w:szCs w:val="24"/>
          <w:highlight w:val="none"/>
        </w:rPr>
        <w:t>4</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8"/>
          <w:sz w:val="24"/>
          <w:szCs w:val="24"/>
          <w:highlight w:val="none"/>
        </w:rPr>
        <w:t>．合同订立</w:t>
      </w:r>
      <w:bookmarkEnd w:id="161"/>
    </w:p>
    <w:p w14:paraId="76D76CF8">
      <w:pPr>
        <w:spacing w:before="150" w:line="279" w:lineRule="auto"/>
        <w:ind w:left="13" w:right="108"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4.1  </w:t>
      </w:r>
      <w:r>
        <w:rPr>
          <w:rFonts w:hint="eastAsia" w:ascii="宋体" w:hAnsi="宋体" w:eastAsia="宋体" w:cs="宋体"/>
          <w:color w:val="auto"/>
          <w:sz w:val="24"/>
          <w:szCs w:val="24"/>
          <w:highlight w:val="none"/>
        </w:rPr>
        <w:t>招标人应当自中标通知书发出之日起</w:t>
      </w:r>
      <w:r>
        <w:rPr>
          <w:rFonts w:hint="eastAsia" w:ascii="宋体" w:hAnsi="宋体" w:eastAsia="宋体" w:cs="宋体"/>
          <w:color w:val="auto"/>
          <w:sz w:val="24"/>
          <w:szCs w:val="24"/>
          <w:highlight w:val="none"/>
          <w:u w:val="single"/>
          <w:lang w:val="en-US" w:eastAsia="zh-CN"/>
        </w:rPr>
        <w:t xml:space="preserve"> 三十 </w:t>
      </w:r>
      <w:r>
        <w:rPr>
          <w:rFonts w:hint="eastAsia" w:ascii="宋体" w:hAnsi="宋体" w:eastAsia="宋体" w:cs="宋体"/>
          <w:color w:val="auto"/>
          <w:sz w:val="24"/>
          <w:szCs w:val="24"/>
          <w:highlight w:val="none"/>
        </w:rPr>
        <w:t>日内，按照招标文件、中标人的投标</w:t>
      </w:r>
      <w:r>
        <w:rPr>
          <w:rFonts w:hint="eastAsia" w:ascii="宋体" w:hAnsi="宋体" w:eastAsia="宋体" w:cs="宋体"/>
          <w:color w:val="auto"/>
          <w:spacing w:val="-1"/>
          <w:sz w:val="24"/>
          <w:szCs w:val="24"/>
          <w:highlight w:val="none"/>
        </w:rPr>
        <w:t>文件与中标人订立书面合同。</w:t>
      </w:r>
    </w:p>
    <w:p w14:paraId="4E43A176">
      <w:pPr>
        <w:spacing w:before="156"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4.2  </w:t>
      </w:r>
      <w:r>
        <w:rPr>
          <w:rFonts w:hint="eastAsia" w:ascii="宋体" w:hAnsi="宋体" w:eastAsia="宋体" w:cs="宋体"/>
          <w:color w:val="auto"/>
          <w:spacing w:val="-1"/>
          <w:sz w:val="24"/>
          <w:szCs w:val="24"/>
          <w:highlight w:val="none"/>
        </w:rPr>
        <w:t>不正常报价的梳理和确认</w:t>
      </w:r>
    </w:p>
    <w:p w14:paraId="648BF508">
      <w:pPr>
        <w:spacing w:before="154" w:line="299" w:lineRule="auto"/>
        <w:ind w:left="14" w:right="64"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4.2.1 合同订立期间，在不改变中标人的投标总价的前提下，招标人应对中标人的</w:t>
      </w:r>
      <w:r>
        <w:rPr>
          <w:rFonts w:hint="eastAsia" w:ascii="宋体" w:hAnsi="宋体" w:eastAsia="宋体" w:cs="宋体"/>
          <w:b/>
          <w:bCs/>
          <w:color w:val="auto"/>
          <w:spacing w:val="-3"/>
          <w:sz w:val="24"/>
          <w:szCs w:val="24"/>
          <w:highlight w:val="none"/>
        </w:rPr>
        <w:t>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3"/>
          <w:sz w:val="24"/>
          <w:szCs w:val="24"/>
          <w:highlight w:val="none"/>
        </w:rPr>
        <w:t>招标人不具备</w:t>
      </w:r>
      <w:r>
        <w:rPr>
          <w:rFonts w:hint="eastAsia" w:ascii="宋体" w:hAnsi="宋体" w:eastAsia="宋体" w:cs="宋体"/>
          <w:color w:val="auto"/>
          <w:spacing w:val="-4"/>
          <w:sz w:val="24"/>
          <w:szCs w:val="24"/>
          <w:highlight w:val="none"/>
        </w:rPr>
        <w:t>以上能力的，可授</w:t>
      </w:r>
      <w:r>
        <w:rPr>
          <w:rFonts w:hint="eastAsia" w:ascii="宋体" w:hAnsi="宋体" w:eastAsia="宋体" w:cs="宋体"/>
          <w:color w:val="auto"/>
          <w:spacing w:val="-1"/>
          <w:sz w:val="24"/>
          <w:szCs w:val="24"/>
          <w:highlight w:val="none"/>
        </w:rPr>
        <w:t>权编制本项目</w:t>
      </w:r>
      <w:r>
        <w:rPr>
          <w:rFonts w:hint="eastAsia" w:ascii="宋体" w:hAnsi="宋体" w:eastAsia="宋体" w:cs="宋体"/>
          <w:color w:val="auto"/>
          <w:spacing w:val="-1"/>
          <w:sz w:val="24"/>
          <w:szCs w:val="24"/>
          <w:highlight w:val="none"/>
          <w:lang w:eastAsia="zh-CN"/>
        </w:rPr>
        <w:t>最高投标限价</w:t>
      </w:r>
      <w:r>
        <w:rPr>
          <w:rFonts w:hint="eastAsia" w:ascii="宋体" w:hAnsi="宋体" w:eastAsia="宋体" w:cs="宋体"/>
          <w:color w:val="auto"/>
          <w:spacing w:val="-1"/>
          <w:sz w:val="24"/>
          <w:szCs w:val="24"/>
          <w:highlight w:val="none"/>
        </w:rPr>
        <w:t>的造价咨询单位实施。</w:t>
      </w:r>
    </w:p>
    <w:p w14:paraId="7F0442D0">
      <w:pPr>
        <w:spacing w:before="121" w:line="309" w:lineRule="auto"/>
        <w:ind w:left="14" w:right="65" w:firstLine="47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4.2.2  </w:t>
      </w:r>
      <w:r>
        <w:rPr>
          <w:rFonts w:hint="eastAsia" w:ascii="宋体" w:hAnsi="宋体" w:eastAsia="宋体" w:cs="宋体"/>
          <w:color w:val="auto"/>
          <w:spacing w:val="2"/>
          <w:sz w:val="24"/>
          <w:szCs w:val="24"/>
          <w:highlight w:val="none"/>
        </w:rPr>
        <w:t>算术性错误的分析和修正。投标报价汇</w:t>
      </w:r>
      <w:r>
        <w:rPr>
          <w:rFonts w:hint="eastAsia" w:ascii="宋体" w:hAnsi="宋体" w:eastAsia="宋体" w:cs="宋体"/>
          <w:color w:val="auto"/>
          <w:spacing w:val="1"/>
          <w:sz w:val="24"/>
          <w:szCs w:val="24"/>
          <w:highlight w:val="none"/>
        </w:rPr>
        <w:t>总表中，投标总价与各分项费用之和</w:t>
      </w:r>
      <w:r>
        <w:rPr>
          <w:rFonts w:hint="eastAsia" w:ascii="宋体" w:hAnsi="宋体" w:eastAsia="宋体" w:cs="宋体"/>
          <w:color w:val="auto"/>
          <w:spacing w:val="-2"/>
          <w:sz w:val="24"/>
          <w:szCs w:val="24"/>
          <w:highlight w:val="none"/>
        </w:rPr>
        <w:t>不一致的，以投标总价为准修正分项费用；投标报价汇总表的各分项费用与对应分项表中的费用不一致的，以投标报价汇总表中的分项费用为准修正对应分项表中的费用；各</w:t>
      </w:r>
      <w:r>
        <w:rPr>
          <w:rFonts w:hint="eastAsia" w:ascii="宋体" w:hAnsi="宋体" w:eastAsia="宋体" w:cs="宋体"/>
          <w:color w:val="auto"/>
          <w:sz w:val="24"/>
          <w:szCs w:val="24"/>
          <w:highlight w:val="none"/>
        </w:rPr>
        <w:t>分项表中总价金额与依据单价计算出的结果不</w:t>
      </w:r>
      <w:r>
        <w:rPr>
          <w:rFonts w:hint="eastAsia" w:ascii="宋体" w:hAnsi="宋体" w:eastAsia="宋体" w:cs="宋体"/>
          <w:color w:val="auto"/>
          <w:spacing w:val="-1"/>
          <w:sz w:val="24"/>
          <w:szCs w:val="24"/>
          <w:highlight w:val="none"/>
        </w:rPr>
        <w:t>一致的，以总价为准修正单价。</w:t>
      </w:r>
    </w:p>
    <w:p w14:paraId="460300C3">
      <w:pPr>
        <w:spacing w:before="157" w:line="279" w:lineRule="auto"/>
        <w:ind w:left="12" w:right="66"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4.2.3  </w:t>
      </w:r>
      <w:r>
        <w:rPr>
          <w:rFonts w:hint="eastAsia" w:ascii="宋体" w:hAnsi="宋体" w:eastAsia="宋体" w:cs="宋体"/>
          <w:color w:val="auto"/>
          <w:spacing w:val="2"/>
          <w:sz w:val="24"/>
          <w:szCs w:val="24"/>
          <w:highlight w:val="none"/>
        </w:rPr>
        <w:t>错漏项的认定。中标人已标价工程量清</w:t>
      </w:r>
      <w:r>
        <w:rPr>
          <w:rFonts w:hint="eastAsia" w:ascii="宋体" w:hAnsi="宋体" w:eastAsia="宋体" w:cs="宋体"/>
          <w:color w:val="auto"/>
          <w:spacing w:val="1"/>
          <w:sz w:val="24"/>
          <w:szCs w:val="24"/>
          <w:highlight w:val="none"/>
        </w:rPr>
        <w:t>单中，任一清单项目未填报价格或价</w:t>
      </w:r>
      <w:r>
        <w:rPr>
          <w:rFonts w:hint="eastAsia" w:ascii="宋体" w:hAnsi="宋体" w:eastAsia="宋体" w:cs="宋体"/>
          <w:color w:val="auto"/>
          <w:spacing w:val="-1"/>
          <w:sz w:val="24"/>
          <w:szCs w:val="24"/>
          <w:highlight w:val="none"/>
        </w:rPr>
        <w:t>格为零的，视为错漏项。</w:t>
      </w:r>
    </w:p>
    <w:p w14:paraId="15350C8A">
      <w:pPr>
        <w:spacing w:before="121" w:line="360" w:lineRule="auto"/>
        <w:ind w:firstLine="490"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4.2.4  </w:t>
      </w:r>
      <w:r>
        <w:rPr>
          <w:rFonts w:hint="eastAsia" w:ascii="宋体" w:hAnsi="宋体" w:eastAsia="宋体" w:cs="宋体"/>
          <w:color w:val="auto"/>
          <w:spacing w:val="2"/>
          <w:sz w:val="24"/>
          <w:szCs w:val="24"/>
          <w:highlight w:val="none"/>
        </w:rPr>
        <w:t>不平衡报价的认定。经修正算术性错误后的中标人已标价工程量清单中，</w:t>
      </w:r>
      <w:r>
        <w:rPr>
          <w:rFonts w:hint="eastAsia" w:ascii="宋体" w:hAnsi="宋体" w:eastAsia="宋体" w:cs="宋体"/>
          <w:color w:val="auto"/>
          <w:spacing w:val="2"/>
          <w:sz w:val="24"/>
          <w:szCs w:val="24"/>
          <w:highlight w:val="none"/>
          <w:u w:val="single"/>
        </w:rPr>
        <w:t>对于投标报价中综合单价相对</w:t>
      </w:r>
      <w:r>
        <w:rPr>
          <w:rFonts w:hint="eastAsia" w:ascii="宋体" w:hAnsi="宋体" w:eastAsia="宋体" w:cs="宋体"/>
          <w:color w:val="auto"/>
          <w:spacing w:val="2"/>
          <w:sz w:val="24"/>
          <w:szCs w:val="24"/>
          <w:highlight w:val="none"/>
          <w:u w:val="single"/>
          <w:lang w:eastAsia="zh-CN"/>
        </w:rPr>
        <w:t>最高投标限价</w:t>
      </w:r>
      <w:r>
        <w:rPr>
          <w:rFonts w:hint="eastAsia" w:ascii="宋体" w:hAnsi="宋体" w:eastAsia="宋体" w:cs="宋体"/>
          <w:color w:val="auto"/>
          <w:spacing w:val="2"/>
          <w:sz w:val="24"/>
          <w:szCs w:val="24"/>
          <w:highlight w:val="none"/>
          <w:u w:val="single"/>
        </w:rPr>
        <w:t xml:space="preserve">《分部分项工程和单价措施项目清单与计价表》中对应综合单价的偏差大于±15% </w:t>
      </w:r>
      <w:r>
        <w:rPr>
          <w:rFonts w:hint="eastAsia" w:ascii="宋体" w:hAnsi="宋体" w:eastAsia="宋体" w:cs="宋体"/>
          <w:color w:val="auto"/>
          <w:spacing w:val="2"/>
          <w:sz w:val="24"/>
          <w:szCs w:val="24"/>
          <w:highlight w:val="none"/>
          <w:u w:val="none"/>
        </w:rPr>
        <w:t>的清</w:t>
      </w:r>
      <w:r>
        <w:rPr>
          <w:rFonts w:hint="eastAsia" w:ascii="宋体" w:hAnsi="宋体" w:eastAsia="宋体" w:cs="宋体"/>
          <w:color w:val="auto"/>
          <w:spacing w:val="-3"/>
          <w:sz w:val="24"/>
          <w:szCs w:val="24"/>
          <w:highlight w:val="none"/>
          <w:u w:val="none"/>
        </w:rPr>
        <w:t>单项目</w:t>
      </w:r>
      <w:r>
        <w:rPr>
          <w:rFonts w:hint="eastAsia" w:ascii="宋体" w:hAnsi="宋体" w:eastAsia="宋体" w:cs="宋体"/>
          <w:color w:val="auto"/>
          <w:spacing w:val="-3"/>
          <w:sz w:val="24"/>
          <w:szCs w:val="24"/>
          <w:highlight w:val="none"/>
        </w:rPr>
        <w:t>，视为不平衡报价项目。</w:t>
      </w:r>
    </w:p>
    <w:p w14:paraId="528861A1">
      <w:pPr>
        <w:spacing w:before="146" w:line="330" w:lineRule="auto"/>
        <w:ind w:left="10" w:right="65" w:firstLine="478"/>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4.2.5 </w:t>
      </w:r>
      <w:r>
        <w:rPr>
          <w:rFonts w:hint="eastAsia" w:ascii="宋体" w:hAnsi="宋体" w:eastAsia="宋体" w:cs="宋体"/>
          <w:color w:val="auto"/>
          <w:spacing w:val="-3"/>
          <w:sz w:val="24"/>
          <w:szCs w:val="24"/>
          <w:highlight w:val="none"/>
        </w:rPr>
        <w:t>施工合同签订前，招标人或其授权的造价咨询单位应就发现的以上所有不平衡报价进行修正，形成《不平衡报价修正报告》，并由招标人和中标人共同签章确认，构成施工合同的组成部分。</w:t>
      </w:r>
    </w:p>
    <w:p w14:paraId="096AAFEE">
      <w:pPr>
        <w:spacing w:before="34" w:line="326" w:lineRule="auto"/>
        <w:ind w:left="12" w:right="65" w:firstLine="47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4.2.6 合同履行过程中，被认定为错漏项的清单项目，结算时按照第三章“拟签订</w:t>
      </w:r>
      <w:r>
        <w:rPr>
          <w:rFonts w:hint="eastAsia" w:ascii="宋体" w:hAnsi="宋体" w:eastAsia="宋体" w:cs="宋体"/>
          <w:b/>
          <w:bCs/>
          <w:color w:val="auto"/>
          <w:spacing w:val="-6"/>
          <w:sz w:val="24"/>
          <w:szCs w:val="24"/>
          <w:highlight w:val="none"/>
        </w:rPr>
        <w:t>合同的主要条款</w:t>
      </w:r>
      <w:r>
        <w:rPr>
          <w:rFonts w:hint="eastAsia" w:ascii="宋体" w:hAnsi="宋体" w:eastAsia="宋体" w:cs="宋体"/>
          <w:color w:val="auto"/>
          <w:spacing w:val="-77"/>
          <w:sz w:val="24"/>
          <w:szCs w:val="24"/>
          <w:highlight w:val="none"/>
        </w:rPr>
        <w:t xml:space="preserve"> </w:t>
      </w:r>
      <w:r>
        <w:rPr>
          <w:rFonts w:hint="eastAsia" w:ascii="宋体" w:hAnsi="宋体" w:eastAsia="宋体" w:cs="宋体"/>
          <w:b/>
          <w:bCs/>
          <w:color w:val="auto"/>
          <w:spacing w:val="-6"/>
          <w:sz w:val="24"/>
          <w:szCs w:val="24"/>
          <w:highlight w:val="none"/>
        </w:rPr>
        <w:t>”规定处理。</w:t>
      </w:r>
    </w:p>
    <w:p w14:paraId="3EC03351">
      <w:pPr>
        <w:spacing w:before="33" w:line="317" w:lineRule="auto"/>
        <w:ind w:left="12" w:right="38" w:firstLine="476"/>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4.2.7  合同履行过程中，合同约定的调</w:t>
      </w:r>
      <w:r>
        <w:rPr>
          <w:rFonts w:hint="eastAsia" w:ascii="宋体" w:hAnsi="宋体" w:eastAsia="宋体" w:cs="宋体"/>
          <w:b/>
          <w:bCs/>
          <w:color w:val="auto"/>
          <w:spacing w:val="-1"/>
          <w:sz w:val="24"/>
          <w:szCs w:val="24"/>
          <w:highlight w:val="none"/>
        </w:rPr>
        <w:t>整因素（如工程量偏差、工程变更、项目特</w:t>
      </w:r>
      <w:r>
        <w:rPr>
          <w:rFonts w:hint="eastAsia" w:ascii="宋体" w:hAnsi="宋体" w:eastAsia="宋体" w:cs="宋体"/>
          <w:b/>
          <w:bCs/>
          <w:color w:val="auto"/>
          <w:spacing w:val="-4"/>
          <w:sz w:val="24"/>
          <w:szCs w:val="24"/>
          <w:highlight w:val="none"/>
        </w:rPr>
        <w:t>征不符、招标工程量清单缺项等）出现时，被认定为不平衡报价的清单项目以及</w:t>
      </w:r>
      <w:r>
        <w:rPr>
          <w:rFonts w:hint="eastAsia" w:ascii="宋体" w:hAnsi="宋体" w:eastAsia="宋体" w:cs="宋体"/>
          <w:b/>
          <w:bCs/>
          <w:color w:val="auto"/>
          <w:spacing w:val="-5"/>
          <w:sz w:val="24"/>
          <w:szCs w:val="24"/>
          <w:highlight w:val="none"/>
        </w:rPr>
        <w:t>采用被</w:t>
      </w:r>
      <w:r>
        <w:rPr>
          <w:rFonts w:hint="eastAsia" w:ascii="宋体" w:hAnsi="宋体" w:eastAsia="宋体" w:cs="宋体"/>
          <w:b/>
          <w:bCs/>
          <w:color w:val="auto"/>
          <w:spacing w:val="-3"/>
          <w:sz w:val="24"/>
          <w:szCs w:val="24"/>
          <w:highlight w:val="none"/>
        </w:rPr>
        <w:t>认定为不平衡报价的清单项目的价格作为取价（或参照取</w:t>
      </w:r>
      <w:r>
        <w:rPr>
          <w:rFonts w:hint="eastAsia" w:ascii="宋体" w:hAnsi="宋体" w:eastAsia="宋体" w:cs="宋体"/>
          <w:b/>
          <w:bCs/>
          <w:color w:val="auto"/>
          <w:spacing w:val="-4"/>
          <w:sz w:val="24"/>
          <w:szCs w:val="24"/>
          <w:highlight w:val="none"/>
        </w:rPr>
        <w:t>价）依据的变更、新增项目，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3"/>
          <w:sz w:val="24"/>
          <w:szCs w:val="24"/>
          <w:highlight w:val="none"/>
        </w:rPr>
        <w:t>按照第三章“拟签订合同的主要条款</w:t>
      </w:r>
      <w:r>
        <w:rPr>
          <w:rFonts w:hint="eastAsia" w:ascii="宋体" w:hAnsi="宋体" w:eastAsia="宋体" w:cs="宋体"/>
          <w:color w:val="auto"/>
          <w:spacing w:val="-86"/>
          <w:sz w:val="24"/>
          <w:szCs w:val="24"/>
          <w:highlight w:val="none"/>
        </w:rPr>
        <w:t xml:space="preserve"> </w:t>
      </w:r>
      <w:r>
        <w:rPr>
          <w:rFonts w:hint="eastAsia" w:ascii="宋体" w:hAnsi="宋体" w:eastAsia="宋体" w:cs="宋体"/>
          <w:b/>
          <w:bCs/>
          <w:color w:val="auto"/>
          <w:spacing w:val="-3"/>
          <w:sz w:val="24"/>
          <w:szCs w:val="24"/>
          <w:highlight w:val="none"/>
        </w:rPr>
        <w:t>”有关规定调整</w:t>
      </w:r>
      <w:r>
        <w:rPr>
          <w:rFonts w:hint="eastAsia" w:ascii="宋体" w:hAnsi="宋体" w:eastAsia="宋体" w:cs="宋体"/>
          <w:b/>
          <w:bCs/>
          <w:color w:val="auto"/>
          <w:spacing w:val="-4"/>
          <w:sz w:val="24"/>
          <w:szCs w:val="24"/>
          <w:highlight w:val="none"/>
        </w:rPr>
        <w:t>合同价款。</w:t>
      </w:r>
    </w:p>
    <w:p w14:paraId="2828B542">
      <w:pPr>
        <w:spacing w:before="87" w:line="276"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4.3  </w:t>
      </w:r>
      <w:r>
        <w:rPr>
          <w:rFonts w:hint="eastAsia" w:ascii="宋体" w:hAnsi="宋体" w:eastAsia="宋体" w:cs="宋体"/>
          <w:color w:val="auto"/>
          <w:sz w:val="24"/>
          <w:szCs w:val="24"/>
          <w:highlight w:val="none"/>
        </w:rPr>
        <w:t>本招标项目合同计价方式为：</w:t>
      </w:r>
      <w:r>
        <w:rPr>
          <w:rFonts w:hint="eastAsia" w:ascii="宋体" w:hAnsi="宋体" w:eastAsia="宋体" w:cs="宋体"/>
          <w:color w:val="auto"/>
          <w:sz w:val="24"/>
          <w:szCs w:val="24"/>
          <w:highlight w:val="none"/>
          <w:u w:val="single"/>
        </w:rPr>
        <w:t xml:space="preserve"> 单价 </w:t>
      </w:r>
      <w:r>
        <w:rPr>
          <w:rFonts w:hint="eastAsia" w:ascii="宋体" w:hAnsi="宋体" w:eastAsia="宋体" w:cs="宋体"/>
          <w:color w:val="auto"/>
          <w:spacing w:val="-1"/>
          <w:sz w:val="24"/>
          <w:szCs w:val="24"/>
          <w:highlight w:val="none"/>
        </w:rPr>
        <w:t>合同。</w:t>
      </w:r>
    </w:p>
    <w:p w14:paraId="4BAAE47D">
      <w:pPr>
        <w:spacing w:before="120" w:line="298" w:lineRule="auto"/>
        <w:ind w:left="11" w:right="28"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 xml:space="preserve">4.4  </w:t>
      </w:r>
      <w:r>
        <w:rPr>
          <w:rFonts w:hint="eastAsia" w:ascii="宋体" w:hAnsi="宋体" w:eastAsia="宋体" w:cs="宋体"/>
          <w:color w:val="auto"/>
          <w:spacing w:val="-4"/>
          <w:sz w:val="24"/>
          <w:szCs w:val="24"/>
          <w:highlight w:val="none"/>
        </w:rPr>
        <w:t>合同的标的、质量、履行期限条款和合同的价款、单</w:t>
      </w:r>
      <w:r>
        <w:rPr>
          <w:rFonts w:hint="eastAsia" w:ascii="宋体" w:hAnsi="宋体" w:eastAsia="宋体" w:cs="宋体"/>
          <w:color w:val="auto"/>
          <w:spacing w:val="-5"/>
          <w:sz w:val="24"/>
          <w:szCs w:val="24"/>
          <w:highlight w:val="none"/>
        </w:rPr>
        <w:t>价、比例条款等主要条款，</w:t>
      </w:r>
      <w:r>
        <w:rPr>
          <w:rFonts w:hint="eastAsia" w:ascii="宋体" w:hAnsi="宋体" w:eastAsia="宋体" w:cs="宋体"/>
          <w:color w:val="auto"/>
          <w:spacing w:val="-2"/>
          <w:sz w:val="24"/>
          <w:szCs w:val="24"/>
          <w:highlight w:val="none"/>
        </w:rPr>
        <w:t>应当与招标文件、中标人的投标文件的内容一致。中标人在签订合同时不得向招标人提出附加条件。</w:t>
      </w:r>
    </w:p>
    <w:p w14:paraId="366E90A8">
      <w:pPr>
        <w:spacing w:before="158" w:line="298" w:lineRule="auto"/>
        <w:ind w:left="12" w:right="9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4.5  </w:t>
      </w:r>
      <w:r>
        <w:rPr>
          <w:rFonts w:hint="eastAsia" w:ascii="宋体" w:hAnsi="宋体" w:eastAsia="宋体" w:cs="宋体"/>
          <w:color w:val="auto"/>
          <w:spacing w:val="-3"/>
          <w:sz w:val="24"/>
          <w:szCs w:val="24"/>
          <w:highlight w:val="none"/>
        </w:rPr>
        <w:t>若中标人在领取中标通知书之日起</w:t>
      </w:r>
      <w:r>
        <w:rPr>
          <w:rFonts w:hint="eastAsia" w:ascii="宋体" w:hAnsi="宋体" w:eastAsia="宋体" w:cs="宋体"/>
          <w:color w:val="auto"/>
          <w:spacing w:val="-50"/>
          <w:sz w:val="24"/>
          <w:szCs w:val="24"/>
          <w:highlight w:val="none"/>
        </w:rPr>
        <w:t xml:space="preserve"> </w:t>
      </w:r>
      <w:r>
        <w:rPr>
          <w:rFonts w:hint="eastAsia" w:ascii="宋体" w:hAnsi="宋体" w:eastAsia="宋体" w:cs="宋体"/>
          <w:color w:val="auto"/>
          <w:spacing w:val="-4"/>
          <w:sz w:val="24"/>
          <w:szCs w:val="24"/>
          <w:highlight w:val="none"/>
        </w:rPr>
        <w:t>30天内仍未签订合同，招标人发出第一次提</w:t>
      </w:r>
      <w:r>
        <w:rPr>
          <w:rFonts w:hint="eastAsia" w:ascii="宋体" w:hAnsi="宋体" w:eastAsia="宋体" w:cs="宋体"/>
          <w:color w:val="auto"/>
          <w:spacing w:val="1"/>
          <w:sz w:val="24"/>
          <w:szCs w:val="24"/>
          <w:highlight w:val="none"/>
        </w:rPr>
        <w:t>醒函；在领取中标通知书之日起</w:t>
      </w:r>
      <w:r>
        <w:rPr>
          <w:rFonts w:hint="eastAsia" w:ascii="宋体" w:hAnsi="宋体" w:eastAsia="宋体" w:cs="宋体"/>
          <w:color w:val="auto"/>
          <w:spacing w:val="-53"/>
          <w:sz w:val="24"/>
          <w:szCs w:val="24"/>
          <w:highlight w:val="none"/>
        </w:rPr>
        <w:t xml:space="preserve"> </w:t>
      </w:r>
      <w:r>
        <w:rPr>
          <w:rFonts w:hint="eastAsia" w:ascii="宋体" w:hAnsi="宋体" w:eastAsia="宋体" w:cs="宋体"/>
          <w:color w:val="auto"/>
          <w:spacing w:val="1"/>
          <w:sz w:val="24"/>
          <w:szCs w:val="24"/>
          <w:highlight w:val="none"/>
        </w:rPr>
        <w:t>40天内仍未签订，招标人发出第二次提醒函；在</w:t>
      </w:r>
      <w:r>
        <w:rPr>
          <w:rFonts w:hint="eastAsia" w:ascii="宋体" w:hAnsi="宋体" w:eastAsia="宋体" w:cs="宋体"/>
          <w:color w:val="auto"/>
          <w:sz w:val="24"/>
          <w:szCs w:val="24"/>
          <w:highlight w:val="none"/>
        </w:rPr>
        <w:t>领取</w:t>
      </w:r>
      <w:r>
        <w:rPr>
          <w:rFonts w:hint="eastAsia" w:ascii="宋体" w:hAnsi="宋体" w:eastAsia="宋体" w:cs="宋体"/>
          <w:color w:val="auto"/>
          <w:spacing w:val="-1"/>
          <w:sz w:val="24"/>
          <w:szCs w:val="24"/>
          <w:highlight w:val="none"/>
        </w:rPr>
        <w:t>中标通知书之日起</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1"/>
          <w:sz w:val="24"/>
          <w:szCs w:val="24"/>
          <w:highlight w:val="none"/>
        </w:rPr>
        <w:t>45天内仍未签订，视其放弃中标。</w:t>
      </w:r>
    </w:p>
    <w:p w14:paraId="3517AD8D">
      <w:pPr>
        <w:spacing w:before="155" w:line="299" w:lineRule="auto"/>
        <w:ind w:left="12" w:right="82"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4.6  </w:t>
      </w:r>
      <w:r>
        <w:rPr>
          <w:rFonts w:hint="eastAsia" w:ascii="宋体" w:hAnsi="宋体" w:eastAsia="宋体" w:cs="宋体"/>
          <w:color w:val="auto"/>
          <w:sz w:val="24"/>
          <w:szCs w:val="24"/>
          <w:highlight w:val="none"/>
        </w:rPr>
        <w:t>在书面合同订立之日起</w:t>
      </w:r>
      <w:r>
        <w:rPr>
          <w:rFonts w:hint="eastAsia" w:ascii="宋体" w:hAnsi="宋体" w:eastAsia="宋体" w:cs="宋体"/>
          <w:color w:val="auto"/>
          <w:spacing w:val="-55"/>
          <w:sz w:val="24"/>
          <w:szCs w:val="24"/>
          <w:highlight w:val="none"/>
        </w:rPr>
        <w:t xml:space="preserve"> </w:t>
      </w:r>
      <w:r>
        <w:rPr>
          <w:rFonts w:hint="eastAsia" w:ascii="宋体" w:hAnsi="宋体" w:eastAsia="宋体" w:cs="宋体"/>
          <w:color w:val="auto"/>
          <w:sz w:val="24"/>
          <w:szCs w:val="24"/>
          <w:highlight w:val="none"/>
        </w:rPr>
        <w:t>2 个工作日内，由中标人或招标代理机构将合同上传至</w:t>
      </w:r>
      <w:r>
        <w:rPr>
          <w:rFonts w:hint="eastAsia" w:ascii="宋体" w:hAnsi="宋体" w:eastAsia="宋体" w:cs="宋体"/>
          <w:color w:val="auto"/>
          <w:spacing w:val="-2"/>
          <w:sz w:val="24"/>
          <w:szCs w:val="24"/>
          <w:highlight w:val="none"/>
        </w:rPr>
        <w:t>建设工程交易系统，并发起退还投标保证的申请。韶关市公共资源交易中心在收到申请之日起</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2"/>
          <w:sz w:val="24"/>
          <w:szCs w:val="24"/>
          <w:highlight w:val="none"/>
        </w:rPr>
        <w:t>3 个工作日内，将投标保证金（或银行保函）退还给中标人和其他</w:t>
      </w:r>
      <w:r>
        <w:rPr>
          <w:rFonts w:hint="eastAsia" w:ascii="宋体" w:hAnsi="宋体" w:eastAsia="宋体" w:cs="宋体"/>
          <w:color w:val="auto"/>
          <w:spacing w:val="-2"/>
          <w:sz w:val="24"/>
          <w:szCs w:val="24"/>
          <w:highlight w:val="none"/>
          <w:lang w:eastAsia="zh-CN"/>
        </w:rPr>
        <w:t>定标</w:t>
      </w:r>
      <w:r>
        <w:rPr>
          <w:rFonts w:hint="eastAsia" w:ascii="宋体" w:hAnsi="宋体" w:eastAsia="宋体" w:cs="宋体"/>
          <w:color w:val="auto"/>
          <w:spacing w:val="-2"/>
          <w:sz w:val="24"/>
          <w:szCs w:val="24"/>
          <w:highlight w:val="none"/>
        </w:rPr>
        <w:t>候选人。</w:t>
      </w:r>
    </w:p>
    <w:p w14:paraId="556FD923">
      <w:pPr>
        <w:spacing w:before="78" w:line="220" w:lineRule="auto"/>
        <w:ind w:left="489"/>
        <w:outlineLvl w:val="2"/>
        <w:rPr>
          <w:rFonts w:hint="eastAsia" w:ascii="宋体" w:hAnsi="宋体" w:eastAsia="宋体" w:cs="宋体"/>
          <w:color w:val="auto"/>
          <w:sz w:val="24"/>
          <w:szCs w:val="24"/>
          <w:highlight w:val="none"/>
        </w:rPr>
      </w:pPr>
      <w:bookmarkStart w:id="162" w:name="_Toc4089"/>
      <w:r>
        <w:rPr>
          <w:rFonts w:hint="eastAsia" w:ascii="宋体" w:hAnsi="宋体" w:eastAsia="宋体" w:cs="宋体"/>
          <w:b/>
          <w:bCs/>
          <w:color w:val="auto"/>
          <w:spacing w:val="-6"/>
          <w:sz w:val="24"/>
          <w:szCs w:val="24"/>
          <w:highlight w:val="none"/>
        </w:rPr>
        <w:t>5</w:t>
      </w:r>
      <w:r>
        <w:rPr>
          <w:rFonts w:hint="eastAsia" w:ascii="宋体" w:hAnsi="宋体" w:eastAsia="宋体" w:cs="宋体"/>
          <w:b/>
          <w:bCs/>
          <w:color w:val="auto"/>
          <w:spacing w:val="-29"/>
          <w:sz w:val="24"/>
          <w:szCs w:val="24"/>
          <w:highlight w:val="none"/>
        </w:rPr>
        <w:t xml:space="preserve"> </w:t>
      </w:r>
      <w:r>
        <w:rPr>
          <w:rFonts w:hint="eastAsia" w:ascii="宋体" w:hAnsi="宋体" w:eastAsia="宋体" w:cs="宋体"/>
          <w:b/>
          <w:bCs/>
          <w:color w:val="auto"/>
          <w:spacing w:val="-6"/>
          <w:sz w:val="24"/>
          <w:szCs w:val="24"/>
          <w:highlight w:val="none"/>
        </w:rPr>
        <w:t>．放弃中标的处理</w:t>
      </w:r>
      <w:bookmarkEnd w:id="162"/>
    </w:p>
    <w:p w14:paraId="28920CC3">
      <w:pPr>
        <w:spacing w:before="150" w:line="319" w:lineRule="auto"/>
        <w:ind w:left="12" w:right="91" w:firstLine="477"/>
        <w:rPr>
          <w:rFonts w:hint="eastAsia" w:ascii="宋体" w:hAnsi="宋体" w:eastAsia="宋体" w:cs="宋体"/>
          <w:color w:val="auto"/>
          <w:spacing w:val="-2"/>
          <w:sz w:val="24"/>
          <w:szCs w:val="24"/>
          <w:highlight w:val="none"/>
          <w:lang w:eastAsia="zh-CN"/>
        </w:rPr>
      </w:pPr>
      <w:r>
        <w:rPr>
          <w:rFonts w:hint="eastAsia" w:ascii="宋体" w:hAnsi="宋体" w:eastAsia="宋体" w:cs="宋体"/>
          <w:b/>
          <w:bCs/>
          <w:color w:val="auto"/>
          <w:spacing w:val="-1"/>
          <w:sz w:val="24"/>
          <w:szCs w:val="24"/>
          <w:highlight w:val="none"/>
        </w:rPr>
        <w:t>5.1</w:t>
      </w:r>
      <w:r>
        <w:rPr>
          <w:rFonts w:hint="eastAsia" w:ascii="宋体" w:hAnsi="宋体" w:eastAsia="宋体" w:cs="宋体"/>
          <w:b/>
          <w:bCs/>
          <w:color w:val="auto"/>
          <w:spacing w:val="19"/>
          <w:w w:val="101"/>
          <w:sz w:val="24"/>
          <w:szCs w:val="24"/>
          <w:highlight w:val="none"/>
        </w:rPr>
        <w:t xml:space="preserve">  </w:t>
      </w:r>
      <w:r>
        <w:rPr>
          <w:rFonts w:hint="eastAsia" w:ascii="宋体" w:hAnsi="宋体" w:eastAsia="宋体" w:cs="宋体"/>
          <w:color w:val="auto"/>
          <w:spacing w:val="-1"/>
          <w:sz w:val="24"/>
          <w:szCs w:val="24"/>
          <w:highlight w:val="none"/>
        </w:rPr>
        <w:t>中标人无正当理由放弃中标的，取消其中标资格，其投标保证不予退还，给招</w:t>
      </w:r>
      <w:r>
        <w:rPr>
          <w:rFonts w:hint="eastAsia" w:ascii="宋体" w:hAnsi="宋体" w:eastAsia="宋体" w:cs="宋体"/>
          <w:color w:val="auto"/>
          <w:spacing w:val="-2"/>
          <w:sz w:val="24"/>
          <w:szCs w:val="24"/>
          <w:highlight w:val="none"/>
        </w:rPr>
        <w:t>标人造成的损失超过投标保证金额的，弃标人还应当对超过部分予以赔偿。</w:t>
      </w:r>
      <w:r>
        <w:rPr>
          <w:rFonts w:hint="eastAsia" w:ascii="宋体" w:hAnsi="宋体" w:eastAsia="宋体" w:cs="宋体"/>
          <w:color w:val="auto"/>
          <w:spacing w:val="-2"/>
          <w:sz w:val="24"/>
          <w:szCs w:val="24"/>
          <w:highlight w:val="none"/>
          <w:lang w:val="en-US" w:eastAsia="zh-CN"/>
        </w:rPr>
        <w:t>招标人可以组织定标委员会召开定标会议重新进行定标，重新定标后再进行定标结果公示，</w:t>
      </w:r>
      <w:r>
        <w:rPr>
          <w:rFonts w:hint="eastAsia" w:ascii="宋体" w:hAnsi="宋体" w:eastAsia="宋体" w:cs="宋体"/>
          <w:color w:val="auto"/>
          <w:spacing w:val="-2"/>
          <w:sz w:val="24"/>
          <w:szCs w:val="24"/>
          <w:highlight w:val="none"/>
        </w:rPr>
        <w:t>如果招标人认为其他</w:t>
      </w:r>
      <w:r>
        <w:rPr>
          <w:rFonts w:hint="eastAsia" w:ascii="宋体" w:hAnsi="宋体" w:eastAsia="宋体" w:cs="宋体"/>
          <w:color w:val="auto"/>
          <w:spacing w:val="-2"/>
          <w:sz w:val="24"/>
          <w:szCs w:val="24"/>
          <w:highlight w:val="none"/>
          <w:lang w:eastAsia="zh-CN"/>
        </w:rPr>
        <w:t>定标</w:t>
      </w:r>
    </w:p>
    <w:p w14:paraId="68CE2017">
      <w:pPr>
        <w:spacing w:before="150" w:line="319" w:lineRule="auto"/>
        <w:ind w:left="12" w:right="91" w:firstLine="477"/>
        <w:jc w:val="both"/>
        <w:rPr>
          <w:rFonts w:hint="eastAsia" w:ascii="宋体" w:hAnsi="宋体" w:eastAsia="宋体" w:cs="宋体"/>
          <w:color w:val="auto"/>
          <w:highlight w:val="none"/>
        </w:rPr>
      </w:pPr>
      <w:r>
        <w:rPr>
          <w:rFonts w:hint="eastAsia" w:ascii="宋体" w:hAnsi="宋体" w:eastAsia="宋体" w:cs="宋体"/>
          <w:color w:val="auto"/>
          <w:spacing w:val="-2"/>
          <w:sz w:val="24"/>
          <w:szCs w:val="24"/>
          <w:highlight w:val="none"/>
        </w:rPr>
        <w:t>候选人的条件明显不利于招标人的，也可以重新招标。因此种情况造成招标人重新招标的，招标人可不接受该弃标人再次投标。同时，</w:t>
      </w:r>
      <w:r>
        <w:rPr>
          <w:rFonts w:hint="eastAsia" w:ascii="宋体" w:hAnsi="宋体" w:eastAsia="宋体" w:cs="宋体"/>
          <w:b/>
          <w:bCs/>
          <w:color w:val="auto"/>
          <w:spacing w:val="-2"/>
          <w:sz w:val="24"/>
          <w:szCs w:val="24"/>
          <w:highlight w:val="none"/>
        </w:rPr>
        <w:t>招</w:t>
      </w:r>
      <w:r>
        <w:rPr>
          <w:rFonts w:hint="eastAsia" w:ascii="宋体" w:hAnsi="宋体" w:eastAsia="宋体" w:cs="宋体"/>
          <w:b/>
          <w:bCs/>
          <w:color w:val="auto"/>
          <w:spacing w:val="-3"/>
          <w:sz w:val="24"/>
          <w:szCs w:val="24"/>
          <w:highlight w:val="none"/>
        </w:rPr>
        <w:t>标人应将该弃标人的失信行为向行政监督部门报告。</w:t>
      </w:r>
    </w:p>
    <w:p w14:paraId="14A6FD87">
      <w:pPr>
        <w:spacing w:before="79" w:line="298" w:lineRule="auto"/>
        <w:ind w:left="10" w:right="91" w:firstLine="479"/>
        <w:rPr>
          <w:rFonts w:hint="eastAsia" w:ascii="宋体" w:hAnsi="宋体" w:eastAsia="宋体" w:cs="宋体"/>
          <w:b/>
          <w:bCs/>
          <w:color w:val="auto"/>
          <w:spacing w:val="-5"/>
          <w:sz w:val="24"/>
          <w:szCs w:val="24"/>
          <w:highlight w:val="none"/>
        </w:rPr>
      </w:pPr>
      <w:r>
        <w:rPr>
          <w:rFonts w:hint="eastAsia" w:ascii="宋体" w:hAnsi="宋体" w:eastAsia="宋体" w:cs="宋体"/>
          <w:b/>
          <w:bCs/>
          <w:color w:val="auto"/>
          <w:spacing w:val="-5"/>
          <w:sz w:val="24"/>
          <w:szCs w:val="24"/>
          <w:highlight w:val="none"/>
        </w:rPr>
        <w:t>5.2</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z w:val="24"/>
          <w:szCs w:val="24"/>
          <w:highlight w:val="none"/>
        </w:rPr>
        <w:t xml:space="preserve"> 中标人因不可抗力提出不能履行合同的，须在领取中标通知书之日起 10 天内提供有关证明文件或资料，其投标保证予以退还。</w:t>
      </w:r>
      <w:r>
        <w:rPr>
          <w:rFonts w:hint="eastAsia" w:ascii="宋体" w:hAnsi="宋体" w:eastAsia="宋体" w:cs="宋体"/>
          <w:color w:val="auto"/>
          <w:sz w:val="24"/>
          <w:szCs w:val="24"/>
          <w:highlight w:val="none"/>
          <w:lang w:val="en-US" w:eastAsia="zh-CN"/>
        </w:rPr>
        <w:t>招标人可以组织定标委员会召开定标会议重新进行定标，重新定标后再进行定标结果公示</w:t>
      </w:r>
      <w:r>
        <w:rPr>
          <w:rFonts w:hint="eastAsia" w:ascii="宋体" w:hAnsi="宋体" w:eastAsia="宋体" w:cs="宋体"/>
          <w:color w:val="auto"/>
          <w:sz w:val="24"/>
          <w:szCs w:val="24"/>
          <w:highlight w:val="none"/>
        </w:rPr>
        <w:t>，如果招标人认为其他</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标候选人的条件明显不利于招标人的，也可以重新招标。</w:t>
      </w:r>
    </w:p>
    <w:p w14:paraId="3A26C76E">
      <w:pPr>
        <w:spacing w:before="78" w:line="219" w:lineRule="auto"/>
        <w:ind w:left="2923"/>
        <w:outlineLvl w:val="0"/>
        <w:rPr>
          <w:rFonts w:hint="eastAsia" w:ascii="宋体" w:hAnsi="宋体" w:eastAsia="宋体" w:cs="宋体"/>
          <w:b/>
          <w:bCs/>
          <w:color w:val="auto"/>
          <w:spacing w:val="-3"/>
          <w:sz w:val="24"/>
          <w:szCs w:val="24"/>
          <w:highlight w:val="none"/>
        </w:rPr>
      </w:pPr>
      <w:bookmarkStart w:id="163" w:name="bookmark86"/>
      <w:bookmarkEnd w:id="163"/>
      <w:bookmarkStart w:id="164" w:name="_Toc7715"/>
    </w:p>
    <w:p w14:paraId="22AE8F3F">
      <w:pPr>
        <w:spacing w:before="78" w:line="219" w:lineRule="auto"/>
        <w:ind w:left="2923"/>
        <w:outlineLvl w:val="0"/>
        <w:rPr>
          <w:rFonts w:hint="eastAsia" w:ascii="宋体" w:hAnsi="宋体" w:eastAsia="宋体" w:cs="宋体"/>
          <w:b/>
          <w:bCs/>
          <w:color w:val="auto"/>
          <w:spacing w:val="-3"/>
          <w:sz w:val="24"/>
          <w:szCs w:val="24"/>
          <w:highlight w:val="none"/>
        </w:rPr>
      </w:pPr>
    </w:p>
    <w:p w14:paraId="0BD69CF5">
      <w:pPr>
        <w:spacing w:before="78" w:line="219" w:lineRule="auto"/>
        <w:ind w:left="2923"/>
        <w:outlineLvl w:val="0"/>
        <w:rPr>
          <w:rFonts w:hint="eastAsia" w:ascii="宋体" w:hAnsi="宋体" w:eastAsia="宋体" w:cs="宋体"/>
          <w:b/>
          <w:bCs/>
          <w:color w:val="auto"/>
          <w:spacing w:val="-3"/>
          <w:sz w:val="24"/>
          <w:szCs w:val="24"/>
          <w:highlight w:val="none"/>
        </w:rPr>
      </w:pPr>
    </w:p>
    <w:p w14:paraId="0619869C">
      <w:pPr>
        <w:spacing w:before="78" w:line="219" w:lineRule="auto"/>
        <w:ind w:left="2923"/>
        <w:outlineLvl w:val="0"/>
        <w:rPr>
          <w:rFonts w:hint="eastAsia" w:ascii="宋体" w:hAnsi="宋体" w:eastAsia="宋体" w:cs="宋体"/>
          <w:b/>
          <w:bCs/>
          <w:color w:val="auto"/>
          <w:spacing w:val="-3"/>
          <w:sz w:val="24"/>
          <w:szCs w:val="24"/>
          <w:highlight w:val="none"/>
        </w:rPr>
      </w:pPr>
    </w:p>
    <w:p w14:paraId="36B59A73">
      <w:pPr>
        <w:spacing w:before="78" w:line="219" w:lineRule="auto"/>
        <w:ind w:left="2923"/>
        <w:outlineLvl w:val="0"/>
        <w:rPr>
          <w:rFonts w:hint="eastAsia" w:ascii="宋体" w:hAnsi="宋体" w:eastAsia="宋体" w:cs="宋体"/>
          <w:b/>
          <w:bCs/>
          <w:color w:val="auto"/>
          <w:spacing w:val="-3"/>
          <w:sz w:val="24"/>
          <w:szCs w:val="24"/>
          <w:highlight w:val="none"/>
        </w:rPr>
      </w:pPr>
    </w:p>
    <w:p w14:paraId="0C8A88F8">
      <w:pPr>
        <w:spacing w:before="78" w:line="219" w:lineRule="auto"/>
        <w:ind w:left="2923"/>
        <w:outlineLvl w:val="0"/>
        <w:rPr>
          <w:rFonts w:hint="eastAsia" w:ascii="宋体" w:hAnsi="宋体" w:eastAsia="宋体" w:cs="宋体"/>
          <w:b/>
          <w:bCs/>
          <w:color w:val="auto"/>
          <w:spacing w:val="-3"/>
          <w:sz w:val="24"/>
          <w:szCs w:val="24"/>
          <w:highlight w:val="none"/>
        </w:rPr>
      </w:pPr>
    </w:p>
    <w:p w14:paraId="77F7DAF7">
      <w:pPr>
        <w:spacing w:before="78" w:line="219" w:lineRule="auto"/>
        <w:ind w:left="2923"/>
        <w:outlineLvl w:val="0"/>
        <w:rPr>
          <w:rFonts w:hint="eastAsia" w:ascii="宋体" w:hAnsi="宋体" w:eastAsia="宋体" w:cs="宋体"/>
          <w:b/>
          <w:bCs/>
          <w:color w:val="auto"/>
          <w:spacing w:val="-3"/>
          <w:sz w:val="24"/>
          <w:szCs w:val="24"/>
          <w:highlight w:val="none"/>
        </w:rPr>
      </w:pPr>
    </w:p>
    <w:p w14:paraId="0E942538">
      <w:pPr>
        <w:spacing w:before="78" w:line="219" w:lineRule="auto"/>
        <w:ind w:left="2923"/>
        <w:outlineLvl w:val="0"/>
        <w:rPr>
          <w:rFonts w:hint="eastAsia" w:ascii="宋体" w:hAnsi="宋体" w:eastAsia="宋体" w:cs="宋体"/>
          <w:b/>
          <w:bCs/>
          <w:color w:val="auto"/>
          <w:spacing w:val="-3"/>
          <w:sz w:val="24"/>
          <w:szCs w:val="24"/>
          <w:highlight w:val="none"/>
        </w:rPr>
      </w:pPr>
    </w:p>
    <w:p w14:paraId="049C6DAC">
      <w:pPr>
        <w:spacing w:before="78" w:line="219" w:lineRule="auto"/>
        <w:ind w:left="2923"/>
        <w:outlineLvl w:val="0"/>
        <w:rPr>
          <w:rFonts w:hint="eastAsia" w:ascii="宋体" w:hAnsi="宋体" w:eastAsia="宋体" w:cs="宋体"/>
          <w:b/>
          <w:bCs/>
          <w:color w:val="auto"/>
          <w:spacing w:val="-3"/>
          <w:sz w:val="24"/>
          <w:szCs w:val="24"/>
          <w:highlight w:val="none"/>
        </w:rPr>
      </w:pPr>
    </w:p>
    <w:p w14:paraId="26268C4E">
      <w:pPr>
        <w:spacing w:before="78" w:line="219" w:lineRule="auto"/>
        <w:ind w:left="2923"/>
        <w:outlineLvl w:val="0"/>
        <w:rPr>
          <w:rFonts w:hint="eastAsia" w:ascii="宋体" w:hAnsi="宋体" w:eastAsia="宋体" w:cs="宋体"/>
          <w:b/>
          <w:bCs/>
          <w:color w:val="auto"/>
          <w:spacing w:val="-3"/>
          <w:sz w:val="24"/>
          <w:szCs w:val="24"/>
          <w:highlight w:val="none"/>
        </w:rPr>
      </w:pPr>
    </w:p>
    <w:p w14:paraId="68EE8031">
      <w:pPr>
        <w:spacing w:before="78" w:line="219" w:lineRule="auto"/>
        <w:ind w:left="2923"/>
        <w:outlineLvl w:val="0"/>
        <w:rPr>
          <w:rFonts w:hint="eastAsia" w:ascii="宋体" w:hAnsi="宋体" w:eastAsia="宋体" w:cs="宋体"/>
          <w:b/>
          <w:bCs/>
          <w:color w:val="auto"/>
          <w:spacing w:val="-3"/>
          <w:sz w:val="24"/>
          <w:szCs w:val="24"/>
          <w:highlight w:val="none"/>
        </w:rPr>
      </w:pPr>
    </w:p>
    <w:p w14:paraId="149B21CB">
      <w:pPr>
        <w:spacing w:before="78" w:line="219" w:lineRule="auto"/>
        <w:ind w:left="2923"/>
        <w:outlineLvl w:val="0"/>
        <w:rPr>
          <w:rFonts w:hint="eastAsia" w:ascii="宋体" w:hAnsi="宋体" w:eastAsia="宋体" w:cs="宋体"/>
          <w:b/>
          <w:bCs/>
          <w:color w:val="auto"/>
          <w:spacing w:val="-3"/>
          <w:sz w:val="24"/>
          <w:szCs w:val="24"/>
          <w:highlight w:val="none"/>
        </w:rPr>
      </w:pPr>
    </w:p>
    <w:p w14:paraId="0A6A9740">
      <w:pPr>
        <w:spacing w:before="78" w:line="219" w:lineRule="auto"/>
        <w:ind w:left="2923"/>
        <w:outlineLvl w:val="0"/>
        <w:rPr>
          <w:rFonts w:hint="eastAsia" w:ascii="宋体" w:hAnsi="宋体" w:eastAsia="宋体" w:cs="宋体"/>
          <w:b/>
          <w:bCs/>
          <w:color w:val="auto"/>
          <w:spacing w:val="-3"/>
          <w:sz w:val="24"/>
          <w:szCs w:val="24"/>
          <w:highlight w:val="none"/>
        </w:rPr>
      </w:pPr>
    </w:p>
    <w:p w14:paraId="6733878D">
      <w:pPr>
        <w:spacing w:before="78" w:line="219" w:lineRule="auto"/>
        <w:ind w:left="2923"/>
        <w:outlineLvl w:val="0"/>
        <w:rPr>
          <w:rFonts w:hint="eastAsia" w:ascii="宋体" w:hAnsi="宋体" w:eastAsia="宋体" w:cs="宋体"/>
          <w:b/>
          <w:bCs/>
          <w:color w:val="auto"/>
          <w:spacing w:val="-3"/>
          <w:sz w:val="24"/>
          <w:szCs w:val="24"/>
          <w:highlight w:val="none"/>
        </w:rPr>
      </w:pPr>
    </w:p>
    <w:p w14:paraId="0A2D86B4">
      <w:pPr>
        <w:spacing w:before="78" w:line="219" w:lineRule="auto"/>
        <w:ind w:left="2923"/>
        <w:outlineLvl w:val="0"/>
        <w:rPr>
          <w:rFonts w:hint="eastAsia" w:ascii="宋体" w:hAnsi="宋体" w:eastAsia="宋体" w:cs="宋体"/>
          <w:b/>
          <w:bCs/>
          <w:color w:val="auto"/>
          <w:spacing w:val="-3"/>
          <w:sz w:val="24"/>
          <w:szCs w:val="24"/>
          <w:highlight w:val="none"/>
        </w:rPr>
      </w:pPr>
    </w:p>
    <w:p w14:paraId="38523F32">
      <w:pPr>
        <w:spacing w:before="78" w:line="219" w:lineRule="auto"/>
        <w:ind w:left="2923"/>
        <w:outlineLvl w:val="0"/>
        <w:rPr>
          <w:rFonts w:hint="eastAsia" w:ascii="宋体" w:hAnsi="宋体" w:eastAsia="宋体" w:cs="宋体"/>
          <w:b/>
          <w:bCs/>
          <w:color w:val="auto"/>
          <w:spacing w:val="-3"/>
          <w:sz w:val="24"/>
          <w:szCs w:val="24"/>
          <w:highlight w:val="none"/>
        </w:rPr>
      </w:pPr>
    </w:p>
    <w:p w14:paraId="30E17FE4">
      <w:pPr>
        <w:spacing w:before="78" w:line="219" w:lineRule="auto"/>
        <w:ind w:left="2923"/>
        <w:outlineLvl w:val="0"/>
        <w:rPr>
          <w:rFonts w:hint="eastAsia" w:ascii="宋体" w:hAnsi="宋体" w:eastAsia="宋体" w:cs="宋体"/>
          <w:b/>
          <w:bCs/>
          <w:color w:val="auto"/>
          <w:spacing w:val="-3"/>
          <w:sz w:val="24"/>
          <w:szCs w:val="24"/>
          <w:highlight w:val="none"/>
        </w:rPr>
      </w:pPr>
    </w:p>
    <w:p w14:paraId="1A72C90A">
      <w:pPr>
        <w:spacing w:before="78" w:line="219" w:lineRule="auto"/>
        <w:ind w:left="2923"/>
        <w:outlineLvl w:val="0"/>
        <w:rPr>
          <w:rFonts w:hint="eastAsia" w:ascii="宋体" w:hAnsi="宋体" w:eastAsia="宋体" w:cs="宋体"/>
          <w:b/>
          <w:bCs/>
          <w:color w:val="auto"/>
          <w:spacing w:val="-3"/>
          <w:sz w:val="24"/>
          <w:szCs w:val="24"/>
          <w:highlight w:val="none"/>
        </w:rPr>
      </w:pPr>
    </w:p>
    <w:p w14:paraId="710B5863">
      <w:pPr>
        <w:spacing w:before="78" w:line="219" w:lineRule="auto"/>
        <w:ind w:left="2923"/>
        <w:outlineLvl w:val="0"/>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第三章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拟签订合同的主要条款</w:t>
      </w:r>
      <w:bookmarkEnd w:id="164"/>
    </w:p>
    <w:p w14:paraId="1B94BC0C">
      <w:pPr>
        <w:pStyle w:val="6"/>
        <w:spacing w:line="257" w:lineRule="auto"/>
        <w:rPr>
          <w:rFonts w:hint="eastAsia" w:ascii="宋体" w:hAnsi="宋体" w:eastAsia="宋体" w:cs="宋体"/>
          <w:color w:val="auto"/>
          <w:highlight w:val="none"/>
        </w:rPr>
      </w:pPr>
    </w:p>
    <w:p w14:paraId="6CC8F324">
      <w:pPr>
        <w:pStyle w:val="6"/>
        <w:spacing w:line="257" w:lineRule="auto"/>
        <w:rPr>
          <w:rFonts w:hint="eastAsia" w:ascii="宋体" w:hAnsi="宋体" w:eastAsia="宋体" w:cs="宋体"/>
          <w:color w:val="auto"/>
          <w:highlight w:val="none"/>
        </w:rPr>
      </w:pPr>
    </w:p>
    <w:p w14:paraId="67BF6DEB">
      <w:pPr>
        <w:spacing w:before="78" w:line="220" w:lineRule="auto"/>
        <w:ind w:left="498"/>
        <w:outlineLvl w:val="2"/>
        <w:rPr>
          <w:rFonts w:hint="eastAsia" w:ascii="宋体" w:hAnsi="宋体" w:eastAsia="宋体" w:cs="宋体"/>
          <w:color w:val="auto"/>
          <w:sz w:val="24"/>
          <w:szCs w:val="24"/>
          <w:highlight w:val="none"/>
        </w:rPr>
      </w:pPr>
      <w:bookmarkStart w:id="165" w:name="_Toc6603"/>
      <w:r>
        <w:rPr>
          <w:rFonts w:hint="eastAsia" w:ascii="宋体" w:hAnsi="宋体" w:eastAsia="宋体" w:cs="宋体"/>
          <w:b/>
          <w:bCs/>
          <w:color w:val="auto"/>
          <w:spacing w:val="-8"/>
          <w:sz w:val="24"/>
          <w:szCs w:val="24"/>
          <w:highlight w:val="none"/>
        </w:rPr>
        <w:t>1</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8"/>
          <w:sz w:val="24"/>
          <w:szCs w:val="24"/>
          <w:highlight w:val="none"/>
        </w:rPr>
        <w:t>．工程承包方式</w:t>
      </w:r>
      <w:bookmarkEnd w:id="165"/>
    </w:p>
    <w:p w14:paraId="26524AE3">
      <w:pPr>
        <w:spacing w:before="153" w:line="299" w:lineRule="auto"/>
        <w:ind w:left="11" w:right="295" w:firstLine="48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1.1  </w:t>
      </w:r>
      <w:r>
        <w:rPr>
          <w:rFonts w:hint="eastAsia" w:ascii="宋体" w:hAnsi="宋体" w:eastAsia="宋体" w:cs="宋体"/>
          <w:color w:val="auto"/>
          <w:sz w:val="24"/>
          <w:szCs w:val="24"/>
          <w:highlight w:val="none"/>
        </w:rPr>
        <w:t>承包人以中标价按包工包料、包质量、包安全包文明施工、包工期</w:t>
      </w:r>
      <w:r>
        <w:rPr>
          <w:rFonts w:hint="eastAsia" w:ascii="宋体" w:hAnsi="宋体" w:eastAsia="宋体" w:cs="宋体"/>
          <w:color w:val="auto"/>
          <w:spacing w:val="-1"/>
          <w:sz w:val="24"/>
          <w:szCs w:val="24"/>
          <w:highlight w:val="none"/>
        </w:rPr>
        <w:t>方式总承包</w:t>
      </w:r>
      <w:r>
        <w:rPr>
          <w:rFonts w:hint="eastAsia" w:ascii="宋体" w:hAnsi="宋体" w:eastAsia="宋体" w:cs="宋体"/>
          <w:color w:val="auto"/>
          <w:spacing w:val="-2"/>
          <w:sz w:val="24"/>
          <w:szCs w:val="24"/>
          <w:highlight w:val="none"/>
        </w:rPr>
        <w:t>施工，不允许转包和违法分包，如果确需分包须与发包人协商，在得到发包人和监理单</w:t>
      </w:r>
      <w:r>
        <w:rPr>
          <w:rFonts w:hint="eastAsia" w:ascii="宋体" w:hAnsi="宋体" w:eastAsia="宋体" w:cs="宋体"/>
          <w:color w:val="auto"/>
          <w:spacing w:val="-1"/>
          <w:sz w:val="24"/>
          <w:szCs w:val="24"/>
          <w:highlight w:val="none"/>
        </w:rPr>
        <w:t>位同意后报建设行政主管部门备案。</w:t>
      </w:r>
    </w:p>
    <w:p w14:paraId="258B5D98">
      <w:pPr>
        <w:spacing w:before="153" w:line="219"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1.1.1  </w:t>
      </w:r>
      <w:r>
        <w:rPr>
          <w:rFonts w:hint="eastAsia" w:ascii="宋体" w:hAnsi="宋体" w:eastAsia="宋体" w:cs="宋体"/>
          <w:color w:val="auto"/>
          <w:spacing w:val="-1"/>
          <w:sz w:val="24"/>
          <w:szCs w:val="24"/>
          <w:highlight w:val="none"/>
        </w:rPr>
        <w:t>包工包料：材料符合招标文件要求并报验使用；办理用工保险。</w:t>
      </w:r>
    </w:p>
    <w:p w14:paraId="515689EE">
      <w:pPr>
        <w:spacing w:before="156"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1.1.2  </w:t>
      </w:r>
      <w:r>
        <w:rPr>
          <w:rFonts w:hint="eastAsia" w:ascii="宋体" w:hAnsi="宋体" w:eastAsia="宋体" w:cs="宋体"/>
          <w:color w:val="auto"/>
          <w:spacing w:val="-1"/>
          <w:sz w:val="24"/>
          <w:szCs w:val="24"/>
          <w:highlight w:val="none"/>
        </w:rPr>
        <w:t>包质量：符合招标文件要求。</w:t>
      </w:r>
    </w:p>
    <w:p w14:paraId="58D57A6E">
      <w:pPr>
        <w:spacing w:before="153" w:line="22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1.1.3  </w:t>
      </w:r>
      <w:r>
        <w:rPr>
          <w:rFonts w:hint="eastAsia" w:ascii="宋体" w:hAnsi="宋体" w:eastAsia="宋体" w:cs="宋体"/>
          <w:color w:val="auto"/>
          <w:spacing w:val="-1"/>
          <w:sz w:val="24"/>
          <w:szCs w:val="24"/>
          <w:highlight w:val="none"/>
        </w:rPr>
        <w:t>包安全包文明施工：符合招标文件要求。</w:t>
      </w:r>
    </w:p>
    <w:p w14:paraId="05998231">
      <w:pPr>
        <w:spacing w:before="154" w:line="219" w:lineRule="auto"/>
        <w:ind w:left="580"/>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1.1.4  </w:t>
      </w:r>
      <w:r>
        <w:rPr>
          <w:rFonts w:hint="eastAsia" w:ascii="宋体" w:hAnsi="宋体" w:eastAsia="宋体" w:cs="宋体"/>
          <w:color w:val="auto"/>
          <w:spacing w:val="-1"/>
          <w:sz w:val="24"/>
          <w:szCs w:val="24"/>
          <w:highlight w:val="none"/>
        </w:rPr>
        <w:t>包工期：本招标项目施工必须在招标工期内完成。</w:t>
      </w:r>
    </w:p>
    <w:p w14:paraId="7409424A">
      <w:pPr>
        <w:spacing w:before="154" w:line="360" w:lineRule="auto"/>
        <w:ind w:left="580"/>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en-US"/>
        </w:rPr>
        <w:t>1.2</w:t>
      </w:r>
      <w:r>
        <w:rPr>
          <w:rFonts w:hint="eastAsia" w:ascii="宋体" w:hAnsi="宋体" w:eastAsia="宋体" w:cs="宋体"/>
          <w:color w:val="auto"/>
          <w:spacing w:val="-1"/>
          <w:sz w:val="24"/>
          <w:szCs w:val="24"/>
          <w:highlight w:val="none"/>
          <w:lang w:val="en-US" w:eastAsia="zh-CN"/>
        </w:rPr>
        <w:t xml:space="preserve">  </w:t>
      </w:r>
      <w:r>
        <w:rPr>
          <w:rFonts w:hint="eastAsia" w:ascii="宋体" w:hAnsi="宋体" w:eastAsia="宋体" w:cs="宋体"/>
          <w:color w:val="auto"/>
          <w:spacing w:val="-2"/>
          <w:sz w:val="24"/>
          <w:szCs w:val="24"/>
          <w:highlight w:val="none"/>
        </w:rPr>
        <w:t>项目中标后，中标人须配建一定比例的公益项目，并在签订施工合同前，先行签订公益项目捐建协议</w:t>
      </w:r>
      <w:r>
        <w:rPr>
          <w:rFonts w:hint="eastAsia" w:ascii="宋体" w:hAnsi="宋体" w:eastAsia="宋体" w:cs="宋体"/>
          <w:color w:val="auto"/>
          <w:spacing w:val="-2"/>
          <w:sz w:val="24"/>
          <w:szCs w:val="24"/>
          <w:highlight w:val="none"/>
          <w:lang w:eastAsia="zh-CN"/>
        </w:rPr>
        <w:t>。</w:t>
      </w:r>
    </w:p>
    <w:p w14:paraId="1A3CB02C">
      <w:pPr>
        <w:pStyle w:val="6"/>
        <w:spacing w:line="257" w:lineRule="auto"/>
        <w:rPr>
          <w:rFonts w:hint="eastAsia" w:ascii="宋体" w:hAnsi="宋体" w:eastAsia="宋体" w:cs="宋体"/>
          <w:color w:val="auto"/>
          <w:highlight w:val="none"/>
        </w:rPr>
      </w:pPr>
    </w:p>
    <w:p w14:paraId="48096343">
      <w:pPr>
        <w:spacing w:before="78" w:line="220" w:lineRule="auto"/>
        <w:ind w:left="488"/>
        <w:outlineLvl w:val="2"/>
        <w:rPr>
          <w:rFonts w:hint="eastAsia" w:ascii="宋体" w:hAnsi="宋体" w:eastAsia="宋体" w:cs="宋体"/>
          <w:color w:val="auto"/>
          <w:sz w:val="24"/>
          <w:szCs w:val="24"/>
          <w:highlight w:val="none"/>
        </w:rPr>
      </w:pPr>
      <w:bookmarkStart w:id="166" w:name="bookmark88"/>
      <w:bookmarkEnd w:id="166"/>
      <w:bookmarkStart w:id="167" w:name="_Toc24910"/>
      <w:r>
        <w:rPr>
          <w:rFonts w:hint="eastAsia" w:ascii="宋体" w:hAnsi="宋体" w:eastAsia="宋体" w:cs="宋体"/>
          <w:b/>
          <w:bCs/>
          <w:color w:val="auto"/>
          <w:spacing w:val="-7"/>
          <w:sz w:val="24"/>
          <w:szCs w:val="24"/>
          <w:highlight w:val="none"/>
        </w:rPr>
        <w:t>2</w:t>
      </w:r>
      <w:r>
        <w:rPr>
          <w:rFonts w:hint="eastAsia" w:ascii="宋体" w:hAnsi="宋体" w:eastAsia="宋体" w:cs="宋体"/>
          <w:b/>
          <w:bCs/>
          <w:color w:val="auto"/>
          <w:spacing w:val="-24"/>
          <w:sz w:val="24"/>
          <w:szCs w:val="24"/>
          <w:highlight w:val="none"/>
        </w:rPr>
        <w:t xml:space="preserve"> </w:t>
      </w:r>
      <w:r>
        <w:rPr>
          <w:rFonts w:hint="eastAsia" w:ascii="宋体" w:hAnsi="宋体" w:eastAsia="宋体" w:cs="宋体"/>
          <w:b/>
          <w:bCs/>
          <w:color w:val="auto"/>
          <w:spacing w:val="-7"/>
          <w:sz w:val="24"/>
          <w:szCs w:val="24"/>
          <w:highlight w:val="none"/>
        </w:rPr>
        <w:t>．工程结算原则</w:t>
      </w:r>
      <w:bookmarkEnd w:id="167"/>
    </w:p>
    <w:p w14:paraId="5F789777">
      <w:pPr>
        <w:spacing w:before="153" w:line="219"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2.1 </w:t>
      </w:r>
      <w:r>
        <w:rPr>
          <w:rFonts w:hint="eastAsia" w:ascii="宋体" w:hAnsi="宋体" w:eastAsia="宋体" w:cs="宋体"/>
          <w:color w:val="auto"/>
          <w:spacing w:val="-1"/>
          <w:sz w:val="24"/>
          <w:szCs w:val="24"/>
          <w:highlight w:val="none"/>
        </w:rPr>
        <w:t>承包人的投标总价为中标价，即为签约合同价。</w:t>
      </w:r>
    </w:p>
    <w:p w14:paraId="7C2B4B88">
      <w:pPr>
        <w:spacing w:before="155" w:line="319" w:lineRule="auto"/>
        <w:ind w:left="12" w:right="231"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2.2 </w:t>
      </w:r>
      <w:r>
        <w:rPr>
          <w:rFonts w:hint="eastAsia" w:ascii="宋体" w:hAnsi="宋体" w:eastAsia="宋体" w:cs="宋体"/>
          <w:color w:val="auto"/>
          <w:spacing w:val="2"/>
          <w:sz w:val="24"/>
          <w:szCs w:val="24"/>
          <w:highlight w:val="none"/>
        </w:rPr>
        <w:t>招标工程量清单标明的工程量是投标人投标报价的</w:t>
      </w:r>
      <w:r>
        <w:rPr>
          <w:rFonts w:hint="eastAsia" w:ascii="宋体" w:hAnsi="宋体" w:eastAsia="宋体" w:cs="宋体"/>
          <w:color w:val="auto"/>
          <w:spacing w:val="1"/>
          <w:sz w:val="24"/>
          <w:szCs w:val="24"/>
          <w:highlight w:val="none"/>
        </w:rPr>
        <w:t>共同基础，竣工结算的工程</w:t>
      </w:r>
      <w:r>
        <w:rPr>
          <w:rFonts w:hint="eastAsia" w:ascii="宋体" w:hAnsi="宋体" w:eastAsia="宋体" w:cs="宋体"/>
          <w:color w:val="auto"/>
          <w:spacing w:val="-5"/>
          <w:sz w:val="24"/>
          <w:szCs w:val="24"/>
          <w:highlight w:val="none"/>
        </w:rPr>
        <w:t>量按</w:t>
      </w:r>
      <w:bookmarkStart w:id="168" w:name="OLE_LINK28"/>
      <w:r>
        <w:rPr>
          <w:rFonts w:hint="eastAsia" w:ascii="宋体" w:hAnsi="宋体" w:eastAsia="宋体" w:cs="宋体"/>
          <w:color w:val="auto"/>
          <w:spacing w:val="-5"/>
          <w:sz w:val="24"/>
          <w:szCs w:val="24"/>
          <w:highlight w:val="none"/>
        </w:rPr>
        <w:t>《建设工程工程量清单计价</w:t>
      </w:r>
      <w:r>
        <w:rPr>
          <w:rFonts w:hint="eastAsia" w:ascii="宋体" w:hAnsi="宋体" w:eastAsia="宋体" w:cs="宋体"/>
          <w:color w:val="auto"/>
          <w:spacing w:val="-5"/>
          <w:sz w:val="24"/>
          <w:szCs w:val="24"/>
          <w:highlight w:val="none"/>
          <w:lang w:val="en-US" w:eastAsia="zh-CN"/>
        </w:rPr>
        <w:t>标准</w:t>
      </w:r>
      <w:r>
        <w:rPr>
          <w:rFonts w:hint="eastAsia" w:ascii="宋体" w:hAnsi="宋体" w:eastAsia="宋体" w:cs="宋体"/>
          <w:color w:val="auto"/>
          <w:spacing w:val="-5"/>
          <w:sz w:val="24"/>
          <w:szCs w:val="24"/>
          <w:highlight w:val="none"/>
        </w:rPr>
        <w:t>》（GB50500—</w:t>
      </w:r>
      <w:r>
        <w:rPr>
          <w:rFonts w:hint="eastAsia" w:ascii="宋体" w:hAnsi="宋体" w:eastAsia="宋体" w:cs="宋体"/>
          <w:color w:val="auto"/>
          <w:spacing w:val="-5"/>
          <w:sz w:val="24"/>
          <w:szCs w:val="24"/>
          <w:highlight w:val="none"/>
          <w:lang w:val="en-US" w:eastAsia="zh-CN"/>
        </w:rPr>
        <w:t>2024</w:t>
      </w:r>
      <w:r>
        <w:rPr>
          <w:rFonts w:hint="eastAsia" w:ascii="宋体" w:hAnsi="宋体" w:eastAsia="宋体" w:cs="宋体"/>
          <w:color w:val="auto"/>
          <w:spacing w:val="-5"/>
          <w:sz w:val="24"/>
          <w:szCs w:val="24"/>
          <w:highlight w:val="none"/>
        </w:rPr>
        <w:t>）对工程计量的规定进行计量，</w:t>
      </w:r>
      <w:r>
        <w:rPr>
          <w:rFonts w:hint="eastAsia" w:ascii="宋体" w:hAnsi="宋体" w:eastAsia="宋体" w:cs="宋体"/>
          <w:color w:val="auto"/>
          <w:spacing w:val="-2"/>
          <w:sz w:val="24"/>
          <w:szCs w:val="24"/>
          <w:highlight w:val="none"/>
        </w:rPr>
        <w:t>必须以承包人完成合同工程应予计量的工程量确定。施</w:t>
      </w:r>
      <w:bookmarkEnd w:id="168"/>
      <w:r>
        <w:rPr>
          <w:rFonts w:hint="eastAsia" w:ascii="宋体" w:hAnsi="宋体" w:eastAsia="宋体" w:cs="宋体"/>
          <w:color w:val="auto"/>
          <w:spacing w:val="-2"/>
          <w:sz w:val="24"/>
          <w:szCs w:val="24"/>
          <w:highlight w:val="none"/>
        </w:rPr>
        <w:t>工中进行工程计量，当发现招标工程量清单中出现缺项、工程量偏差、或因工程变更引起工程量增减时，应按承包人在履行合同义务中完成的工程量计算。因承包人原因造成的超出合同工程范围施工或返工</w:t>
      </w:r>
      <w:r>
        <w:rPr>
          <w:rFonts w:hint="eastAsia" w:ascii="宋体" w:hAnsi="宋体" w:eastAsia="宋体" w:cs="宋体"/>
          <w:color w:val="auto"/>
          <w:spacing w:val="-1"/>
          <w:sz w:val="24"/>
          <w:szCs w:val="24"/>
          <w:highlight w:val="none"/>
        </w:rPr>
        <w:t>的工程量，发包人不予计量。</w:t>
      </w:r>
    </w:p>
    <w:p w14:paraId="01C87EDF">
      <w:pPr>
        <w:spacing w:before="38" w:line="299" w:lineRule="auto"/>
        <w:ind w:left="12" w:right="183" w:firstLine="475"/>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2.3  </w:t>
      </w:r>
      <w:r>
        <w:rPr>
          <w:rFonts w:hint="eastAsia" w:ascii="宋体" w:hAnsi="宋体" w:eastAsia="宋体" w:cs="宋体"/>
          <w:color w:val="auto"/>
          <w:sz w:val="24"/>
          <w:szCs w:val="24"/>
          <w:highlight w:val="none"/>
        </w:rPr>
        <w:t>施工合同履行期间，若出现下列情形的，发、承包双方应当按照以下规定调整</w:t>
      </w:r>
      <w:r>
        <w:rPr>
          <w:rFonts w:hint="eastAsia" w:ascii="宋体" w:hAnsi="宋体" w:eastAsia="宋体" w:cs="宋体"/>
          <w:color w:val="auto"/>
          <w:spacing w:val="-3"/>
          <w:sz w:val="24"/>
          <w:szCs w:val="24"/>
          <w:highlight w:val="none"/>
        </w:rPr>
        <w:t>合同价款：</w:t>
      </w:r>
    </w:p>
    <w:p w14:paraId="50F65D12">
      <w:pPr>
        <w:spacing w:before="227"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2.3.1  </w:t>
      </w:r>
      <w:r>
        <w:rPr>
          <w:rFonts w:hint="eastAsia" w:ascii="宋体" w:hAnsi="宋体" w:eastAsia="宋体" w:cs="宋体"/>
          <w:color w:val="auto"/>
          <w:spacing w:val="-1"/>
          <w:sz w:val="24"/>
          <w:szCs w:val="24"/>
          <w:highlight w:val="none"/>
        </w:rPr>
        <w:t>法律法规变化</w:t>
      </w:r>
    </w:p>
    <w:p w14:paraId="0AC2BD08">
      <w:pPr>
        <w:spacing w:before="156" w:line="298"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2.3.1.1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基准日之后，因国家法律、法规、规章和政策发生变化引起工程造价增减变</w:t>
      </w:r>
      <w:r>
        <w:rPr>
          <w:rFonts w:hint="eastAsia" w:ascii="宋体" w:hAnsi="宋体" w:eastAsia="宋体" w:cs="宋体"/>
          <w:color w:val="auto"/>
          <w:spacing w:val="-2"/>
          <w:sz w:val="24"/>
          <w:szCs w:val="24"/>
          <w:highlight w:val="none"/>
        </w:rPr>
        <w:t>化时，发、承包双方应按照省级建设主管部门（或省级行业主管部门）或其授权的工程</w:t>
      </w:r>
      <w:r>
        <w:rPr>
          <w:rFonts w:hint="eastAsia" w:ascii="宋体" w:hAnsi="宋体" w:eastAsia="宋体" w:cs="宋体"/>
          <w:color w:val="auto"/>
          <w:spacing w:val="-1"/>
          <w:sz w:val="24"/>
          <w:szCs w:val="24"/>
          <w:highlight w:val="none"/>
        </w:rPr>
        <w:t>造价管理机构据此发布的最新规定调整合同价款。</w:t>
      </w:r>
    </w:p>
    <w:p w14:paraId="393945A3">
      <w:pPr>
        <w:spacing w:before="157" w:line="325" w:lineRule="auto"/>
        <w:ind w:left="12" w:right="183" w:firstLine="479"/>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注：本招标文件所称“基准日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11"/>
          <w:sz w:val="24"/>
          <w:szCs w:val="24"/>
          <w:highlight w:val="none"/>
        </w:rPr>
        <w:t>”，均指投标文</w:t>
      </w:r>
      <w:r>
        <w:rPr>
          <w:rFonts w:hint="eastAsia" w:ascii="宋体" w:hAnsi="宋体" w:eastAsia="宋体" w:cs="宋体"/>
          <w:b/>
          <w:bCs/>
          <w:color w:val="auto"/>
          <w:spacing w:val="-12"/>
          <w:sz w:val="24"/>
          <w:szCs w:val="24"/>
          <w:highlight w:val="none"/>
        </w:rPr>
        <w:t>件递交截止时间（见第一章第二节“重</w:t>
      </w:r>
      <w:r>
        <w:rPr>
          <w:rFonts w:hint="eastAsia" w:ascii="宋体" w:hAnsi="宋体" w:eastAsia="宋体" w:cs="宋体"/>
          <w:b/>
          <w:bCs/>
          <w:color w:val="auto"/>
          <w:spacing w:val="-5"/>
          <w:sz w:val="24"/>
          <w:szCs w:val="24"/>
          <w:highlight w:val="none"/>
        </w:rPr>
        <w:t>要事项时间地点一览表</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5"/>
          <w:sz w:val="24"/>
          <w:szCs w:val="24"/>
          <w:highlight w:val="none"/>
        </w:rPr>
        <w:t>”）前</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5"/>
          <w:sz w:val="24"/>
          <w:szCs w:val="24"/>
          <w:highlight w:val="none"/>
        </w:rPr>
        <w:t>28 天。</w:t>
      </w:r>
    </w:p>
    <w:p w14:paraId="23643975">
      <w:pPr>
        <w:spacing w:before="33" w:line="299" w:lineRule="auto"/>
        <w:ind w:left="11"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2.3.1.2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1"/>
          <w:sz w:val="24"/>
          <w:szCs w:val="24"/>
          <w:highlight w:val="none"/>
        </w:rPr>
        <w:t>因承包人原因导致工程延误，本章第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1"/>
          <w:sz w:val="24"/>
          <w:szCs w:val="24"/>
          <w:highlight w:val="none"/>
        </w:rPr>
        <w:t>2</w:t>
      </w:r>
      <w:r>
        <w:rPr>
          <w:rFonts w:hint="eastAsia" w:ascii="宋体" w:hAnsi="宋体" w:eastAsia="宋体" w:cs="宋体"/>
          <w:b/>
          <w:bCs/>
          <w:color w:val="auto"/>
          <w:sz w:val="24"/>
          <w:szCs w:val="24"/>
          <w:highlight w:val="none"/>
        </w:rPr>
        <w:t xml:space="preserve">.3.1.1 </w:t>
      </w:r>
      <w:r>
        <w:rPr>
          <w:rFonts w:hint="eastAsia" w:ascii="宋体" w:hAnsi="宋体" w:eastAsia="宋体" w:cs="宋体"/>
          <w:color w:val="auto"/>
          <w:sz w:val="24"/>
          <w:szCs w:val="24"/>
          <w:highlight w:val="none"/>
        </w:rPr>
        <w:t>子目中的法定机构根据国家法</w:t>
      </w:r>
      <w:r>
        <w:rPr>
          <w:rFonts w:hint="eastAsia" w:ascii="宋体" w:hAnsi="宋体" w:eastAsia="宋体" w:cs="宋体"/>
          <w:color w:val="auto"/>
          <w:spacing w:val="-3"/>
          <w:sz w:val="24"/>
          <w:szCs w:val="24"/>
          <w:highlight w:val="none"/>
        </w:rPr>
        <w:t>律法规变化发布新规的时间在合同工程原定竣工时间之后的，合同价款调增的不予调整，</w:t>
      </w:r>
      <w:r>
        <w:rPr>
          <w:rFonts w:hint="eastAsia" w:ascii="宋体" w:hAnsi="宋体" w:eastAsia="宋体" w:cs="宋体"/>
          <w:color w:val="auto"/>
          <w:spacing w:val="-1"/>
          <w:sz w:val="24"/>
          <w:szCs w:val="24"/>
          <w:highlight w:val="none"/>
        </w:rPr>
        <w:t>合同价款调减的予以调整。</w:t>
      </w:r>
    </w:p>
    <w:p w14:paraId="3BE6F0A0">
      <w:pPr>
        <w:spacing w:before="155" w:line="220" w:lineRule="auto"/>
        <w:ind w:left="48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2.3.2  </w:t>
      </w:r>
      <w:r>
        <w:rPr>
          <w:rFonts w:hint="eastAsia" w:ascii="宋体" w:hAnsi="宋体" w:eastAsia="宋体" w:cs="宋体"/>
          <w:color w:val="auto"/>
          <w:spacing w:val="-1"/>
          <w:sz w:val="24"/>
          <w:szCs w:val="24"/>
          <w:highlight w:val="none"/>
        </w:rPr>
        <w:t>工程量偏差或变化</w:t>
      </w:r>
    </w:p>
    <w:p w14:paraId="53B8677A">
      <w:pPr>
        <w:spacing w:before="158" w:line="309" w:lineRule="auto"/>
        <w:ind w:left="10" w:right="183"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2.3.2.1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合同履行期间，当应予计算的实际工程量与招标工程量清单出现偏差或因工程变更引起已标价工程量清单项目的工程数量发生变化时，工程量偏差或变化在</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3"/>
          <w:sz w:val="24"/>
          <w:szCs w:val="24"/>
          <w:highlight w:val="none"/>
        </w:rPr>
        <w:t>15%以</w:t>
      </w:r>
      <w:r>
        <w:rPr>
          <w:rFonts w:hint="eastAsia" w:ascii="宋体" w:hAnsi="宋体" w:eastAsia="宋体" w:cs="宋体"/>
          <w:color w:val="auto"/>
          <w:spacing w:val="-4"/>
          <w:sz w:val="24"/>
          <w:szCs w:val="24"/>
          <w:highlight w:val="none"/>
        </w:rPr>
        <w:t>内（含</w:t>
      </w:r>
      <w:r>
        <w:rPr>
          <w:rFonts w:hint="eastAsia" w:ascii="宋体" w:hAnsi="宋体" w:eastAsia="宋体" w:cs="宋体"/>
          <w:color w:val="auto"/>
          <w:spacing w:val="-26"/>
          <w:sz w:val="24"/>
          <w:szCs w:val="24"/>
          <w:highlight w:val="none"/>
        </w:rPr>
        <w:t xml:space="preserve"> </w:t>
      </w:r>
      <w:r>
        <w:rPr>
          <w:rFonts w:hint="eastAsia" w:ascii="宋体" w:hAnsi="宋体" w:eastAsia="宋体" w:cs="宋体"/>
          <w:color w:val="auto"/>
          <w:spacing w:val="-4"/>
          <w:sz w:val="24"/>
          <w:szCs w:val="24"/>
          <w:highlight w:val="none"/>
        </w:rPr>
        <w:t>15%）的，其综合单价不予调整；工程量偏差或变化超过</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4"/>
          <w:sz w:val="24"/>
          <w:szCs w:val="24"/>
          <w:highlight w:val="none"/>
        </w:rPr>
        <w:t>15%的，按照以下规定</w:t>
      </w:r>
      <w:r>
        <w:rPr>
          <w:rFonts w:hint="eastAsia" w:ascii="宋体" w:hAnsi="宋体" w:eastAsia="宋体" w:cs="宋体"/>
          <w:color w:val="auto"/>
          <w:spacing w:val="-3"/>
          <w:sz w:val="24"/>
          <w:szCs w:val="24"/>
          <w:highlight w:val="none"/>
        </w:rPr>
        <w:t>调整：</w:t>
      </w:r>
    </w:p>
    <w:p w14:paraId="5B55EA75">
      <w:pPr>
        <w:spacing w:before="78" w:line="327" w:lineRule="auto"/>
        <w:ind w:left="12" w:firstLine="478"/>
        <w:jc w:val="both"/>
        <w:rPr>
          <w:rFonts w:hint="eastAsia" w:ascii="宋体" w:hAnsi="宋体" w:eastAsia="宋体" w:cs="宋体"/>
          <w:color w:val="auto"/>
          <w:sz w:val="24"/>
          <w:szCs w:val="24"/>
          <w:highlight w:val="none"/>
        </w:rPr>
      </w:pPr>
      <w:bookmarkStart w:id="169" w:name="bookmark142"/>
      <w:bookmarkEnd w:id="169"/>
      <w:r>
        <w:rPr>
          <w:rFonts w:hint="eastAsia" w:ascii="宋体" w:hAnsi="宋体" w:eastAsia="宋体" w:cs="宋体"/>
          <w:color w:val="auto"/>
          <w:spacing w:val="-3"/>
          <w:sz w:val="24"/>
          <w:szCs w:val="24"/>
          <w:highlight w:val="none"/>
        </w:rPr>
        <w:t>对于合理报价的清单项目，当工程量增加超过</w:t>
      </w:r>
      <w:r>
        <w:rPr>
          <w:rFonts w:hint="eastAsia" w:ascii="宋体" w:hAnsi="宋体" w:eastAsia="宋体" w:cs="宋体"/>
          <w:color w:val="auto"/>
          <w:spacing w:val="-27"/>
          <w:sz w:val="24"/>
          <w:szCs w:val="24"/>
          <w:highlight w:val="none"/>
        </w:rPr>
        <w:t xml:space="preserve"> </w:t>
      </w:r>
      <w:r>
        <w:rPr>
          <w:rFonts w:hint="eastAsia" w:ascii="宋体" w:hAnsi="宋体" w:eastAsia="宋体" w:cs="宋体"/>
          <w:color w:val="auto"/>
          <w:spacing w:val="-3"/>
          <w:sz w:val="24"/>
          <w:szCs w:val="24"/>
          <w:highlight w:val="none"/>
        </w:rPr>
        <w:t>15%时，增加部分的工程量的综合单</w:t>
      </w:r>
      <w:r>
        <w:rPr>
          <w:rFonts w:hint="eastAsia" w:ascii="宋体" w:hAnsi="宋体" w:eastAsia="宋体" w:cs="宋体"/>
          <w:color w:val="auto"/>
          <w:spacing w:val="-7"/>
          <w:sz w:val="24"/>
          <w:szCs w:val="24"/>
          <w:highlight w:val="none"/>
        </w:rPr>
        <w:t>价以</w:t>
      </w:r>
      <w:r>
        <w:rPr>
          <w:rFonts w:hint="eastAsia" w:ascii="宋体" w:hAnsi="宋体" w:eastAsia="宋体" w:cs="宋体"/>
          <w:color w:val="auto"/>
          <w:spacing w:val="-3"/>
          <w:sz w:val="24"/>
          <w:szCs w:val="24"/>
          <w:highlight w:val="none"/>
        </w:rPr>
        <w:t>投标报价《分部分项工程和单价措施项目清单与计价表》中综合单价为基价调低 3%；当工程量减少超过 15%时，减少后剩余部分的工程量的综合单价以投标报价《分部分项工程和单价措施项目清单与计价表》中综合单价为基价调高 3%</w:t>
      </w:r>
      <w:r>
        <w:rPr>
          <w:rFonts w:hint="eastAsia" w:ascii="宋体" w:hAnsi="宋体" w:eastAsia="宋体" w:cs="宋体"/>
          <w:color w:val="auto"/>
          <w:spacing w:val="-1"/>
          <w:sz w:val="24"/>
          <w:szCs w:val="24"/>
          <w:highlight w:val="none"/>
        </w:rPr>
        <w:t>。</w:t>
      </w:r>
    </w:p>
    <w:p w14:paraId="2482612A">
      <w:pPr>
        <w:spacing w:before="97" w:line="324" w:lineRule="auto"/>
        <w:ind w:left="13" w:right="179"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对于按照第二章“</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 条被认定为不平衡报价的清单项目，其综合</w:t>
      </w:r>
      <w:r>
        <w:rPr>
          <w:rFonts w:hint="eastAsia" w:ascii="宋体" w:hAnsi="宋体" w:eastAsia="宋体" w:cs="宋体"/>
          <w:b/>
          <w:bCs/>
          <w:color w:val="auto"/>
          <w:spacing w:val="-3"/>
          <w:sz w:val="24"/>
          <w:szCs w:val="24"/>
          <w:highlight w:val="none"/>
        </w:rPr>
        <w:t>单价按照以下方法调整：</w:t>
      </w:r>
    </w:p>
    <w:p w14:paraId="5A5F1B3C">
      <w:pPr>
        <w:spacing w:before="97" w:line="324" w:lineRule="auto"/>
        <w:ind w:left="13" w:right="179" w:firstLine="477"/>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t>以</w:t>
      </w:r>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中《分部分项工程和单价措施项目清单与计价表》子目相对应综合单价×（1-中标下浮率）。</w:t>
      </w:r>
    </w:p>
    <w:p w14:paraId="51501E43">
      <w:pPr>
        <w:spacing w:before="97" w:line="324" w:lineRule="auto"/>
        <w:ind w:left="13" w:right="179" w:firstLine="477"/>
        <w:rPr>
          <w:rFonts w:hint="eastAsia" w:ascii="宋体" w:hAnsi="宋体" w:eastAsia="宋体" w:cs="宋体"/>
          <w:b/>
          <w:bCs/>
          <w:color w:val="auto"/>
          <w:spacing w:val="-4"/>
          <w:sz w:val="24"/>
          <w:szCs w:val="24"/>
          <w:highlight w:val="none"/>
        </w:rPr>
      </w:pPr>
      <w:bookmarkStart w:id="170" w:name="_Toc12035"/>
      <w:bookmarkStart w:id="171" w:name="_Toc18478"/>
      <w:bookmarkStart w:id="172" w:name="_Toc30068"/>
      <w:r>
        <w:rPr>
          <w:rFonts w:hint="eastAsia" w:ascii="宋体" w:hAnsi="宋体" w:eastAsia="宋体" w:cs="宋体"/>
          <w:b/>
          <w:bCs/>
          <w:color w:val="auto"/>
          <w:spacing w:val="-4"/>
          <w:sz w:val="24"/>
          <w:szCs w:val="24"/>
          <w:highlight w:val="none"/>
        </w:rPr>
        <w:t>中标下浮率=[1-（中标价-</w:t>
      </w:r>
      <w:r>
        <w:rPr>
          <w:rFonts w:hint="eastAsia" w:ascii="宋体" w:hAnsi="宋体" w:eastAsia="宋体" w:cs="宋体"/>
          <w:b/>
          <w:bCs/>
          <w:color w:val="auto"/>
          <w:spacing w:val="-4"/>
          <w:sz w:val="24"/>
          <w:szCs w:val="24"/>
          <w:highlight w:val="none"/>
          <w:lang w:val="en-US" w:eastAsia="zh-CN"/>
        </w:rPr>
        <w:t>中标安全生产措施费</w:t>
      </w:r>
      <w:r>
        <w:rPr>
          <w:rFonts w:hint="eastAsia" w:ascii="宋体" w:hAnsi="宋体" w:eastAsia="宋体" w:cs="宋体"/>
          <w:b/>
          <w:bCs/>
          <w:color w:val="auto"/>
          <w:spacing w:val="-4"/>
          <w:sz w:val="24"/>
          <w:szCs w:val="24"/>
          <w:highlight w:val="none"/>
        </w:rPr>
        <w:t>-暂列金额-暂估价）/（</w:t>
      </w:r>
      <w:bookmarkEnd w:id="170"/>
      <w:bookmarkEnd w:id="171"/>
      <w:bookmarkStart w:id="173" w:name="_Toc13602"/>
      <w:bookmarkStart w:id="174" w:name="_Toc15512"/>
      <w:r>
        <w:rPr>
          <w:rFonts w:hint="eastAsia" w:ascii="宋体" w:hAnsi="宋体" w:eastAsia="宋体" w:cs="宋体"/>
          <w:b/>
          <w:bCs/>
          <w:color w:val="auto"/>
          <w:spacing w:val="-4"/>
          <w:sz w:val="24"/>
          <w:szCs w:val="24"/>
          <w:highlight w:val="none"/>
          <w:lang w:eastAsia="zh-CN"/>
        </w:rPr>
        <w:t>最高投标限价</w:t>
      </w:r>
      <w:r>
        <w:rPr>
          <w:rFonts w:hint="eastAsia" w:ascii="宋体" w:hAnsi="宋体" w:eastAsia="宋体" w:cs="宋体"/>
          <w:b/>
          <w:bCs/>
          <w:color w:val="auto"/>
          <w:spacing w:val="-4"/>
          <w:sz w:val="24"/>
          <w:szCs w:val="24"/>
          <w:highlight w:val="none"/>
        </w:rPr>
        <w:t>-控制价</w:t>
      </w:r>
      <w:r>
        <w:rPr>
          <w:rFonts w:hint="eastAsia" w:ascii="宋体" w:hAnsi="宋体" w:eastAsia="宋体" w:cs="宋体"/>
          <w:b/>
          <w:bCs/>
          <w:color w:val="auto"/>
          <w:spacing w:val="-4"/>
          <w:sz w:val="24"/>
          <w:szCs w:val="24"/>
          <w:highlight w:val="none"/>
          <w:lang w:val="en-US" w:eastAsia="zh-CN"/>
        </w:rPr>
        <w:t>安全生产措施费</w:t>
      </w:r>
      <w:r>
        <w:rPr>
          <w:rFonts w:hint="eastAsia" w:ascii="宋体" w:hAnsi="宋体" w:eastAsia="宋体" w:cs="宋体"/>
          <w:b/>
          <w:bCs/>
          <w:color w:val="auto"/>
          <w:spacing w:val="-4"/>
          <w:sz w:val="24"/>
          <w:szCs w:val="24"/>
          <w:highlight w:val="none"/>
        </w:rPr>
        <w:t>-暂列金额-暂估价）] ×100%</w:t>
      </w:r>
      <w:bookmarkEnd w:id="172"/>
      <w:bookmarkEnd w:id="173"/>
      <w:bookmarkEnd w:id="174"/>
    </w:p>
    <w:p w14:paraId="6393F5EA">
      <w:pPr>
        <w:spacing w:before="123" w:line="301" w:lineRule="auto"/>
        <w:ind w:left="10" w:right="116" w:firstLine="482"/>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若修正后的该部分《分部分项工程和单价措施项目清单与计价表》总金额大于原投</w:t>
      </w:r>
      <w:r>
        <w:rPr>
          <w:rFonts w:hint="eastAsia" w:ascii="宋体" w:hAnsi="宋体" w:eastAsia="宋体" w:cs="宋体"/>
          <w:color w:val="auto"/>
          <w:spacing w:val="-1"/>
          <w:sz w:val="24"/>
          <w:szCs w:val="24"/>
          <w:highlight w:val="none"/>
        </w:rPr>
        <w:t>标报价中的该部分总金额，则从投标报价需</w:t>
      </w:r>
      <w:r>
        <w:rPr>
          <w:rFonts w:hint="eastAsia" w:ascii="宋体" w:hAnsi="宋体" w:eastAsia="宋体" w:cs="宋体"/>
          <w:color w:val="auto"/>
          <w:spacing w:val="-2"/>
          <w:sz w:val="24"/>
          <w:szCs w:val="24"/>
          <w:highlight w:val="none"/>
        </w:rPr>
        <w:t>调高的综合单价中选择偏离最大的清单开始</w:t>
      </w:r>
      <w:r>
        <w:rPr>
          <w:rFonts w:hint="eastAsia" w:ascii="宋体" w:hAnsi="宋体" w:eastAsia="宋体" w:cs="宋体"/>
          <w:color w:val="auto"/>
          <w:spacing w:val="-1"/>
          <w:sz w:val="24"/>
          <w:szCs w:val="24"/>
          <w:highlight w:val="none"/>
        </w:rPr>
        <w:t>调整，调整幅度逐步减少，直至修正后的该</w:t>
      </w:r>
      <w:r>
        <w:rPr>
          <w:rFonts w:hint="eastAsia" w:ascii="宋体" w:hAnsi="宋体" w:eastAsia="宋体" w:cs="宋体"/>
          <w:color w:val="auto"/>
          <w:spacing w:val="-2"/>
          <w:sz w:val="24"/>
          <w:szCs w:val="24"/>
          <w:highlight w:val="none"/>
        </w:rPr>
        <w:t>部分《分部分项工程和单价措施项目清单与</w:t>
      </w:r>
      <w:r>
        <w:rPr>
          <w:rFonts w:hint="eastAsia" w:ascii="宋体" w:hAnsi="宋体" w:eastAsia="宋体" w:cs="宋体"/>
          <w:color w:val="auto"/>
          <w:spacing w:val="-1"/>
          <w:sz w:val="24"/>
          <w:szCs w:val="24"/>
          <w:highlight w:val="none"/>
        </w:rPr>
        <w:t>计价表》总金额与原投标报价中的该部分总</w:t>
      </w:r>
      <w:r>
        <w:rPr>
          <w:rFonts w:hint="eastAsia" w:ascii="宋体" w:hAnsi="宋体" w:eastAsia="宋体" w:cs="宋体"/>
          <w:color w:val="auto"/>
          <w:spacing w:val="-2"/>
          <w:sz w:val="24"/>
          <w:szCs w:val="24"/>
          <w:highlight w:val="none"/>
        </w:rPr>
        <w:t>金额一致；若修正后的该部分《分部分项工</w:t>
      </w:r>
      <w:r>
        <w:rPr>
          <w:rFonts w:hint="eastAsia" w:ascii="宋体" w:hAnsi="宋体" w:eastAsia="宋体" w:cs="宋体"/>
          <w:color w:val="auto"/>
          <w:spacing w:val="-1"/>
          <w:sz w:val="24"/>
          <w:szCs w:val="24"/>
          <w:highlight w:val="none"/>
        </w:rPr>
        <w:t>程和单价措施项目清单与计价表》总金额小</w:t>
      </w:r>
      <w:r>
        <w:rPr>
          <w:rFonts w:hint="eastAsia" w:ascii="宋体" w:hAnsi="宋体" w:eastAsia="宋体" w:cs="宋体"/>
          <w:color w:val="auto"/>
          <w:spacing w:val="-2"/>
          <w:sz w:val="24"/>
          <w:szCs w:val="24"/>
          <w:highlight w:val="none"/>
        </w:rPr>
        <w:t>于原投标报价中的该部分总金额，则从投标</w:t>
      </w:r>
      <w:r>
        <w:rPr>
          <w:rFonts w:hint="eastAsia" w:ascii="宋体" w:hAnsi="宋体" w:eastAsia="宋体" w:cs="宋体"/>
          <w:color w:val="auto"/>
          <w:spacing w:val="-1"/>
          <w:sz w:val="24"/>
          <w:szCs w:val="24"/>
          <w:highlight w:val="none"/>
        </w:rPr>
        <w:t>报价需调低的综合单价中选择偏离最大的清</w:t>
      </w:r>
      <w:r>
        <w:rPr>
          <w:rFonts w:hint="eastAsia" w:ascii="宋体" w:hAnsi="宋体" w:eastAsia="宋体" w:cs="宋体"/>
          <w:color w:val="auto"/>
          <w:spacing w:val="-2"/>
          <w:sz w:val="24"/>
          <w:szCs w:val="24"/>
          <w:highlight w:val="none"/>
        </w:rPr>
        <w:t>单开始调整，调整幅度逐步减少，直至修正</w:t>
      </w:r>
      <w:r>
        <w:rPr>
          <w:rFonts w:hint="eastAsia" w:ascii="宋体" w:hAnsi="宋体" w:eastAsia="宋体" w:cs="宋体"/>
          <w:color w:val="auto"/>
          <w:spacing w:val="-1"/>
          <w:sz w:val="24"/>
          <w:szCs w:val="24"/>
          <w:highlight w:val="none"/>
        </w:rPr>
        <w:t>后的该部分《分部分项工程和单价措施项目</w:t>
      </w:r>
      <w:r>
        <w:rPr>
          <w:rFonts w:hint="eastAsia" w:ascii="宋体" w:hAnsi="宋体" w:eastAsia="宋体" w:cs="宋体"/>
          <w:color w:val="auto"/>
          <w:spacing w:val="-2"/>
          <w:sz w:val="24"/>
          <w:szCs w:val="24"/>
          <w:highlight w:val="none"/>
        </w:rPr>
        <w:t>清单与计价表》总金额与原投标报价中的该</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2"/>
          <w:sz w:val="24"/>
          <w:szCs w:val="24"/>
          <w:highlight w:val="none"/>
        </w:rPr>
        <w:t>部分总金额一致。修正后的总造价应与总中标价保持一致，形成《不平衡报价修正报告》，</w:t>
      </w:r>
      <w:r>
        <w:rPr>
          <w:rFonts w:hint="eastAsia" w:ascii="宋体" w:hAnsi="宋体" w:eastAsia="宋体" w:cs="宋体"/>
          <w:color w:val="auto"/>
          <w:spacing w:val="-1"/>
          <w:sz w:val="24"/>
          <w:szCs w:val="24"/>
          <w:highlight w:val="none"/>
        </w:rPr>
        <w:t>并由招标人和中标人共同签章确认。</w:t>
      </w:r>
    </w:p>
    <w:p w14:paraId="68FBC4E8">
      <w:pPr>
        <w:spacing w:before="129" w:line="299" w:lineRule="auto"/>
        <w:ind w:left="12" w:right="17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2.3.2.2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如果工程量出现本章第</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1"/>
          <w:sz w:val="24"/>
          <w:szCs w:val="24"/>
          <w:highlight w:val="none"/>
        </w:rPr>
        <w:t xml:space="preserve">2.3.2.1 </w:t>
      </w:r>
      <w:r>
        <w:rPr>
          <w:rFonts w:hint="eastAsia" w:ascii="宋体" w:hAnsi="宋体" w:eastAsia="宋体" w:cs="宋体"/>
          <w:color w:val="auto"/>
          <w:spacing w:val="1"/>
          <w:sz w:val="24"/>
          <w:szCs w:val="24"/>
          <w:highlight w:val="none"/>
        </w:rPr>
        <w:t>子目的变化，且该变化引起相关措施项目相</w:t>
      </w:r>
      <w:r>
        <w:rPr>
          <w:rFonts w:hint="eastAsia" w:ascii="宋体" w:hAnsi="宋体" w:eastAsia="宋体" w:cs="宋体"/>
          <w:color w:val="auto"/>
          <w:spacing w:val="-2"/>
          <w:sz w:val="24"/>
          <w:szCs w:val="24"/>
          <w:highlight w:val="none"/>
        </w:rPr>
        <w:t>应发生变化时，按系数或单一总价方式计价的，工程量增加的措施项目费调增，工程量</w:t>
      </w:r>
      <w:r>
        <w:rPr>
          <w:rFonts w:hint="eastAsia" w:ascii="宋体" w:hAnsi="宋体" w:eastAsia="宋体" w:cs="宋体"/>
          <w:color w:val="auto"/>
          <w:spacing w:val="-1"/>
          <w:sz w:val="24"/>
          <w:szCs w:val="24"/>
          <w:highlight w:val="none"/>
        </w:rPr>
        <w:t>减少的措施项目费调减。</w:t>
      </w:r>
    </w:p>
    <w:p w14:paraId="3EF8AFC3">
      <w:pPr>
        <w:spacing w:before="154" w:line="221" w:lineRule="auto"/>
        <w:ind w:left="488"/>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2.3.3  </w:t>
      </w:r>
      <w:r>
        <w:rPr>
          <w:rFonts w:hint="eastAsia" w:ascii="宋体" w:hAnsi="宋体" w:eastAsia="宋体" w:cs="宋体"/>
          <w:color w:val="auto"/>
          <w:spacing w:val="-1"/>
          <w:sz w:val="24"/>
          <w:szCs w:val="24"/>
          <w:highlight w:val="none"/>
        </w:rPr>
        <w:t>工程变更</w:t>
      </w:r>
    </w:p>
    <w:p w14:paraId="662453EE">
      <w:pPr>
        <w:spacing w:before="153" w:line="279" w:lineRule="auto"/>
        <w:ind w:left="19" w:right="179" w:firstLine="468"/>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合同履行期间，因工程变更引起已标价工程量清单项目发生变化时，按照以下规定调整：</w:t>
      </w:r>
    </w:p>
    <w:p w14:paraId="5EF0AACD">
      <w:pPr>
        <w:numPr>
          <w:ilvl w:val="0"/>
          <w:numId w:val="5"/>
        </w:numPr>
        <w:spacing w:before="78" w:line="360" w:lineRule="auto"/>
        <w:ind w:firstLine="242" w:firstLineChars="100"/>
        <w:rPr>
          <w:rFonts w:hint="eastAsia" w:ascii="宋体" w:hAnsi="宋体" w:eastAsia="宋体" w:cs="宋体"/>
          <w:b/>
          <w:bCs/>
          <w:color w:val="auto"/>
          <w:spacing w:val="-2"/>
          <w:sz w:val="24"/>
          <w:szCs w:val="24"/>
          <w:highlight w:val="none"/>
        </w:rPr>
      </w:pPr>
      <w:r>
        <w:rPr>
          <w:rFonts w:hint="eastAsia" w:ascii="宋体" w:hAnsi="宋体" w:eastAsia="宋体" w:cs="宋体"/>
          <w:color w:val="auto"/>
          <w:spacing w:val="1"/>
          <w:sz w:val="24"/>
          <w:szCs w:val="24"/>
          <w:highlight w:val="none"/>
        </w:rPr>
        <w:t>已标价工程量清单中有适用于变更工程项目的，采用该项目的单价。</w:t>
      </w:r>
      <w:r>
        <w:rPr>
          <w:rFonts w:hint="eastAsia" w:ascii="宋体" w:hAnsi="宋体" w:eastAsia="宋体" w:cs="宋体"/>
          <w:b/>
          <w:bCs/>
          <w:color w:val="auto"/>
          <w:spacing w:val="1"/>
          <w:sz w:val="24"/>
          <w:szCs w:val="24"/>
          <w:highlight w:val="none"/>
        </w:rPr>
        <w:t>但如果</w:t>
      </w:r>
      <w:bookmarkStart w:id="175" w:name="bookmark143"/>
      <w:bookmarkEnd w:id="175"/>
      <w:r>
        <w:rPr>
          <w:rFonts w:hint="eastAsia" w:ascii="宋体" w:hAnsi="宋体" w:eastAsia="宋体" w:cs="宋体"/>
          <w:b/>
          <w:bCs/>
          <w:color w:val="auto"/>
          <w:spacing w:val="-7"/>
          <w:sz w:val="24"/>
          <w:szCs w:val="24"/>
          <w:highlight w:val="none"/>
        </w:rPr>
        <w:t>被采用的项目属于按照第二章“中标人须知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7"/>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8"/>
          <w:sz w:val="24"/>
          <w:szCs w:val="24"/>
          <w:highlight w:val="none"/>
        </w:rPr>
        <w:t>4.2 条被认定为不平衡报价的清单项目，</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2"/>
          <w:sz w:val="24"/>
          <w:szCs w:val="24"/>
          <w:highlight w:val="none"/>
        </w:rPr>
        <w:t>变更工程项目的单价按照</w:t>
      </w:r>
      <w:r>
        <w:rPr>
          <w:rFonts w:hint="eastAsia" w:ascii="宋体" w:hAnsi="宋体" w:eastAsia="宋体" w:cs="宋体"/>
          <w:b/>
          <w:bCs/>
          <w:color w:val="auto"/>
          <w:spacing w:val="-7"/>
          <w:sz w:val="24"/>
          <w:szCs w:val="24"/>
          <w:highlight w:val="none"/>
        </w:rPr>
        <w:t>本章 2.3.2.1 的</w:t>
      </w:r>
      <w:r>
        <w:rPr>
          <w:rFonts w:hint="eastAsia" w:ascii="宋体" w:hAnsi="宋体" w:eastAsia="宋体" w:cs="宋体"/>
          <w:b/>
          <w:bCs/>
          <w:color w:val="auto"/>
          <w:spacing w:val="-2"/>
          <w:sz w:val="24"/>
          <w:szCs w:val="24"/>
          <w:highlight w:val="none"/>
        </w:rPr>
        <w:t>方法调整。】</w:t>
      </w:r>
    </w:p>
    <w:p w14:paraId="2C5B3DDC">
      <w:pPr>
        <w:numPr>
          <w:ilvl w:val="0"/>
          <w:numId w:val="0"/>
        </w:numPr>
        <w:spacing w:before="78" w:line="360" w:lineRule="auto"/>
        <w:ind w:firstLine="237" w:firstLineChars="1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2</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已标价工程量清单中没有适用但有类似于变更工程项目的，可在合理范围内</w:t>
      </w:r>
      <w:r>
        <w:rPr>
          <w:rFonts w:hint="eastAsia" w:ascii="宋体" w:hAnsi="宋体" w:eastAsia="宋体" w:cs="宋体"/>
          <w:color w:val="auto"/>
          <w:spacing w:val="-3"/>
          <w:sz w:val="24"/>
          <w:szCs w:val="24"/>
          <w:highlight w:val="none"/>
        </w:rPr>
        <w:t>参照类似项目的单价。</w:t>
      </w:r>
      <w:r>
        <w:rPr>
          <w:rFonts w:hint="eastAsia" w:ascii="宋体" w:hAnsi="宋体" w:eastAsia="宋体" w:cs="宋体"/>
          <w:b/>
          <w:bCs/>
          <w:color w:val="auto"/>
          <w:spacing w:val="-3"/>
          <w:sz w:val="24"/>
          <w:szCs w:val="24"/>
          <w:highlight w:val="none"/>
        </w:rPr>
        <w:t>但如果被参考的类似项目属于按照第二章“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pacing w:val="-4"/>
          <w:sz w:val="24"/>
          <w:szCs w:val="24"/>
          <w:highlight w:val="none"/>
        </w:rPr>
        <w:t>条被认定为不平衡报价的清单项目，变更工程项目的单价按照本章2.3.2.1 的方法调整。</w:t>
      </w:r>
    </w:p>
    <w:p w14:paraId="044009E5">
      <w:pPr>
        <w:numPr>
          <w:ilvl w:val="0"/>
          <w:numId w:val="0"/>
        </w:numPr>
        <w:spacing w:before="38" w:line="310" w:lineRule="auto"/>
        <w:ind w:right="81" w:rightChars="0" w:firstLine="242" w:firstLineChars="100"/>
        <w:jc w:val="both"/>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已标价工程量清单中没有适用也没有类似于变更工程项目的，由承包人根据</w:t>
      </w:r>
      <w:r>
        <w:rPr>
          <w:rFonts w:hint="eastAsia" w:ascii="宋体" w:hAnsi="宋体" w:eastAsia="宋体" w:cs="宋体"/>
          <w:color w:val="auto"/>
          <w:spacing w:val="-2"/>
          <w:sz w:val="24"/>
          <w:szCs w:val="24"/>
          <w:highlight w:val="none"/>
        </w:rPr>
        <w:t>变更工程资料、计量规则、计价办法、施工当月项目所在地工程造价管理机构发布的价格信息和中标下浮率提出变更工程项目的单价，报发包人确认后调整。中标下浮率的计算公式如下：</w:t>
      </w:r>
    </w:p>
    <w:p w14:paraId="5388631A">
      <w:pPr>
        <w:spacing w:before="126" w:line="314" w:lineRule="auto"/>
        <w:ind w:left="29" w:right="21" w:firstLine="503"/>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中标下浮率=[1-（中标价-中标</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2"/>
          <w:sz w:val="24"/>
          <w:szCs w:val="24"/>
          <w:highlight w:val="none"/>
        </w:rPr>
        <w:t>-暂列</w:t>
      </w:r>
      <w:r>
        <w:rPr>
          <w:rFonts w:hint="eastAsia" w:ascii="宋体" w:hAnsi="宋体" w:eastAsia="宋体" w:cs="宋体"/>
          <w:b/>
          <w:bCs/>
          <w:color w:val="auto"/>
          <w:spacing w:val="-3"/>
          <w:sz w:val="24"/>
          <w:szCs w:val="24"/>
          <w:highlight w:val="none"/>
        </w:rPr>
        <w:t>金额-暂估价）/（</w:t>
      </w:r>
      <w:r>
        <w:rPr>
          <w:rFonts w:hint="eastAsia" w:ascii="宋体" w:hAnsi="宋体" w:eastAsia="宋体" w:cs="宋体"/>
          <w:b/>
          <w:bCs/>
          <w:color w:val="auto"/>
          <w:spacing w:val="-3"/>
          <w:sz w:val="24"/>
          <w:szCs w:val="24"/>
          <w:highlight w:val="none"/>
          <w:lang w:eastAsia="zh-CN"/>
        </w:rPr>
        <w:t>最高投标限价</w:t>
      </w:r>
      <w:r>
        <w:rPr>
          <w:rFonts w:hint="eastAsia" w:ascii="宋体" w:hAnsi="宋体" w:eastAsia="宋体" w:cs="宋体"/>
          <w:b/>
          <w:bCs/>
          <w:color w:val="auto"/>
          <w:spacing w:val="-3"/>
          <w:sz w:val="24"/>
          <w:szCs w:val="24"/>
          <w:highlight w:val="none"/>
        </w:rPr>
        <w:t>-控制价</w:t>
      </w:r>
      <w:r>
        <w:rPr>
          <w:rFonts w:hint="eastAsia" w:ascii="宋体" w:hAnsi="宋体" w:eastAsia="宋体" w:cs="宋体"/>
          <w:b/>
          <w:bCs/>
          <w:color w:val="auto"/>
          <w:spacing w:val="-2"/>
          <w:sz w:val="24"/>
          <w:szCs w:val="24"/>
          <w:highlight w:val="none"/>
          <w:lang w:val="en-US" w:eastAsia="zh-CN"/>
        </w:rPr>
        <w:t>安全生产措施费</w:t>
      </w:r>
      <w:r>
        <w:rPr>
          <w:rFonts w:hint="eastAsia" w:ascii="宋体" w:hAnsi="宋体" w:eastAsia="宋体" w:cs="宋体"/>
          <w:b/>
          <w:bCs/>
          <w:color w:val="auto"/>
          <w:spacing w:val="-3"/>
          <w:sz w:val="24"/>
          <w:szCs w:val="24"/>
          <w:highlight w:val="none"/>
        </w:rPr>
        <w:t>-暂列金额-暂估价）]</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3"/>
          <w:sz w:val="24"/>
          <w:szCs w:val="24"/>
          <w:highlight w:val="none"/>
        </w:rPr>
        <w:t>×100%</w:t>
      </w:r>
    </w:p>
    <w:p w14:paraId="3EAAA9C2">
      <w:pPr>
        <w:spacing w:before="145" w:line="309" w:lineRule="auto"/>
        <w:ind w:right="81" w:firstLine="242" w:firstLineChars="1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4</w:t>
      </w:r>
      <w:r>
        <w:rPr>
          <w:rFonts w:hint="eastAsia" w:ascii="宋体" w:hAnsi="宋体" w:eastAsia="宋体" w:cs="宋体"/>
          <w:color w:val="auto"/>
          <w:spacing w:val="1"/>
          <w:sz w:val="24"/>
          <w:szCs w:val="24"/>
          <w:highlight w:val="none"/>
          <w:lang w:eastAsia="zh-CN"/>
        </w:rPr>
        <w:t>）</w:t>
      </w:r>
      <w:r>
        <w:rPr>
          <w:rFonts w:hint="eastAsia" w:ascii="宋体" w:hAnsi="宋体" w:eastAsia="宋体" w:cs="宋体"/>
          <w:snapToGrid w:val="0"/>
          <w:color w:val="auto"/>
          <w:kern w:val="0"/>
          <w:sz w:val="24"/>
          <w:szCs w:val="24"/>
          <w:highlight w:val="none"/>
          <w:lang w:eastAsia="zh-CN"/>
        </w:rPr>
        <w:t>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11F70C36">
      <w:pPr>
        <w:spacing w:before="156" w:line="309" w:lineRule="auto"/>
        <w:ind w:left="7" w:right="81"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2.3.3.2</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工程变更引起施工方案改变并使措施项目发生变化时，承包人提出调整措施</w:t>
      </w:r>
      <w:r>
        <w:rPr>
          <w:rFonts w:hint="eastAsia" w:ascii="宋体" w:hAnsi="宋体" w:eastAsia="宋体" w:cs="宋体"/>
          <w:color w:val="auto"/>
          <w:spacing w:val="-2"/>
          <w:sz w:val="24"/>
          <w:szCs w:val="24"/>
          <w:highlight w:val="none"/>
        </w:rPr>
        <w:t>项目费的，应事先将拟实施的方案提交发包人确认，并应详细说明与原方案措施项目相比的变化情况。拟实施的方案经发、承包双方确认后执行，并按照本章下列规定调整措施项目费：</w:t>
      </w:r>
    </w:p>
    <w:p w14:paraId="531604AE">
      <w:pPr>
        <w:spacing w:before="152" w:line="220" w:lineRule="auto"/>
        <w:ind w:left="499"/>
        <w:rPr>
          <w:rFonts w:hint="eastAsia" w:ascii="宋体" w:hAnsi="宋体" w:eastAsia="宋体" w:cs="宋体"/>
          <w:b w:val="0"/>
          <w:bCs w:val="0"/>
          <w:color w:val="auto"/>
          <w:sz w:val="24"/>
          <w:szCs w:val="24"/>
          <w:highlight w:val="none"/>
        </w:rPr>
      </w:pPr>
      <w:r>
        <w:rPr>
          <w:rFonts w:hint="eastAsia" w:ascii="宋体" w:hAnsi="宋体" w:eastAsia="宋体" w:cs="宋体"/>
          <w:color w:val="auto"/>
          <w:spacing w:val="-1"/>
          <w:sz w:val="24"/>
          <w:szCs w:val="24"/>
          <w:highlight w:val="none"/>
        </w:rPr>
        <w:t>（1</w:t>
      </w:r>
      <w:r>
        <w:rPr>
          <w:rFonts w:hint="eastAsia" w:ascii="宋体" w:hAnsi="宋体" w:eastAsia="宋体" w:cs="宋体"/>
          <w:b/>
          <w:bCs/>
          <w:color w:val="auto"/>
          <w:spacing w:val="-1"/>
          <w:sz w:val="24"/>
          <w:szCs w:val="24"/>
          <w:highlight w:val="none"/>
        </w:rPr>
        <w:t>）</w:t>
      </w:r>
      <w:r>
        <w:rPr>
          <w:rFonts w:hint="eastAsia" w:ascii="宋体" w:hAnsi="宋体" w:eastAsia="宋体" w:cs="宋体"/>
          <w:b w:val="0"/>
          <w:bCs w:val="0"/>
          <w:color w:val="auto"/>
          <w:spacing w:val="-1"/>
          <w:sz w:val="24"/>
          <w:szCs w:val="24"/>
          <w:highlight w:val="none"/>
        </w:rPr>
        <w:t>安全生产措施费应按照实际发生变化的措施项目计算。</w:t>
      </w:r>
    </w:p>
    <w:p w14:paraId="601BC492">
      <w:pPr>
        <w:spacing w:before="156" w:line="309" w:lineRule="auto"/>
        <w:ind w:left="7" w:right="81" w:firstLine="477"/>
        <w:rPr>
          <w:rFonts w:hint="eastAsia" w:ascii="宋体" w:hAnsi="宋体" w:eastAsia="宋体" w:cs="宋体"/>
          <w:color w:val="auto"/>
          <w:spacing w:val="-3"/>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3"/>
          <w:sz w:val="24"/>
          <w:szCs w:val="24"/>
          <w:highlight w:val="none"/>
        </w:rPr>
        <w:t>采用单价计算的措施项目费，应按照实际发生变化的措施项目，按本章第 2.3.3.1 子目的规定确定单价。</w:t>
      </w:r>
    </w:p>
    <w:p w14:paraId="4D9326AB">
      <w:pPr>
        <w:spacing w:before="154" w:line="360" w:lineRule="auto"/>
        <w:ind w:left="8"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（3）按总价或系数计算的措施项目费，应按照实际发生变化的措施项目费调整并</w:t>
      </w:r>
      <w:r>
        <w:rPr>
          <w:rFonts w:hint="eastAsia" w:ascii="宋体" w:hAnsi="宋体" w:eastAsia="宋体" w:cs="宋体"/>
          <w:color w:val="auto"/>
          <w:spacing w:val="-3"/>
          <w:sz w:val="24"/>
          <w:szCs w:val="24"/>
          <w:highlight w:val="none"/>
        </w:rPr>
        <w:t>考虑中标下浮率因素，即调整金额＝按照实际变化调整后的金额×（ 1-中标下浮率）。</w:t>
      </w:r>
    </w:p>
    <w:p w14:paraId="0F4567BC">
      <w:pPr>
        <w:spacing w:before="157" w:line="324" w:lineRule="auto"/>
        <w:ind w:left="21" w:right="81" w:firstLine="47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如果承包人未事先将拟实施的方案提交发包人确认，视为工程变更不引起措施项目费的调整或承包人放弃调整措施项目费的权利。</w:t>
      </w:r>
    </w:p>
    <w:p w14:paraId="09FC9918">
      <w:pPr>
        <w:spacing w:before="35" w:line="309" w:lineRule="auto"/>
        <w:ind w:right="81"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当因非承包人原因，发包人提出的工程变更删减了合同中的某项原定工作或</w:t>
      </w:r>
      <w:r>
        <w:rPr>
          <w:rFonts w:hint="eastAsia" w:ascii="宋体" w:hAnsi="宋体" w:eastAsia="宋体" w:cs="宋体"/>
          <w:color w:val="auto"/>
          <w:spacing w:val="-2"/>
          <w:sz w:val="24"/>
          <w:szCs w:val="24"/>
          <w:highlight w:val="none"/>
        </w:rPr>
        <w:t>工程，致使承包人发生的费用或（和）得到的收益不能被包括在其他已支付或应支付的项目中，也未被包含在任何替代的工作或工程中时，承包人有权提出并应得到合理的费用及利润补偿。</w:t>
      </w:r>
    </w:p>
    <w:p w14:paraId="768E8515">
      <w:pPr>
        <w:spacing w:before="155" w:line="220"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2.3.4  </w:t>
      </w:r>
      <w:r>
        <w:rPr>
          <w:rFonts w:hint="eastAsia" w:ascii="宋体" w:hAnsi="宋体" w:eastAsia="宋体" w:cs="宋体"/>
          <w:color w:val="auto"/>
          <w:spacing w:val="-1"/>
          <w:sz w:val="24"/>
          <w:szCs w:val="24"/>
          <w:highlight w:val="none"/>
        </w:rPr>
        <w:t>项目特征不符</w:t>
      </w:r>
    </w:p>
    <w:p w14:paraId="76795D8D">
      <w:pPr>
        <w:spacing w:before="78" w:line="331" w:lineRule="auto"/>
        <w:ind w:left="8" w:right="108" w:firstLine="480"/>
        <w:jc w:val="both"/>
        <w:rPr>
          <w:rFonts w:hint="eastAsia" w:ascii="宋体" w:hAnsi="宋体" w:eastAsia="宋体" w:cs="宋体"/>
          <w:color w:val="auto"/>
          <w:sz w:val="24"/>
          <w:szCs w:val="24"/>
          <w:highlight w:val="none"/>
        </w:rPr>
      </w:pPr>
      <w:bookmarkStart w:id="176" w:name="bookmark144"/>
      <w:bookmarkEnd w:id="176"/>
      <w:r>
        <w:rPr>
          <w:rFonts w:hint="eastAsia" w:ascii="宋体" w:hAnsi="宋体" w:eastAsia="宋体" w:cs="宋体"/>
          <w:color w:val="auto"/>
          <w:spacing w:val="-2"/>
          <w:sz w:val="24"/>
          <w:szCs w:val="24"/>
          <w:highlight w:val="none"/>
        </w:rPr>
        <w:t>承包人应按照发包人提供的设计图纸实施合同工程，若在合同履行期间出现设计图纸（含设计变更）与招标工程量清单任一项目的特征描述不符，且该变化引起该项目工</w:t>
      </w:r>
      <w:r>
        <w:rPr>
          <w:rFonts w:hint="eastAsia" w:ascii="宋体" w:hAnsi="宋体" w:eastAsia="宋体" w:cs="宋体"/>
          <w:color w:val="auto"/>
          <w:sz w:val="24"/>
          <w:szCs w:val="24"/>
          <w:highlight w:val="none"/>
        </w:rPr>
        <w:t>程造价增减变化的，应按照实际施工的项目特征，并按本章第</w:t>
      </w:r>
      <w:r>
        <w:rPr>
          <w:rFonts w:hint="eastAsia" w:ascii="宋体" w:hAnsi="宋体" w:eastAsia="宋体" w:cs="宋体"/>
          <w:color w:val="auto"/>
          <w:spacing w:val="-52"/>
          <w:sz w:val="24"/>
          <w:szCs w:val="24"/>
          <w:highlight w:val="none"/>
        </w:rPr>
        <w:t xml:space="preserve"> </w:t>
      </w:r>
      <w:r>
        <w:rPr>
          <w:rFonts w:hint="eastAsia" w:ascii="宋体" w:hAnsi="宋体" w:eastAsia="宋体" w:cs="宋体"/>
          <w:b/>
          <w:bCs/>
          <w:color w:val="auto"/>
          <w:sz w:val="24"/>
          <w:szCs w:val="24"/>
          <w:highlight w:val="none"/>
        </w:rPr>
        <w:t xml:space="preserve">2.3.3 </w:t>
      </w:r>
      <w:r>
        <w:rPr>
          <w:rFonts w:hint="eastAsia" w:ascii="宋体" w:hAnsi="宋体" w:eastAsia="宋体" w:cs="宋体"/>
          <w:color w:val="auto"/>
          <w:sz w:val="24"/>
          <w:szCs w:val="24"/>
          <w:highlight w:val="none"/>
        </w:rPr>
        <w:t>目相</w:t>
      </w:r>
      <w:r>
        <w:rPr>
          <w:rFonts w:hint="eastAsia" w:ascii="宋体" w:hAnsi="宋体" w:eastAsia="宋体" w:cs="宋体"/>
          <w:color w:val="auto"/>
          <w:spacing w:val="-1"/>
          <w:sz w:val="24"/>
          <w:szCs w:val="24"/>
          <w:highlight w:val="none"/>
        </w:rPr>
        <w:t>关条款的规定重新确定相应工程量清单项目的综合单价，并调整合同价款。</w:t>
      </w:r>
    </w:p>
    <w:p w14:paraId="668F6256">
      <w:pPr>
        <w:spacing w:before="38" w:line="221"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2.3.5  </w:t>
      </w:r>
      <w:r>
        <w:rPr>
          <w:rFonts w:hint="eastAsia" w:ascii="宋体" w:hAnsi="宋体" w:eastAsia="宋体" w:cs="宋体"/>
          <w:color w:val="auto"/>
          <w:spacing w:val="-1"/>
          <w:sz w:val="24"/>
          <w:szCs w:val="24"/>
          <w:highlight w:val="none"/>
        </w:rPr>
        <w:t>招标工程量清单缺项</w:t>
      </w:r>
    </w:p>
    <w:p w14:paraId="12962E2B">
      <w:pPr>
        <w:spacing w:before="152" w:line="278" w:lineRule="auto"/>
        <w:ind w:left="9" w:right="56"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2.3.5.1</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合同履行期间，由于招标</w:t>
      </w:r>
      <w:r>
        <w:rPr>
          <w:rFonts w:hint="eastAsia" w:ascii="宋体" w:hAnsi="宋体" w:eastAsia="宋体" w:cs="宋体"/>
          <w:color w:val="auto"/>
          <w:spacing w:val="-2"/>
          <w:sz w:val="24"/>
          <w:szCs w:val="24"/>
          <w:highlight w:val="none"/>
        </w:rPr>
        <w:t>工程量清单中缺项，新增分部分项工程清单项目，</w:t>
      </w:r>
      <w:r>
        <w:rPr>
          <w:rFonts w:hint="eastAsia" w:ascii="宋体" w:hAnsi="宋体" w:eastAsia="宋体" w:cs="宋体"/>
          <w:color w:val="auto"/>
          <w:spacing w:val="-1"/>
          <w:sz w:val="24"/>
          <w:szCs w:val="24"/>
          <w:highlight w:val="none"/>
        </w:rPr>
        <w:t>应按照本章第</w:t>
      </w:r>
      <w:r>
        <w:rPr>
          <w:rFonts w:hint="eastAsia" w:ascii="宋体" w:hAnsi="宋体" w:eastAsia="宋体" w:cs="宋体"/>
          <w:color w:val="auto"/>
          <w:spacing w:val="-39"/>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子目的规定确定单价，并调整合同价款。</w:t>
      </w:r>
    </w:p>
    <w:p w14:paraId="1CCA4EE2">
      <w:pPr>
        <w:spacing w:before="157" w:line="219" w:lineRule="auto"/>
        <w:ind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新增分部分项工程清单项目后，引起</w:t>
      </w:r>
      <w:r>
        <w:rPr>
          <w:rFonts w:hint="eastAsia" w:ascii="宋体" w:hAnsi="宋体" w:eastAsia="宋体" w:cs="宋体"/>
          <w:color w:val="auto"/>
          <w:spacing w:val="-2"/>
          <w:sz w:val="24"/>
          <w:szCs w:val="24"/>
          <w:highlight w:val="none"/>
        </w:rPr>
        <w:t>措施项目发生变化的，应按照本章第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2"/>
          <w:sz w:val="24"/>
          <w:szCs w:val="24"/>
          <w:highlight w:val="none"/>
        </w:rPr>
        <w:t>2.</w:t>
      </w:r>
      <w:r>
        <w:rPr>
          <w:rFonts w:hint="eastAsia" w:ascii="宋体" w:hAnsi="宋体" w:eastAsia="宋体" w:cs="宋体"/>
          <w:b/>
          <w:bCs/>
          <w:color w:val="auto"/>
          <w:sz w:val="24"/>
          <w:szCs w:val="24"/>
          <w:highlight w:val="none"/>
        </w:rPr>
        <w:t xml:space="preserve">3.3.2 </w:t>
      </w:r>
      <w:r>
        <w:rPr>
          <w:rFonts w:hint="eastAsia" w:ascii="宋体" w:hAnsi="宋体" w:eastAsia="宋体" w:cs="宋体"/>
          <w:color w:val="auto"/>
          <w:sz w:val="24"/>
          <w:szCs w:val="24"/>
          <w:highlight w:val="none"/>
        </w:rPr>
        <w:t>子目的规定，在承包人提交的实施方案被发包人批准后调整</w:t>
      </w:r>
      <w:r>
        <w:rPr>
          <w:rFonts w:hint="eastAsia" w:ascii="宋体" w:hAnsi="宋体" w:eastAsia="宋体" w:cs="宋体"/>
          <w:color w:val="auto"/>
          <w:spacing w:val="-1"/>
          <w:sz w:val="24"/>
          <w:szCs w:val="24"/>
          <w:highlight w:val="none"/>
        </w:rPr>
        <w:t>合同价款。</w:t>
      </w:r>
    </w:p>
    <w:p w14:paraId="0B453D5A">
      <w:pPr>
        <w:spacing w:before="156" w:line="279" w:lineRule="auto"/>
        <w:ind w:left="13" w:right="108" w:firstLine="471"/>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4"/>
          <w:sz w:val="24"/>
          <w:szCs w:val="24"/>
          <w:highlight w:val="none"/>
        </w:rPr>
        <w:t>2.3.5.3</w:t>
      </w:r>
      <w:r>
        <w:rPr>
          <w:rFonts w:hint="eastAsia" w:ascii="宋体" w:hAnsi="宋体" w:eastAsia="宋体" w:cs="宋体"/>
          <w:b/>
          <w:bCs/>
          <w:color w:val="auto"/>
          <w:spacing w:val="-4"/>
          <w:sz w:val="24"/>
          <w:szCs w:val="24"/>
          <w:highlight w:val="none"/>
        </w:rPr>
        <w:fldChar w:fldCharType="end"/>
      </w:r>
      <w:r>
        <w:rPr>
          <w:rFonts w:hint="eastAsia" w:ascii="宋体" w:hAnsi="宋体" w:eastAsia="宋体" w:cs="宋体"/>
          <w:b/>
          <w:bCs/>
          <w:color w:val="auto"/>
          <w:spacing w:val="22"/>
          <w:w w:val="101"/>
          <w:sz w:val="24"/>
          <w:szCs w:val="24"/>
          <w:highlight w:val="none"/>
        </w:rPr>
        <w:t xml:space="preserve">  </w:t>
      </w:r>
      <w:r>
        <w:rPr>
          <w:rFonts w:hint="eastAsia" w:ascii="宋体" w:hAnsi="宋体" w:eastAsia="宋体" w:cs="宋体"/>
          <w:color w:val="auto"/>
          <w:spacing w:val="-4"/>
          <w:sz w:val="24"/>
          <w:szCs w:val="24"/>
          <w:highlight w:val="none"/>
        </w:rPr>
        <w:t>由于招标工程量清单中措施项目缺项，承包人应将新增措施项目实施方案提</w:t>
      </w:r>
      <w:r>
        <w:rPr>
          <w:rFonts w:hint="eastAsia" w:ascii="宋体" w:hAnsi="宋体" w:eastAsia="宋体" w:cs="宋体"/>
          <w:color w:val="auto"/>
          <w:spacing w:val="-1"/>
          <w:sz w:val="24"/>
          <w:szCs w:val="24"/>
          <w:highlight w:val="none"/>
        </w:rPr>
        <w:t>交发包人批准后，按照本章第</w:t>
      </w:r>
      <w:r>
        <w:rPr>
          <w:rFonts w:hint="eastAsia" w:ascii="宋体" w:hAnsi="宋体" w:eastAsia="宋体" w:cs="宋体"/>
          <w:color w:val="auto"/>
          <w:spacing w:val="-36"/>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 xml:space="preserve">2.3.3.2 </w:t>
      </w:r>
      <w:r>
        <w:rPr>
          <w:rFonts w:hint="eastAsia" w:ascii="宋体" w:hAnsi="宋体" w:eastAsia="宋体" w:cs="宋体"/>
          <w:color w:val="auto"/>
          <w:spacing w:val="-1"/>
          <w:sz w:val="24"/>
          <w:szCs w:val="24"/>
          <w:highlight w:val="none"/>
        </w:rPr>
        <w:t>子目的规定调整合同价款。</w:t>
      </w:r>
    </w:p>
    <w:p w14:paraId="1B89C915">
      <w:pPr>
        <w:spacing w:before="154" w:line="219"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2.3.6  </w:t>
      </w:r>
      <w:r>
        <w:rPr>
          <w:rFonts w:hint="eastAsia" w:ascii="宋体" w:hAnsi="宋体" w:eastAsia="宋体" w:cs="宋体"/>
          <w:color w:val="auto"/>
          <w:spacing w:val="-1"/>
          <w:sz w:val="24"/>
          <w:szCs w:val="24"/>
          <w:highlight w:val="none"/>
        </w:rPr>
        <w:t>物价变化</w:t>
      </w:r>
    </w:p>
    <w:p w14:paraId="431259BB">
      <w:pPr>
        <w:spacing w:before="156" w:line="315" w:lineRule="auto"/>
        <w:ind w:left="8" w:right="108"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合同履行期间，项目所在地工程造价管理机构发布的动态人工调整系数发生变化时，如果承包人投标报价中人工费（以下简称“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中标人工费</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4"/>
          <w:sz w:val="24"/>
          <w:szCs w:val="24"/>
          <w:highlight w:val="none"/>
        </w:rPr>
        <w:t>等于或超过施工当</w:t>
      </w:r>
      <w:r>
        <w:rPr>
          <w:rFonts w:hint="eastAsia" w:ascii="宋体" w:hAnsi="宋体" w:eastAsia="宋体" w:cs="宋体"/>
          <w:color w:val="auto"/>
          <w:spacing w:val="-2"/>
          <w:sz w:val="24"/>
          <w:szCs w:val="24"/>
          <w:highlight w:val="none"/>
        </w:rPr>
        <w:t>月经动态调整后的定额人工费，该清单项目中标人工费不予调整；如果中标人工费低于施工当月经动态调整后的定额人工费，该清单项目中标人工费可以调整，相关费用按有</w:t>
      </w:r>
      <w:r>
        <w:rPr>
          <w:rFonts w:hint="eastAsia" w:ascii="宋体" w:hAnsi="宋体" w:eastAsia="宋体" w:cs="宋体"/>
          <w:color w:val="auto"/>
          <w:spacing w:val="-1"/>
          <w:sz w:val="24"/>
          <w:szCs w:val="24"/>
          <w:highlight w:val="none"/>
        </w:rPr>
        <w:t>关规定进行相应调整。结算人工费调整公式为：</w:t>
      </w:r>
    </w:p>
    <w:p w14:paraId="584E8AC9">
      <w:pPr>
        <w:spacing w:before="153" w:line="220" w:lineRule="auto"/>
        <w:ind w:left="494"/>
        <w:rPr>
          <w:rFonts w:hint="eastAsia" w:ascii="宋体" w:hAnsi="宋体" w:eastAsia="宋体" w:cs="宋体"/>
          <w:color w:val="auto"/>
          <w:sz w:val="15"/>
          <w:szCs w:val="15"/>
          <w:highlight w:val="none"/>
        </w:rPr>
      </w:pPr>
      <w:r>
        <w:rPr>
          <w:rFonts w:hint="eastAsia" w:ascii="宋体" w:hAnsi="宋体" w:eastAsia="宋体" w:cs="宋体"/>
          <w:color w:val="auto"/>
          <w:spacing w:val="-1"/>
          <w:sz w:val="24"/>
          <w:szCs w:val="24"/>
          <w:highlight w:val="none"/>
        </w:rPr>
        <w:t>结算人工费＝中标人工费×F</w:t>
      </w:r>
      <w:r>
        <w:rPr>
          <w:rFonts w:hint="eastAsia" w:ascii="宋体" w:hAnsi="宋体" w:eastAsia="宋体" w:cs="宋体"/>
          <w:color w:val="auto"/>
          <w:spacing w:val="-1"/>
          <w:position w:val="-1"/>
          <w:sz w:val="15"/>
          <w:szCs w:val="15"/>
          <w:highlight w:val="none"/>
        </w:rPr>
        <w:t>1</w:t>
      </w:r>
    </w:p>
    <w:p w14:paraId="48504F9D">
      <w:pPr>
        <w:spacing w:before="152"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式中，F</w:t>
      </w:r>
      <w:r>
        <w:rPr>
          <w:rFonts w:hint="eastAsia" w:ascii="宋体" w:hAnsi="宋体" w:eastAsia="宋体" w:cs="宋体"/>
          <w:color w:val="auto"/>
          <w:spacing w:val="-1"/>
          <w:position w:val="-1"/>
          <w:sz w:val="15"/>
          <w:szCs w:val="15"/>
          <w:highlight w:val="none"/>
        </w:rPr>
        <w:t>1</w:t>
      </w:r>
      <w:r>
        <w:rPr>
          <w:rFonts w:hint="eastAsia" w:ascii="宋体" w:hAnsi="宋体" w:eastAsia="宋体" w:cs="宋体"/>
          <w:color w:val="auto"/>
          <w:spacing w:val="23"/>
          <w:w w:val="101"/>
          <w:position w:val="-1"/>
          <w:sz w:val="15"/>
          <w:szCs w:val="15"/>
          <w:highlight w:val="none"/>
        </w:rPr>
        <w:t xml:space="preserve"> </w:t>
      </w:r>
      <w:r>
        <w:rPr>
          <w:rFonts w:hint="eastAsia" w:ascii="宋体" w:hAnsi="宋体" w:eastAsia="宋体" w:cs="宋体"/>
          <w:color w:val="auto"/>
          <w:spacing w:val="-1"/>
          <w:sz w:val="24"/>
          <w:szCs w:val="24"/>
          <w:highlight w:val="none"/>
        </w:rPr>
        <w:t>为施工当月项目所在地工程造价管理机构发布的动态人工调整系数。</w:t>
      </w:r>
    </w:p>
    <w:p w14:paraId="620B4A06">
      <w:pPr>
        <w:spacing w:before="119" w:line="324" w:lineRule="auto"/>
        <w:ind w:left="1" w:right="108" w:firstLine="483"/>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fldChar w:fldCharType="begin"/>
      </w:r>
      <w:r>
        <w:rPr>
          <w:rFonts w:hint="eastAsia" w:ascii="宋体" w:hAnsi="宋体" w:eastAsia="宋体" w:cs="宋体"/>
          <w:b/>
          <w:bCs/>
          <w:color w:val="auto"/>
          <w:spacing w:val="-1"/>
          <w:sz w:val="24"/>
          <w:szCs w:val="24"/>
          <w:highlight w:val="none"/>
        </w:rPr>
        <w:instrText xml:space="preserve"> HYPERLINK "2.3.6.2" </w:instrText>
      </w:r>
      <w:r>
        <w:rPr>
          <w:rFonts w:hint="eastAsia" w:ascii="宋体" w:hAnsi="宋体" w:eastAsia="宋体" w:cs="宋体"/>
          <w:b/>
          <w:bCs/>
          <w:color w:val="auto"/>
          <w:spacing w:val="-1"/>
          <w:sz w:val="24"/>
          <w:szCs w:val="24"/>
          <w:highlight w:val="none"/>
        </w:rPr>
        <w:fldChar w:fldCharType="separate"/>
      </w:r>
      <w:r>
        <w:rPr>
          <w:rFonts w:hint="eastAsia" w:ascii="宋体" w:hAnsi="宋体" w:eastAsia="宋体" w:cs="宋体"/>
          <w:b/>
          <w:bCs/>
          <w:color w:val="auto"/>
          <w:spacing w:val="-1"/>
          <w:sz w:val="24"/>
          <w:szCs w:val="24"/>
          <w:highlight w:val="none"/>
        </w:rPr>
        <w:t>2.3.6.2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本招标项目约定，材料、工程设备</w:t>
      </w:r>
      <w:r>
        <w:rPr>
          <w:rFonts w:hint="eastAsia" w:ascii="宋体" w:hAnsi="宋体" w:eastAsia="宋体" w:cs="宋体"/>
          <w:color w:val="auto"/>
          <w:spacing w:val="-2"/>
          <w:sz w:val="24"/>
          <w:szCs w:val="24"/>
          <w:highlight w:val="none"/>
        </w:rPr>
        <w:t>单价涨跌风险幅度值</w:t>
      </w:r>
      <w:r>
        <w:rPr>
          <w:rFonts w:hint="eastAsia" w:ascii="宋体" w:hAnsi="宋体" w:eastAsia="宋体" w:cs="宋体"/>
          <w:color w:val="auto"/>
          <w:spacing w:val="-59"/>
          <w:sz w:val="24"/>
          <w:szCs w:val="24"/>
          <w:highlight w:val="none"/>
        </w:rPr>
        <w:t xml:space="preserve"> </w:t>
      </w:r>
      <w:r>
        <w:rPr>
          <w:rFonts w:hint="eastAsia" w:ascii="宋体" w:hAnsi="宋体" w:eastAsia="宋体" w:cs="宋体"/>
          <w:color w:val="auto"/>
          <w:spacing w:val="-2"/>
          <w:sz w:val="24"/>
          <w:szCs w:val="24"/>
          <w:highlight w:val="none"/>
        </w:rPr>
        <w:t>A 为</w:t>
      </w:r>
      <w:r>
        <w:rPr>
          <w:rFonts w:hint="eastAsia" w:ascii="宋体" w:hAnsi="宋体" w:eastAsia="宋体" w:cs="宋体"/>
          <w:color w:val="auto"/>
          <w:spacing w:val="-2"/>
          <w:sz w:val="24"/>
          <w:szCs w:val="24"/>
          <w:highlight w:val="none"/>
          <w:u w:val="single"/>
        </w:rPr>
        <w:t xml:space="preserve">  5%   </w:t>
      </w:r>
      <w:r>
        <w:rPr>
          <w:rFonts w:hint="eastAsia" w:ascii="宋体" w:hAnsi="宋体" w:eastAsia="宋体" w:cs="宋体"/>
          <w:color w:val="auto"/>
          <w:spacing w:val="-2"/>
          <w:sz w:val="24"/>
          <w:szCs w:val="24"/>
          <w:highlight w:val="none"/>
        </w:rPr>
        <w:t>。合同履</w:t>
      </w:r>
      <w:r>
        <w:rPr>
          <w:rFonts w:hint="eastAsia" w:ascii="宋体" w:hAnsi="宋体" w:eastAsia="宋体" w:cs="宋体"/>
          <w:color w:val="auto"/>
          <w:spacing w:val="-1"/>
          <w:sz w:val="24"/>
          <w:szCs w:val="24"/>
          <w:highlight w:val="none"/>
        </w:rPr>
        <w:t>行期间，当《承包人提供主要材料和工程设备一览表》（</w:t>
      </w:r>
      <w:r>
        <w:rPr>
          <w:rFonts w:hint="eastAsia" w:ascii="宋体" w:hAnsi="宋体" w:eastAsia="宋体" w:cs="宋体"/>
          <w:color w:val="auto"/>
          <w:spacing w:val="-2"/>
          <w:sz w:val="24"/>
          <w:szCs w:val="24"/>
          <w:highlight w:val="none"/>
        </w:rPr>
        <w:t>详见招标工程量清单）中的材</w:t>
      </w:r>
      <w:r>
        <w:rPr>
          <w:rFonts w:hint="eastAsia" w:ascii="宋体" w:hAnsi="宋体" w:eastAsia="宋体" w:cs="宋体"/>
          <w:color w:val="auto"/>
          <w:spacing w:val="-3"/>
          <w:sz w:val="24"/>
          <w:szCs w:val="24"/>
          <w:highlight w:val="none"/>
        </w:rPr>
        <w:t>料、工程设备单价涨跌幅度等于或低于</w:t>
      </w:r>
      <w:r>
        <w:rPr>
          <w:rFonts w:hint="eastAsia" w:ascii="宋体" w:hAnsi="宋体" w:eastAsia="宋体" w:cs="宋体"/>
          <w:color w:val="auto"/>
          <w:spacing w:val="-48"/>
          <w:sz w:val="24"/>
          <w:szCs w:val="24"/>
          <w:highlight w:val="none"/>
        </w:rPr>
        <w:t xml:space="preserve"> </w:t>
      </w:r>
      <w:r>
        <w:rPr>
          <w:rFonts w:hint="eastAsia" w:ascii="宋体" w:hAnsi="宋体" w:eastAsia="宋体" w:cs="宋体"/>
          <w:color w:val="auto"/>
          <w:spacing w:val="-3"/>
          <w:sz w:val="24"/>
          <w:szCs w:val="24"/>
          <w:highlight w:val="none"/>
        </w:rPr>
        <w:t>A 值时，该材料、工程设备单价不予调整；超过</w:t>
      </w:r>
      <w:r>
        <w:rPr>
          <w:rFonts w:hint="eastAsia" w:ascii="宋体" w:hAnsi="宋体" w:eastAsia="宋体" w:cs="宋体"/>
          <w:color w:val="auto"/>
          <w:sz w:val="24"/>
          <w:szCs w:val="24"/>
          <w:highlight w:val="none"/>
        </w:rPr>
        <w:t>A 值时，其超过部分可以调整。相关费用按有关规定进行相</w:t>
      </w:r>
      <w:r>
        <w:rPr>
          <w:rFonts w:hint="eastAsia" w:ascii="宋体" w:hAnsi="宋体" w:eastAsia="宋体" w:cs="宋体"/>
          <w:color w:val="auto"/>
          <w:spacing w:val="-1"/>
          <w:sz w:val="24"/>
          <w:szCs w:val="24"/>
          <w:highlight w:val="none"/>
        </w:rPr>
        <w:t>应调整。</w:t>
      </w:r>
    </w:p>
    <w:p w14:paraId="7A5EF1AF">
      <w:pPr>
        <w:spacing w:before="126" w:line="295" w:lineRule="auto"/>
        <w:ind w:left="11" w:right="108" w:firstLine="477"/>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a ．如果承包人投标报价中材料、工程设备单价（以下简称“ 中标单价 ”）低于基准日当月项目所在地工程造价管理机构发布的对应材料、工程设备单价（以下简称“基准单价 ”），该材料、工程设备的结算单价调整公式为：</w:t>
      </w:r>
    </w:p>
    <w:p w14:paraId="030C848A">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a．涨价时，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o:preferrelative="t" stroked="f" coordsize="21600,21600">
            <v:path/>
            <v:fill on="f" focussize="0,0"/>
            <v:stroke on="f"/>
            <v:imagedata r:id="rId30" embosscolor="#FFFFFF" o:title=""/>
            <o:lock v:ext="edit" grouping="f" rotation="f" text="f" aspectratio="t"/>
            <w10:wrap type="none"/>
            <w10:anchorlock/>
          </v:shape>
          <o:OLEObject Type="Embed" ProgID="Equation.KSEE3" ShapeID="_x0000_i1025" DrawAspect="Content" ObjectID="_1468075725" r:id="rId29">
            <o:LockedField>false</o:LockedField>
          </o:OLEObject>
        </w:object>
      </w:r>
    </w:p>
    <w:p w14:paraId="4D492031">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o:preferrelative="t" stroked="f" coordsize="21600,21600">
            <v:path/>
            <v:fill on="f" focussize="0,0"/>
            <v:stroke on="f"/>
            <v:imagedata r:id="rId32" embosscolor="#FFFFFF" o:title=""/>
            <o:lock v:ext="edit" grouping="f" rotation="f" text="f" aspectratio="t"/>
            <w10:wrap type="none"/>
            <w10:anchorlock/>
          </v:shape>
          <o:OLEObject Type="Embed" ProgID="Equation.KSEE3" ShapeID="_x0000_i1026" DrawAspect="Content" ObjectID="_1468075726" r:id="rId31">
            <o:LockedField>false</o:LockedField>
          </o:OLEObject>
        </w:object>
      </w:r>
    </w:p>
    <w:p w14:paraId="608B9F53">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b．涨价时，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o:preferrelative="t" stroked="f" coordsize="21600,21600">
            <v:path/>
            <v:fill on="f" focussize="0,0"/>
            <v:stroke on="f"/>
            <v:imagedata r:id="rId34" embosscolor="#FFFFFF" o:title=""/>
            <o:lock v:ext="edit" grouping="f" rotation="f" text="f" aspectratio="t"/>
            <w10:wrap type="none"/>
            <w10:anchorlock/>
          </v:shape>
          <o:OLEObject Type="Embed" ProgID="Equation.KSEE3" ShapeID="_x0000_i1027" DrawAspect="Content" ObjectID="_1468075727" r:id="rId33">
            <o:LockedField>false</o:LockedField>
          </o:OLEObject>
        </w:object>
      </w:r>
    </w:p>
    <w:p w14:paraId="5CDA4E90">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o:preferrelative="t" stroked="f" coordsize="21600,21600">
            <v:path/>
            <v:fill on="f" focussize="0,0"/>
            <v:stroke on="f"/>
            <v:imagedata r:id="rId36" embosscolor="#FFFFFF" o:title=""/>
            <o:lock v:ext="edit" grouping="f" rotation="f" text="f" aspectratio="t"/>
            <w10:wrap type="none"/>
            <w10:anchorlock/>
          </v:shape>
          <o:OLEObject Type="Embed" ProgID="Equation.KSEE3" ShapeID="_x0000_i1028" DrawAspect="Content" ObjectID="_1468075728" r:id="rId35">
            <o:LockedField>false</o:LockedField>
          </o:OLEObject>
        </w:object>
      </w:r>
    </w:p>
    <w:p w14:paraId="5FA62F9D">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c．涨价时，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o:preferrelative="t" stroked="f" coordsize="21600,21600">
            <v:path/>
            <v:fill on="f" focussize="0,0"/>
            <v:stroke on="f"/>
            <v:imagedata r:id="rId38" embosscolor="#FFFFFF" o:title=""/>
            <o:lock v:ext="edit" grouping="f" rotation="f" text="f" aspectratio="t"/>
            <w10:wrap type="none"/>
            <w10:anchorlock/>
          </v:shape>
          <o:OLEObject Type="Embed" ProgID="Equation.KSEE3" ShapeID="_x0000_i1029" DrawAspect="Content" ObjectID="_1468075729" r:id="rId37">
            <o:LockedField>false</o:LockedField>
          </o:OLEObject>
        </w:object>
      </w:r>
    </w:p>
    <w:p w14:paraId="23DD8A28">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40" embosscolor="#FFFFFF" o:title=""/>
            <o:lock v:ext="edit" grouping="f" rotation="f" text="f" aspectratio="t"/>
            <w10:wrap type="none"/>
            <w10:anchorlock/>
          </v:shape>
          <o:OLEObject Type="Embed" ProgID="Equation.KSEE3" ShapeID="_x0000_i1030" DrawAspect="Content" ObjectID="_1468075730" r:id="rId39">
            <o:LockedField>false</o:LockedField>
          </o:OLEObject>
        </w:object>
      </w:r>
    </w:p>
    <w:p w14:paraId="6D7EB0A5">
      <w:pPr>
        <w:spacing w:before="78"/>
        <w:ind w:left="330"/>
        <w:rPr>
          <w:rFonts w:hint="eastAsia" w:ascii="宋体" w:hAnsi="宋体" w:eastAsia="宋体" w:cs="宋体"/>
          <w:color w:val="auto"/>
          <w:sz w:val="24"/>
          <w:szCs w:val="24"/>
          <w:highlight w:val="none"/>
        </w:rPr>
      </w:pPr>
    </w:p>
    <w:p w14:paraId="06069E38">
      <w:pPr>
        <w:spacing w:before="140" w:line="196" w:lineRule="auto"/>
        <w:ind w:left="3758"/>
        <w:rPr>
          <w:rFonts w:hint="eastAsia" w:ascii="宋体" w:hAnsi="宋体" w:eastAsia="宋体" w:cs="宋体"/>
          <w:color w:val="auto"/>
          <w:sz w:val="13"/>
          <w:szCs w:val="13"/>
          <w:highlight w:val="none"/>
        </w:rPr>
      </w:pPr>
      <w:r>
        <w:rPr>
          <w:rFonts w:hint="eastAsia" w:ascii="宋体" w:hAnsi="宋体" w:eastAsia="宋体" w:cs="宋体"/>
          <w:color w:val="auto"/>
          <w:spacing w:val="-2"/>
          <w:position w:val="1"/>
          <w:sz w:val="24"/>
          <w:szCs w:val="24"/>
          <w:highlight w:val="none"/>
        </w:rPr>
        <w:t>F</w:t>
      </w:r>
      <w:r>
        <w:rPr>
          <w:rFonts w:hint="eastAsia" w:ascii="宋体" w:hAnsi="宋体" w:eastAsia="宋体" w:cs="宋体"/>
          <w:color w:val="auto"/>
          <w:spacing w:val="-2"/>
          <w:position w:val="-4"/>
          <w:sz w:val="13"/>
          <w:szCs w:val="13"/>
          <w:highlight w:val="none"/>
        </w:rPr>
        <w:t>0</w:t>
      </w:r>
    </w:p>
    <w:p w14:paraId="3B8337F3">
      <w:pPr>
        <w:spacing w:before="78" w:line="330" w:lineRule="auto"/>
        <w:ind w:right="59" w:firstLine="507"/>
        <w:jc w:val="both"/>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理机构发布的材料、工程设备单价；A 为合同约定的材料</w:t>
      </w:r>
      <w:r>
        <w:rPr>
          <w:rFonts w:hint="eastAsia" w:ascii="宋体" w:hAnsi="宋体" w:eastAsia="宋体" w:cs="宋体"/>
          <w:color w:val="auto"/>
          <w:spacing w:val="-2"/>
          <w:sz w:val="24"/>
          <w:szCs w:val="24"/>
          <w:highlight w:val="none"/>
        </w:rPr>
        <w:t>、工程设备单价涨跌风险幅度</w:t>
      </w:r>
      <w:r>
        <w:rPr>
          <w:rFonts w:hint="eastAsia" w:ascii="宋体" w:hAnsi="宋体" w:eastAsia="宋体" w:cs="宋体"/>
          <w:color w:val="auto"/>
          <w:spacing w:val="-5"/>
          <w:sz w:val="24"/>
          <w:szCs w:val="24"/>
          <w:highlight w:val="none"/>
        </w:rPr>
        <w:t>值。</w:t>
      </w:r>
    </w:p>
    <w:p w14:paraId="2FCF1F16">
      <w:pPr>
        <w:spacing w:before="33" w:line="299" w:lineRule="auto"/>
        <w:ind w:right="59"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合同履行期间，当《发包人提供材料和工程设备一览表》（详见招标工程量</w:t>
      </w:r>
      <w:r>
        <w:rPr>
          <w:rFonts w:hint="eastAsia" w:ascii="宋体" w:hAnsi="宋体" w:eastAsia="宋体" w:cs="宋体"/>
          <w:color w:val="auto"/>
          <w:spacing w:val="-2"/>
          <w:sz w:val="24"/>
          <w:szCs w:val="24"/>
          <w:highlight w:val="none"/>
        </w:rPr>
        <w:t>清单）中的材料、工程设备单价发生变化时，由发包人按照实际变化调整，并列入合同</w:t>
      </w:r>
      <w:r>
        <w:rPr>
          <w:rFonts w:hint="eastAsia" w:ascii="宋体" w:hAnsi="宋体" w:eastAsia="宋体" w:cs="宋体"/>
          <w:color w:val="auto"/>
          <w:spacing w:val="-4"/>
          <w:sz w:val="24"/>
          <w:szCs w:val="24"/>
          <w:highlight w:val="none"/>
        </w:rPr>
        <w:t>价款。</w:t>
      </w:r>
    </w:p>
    <w:p w14:paraId="081F7290">
      <w:pPr>
        <w:spacing w:before="121" w:line="308" w:lineRule="auto"/>
        <w:ind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"2.3.6.4"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2.3.6.4</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本招标项目约定，施工机具台班单价涨跌风险幅度值</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3"/>
          <w:sz w:val="24"/>
          <w:szCs w:val="24"/>
          <w:highlight w:val="none"/>
        </w:rPr>
        <w:t>B</w:t>
      </w:r>
      <w:r>
        <w:rPr>
          <w:rFonts w:hint="eastAsia" w:ascii="宋体" w:hAnsi="宋体" w:eastAsia="宋体" w:cs="宋体"/>
          <w:color w:val="auto"/>
          <w:spacing w:val="-4"/>
          <w:sz w:val="24"/>
          <w:szCs w:val="24"/>
          <w:highlight w:val="none"/>
        </w:rPr>
        <w:t xml:space="preserve"> 为</w:t>
      </w:r>
      <w:r>
        <w:rPr>
          <w:rFonts w:hint="eastAsia" w:ascii="宋体" w:hAnsi="宋体" w:eastAsia="宋体" w:cs="宋体"/>
          <w:color w:val="auto"/>
          <w:spacing w:val="14"/>
          <w:sz w:val="24"/>
          <w:szCs w:val="24"/>
          <w:highlight w:val="none"/>
          <w:u w:val="single"/>
        </w:rPr>
        <w:t xml:space="preserve">  </w:t>
      </w:r>
      <w:r>
        <w:rPr>
          <w:rFonts w:hint="eastAsia" w:ascii="宋体" w:hAnsi="宋体" w:eastAsia="宋体" w:cs="宋体"/>
          <w:color w:val="auto"/>
          <w:spacing w:val="-4"/>
          <w:sz w:val="24"/>
          <w:szCs w:val="24"/>
          <w:highlight w:val="none"/>
          <w:u w:val="single"/>
        </w:rPr>
        <w:t xml:space="preserve">10%  </w:t>
      </w:r>
      <w:r>
        <w:rPr>
          <w:rFonts w:hint="eastAsia" w:ascii="宋体" w:hAnsi="宋体" w:eastAsia="宋体" w:cs="宋体"/>
          <w:color w:val="auto"/>
          <w:spacing w:val="-4"/>
          <w:sz w:val="24"/>
          <w:szCs w:val="24"/>
          <w:highlight w:val="none"/>
        </w:rPr>
        <w:t>。合同履行</w:t>
      </w:r>
      <w:r>
        <w:rPr>
          <w:rFonts w:hint="eastAsia" w:ascii="宋体" w:hAnsi="宋体" w:eastAsia="宋体" w:cs="宋体"/>
          <w:color w:val="auto"/>
          <w:spacing w:val="-7"/>
          <w:sz w:val="24"/>
          <w:szCs w:val="24"/>
          <w:highlight w:val="none"/>
        </w:rPr>
        <w:t>期间，当施工机具台班单价涨跌幅度等于或低于</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pacing w:val="-7"/>
          <w:sz w:val="24"/>
          <w:szCs w:val="24"/>
          <w:highlight w:val="none"/>
        </w:rPr>
        <w:t>B 值时，该施工机具台班单价不予调</w:t>
      </w:r>
      <w:r>
        <w:rPr>
          <w:rFonts w:hint="eastAsia" w:ascii="宋体" w:hAnsi="宋体" w:eastAsia="宋体" w:cs="宋体"/>
          <w:color w:val="auto"/>
          <w:spacing w:val="-8"/>
          <w:sz w:val="24"/>
          <w:szCs w:val="24"/>
          <w:highlight w:val="none"/>
        </w:rPr>
        <w:t>整；</w:t>
      </w:r>
      <w:r>
        <w:rPr>
          <w:rFonts w:hint="eastAsia" w:ascii="宋体" w:hAnsi="宋体" w:eastAsia="宋体" w:cs="宋体"/>
          <w:color w:val="auto"/>
          <w:sz w:val="24"/>
          <w:szCs w:val="24"/>
          <w:highlight w:val="none"/>
        </w:rPr>
        <w:t>超过</w:t>
      </w:r>
      <w:r>
        <w:rPr>
          <w:rFonts w:hint="eastAsia" w:ascii="宋体" w:hAnsi="宋体" w:eastAsia="宋体" w:cs="宋体"/>
          <w:color w:val="auto"/>
          <w:spacing w:val="-56"/>
          <w:sz w:val="24"/>
          <w:szCs w:val="24"/>
          <w:highlight w:val="none"/>
        </w:rPr>
        <w:t xml:space="preserve"> </w:t>
      </w:r>
      <w:r>
        <w:rPr>
          <w:rFonts w:hint="eastAsia" w:ascii="宋体" w:hAnsi="宋体" w:eastAsia="宋体" w:cs="宋体"/>
          <w:color w:val="auto"/>
          <w:sz w:val="24"/>
          <w:szCs w:val="24"/>
          <w:highlight w:val="none"/>
        </w:rPr>
        <w:t>B 值时，其超过部分可以调整。相关费</w:t>
      </w:r>
      <w:r>
        <w:rPr>
          <w:rFonts w:hint="eastAsia" w:ascii="宋体" w:hAnsi="宋体" w:eastAsia="宋体" w:cs="宋体"/>
          <w:color w:val="auto"/>
          <w:spacing w:val="-1"/>
          <w:sz w:val="24"/>
          <w:szCs w:val="24"/>
          <w:highlight w:val="none"/>
        </w:rPr>
        <w:t>用按有关规定进行相应调整。</w:t>
      </w:r>
    </w:p>
    <w:p w14:paraId="182F86EE">
      <w:pPr>
        <w:spacing w:before="153" w:line="278" w:lineRule="auto"/>
        <w:ind w:left="42" w:right="59" w:firstLine="44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a</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color w:val="auto"/>
          <w:spacing w:val="-1"/>
          <w:sz w:val="24"/>
          <w:szCs w:val="24"/>
          <w:highlight w:val="none"/>
        </w:rPr>
        <w:t>．如果承包人投标报价中施工机具台班单价（以下简称“</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1"/>
          <w:sz w:val="24"/>
          <w:szCs w:val="24"/>
          <w:highlight w:val="none"/>
        </w:rPr>
        <w:t>中标单价</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pacing w:val="-2"/>
          <w:sz w:val="24"/>
          <w:szCs w:val="24"/>
          <w:highlight w:val="none"/>
        </w:rPr>
        <w:t>）低于基准</w:t>
      </w:r>
      <w:r>
        <w:rPr>
          <w:rFonts w:hint="eastAsia" w:ascii="宋体" w:hAnsi="宋体" w:eastAsia="宋体" w:cs="宋体"/>
          <w:color w:val="auto"/>
          <w:spacing w:val="-3"/>
          <w:sz w:val="24"/>
          <w:szCs w:val="24"/>
          <w:highlight w:val="none"/>
        </w:rPr>
        <w:t>日当月项目所在地工程造价管理机构发布的对应施工机具台班单价（以下简称“基准单</w:t>
      </w:r>
      <w:r>
        <w:rPr>
          <w:rFonts w:hint="eastAsia" w:ascii="宋体" w:hAnsi="宋体" w:eastAsia="宋体" w:cs="宋体"/>
          <w:color w:val="auto"/>
          <w:spacing w:val="-2"/>
          <w:sz w:val="24"/>
          <w:szCs w:val="24"/>
          <w:highlight w:val="none"/>
        </w:rPr>
        <w:t>价</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”），该施工机具台班的结算单价调整公式为：</w:t>
      </w:r>
    </w:p>
    <w:p w14:paraId="5B588461">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42" embosscolor="#FFFFFF" o:title=""/>
            <o:lock v:ext="edit" grouping="f" rotation="f" text="f" aspectratio="t"/>
            <w10:wrap type="none"/>
            <w10:anchorlock/>
          </v:shape>
          <o:OLEObject Type="Embed" ProgID="Equation.KSEE3" ShapeID="_x0000_i1031" DrawAspect="Content" ObjectID="_1468075731" r:id="rId41">
            <o:LockedField>false</o:LockedField>
          </o:OLEObject>
        </w:object>
      </w:r>
    </w:p>
    <w:p w14:paraId="5A143971">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44" embosscolor="#FFFFFF" o:title=""/>
            <o:lock v:ext="edit" grouping="f" rotation="f" text="f" aspectratio="t"/>
            <w10:wrap type="none"/>
            <w10:anchorlock/>
          </v:shape>
          <o:OLEObject Type="Embed" ProgID="Equation.KSEE3" ShapeID="_x0000_i1032" DrawAspect="Content" ObjectID="_1468075732" r:id="rId43">
            <o:LockedField>false</o:LockedField>
          </o:OLEObject>
        </w:object>
      </w:r>
    </w:p>
    <w:p w14:paraId="71DA5EDB">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73DAD1F4">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46" embosscolor="#FFFFFF" o:title=""/>
            <o:lock v:ext="edit" grouping="f" rotation="f" text="f" aspectratio="t"/>
            <w10:wrap type="none"/>
            <w10:anchorlock/>
          </v:shape>
          <o:OLEObject Type="Embed" ProgID="Equation.KSEE3" ShapeID="_x0000_i1033" DrawAspect="Content" ObjectID="_1468075733" r:id="rId45">
            <o:LockedField>false</o:LockedField>
          </o:OLEObject>
        </w:object>
      </w:r>
    </w:p>
    <w:p w14:paraId="0DF37DD9">
      <w:pPr>
        <w:wordWrap w:val="0"/>
        <w:adjustRightIn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48" embosscolor="#FFFFFF" o:title=""/>
            <o:lock v:ext="edit" grouping="f" rotation="f" text="f" aspectratio="t"/>
            <w10:wrap type="none"/>
            <w10:anchorlock/>
          </v:shape>
          <o:OLEObject Type="Embed" ProgID="Equation.KSEE3" ShapeID="_x0000_i1034" DrawAspect="Content" ObjectID="_1468075734" r:id="rId47">
            <o:LockedField>false</o:LockedField>
          </o:OLEObject>
        </w:object>
      </w:r>
    </w:p>
    <w:p w14:paraId="3A18FCB0">
      <w:pPr>
        <w:wordWrap w:val="0"/>
        <w:adjustRightInd w:val="0"/>
        <w:snapToGrid w:val="0"/>
        <w:spacing w:line="440" w:lineRule="exact"/>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43BF53D3">
      <w:pPr>
        <w:wordWrap w:val="0"/>
        <w:adjustRightInd w:val="0"/>
        <w:snapToGrid w:val="0"/>
        <w:spacing w:before="360" w:beforeLines="150" w:after="240" w:afterLines="100"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50" embosscolor="#FFFFFF" o:title=""/>
            <o:lock v:ext="edit" grouping="f" rotation="f" text="f" aspectratio="t"/>
            <w10:wrap type="none"/>
            <w10:anchorlock/>
          </v:shape>
          <o:OLEObject Type="Embed" ProgID="Equation.KSEE3" ShapeID="_x0000_i1035" DrawAspect="Content" ObjectID="_1468075735" r:id="rId49">
            <o:LockedField>false</o:LockedField>
          </o:OLEObject>
        </w:object>
      </w:r>
    </w:p>
    <w:p w14:paraId="4B570A77">
      <w:pPr>
        <w:spacing w:before="79" w:line="324" w:lineRule="auto"/>
        <w:ind w:left="11" w:right="65" w:firstLine="504"/>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52" embosscolor="#FFFFFF" o:title=""/>
            <o:lock v:ext="edit" grouping="f" rotation="f" text="f" aspectratio="t"/>
            <w10:wrap type="none"/>
            <w10:anchorlock/>
          </v:shape>
          <o:OLEObject Type="Embed" ProgID="Equation.KSEE3" ShapeID="_x0000_i1036" DrawAspect="Content" ObjectID="_1468075736" r:id="rId51">
            <o:LockedField>false</o:LockedField>
          </o:OLEObject>
        </w:object>
      </w:r>
    </w:p>
    <w:p w14:paraId="21C1C499">
      <w:pPr>
        <w:spacing w:before="79" w:line="324" w:lineRule="auto"/>
        <w:ind w:left="11" w:right="65" w:firstLine="50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以上公式中，F</w:t>
      </w:r>
      <w:r>
        <w:rPr>
          <w:rFonts w:hint="eastAsia" w:ascii="宋体" w:hAnsi="宋体" w:eastAsia="宋体" w:cs="宋体"/>
          <w:color w:val="auto"/>
          <w:spacing w:val="-4"/>
          <w:position w:val="-1"/>
          <w:sz w:val="15"/>
          <w:szCs w:val="15"/>
          <w:highlight w:val="none"/>
        </w:rPr>
        <w:t>1</w:t>
      </w:r>
      <w:r>
        <w:rPr>
          <w:rFonts w:hint="eastAsia" w:ascii="宋体" w:hAnsi="宋体" w:eastAsia="宋体" w:cs="宋体"/>
          <w:color w:val="auto"/>
          <w:spacing w:val="26"/>
          <w:position w:val="-1"/>
          <w:sz w:val="15"/>
          <w:szCs w:val="15"/>
          <w:highlight w:val="none"/>
        </w:rPr>
        <w:t xml:space="preserve"> </w:t>
      </w:r>
      <w:r>
        <w:rPr>
          <w:rFonts w:hint="eastAsia" w:ascii="宋体" w:hAnsi="宋体" w:eastAsia="宋体" w:cs="宋体"/>
          <w:color w:val="auto"/>
          <w:spacing w:val="-4"/>
          <w:sz w:val="24"/>
          <w:szCs w:val="24"/>
          <w:highlight w:val="none"/>
        </w:rPr>
        <w:t>为中标单价；F</w:t>
      </w:r>
      <w:r>
        <w:rPr>
          <w:rFonts w:hint="eastAsia" w:ascii="宋体" w:hAnsi="宋体" w:eastAsia="宋体" w:cs="宋体"/>
          <w:color w:val="auto"/>
          <w:spacing w:val="-4"/>
          <w:position w:val="-1"/>
          <w:sz w:val="15"/>
          <w:szCs w:val="15"/>
          <w:highlight w:val="none"/>
        </w:rPr>
        <w:t>0</w:t>
      </w:r>
      <w:r>
        <w:rPr>
          <w:rFonts w:hint="eastAsia" w:ascii="宋体" w:hAnsi="宋体" w:eastAsia="宋体" w:cs="宋体"/>
          <w:color w:val="auto"/>
          <w:spacing w:val="14"/>
          <w:w w:val="101"/>
          <w:position w:val="-1"/>
          <w:sz w:val="15"/>
          <w:szCs w:val="15"/>
          <w:highlight w:val="none"/>
        </w:rPr>
        <w:t xml:space="preserve"> </w:t>
      </w:r>
      <w:r>
        <w:rPr>
          <w:rFonts w:hint="eastAsia" w:ascii="宋体" w:hAnsi="宋体" w:eastAsia="宋体" w:cs="宋体"/>
          <w:color w:val="auto"/>
          <w:spacing w:val="-4"/>
          <w:sz w:val="24"/>
          <w:szCs w:val="24"/>
          <w:highlight w:val="none"/>
        </w:rPr>
        <w:t>为基准单价；F</w:t>
      </w:r>
      <w:r>
        <w:rPr>
          <w:rFonts w:hint="eastAsia" w:ascii="宋体" w:hAnsi="宋体" w:eastAsia="宋体" w:cs="宋体"/>
          <w:color w:val="auto"/>
          <w:spacing w:val="-4"/>
          <w:position w:val="-1"/>
          <w:sz w:val="15"/>
          <w:szCs w:val="15"/>
          <w:highlight w:val="none"/>
        </w:rPr>
        <w:t>2</w:t>
      </w:r>
      <w:r>
        <w:rPr>
          <w:rFonts w:hint="eastAsia" w:ascii="宋体" w:hAnsi="宋体" w:eastAsia="宋体" w:cs="宋体"/>
          <w:color w:val="auto"/>
          <w:spacing w:val="12"/>
          <w:position w:val="-1"/>
          <w:sz w:val="15"/>
          <w:szCs w:val="15"/>
          <w:highlight w:val="none"/>
        </w:rPr>
        <w:t xml:space="preserve"> </w:t>
      </w:r>
      <w:r>
        <w:rPr>
          <w:rFonts w:hint="eastAsia" w:ascii="宋体" w:hAnsi="宋体" w:eastAsia="宋体" w:cs="宋体"/>
          <w:color w:val="auto"/>
          <w:spacing w:val="-4"/>
          <w:sz w:val="24"/>
          <w:szCs w:val="24"/>
          <w:highlight w:val="none"/>
        </w:rPr>
        <w:t>为施工当月项目所在地工程造价管</w:t>
      </w:r>
      <w:r>
        <w:rPr>
          <w:rFonts w:hint="eastAsia" w:ascii="宋体" w:hAnsi="宋体" w:eastAsia="宋体" w:cs="宋体"/>
          <w:color w:val="auto"/>
          <w:spacing w:val="-1"/>
          <w:sz w:val="24"/>
          <w:szCs w:val="24"/>
          <w:highlight w:val="none"/>
        </w:rPr>
        <w:t>理机构发布的施工机具台班单价；B 为合同约定的施工机具台班单价</w:t>
      </w:r>
      <w:r>
        <w:rPr>
          <w:rFonts w:hint="eastAsia" w:ascii="宋体" w:hAnsi="宋体" w:eastAsia="宋体" w:cs="宋体"/>
          <w:color w:val="auto"/>
          <w:spacing w:val="-2"/>
          <w:sz w:val="24"/>
          <w:szCs w:val="24"/>
          <w:highlight w:val="none"/>
        </w:rPr>
        <w:t>涨跌风险幅度值。</w:t>
      </w:r>
    </w:p>
    <w:p w14:paraId="6BEA2F3E">
      <w:pPr>
        <w:spacing w:before="39" w:line="219"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2.3.7  </w:t>
      </w:r>
      <w:r>
        <w:rPr>
          <w:rFonts w:hint="eastAsia" w:ascii="宋体" w:hAnsi="宋体" w:eastAsia="宋体" w:cs="宋体"/>
          <w:color w:val="auto"/>
          <w:spacing w:val="-1"/>
          <w:sz w:val="24"/>
          <w:szCs w:val="24"/>
          <w:highlight w:val="none"/>
        </w:rPr>
        <w:t>暂估价和暂列金额</w:t>
      </w:r>
    </w:p>
    <w:p w14:paraId="0EB572A7">
      <w:pPr>
        <w:spacing w:before="154" w:line="299" w:lineRule="auto"/>
        <w:ind w:left="7" w:right="57" w:firstLine="477"/>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2.3.7.1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eastAsia="宋体" w:cs="宋体"/>
          <w:snapToGrid w:val="0"/>
          <w:color w:val="auto"/>
          <w:kern w:val="0"/>
          <w:sz w:val="24"/>
          <w:szCs w:val="24"/>
          <w:highlight w:val="none"/>
          <w:lang w:eastAsia="zh-CN"/>
        </w:rPr>
        <w:t xml:space="preserve">暂估价项目按第一章第三节“投标人须知正文 ”第 </w:t>
      </w:r>
      <w:r>
        <w:rPr>
          <w:rFonts w:hint="eastAsia" w:ascii="宋体" w:hAnsi="宋体" w:eastAsia="宋体" w:cs="宋体"/>
          <w:b/>
          <w:bCs/>
          <w:snapToGrid w:val="0"/>
          <w:color w:val="auto"/>
          <w:kern w:val="0"/>
          <w:sz w:val="24"/>
          <w:szCs w:val="24"/>
          <w:highlight w:val="none"/>
          <w:lang w:eastAsia="zh-CN"/>
        </w:rPr>
        <w:t>8.5</w:t>
      </w:r>
      <w:r>
        <w:rPr>
          <w:rFonts w:hint="eastAsia" w:ascii="宋体" w:hAnsi="宋体" w:eastAsia="宋体" w:cs="宋体"/>
          <w:snapToGrid w:val="0"/>
          <w:color w:val="auto"/>
          <w:kern w:val="0"/>
          <w:sz w:val="24"/>
          <w:szCs w:val="24"/>
          <w:highlight w:val="none"/>
          <w:lang w:eastAsia="zh-CN"/>
        </w:rPr>
        <w:t xml:space="preserve"> 条的规定确定专业工程承包人（或材料供应商、工程设备供应商）后，将专业工程合同价款（或材料单价、工程设备单价）取代相应暂估价，并调整合同价款。</w:t>
      </w:r>
    </w:p>
    <w:p w14:paraId="13FAEFE8">
      <w:pPr>
        <w:spacing w:before="153" w:line="315" w:lineRule="auto"/>
        <w:ind w:left="8" w:right="2" w:firstLine="476"/>
        <w:rPr>
          <w:rFonts w:hint="eastAsia" w:ascii="宋体" w:hAnsi="宋体" w:eastAsia="宋体" w:cs="宋体"/>
          <w:color w:val="auto"/>
          <w:spacing w:val="-3"/>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8"/>
          <w:sz w:val="24"/>
          <w:szCs w:val="24"/>
          <w:highlight w:val="none"/>
        </w:rPr>
        <w:t>2.3.7.2</w:t>
      </w:r>
      <w:r>
        <w:rPr>
          <w:rFonts w:hint="eastAsia" w:ascii="宋体" w:hAnsi="宋体" w:eastAsia="宋体" w:cs="宋体"/>
          <w:b/>
          <w:bCs/>
          <w:color w:val="auto"/>
          <w:spacing w:val="-8"/>
          <w:sz w:val="24"/>
          <w:szCs w:val="24"/>
          <w:highlight w:val="none"/>
        </w:rPr>
        <w:fldChar w:fldCharType="end"/>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暂列金额由发包人掌握和使用。暂列金额项目若有发</w:t>
      </w:r>
      <w:r>
        <w:rPr>
          <w:rFonts w:hint="eastAsia" w:ascii="宋体" w:hAnsi="宋体" w:eastAsia="宋体" w:cs="宋体"/>
          <w:color w:val="auto"/>
          <w:spacing w:val="-9"/>
          <w:sz w:val="24"/>
          <w:szCs w:val="24"/>
          <w:highlight w:val="none"/>
        </w:rPr>
        <w:t>生，按第一章第三节“投</w:t>
      </w:r>
      <w:r>
        <w:rPr>
          <w:rFonts w:hint="eastAsia" w:ascii="宋体" w:hAnsi="宋体" w:eastAsia="宋体" w:cs="宋体"/>
          <w:color w:val="auto"/>
          <w:spacing w:val="-5"/>
          <w:sz w:val="24"/>
          <w:szCs w:val="24"/>
          <w:highlight w:val="none"/>
        </w:rPr>
        <w:t>标人须知正文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”第</w:t>
      </w:r>
      <w:r>
        <w:rPr>
          <w:rFonts w:hint="eastAsia" w:ascii="宋体" w:hAnsi="宋体" w:eastAsia="宋体" w:cs="宋体"/>
          <w:color w:val="auto"/>
          <w:spacing w:val="-51"/>
          <w:sz w:val="24"/>
          <w:szCs w:val="24"/>
          <w:highlight w:val="none"/>
        </w:rPr>
        <w:t xml:space="preserve"> </w:t>
      </w:r>
      <w:r>
        <w:rPr>
          <w:rFonts w:hint="eastAsia" w:ascii="宋体" w:hAnsi="宋体" w:eastAsia="宋体" w:cs="宋体"/>
          <w:b/>
          <w:bCs/>
          <w:color w:val="auto"/>
          <w:spacing w:val="-5"/>
          <w:sz w:val="24"/>
          <w:szCs w:val="24"/>
          <w:highlight w:val="none"/>
        </w:rPr>
        <w:t xml:space="preserve">8.6 </w:t>
      </w:r>
      <w:r>
        <w:rPr>
          <w:rFonts w:hint="eastAsia" w:ascii="宋体" w:hAnsi="宋体" w:eastAsia="宋体" w:cs="宋体"/>
          <w:color w:val="auto"/>
          <w:spacing w:val="-5"/>
          <w:sz w:val="24"/>
          <w:szCs w:val="24"/>
          <w:highlight w:val="none"/>
        </w:rPr>
        <w:t>条的规定确定材料供应商（或工程设备供</w:t>
      </w:r>
      <w:r>
        <w:rPr>
          <w:rFonts w:hint="eastAsia" w:ascii="宋体" w:hAnsi="宋体" w:eastAsia="宋体" w:cs="宋体"/>
          <w:color w:val="auto"/>
          <w:spacing w:val="-6"/>
          <w:sz w:val="24"/>
          <w:szCs w:val="24"/>
          <w:highlight w:val="none"/>
        </w:rPr>
        <w:t>应商、服务供应商）后，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材料（或工程设备、服务）的合同价款从暂列金额中支付。暂列金额扣除已发生的暂列金额项目合同价款、已发生的合同约定调整因素出现时的调整价款、已发生的索赔以及</w:t>
      </w:r>
      <w:r>
        <w:rPr>
          <w:rFonts w:hint="eastAsia" w:ascii="宋体" w:hAnsi="宋体" w:eastAsia="宋体" w:cs="宋体"/>
          <w:color w:val="auto"/>
          <w:spacing w:val="-1"/>
          <w:sz w:val="24"/>
          <w:szCs w:val="24"/>
          <w:highlight w:val="none"/>
        </w:rPr>
        <w:t>现场签证确认等的费用后，余额（若有）归发包人所有。</w:t>
      </w:r>
    </w:p>
    <w:p w14:paraId="5F0733E8">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2.3.8</w:t>
      </w:r>
      <w:r>
        <w:rPr>
          <w:rFonts w:hint="eastAsia" w:ascii="宋体" w:hAnsi="宋体" w:eastAsia="宋体" w:cs="宋体"/>
          <w:color w:val="auto"/>
          <w:spacing w:val="-8"/>
          <w:sz w:val="24"/>
          <w:szCs w:val="24"/>
          <w:highlight w:val="none"/>
        </w:rPr>
        <w:t xml:space="preserve"> 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7F10FE20">
      <w:pPr>
        <w:spacing w:before="153" w:line="315" w:lineRule="auto"/>
        <w:ind w:left="8" w:right="2" w:firstLine="476"/>
        <w:rPr>
          <w:rFonts w:hint="eastAsia" w:ascii="宋体" w:hAnsi="宋体" w:eastAsia="宋体" w:cs="宋体"/>
          <w:color w:val="auto"/>
          <w:spacing w:val="-8"/>
          <w:sz w:val="24"/>
          <w:szCs w:val="24"/>
          <w:highlight w:val="none"/>
        </w:rPr>
      </w:pPr>
      <w:r>
        <w:rPr>
          <w:rFonts w:hint="eastAsia" w:ascii="宋体" w:hAnsi="宋体" w:eastAsia="宋体" w:cs="宋体"/>
          <w:b/>
          <w:bCs/>
          <w:color w:val="auto"/>
          <w:spacing w:val="-8"/>
          <w:sz w:val="24"/>
          <w:szCs w:val="24"/>
          <w:highlight w:val="none"/>
        </w:rPr>
        <w:t>2.3.</w:t>
      </w:r>
      <w:r>
        <w:rPr>
          <w:rFonts w:hint="eastAsia" w:ascii="宋体" w:hAnsi="宋体" w:eastAsia="宋体" w:cs="宋体"/>
          <w:b/>
          <w:bCs/>
          <w:color w:val="auto"/>
          <w:spacing w:val="-8"/>
          <w:sz w:val="24"/>
          <w:szCs w:val="24"/>
          <w:highlight w:val="none"/>
          <w:lang w:val="en-US" w:eastAsia="zh-CN"/>
        </w:rPr>
        <w:t>9</w:t>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其余事项（如不可抗力、索赔、现场签证等）的调整原则按照《建设工程工程量清单计价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8"/>
          <w:sz w:val="24"/>
          <w:szCs w:val="24"/>
          <w:highlight w:val="none"/>
        </w:rPr>
        <w:t>》（GB50500—20</w:t>
      </w:r>
      <w:r>
        <w:rPr>
          <w:rFonts w:hint="eastAsia" w:ascii="宋体" w:hAnsi="宋体" w:eastAsia="宋体" w:cs="宋体"/>
          <w:color w:val="auto"/>
          <w:spacing w:val="-8"/>
          <w:sz w:val="24"/>
          <w:szCs w:val="24"/>
          <w:highlight w:val="none"/>
          <w:lang w:val="en-US" w:eastAsia="zh-CN"/>
        </w:rPr>
        <w:t>24</w:t>
      </w:r>
      <w:r>
        <w:rPr>
          <w:rFonts w:hint="eastAsia" w:ascii="宋体" w:hAnsi="宋体" w:eastAsia="宋体" w:cs="宋体"/>
          <w:color w:val="auto"/>
          <w:spacing w:val="-8"/>
          <w:sz w:val="24"/>
          <w:szCs w:val="24"/>
          <w:highlight w:val="none"/>
        </w:rPr>
        <w:t>）有关规定执行。</w:t>
      </w:r>
    </w:p>
    <w:p w14:paraId="50EB52AA">
      <w:pPr>
        <w:spacing w:before="156" w:line="299" w:lineRule="auto"/>
        <w:ind w:left="12" w:right="65" w:firstLine="556"/>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2.4  </w:t>
      </w:r>
      <w:r>
        <w:rPr>
          <w:rFonts w:hint="eastAsia" w:ascii="宋体" w:hAnsi="宋体" w:eastAsia="宋体" w:cs="宋体"/>
          <w:color w:val="auto"/>
          <w:sz w:val="24"/>
          <w:szCs w:val="24"/>
          <w:highlight w:val="none"/>
        </w:rPr>
        <w:t>凡将引起合同价款调增的事项，承包人必须于拟实施</w:t>
      </w:r>
      <w:r>
        <w:rPr>
          <w:rFonts w:hint="eastAsia" w:ascii="宋体" w:hAnsi="宋体" w:eastAsia="宋体" w:cs="宋体"/>
          <w:color w:val="auto"/>
          <w:spacing w:val="-31"/>
          <w:sz w:val="24"/>
          <w:szCs w:val="24"/>
          <w:highlight w:val="none"/>
        </w:rPr>
        <w:t xml:space="preserve"> </w:t>
      </w:r>
      <w:r>
        <w:rPr>
          <w:rFonts w:hint="eastAsia" w:ascii="宋体" w:hAnsi="宋体" w:eastAsia="宋体" w:cs="宋体"/>
          <w:color w:val="auto"/>
          <w:sz w:val="24"/>
          <w:szCs w:val="24"/>
          <w:highlight w:val="none"/>
        </w:rPr>
        <w:t>14</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z w:val="24"/>
          <w:szCs w:val="24"/>
          <w:highlight w:val="none"/>
        </w:rPr>
        <w:t>天前，将详细的</w:t>
      </w:r>
      <w:r>
        <w:rPr>
          <w:rFonts w:hint="eastAsia" w:ascii="宋体" w:hAnsi="宋体" w:eastAsia="宋体" w:cs="宋体"/>
          <w:color w:val="auto"/>
          <w:spacing w:val="-1"/>
          <w:sz w:val="24"/>
          <w:szCs w:val="24"/>
          <w:highlight w:val="none"/>
        </w:rPr>
        <w:t>报价</w:t>
      </w:r>
      <w:r>
        <w:rPr>
          <w:rFonts w:hint="eastAsia" w:ascii="宋体" w:hAnsi="宋体" w:eastAsia="宋体" w:cs="宋体"/>
          <w:color w:val="auto"/>
          <w:spacing w:val="-2"/>
          <w:sz w:val="24"/>
          <w:szCs w:val="24"/>
          <w:highlight w:val="none"/>
        </w:rPr>
        <w:t>书（含拟实施项目名称、变更部位、理由、预计造价等）报监理单位审核和发包人批准后方可实施。</w:t>
      </w:r>
    </w:p>
    <w:p w14:paraId="19DA12CE">
      <w:pPr>
        <w:spacing w:before="153" w:line="279" w:lineRule="auto"/>
        <w:ind w:left="9" w:right="102"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承包人不得以不完全了解现场情况为理由，提出额外付</w:t>
      </w:r>
      <w:r>
        <w:rPr>
          <w:rFonts w:hint="eastAsia" w:ascii="宋体" w:hAnsi="宋体" w:eastAsia="宋体" w:cs="宋体"/>
          <w:color w:val="auto"/>
          <w:sz w:val="24"/>
          <w:szCs w:val="24"/>
          <w:highlight w:val="none"/>
        </w:rPr>
        <w:t>款或延长工期等要求。</w:t>
      </w:r>
      <w:r>
        <w:rPr>
          <w:rFonts w:hint="eastAsia" w:ascii="宋体" w:hAnsi="宋体" w:eastAsia="宋体" w:cs="宋体"/>
          <w:color w:val="auto"/>
          <w:spacing w:val="-1"/>
          <w:sz w:val="24"/>
          <w:szCs w:val="24"/>
          <w:highlight w:val="none"/>
        </w:rPr>
        <w:t>对此类要求，发包人不作任何考虑及答复。</w:t>
      </w:r>
    </w:p>
    <w:p w14:paraId="01E94B7B">
      <w:pPr>
        <w:spacing w:before="154" w:line="279" w:lineRule="auto"/>
        <w:ind w:left="10" w:right="63"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2.6 </w:t>
      </w:r>
      <w:r>
        <w:rPr>
          <w:rFonts w:hint="eastAsia" w:ascii="宋体" w:hAnsi="宋体" w:eastAsia="宋体" w:cs="宋体"/>
          <w:color w:val="auto"/>
          <w:spacing w:val="2"/>
          <w:sz w:val="24"/>
          <w:szCs w:val="24"/>
          <w:highlight w:val="none"/>
        </w:rPr>
        <w:t>承包人已标价工程量清单中漏报、错报或少报的清单项目</w:t>
      </w:r>
      <w:r>
        <w:rPr>
          <w:rFonts w:hint="eastAsia" w:ascii="宋体" w:hAnsi="宋体" w:eastAsia="宋体" w:cs="宋体"/>
          <w:color w:val="auto"/>
          <w:spacing w:val="1"/>
          <w:sz w:val="24"/>
          <w:szCs w:val="24"/>
          <w:highlight w:val="none"/>
        </w:rPr>
        <w:t>，其价格均视为已经</w:t>
      </w:r>
      <w:r>
        <w:rPr>
          <w:rFonts w:hint="eastAsia" w:ascii="宋体" w:hAnsi="宋体" w:eastAsia="宋体" w:cs="宋体"/>
          <w:color w:val="auto"/>
          <w:spacing w:val="-1"/>
          <w:sz w:val="24"/>
          <w:szCs w:val="24"/>
          <w:highlight w:val="none"/>
        </w:rPr>
        <w:t>包含在其它清单项目中，竣工结算时不得重新组价和调整。</w:t>
      </w:r>
    </w:p>
    <w:p w14:paraId="42772186">
      <w:pPr>
        <w:spacing w:before="155" w:line="299" w:lineRule="auto"/>
        <w:ind w:left="12" w:right="65"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2.7  </w:t>
      </w:r>
      <w:r>
        <w:rPr>
          <w:rFonts w:hint="eastAsia" w:ascii="宋体" w:hAnsi="宋体" w:eastAsia="宋体" w:cs="宋体"/>
          <w:color w:val="auto"/>
          <w:sz w:val="24"/>
          <w:szCs w:val="24"/>
          <w:highlight w:val="none"/>
        </w:rPr>
        <w:t>项目完工后，发、承包双方和受其委托具备相应资质的工程造价咨询单位必须</w:t>
      </w:r>
      <w:r>
        <w:rPr>
          <w:rFonts w:hint="eastAsia" w:ascii="宋体" w:hAnsi="宋体" w:eastAsia="宋体" w:cs="宋体"/>
          <w:color w:val="auto"/>
          <w:spacing w:val="-1"/>
          <w:sz w:val="24"/>
          <w:szCs w:val="24"/>
          <w:highlight w:val="none"/>
        </w:rPr>
        <w:t>按照《建设工程工程量清单计价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1"/>
          <w:sz w:val="24"/>
          <w:szCs w:val="24"/>
          <w:highlight w:val="none"/>
        </w:rPr>
        <w:t>）和国家、省、市的有关规定</w:t>
      </w:r>
      <w:r>
        <w:rPr>
          <w:rFonts w:hint="eastAsia" w:ascii="宋体" w:hAnsi="宋体" w:eastAsia="宋体" w:cs="宋体"/>
          <w:color w:val="auto"/>
          <w:spacing w:val="-2"/>
          <w:sz w:val="24"/>
          <w:szCs w:val="24"/>
          <w:highlight w:val="none"/>
        </w:rPr>
        <w:t>办理竣工结算。</w:t>
      </w:r>
    </w:p>
    <w:p w14:paraId="4212D90A">
      <w:pPr>
        <w:spacing w:before="152" w:line="319" w:lineRule="auto"/>
        <w:ind w:left="8" w:right="38" w:firstLine="55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2.8  </w:t>
      </w:r>
      <w:r>
        <w:rPr>
          <w:rFonts w:hint="eastAsia" w:ascii="宋体" w:hAnsi="宋体" w:eastAsia="宋体" w:cs="宋体"/>
          <w:color w:val="auto"/>
          <w:spacing w:val="-1"/>
          <w:sz w:val="24"/>
          <w:szCs w:val="24"/>
          <w:highlight w:val="none"/>
        </w:rPr>
        <w:t>承包人已标价工程量清单中没有的材料（或工程设备</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1"/>
          <w:sz w:val="24"/>
          <w:szCs w:val="24"/>
          <w:highlight w:val="none"/>
        </w:rPr>
        <w:t>承包人在使</w:t>
      </w:r>
      <w:r>
        <w:rPr>
          <w:rFonts w:hint="eastAsia" w:ascii="宋体" w:hAnsi="宋体" w:eastAsia="宋体" w:cs="宋体"/>
          <w:color w:val="auto"/>
          <w:spacing w:val="-2"/>
          <w:sz w:val="24"/>
          <w:szCs w:val="24"/>
          <w:highlight w:val="none"/>
        </w:rPr>
        <w:t>用前必须</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将材料（或工程设备）样板、材料合格证明（或产品合格证书）、材料（或工程设备）检验报告提交给监理单位和发包人审核。发</w:t>
      </w:r>
      <w:r>
        <w:rPr>
          <w:rFonts w:hint="eastAsia" w:ascii="宋体" w:hAnsi="宋体" w:eastAsia="宋体" w:cs="宋体"/>
          <w:color w:val="auto"/>
          <w:spacing w:val="-2"/>
          <w:sz w:val="24"/>
          <w:szCs w:val="24"/>
          <w:highlight w:val="none"/>
        </w:rPr>
        <w:t>包人审定并确定价格后，承包人方可采购和</w:t>
      </w:r>
      <w:r>
        <w:rPr>
          <w:rFonts w:hint="eastAsia" w:ascii="宋体" w:hAnsi="宋体" w:eastAsia="宋体" w:cs="宋体"/>
          <w:color w:val="auto"/>
          <w:spacing w:val="-1"/>
          <w:sz w:val="24"/>
          <w:szCs w:val="24"/>
          <w:highlight w:val="none"/>
        </w:rPr>
        <w:t>使用。如果在交货验收和使用过程中发现货</w:t>
      </w:r>
      <w:r>
        <w:rPr>
          <w:rFonts w:hint="eastAsia" w:ascii="宋体" w:hAnsi="宋体" w:eastAsia="宋体" w:cs="宋体"/>
          <w:color w:val="auto"/>
          <w:spacing w:val="-2"/>
          <w:sz w:val="24"/>
          <w:szCs w:val="24"/>
          <w:highlight w:val="none"/>
        </w:rPr>
        <w:t>不对板，监理单位和发包人有权拒用，并要</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求承包人立即进行更换。更换后的材料（或</w:t>
      </w:r>
      <w:r>
        <w:rPr>
          <w:rFonts w:hint="eastAsia" w:ascii="宋体" w:hAnsi="宋体" w:eastAsia="宋体" w:cs="宋体"/>
          <w:color w:val="auto"/>
          <w:spacing w:val="-2"/>
          <w:sz w:val="24"/>
          <w:szCs w:val="24"/>
          <w:highlight w:val="none"/>
        </w:rPr>
        <w:t>工程设备）应再次进行检查和检验。由此增</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加的费用和（或）工期延误由承包人承担。</w:t>
      </w:r>
    </w:p>
    <w:p w14:paraId="300DDFC8">
      <w:pPr>
        <w:spacing w:before="152" w:line="319" w:lineRule="auto"/>
        <w:ind w:left="8" w:right="38" w:firstLine="55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2.9 </w:t>
      </w:r>
      <w:r>
        <w:rPr>
          <w:rFonts w:hint="eastAsia" w:ascii="宋体" w:hAnsi="宋体" w:eastAsia="宋体" w:cs="宋体"/>
          <w:color w:val="auto"/>
          <w:spacing w:val="-1"/>
          <w:sz w:val="24"/>
          <w:szCs w:val="24"/>
          <w:highlight w:val="none"/>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w:t>
      </w:r>
      <w:r>
        <w:rPr>
          <w:rFonts w:hint="eastAsia" w:ascii="宋体" w:hAnsi="宋体" w:eastAsia="宋体" w:cs="宋体"/>
          <w:color w:val="auto"/>
          <w:spacing w:val="-1"/>
          <w:sz w:val="24"/>
          <w:szCs w:val="24"/>
          <w:highlight w:val="none"/>
          <w:lang w:val="en-US" w:eastAsia="zh-CN"/>
        </w:rPr>
        <w:t>造价通、</w:t>
      </w:r>
      <w:r>
        <w:rPr>
          <w:rFonts w:hint="eastAsia" w:ascii="宋体" w:hAnsi="宋体" w:eastAsia="宋体" w:cs="宋体"/>
          <w:color w:val="auto"/>
          <w:spacing w:val="-1"/>
          <w:sz w:val="24"/>
          <w:szCs w:val="24"/>
          <w:highlight w:val="none"/>
        </w:rPr>
        <w:t>电商平台价格（优先从京东、国美、苏宁等大型电商平台查询取其平均价）；若以上方式均无法确定材料价格 的，则采用厂商报价或市场询价等方式取得有合法依据的市场价格，报发包人确认。</w:t>
      </w:r>
    </w:p>
    <w:p w14:paraId="6245169A">
      <w:pPr>
        <w:pStyle w:val="30"/>
        <w:snapToGrid w:val="0"/>
        <w:spacing w:line="440" w:lineRule="exact"/>
        <w:ind w:firstLine="480"/>
        <w:jc w:val="both"/>
        <w:outlineLvl w:val="2"/>
        <w:rPr>
          <w:rStyle w:val="21"/>
          <w:rFonts w:hint="eastAsia" w:ascii="宋体" w:hAnsi="宋体" w:eastAsia="宋体" w:cs="宋体"/>
          <w:b/>
          <w:bCs/>
          <w:color w:val="auto"/>
          <w:sz w:val="24"/>
          <w:szCs w:val="24"/>
          <w:highlight w:val="none"/>
        </w:rPr>
      </w:pPr>
      <w:bookmarkStart w:id="177" w:name="_Toc1816"/>
      <w:bookmarkStart w:id="178" w:name="_Toc5247"/>
      <w:r>
        <w:rPr>
          <w:rStyle w:val="21"/>
          <w:rFonts w:hint="eastAsia" w:ascii="宋体" w:hAnsi="宋体" w:eastAsia="宋体" w:cs="宋体"/>
          <w:b/>
          <w:bCs/>
          <w:color w:val="auto"/>
          <w:sz w:val="24"/>
          <w:szCs w:val="24"/>
          <w:highlight w:val="none"/>
        </w:rPr>
        <w:t>3. 工程付款办法</w:t>
      </w:r>
      <w:bookmarkEnd w:id="177"/>
      <w:bookmarkEnd w:id="178"/>
    </w:p>
    <w:p w14:paraId="47DD6CF3">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3.1</w:t>
      </w:r>
      <w:r>
        <w:rPr>
          <w:rFonts w:hint="eastAsia" w:ascii="宋体" w:hAnsi="宋体" w:eastAsia="宋体" w:cs="宋体"/>
          <w:snapToGrid w:val="0"/>
          <w:color w:val="auto"/>
          <w:kern w:val="0"/>
          <w:sz w:val="24"/>
          <w:szCs w:val="20"/>
          <w:highlight w:val="none"/>
          <w:lang w:eastAsia="zh-CN"/>
        </w:rPr>
        <w:t xml:space="preserve"> 本工程 </w:t>
      </w:r>
      <w:r>
        <w:rPr>
          <w:rFonts w:hint="eastAsia" w:ascii="宋体" w:hAnsi="宋体" w:eastAsia="宋体" w:cs="宋体"/>
          <w:snapToGrid w:val="0"/>
          <w:color w:val="auto"/>
          <w:kern w:val="0"/>
          <w:sz w:val="24"/>
          <w:szCs w:val="20"/>
          <w:highlight w:val="none"/>
          <w:u w:val="single"/>
          <w:lang w:eastAsia="zh-CN"/>
        </w:rPr>
        <w:t>支付</w:t>
      </w:r>
      <w:r>
        <w:rPr>
          <w:rFonts w:hint="eastAsia" w:ascii="宋体" w:hAnsi="宋体" w:eastAsia="宋体" w:cs="宋体"/>
          <w:snapToGrid w:val="0"/>
          <w:color w:val="auto"/>
          <w:kern w:val="0"/>
          <w:sz w:val="24"/>
          <w:szCs w:val="20"/>
          <w:highlight w:val="none"/>
          <w:lang w:eastAsia="zh-CN"/>
        </w:rPr>
        <w:t xml:space="preserve"> 施工预付款。</w:t>
      </w:r>
    </w:p>
    <w:p w14:paraId="034C0557">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snapToGrid w:val="0"/>
          <w:color w:val="auto"/>
          <w:kern w:val="0"/>
          <w:sz w:val="24"/>
          <w:szCs w:val="20"/>
          <w:highlight w:val="none"/>
          <w:lang w:eastAsia="zh-CN"/>
        </w:rPr>
        <w:t xml:space="preserve"> 施工预付款必须专用于合同工程，并按以下原则支付和抵扣：</w:t>
      </w:r>
    </w:p>
    <w:p w14:paraId="1606CF3C">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3.2.1</w:t>
      </w:r>
      <w:r>
        <w:rPr>
          <w:rFonts w:hint="eastAsia" w:ascii="宋体" w:hAnsi="宋体" w:eastAsia="宋体" w:cs="宋体"/>
          <w:snapToGrid w:val="0"/>
          <w:color w:val="auto"/>
          <w:kern w:val="0"/>
          <w:sz w:val="24"/>
          <w:szCs w:val="20"/>
          <w:highlight w:val="none"/>
          <w:lang w:eastAsia="zh-CN"/>
        </w:rPr>
        <w:t xml:space="preserve"> </w:t>
      </w:r>
      <w:r>
        <w:rPr>
          <w:rFonts w:hint="eastAsia" w:ascii="宋体" w:hAnsi="宋体" w:eastAsia="宋体" w:cs="宋体"/>
          <w:snapToGrid w:val="0"/>
          <w:color w:val="auto"/>
          <w:kern w:val="0"/>
          <w:sz w:val="24"/>
          <w:szCs w:val="20"/>
          <w:highlight w:val="none"/>
          <w:lang w:val="en-US" w:eastAsia="zh-CN"/>
        </w:rPr>
        <w:t>施工预付款支付比例为：按施工合同价（暂估价、暂列金额除外）的 30% 支付，其中施工合同价(暂估价、暂列金额除外)5%直接拨付至农民工工资专用账户且应留存至最后一期支付进度款时全额扣回。</w:t>
      </w:r>
    </w:p>
    <w:p w14:paraId="2AB46FF0">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3.2.2</w:t>
      </w:r>
      <w:r>
        <w:rPr>
          <w:rFonts w:hint="eastAsia" w:ascii="宋体" w:hAnsi="宋体" w:eastAsia="宋体" w:cs="宋体"/>
          <w:snapToGrid w:val="0"/>
          <w:color w:val="auto"/>
          <w:kern w:val="0"/>
          <w:sz w:val="24"/>
          <w:szCs w:val="20"/>
          <w:highlight w:val="none"/>
          <w:lang w:eastAsia="zh-CN"/>
        </w:rPr>
        <w:t xml:space="preserve"> 本招标项目</w:t>
      </w:r>
      <w:r>
        <w:rPr>
          <w:rFonts w:hint="eastAsia" w:ascii="宋体" w:hAnsi="宋体" w:eastAsia="宋体" w:cs="宋体"/>
          <w:b/>
          <w:bCs/>
          <w:snapToGrid w:val="0"/>
          <w:color w:val="auto"/>
          <w:kern w:val="0"/>
          <w:sz w:val="24"/>
          <w:szCs w:val="20"/>
          <w:highlight w:val="none"/>
          <w:u w:val="single"/>
          <w:lang w:eastAsia="zh-CN"/>
        </w:rPr>
        <w:t xml:space="preserve"> 要求 </w:t>
      </w:r>
      <w:r>
        <w:rPr>
          <w:rFonts w:hint="eastAsia" w:ascii="宋体" w:hAnsi="宋体" w:eastAsia="宋体" w:cs="宋体"/>
          <w:snapToGrid w:val="0"/>
          <w:color w:val="auto"/>
          <w:kern w:val="0"/>
          <w:sz w:val="24"/>
          <w:szCs w:val="20"/>
          <w:highlight w:val="none"/>
          <w:lang w:eastAsia="zh-CN"/>
        </w:rPr>
        <w:t>承包人提供与预付款等额的预付款保函。</w:t>
      </w:r>
    </w:p>
    <w:p w14:paraId="31DF017C">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 xml:space="preserve">3.2.3 </w:t>
      </w:r>
      <w:r>
        <w:rPr>
          <w:rFonts w:hint="eastAsia" w:ascii="宋体" w:hAnsi="宋体" w:eastAsia="宋体" w:cs="宋体"/>
          <w:b w:val="0"/>
          <w:bCs w:val="0"/>
          <w:snapToGrid w:val="0"/>
          <w:color w:val="auto"/>
          <w:kern w:val="0"/>
          <w:sz w:val="24"/>
          <w:szCs w:val="20"/>
          <w:highlight w:val="none"/>
          <w:lang w:val="en-US" w:eastAsia="zh-CN"/>
        </w:rPr>
        <w:t>承包人应在签订合同后，在提供符合要求的预付款保函及在具备施工条件的前提下，向发包人提交预付款支付申请。发包人应对在收到支付申请的7天内进行核实后向承包人发出预付款支付证书，并在签发支付证书后的 7 天内向承包人支付预付款。凡未签订合同或不具备施工条件的工程，发包人不得预付工程款。</w:t>
      </w:r>
    </w:p>
    <w:p w14:paraId="4CA55248">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3.2.</w:t>
      </w:r>
      <w:r>
        <w:rPr>
          <w:rFonts w:hint="eastAsia" w:ascii="宋体" w:hAnsi="宋体" w:eastAsia="宋体" w:cs="宋体"/>
          <w:b/>
          <w:bCs/>
          <w:snapToGrid w:val="0"/>
          <w:color w:val="auto"/>
          <w:kern w:val="0"/>
          <w:sz w:val="24"/>
          <w:szCs w:val="20"/>
          <w:highlight w:val="none"/>
          <w:lang w:val="en-US" w:eastAsia="zh-CN"/>
        </w:rPr>
        <w:t>4</w:t>
      </w:r>
      <w:r>
        <w:rPr>
          <w:rFonts w:hint="eastAsia" w:ascii="宋体" w:hAnsi="宋体" w:eastAsia="宋体" w:cs="宋体"/>
          <w:snapToGrid w:val="0"/>
          <w:color w:val="auto"/>
          <w:kern w:val="0"/>
          <w:sz w:val="24"/>
          <w:szCs w:val="20"/>
          <w:highlight w:val="none"/>
          <w:lang w:eastAsia="zh-CN"/>
        </w:rPr>
        <w:t xml:space="preserve"> 预付款的抵扣方式、抵扣比例和抵扣时间安排：预付款应</w:t>
      </w:r>
      <w:r>
        <w:rPr>
          <w:rFonts w:hint="eastAsia" w:ascii="宋体" w:hAnsi="宋体" w:eastAsia="宋体" w:cs="宋体"/>
          <w:snapToGrid w:val="0"/>
          <w:color w:val="auto"/>
          <w:kern w:val="0"/>
          <w:sz w:val="24"/>
          <w:szCs w:val="20"/>
          <w:highlight w:val="none"/>
          <w:lang w:val="en-US" w:eastAsia="zh-CN"/>
        </w:rPr>
        <w:t>从进度款中按 50%的比例同步扣回预付款。预付款在首次申请进度款时开始扣回，直至全部扣完终止。</w:t>
      </w:r>
    </w:p>
    <w:p w14:paraId="666F7C71">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3.3</w:t>
      </w:r>
      <w:r>
        <w:rPr>
          <w:rFonts w:hint="eastAsia" w:ascii="宋体" w:hAnsi="宋体" w:eastAsia="宋体" w:cs="宋体"/>
          <w:snapToGrid w:val="0"/>
          <w:color w:val="auto"/>
          <w:kern w:val="0"/>
          <w:sz w:val="24"/>
          <w:szCs w:val="20"/>
          <w:highlight w:val="none"/>
          <w:lang w:eastAsia="zh-CN"/>
        </w:rPr>
        <w:t xml:space="preserve"> 施工过程中按月支付工程进度款：承包人每月按工程实际完成工程量（含变更及增加工程）申报，承包人必须将《已完成工程量报表》和《工程付款申请书》于当月26 日前报监理单位核实。经监理单位审核、发包人审定后的工程进度款（指已经按照合同约定，扣除该支付期内因承包人违约而应扣除的管理费），于申报次月支付。</w:t>
      </w:r>
    </w:p>
    <w:p w14:paraId="2DC592B4">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3.4</w:t>
      </w:r>
      <w:r>
        <w:rPr>
          <w:rFonts w:hint="eastAsia" w:ascii="宋体" w:hAnsi="宋体" w:eastAsia="宋体" w:cs="宋体"/>
          <w:snapToGrid w:val="0"/>
          <w:color w:val="auto"/>
          <w:kern w:val="0"/>
          <w:sz w:val="24"/>
          <w:szCs w:val="20"/>
          <w:highlight w:val="none"/>
          <w:lang w:eastAsia="zh-CN"/>
        </w:rPr>
        <w:t xml:space="preserve"> </w:t>
      </w:r>
      <w:r>
        <w:rPr>
          <w:rFonts w:hint="eastAsia" w:ascii="宋体" w:hAnsi="宋体" w:eastAsia="宋体" w:cs="宋体"/>
          <w:snapToGrid w:val="0"/>
          <w:color w:val="auto"/>
          <w:kern w:val="0"/>
          <w:sz w:val="24"/>
          <w:szCs w:val="20"/>
          <w:highlight w:val="none"/>
          <w:lang w:val="en-US" w:eastAsia="zh-CN"/>
        </w:rPr>
        <w:t>每月的工程进度款按工程实际完成工程量的 80% 申请支付，工程进度款中的作业工人工资款项由发包人单独足额拨付到承包人的工资专户。</w:t>
      </w:r>
    </w:p>
    <w:p w14:paraId="04331B15">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5</w:t>
      </w:r>
      <w:r>
        <w:rPr>
          <w:rFonts w:hint="eastAsia" w:ascii="宋体" w:hAnsi="宋体" w:eastAsia="宋体" w:cs="宋体"/>
          <w:snapToGrid w:val="0"/>
          <w:color w:val="auto"/>
          <w:kern w:val="0"/>
          <w:sz w:val="24"/>
          <w:szCs w:val="20"/>
          <w:highlight w:val="none"/>
          <w:lang w:eastAsia="zh-CN"/>
        </w:rPr>
        <w:t xml:space="preserve"> 措施项目费中的“</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”拨付按照《广东省建设工程计价依据（20</w:t>
      </w:r>
      <w:r>
        <w:rPr>
          <w:rFonts w:hint="eastAsia" w:ascii="宋体" w:hAnsi="宋体" w:eastAsia="宋体" w:cs="宋体"/>
          <w:snapToGrid w:val="0"/>
          <w:color w:val="auto"/>
          <w:kern w:val="0"/>
          <w:sz w:val="24"/>
          <w:szCs w:val="20"/>
          <w:highlight w:val="none"/>
          <w:lang w:val="en-US" w:eastAsia="zh-CN"/>
        </w:rPr>
        <w:t>24</w:t>
      </w:r>
      <w:r>
        <w:rPr>
          <w:rFonts w:hint="eastAsia" w:ascii="宋体" w:hAnsi="宋体" w:eastAsia="宋体" w:cs="宋体"/>
          <w:snapToGrid w:val="0"/>
          <w:color w:val="auto"/>
          <w:kern w:val="0"/>
          <w:sz w:val="24"/>
          <w:szCs w:val="20"/>
          <w:highlight w:val="none"/>
          <w:lang w:eastAsia="zh-CN"/>
        </w:rPr>
        <w:t>）》执行，按照项目所在地的建设行政主管部门有关规定支付。发生一般事故及以上等级重大安全事故的，发包人可扣除承包人金额相当于所有“</w:t>
      </w:r>
      <w:r>
        <w:rPr>
          <w:rFonts w:hint="eastAsia" w:ascii="宋体" w:hAnsi="宋体" w:eastAsia="宋体" w:cs="宋体"/>
          <w:snapToGrid w:val="0"/>
          <w:color w:val="auto"/>
          <w:kern w:val="0"/>
          <w:sz w:val="24"/>
          <w:szCs w:val="20"/>
          <w:highlight w:val="none"/>
          <w:lang w:val="en-US" w:eastAsia="zh-CN"/>
        </w:rPr>
        <w:t>安全生产措施费</w:t>
      </w:r>
      <w:r>
        <w:rPr>
          <w:rFonts w:hint="eastAsia" w:ascii="宋体" w:hAnsi="宋体" w:eastAsia="宋体" w:cs="宋体"/>
          <w:snapToGrid w:val="0"/>
          <w:color w:val="auto"/>
          <w:kern w:val="0"/>
          <w:sz w:val="24"/>
          <w:szCs w:val="20"/>
          <w:highlight w:val="none"/>
          <w:lang w:eastAsia="zh-CN"/>
        </w:rPr>
        <w:t>”的工程管理费。</w:t>
      </w:r>
    </w:p>
    <w:p w14:paraId="4CF02F97">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6</w:t>
      </w:r>
      <w:r>
        <w:rPr>
          <w:rFonts w:hint="eastAsia" w:ascii="宋体" w:hAnsi="宋体" w:eastAsia="宋体" w:cs="宋体"/>
          <w:snapToGrid w:val="0"/>
          <w:color w:val="auto"/>
          <w:kern w:val="0"/>
          <w:sz w:val="24"/>
          <w:szCs w:val="20"/>
          <w:highlight w:val="none"/>
          <w:lang w:eastAsia="zh-CN"/>
        </w:rPr>
        <w:t xml:space="preserve"> 变更工程造价必须经监理单位核实，并经发包人核定后方可支付。</w:t>
      </w:r>
    </w:p>
    <w:p w14:paraId="360CA251">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7</w:t>
      </w:r>
      <w:r>
        <w:rPr>
          <w:rFonts w:hint="eastAsia" w:ascii="宋体" w:hAnsi="宋体" w:eastAsia="宋体" w:cs="宋体"/>
          <w:snapToGrid w:val="0"/>
          <w:color w:val="auto"/>
          <w:kern w:val="0"/>
          <w:sz w:val="24"/>
          <w:szCs w:val="20"/>
          <w:highlight w:val="none"/>
          <w:lang w:eastAsia="zh-CN"/>
        </w:rPr>
        <w:t xml:space="preserve"> 工程款（预付款+累计支付进度款）支付至合同价款的80%时停止支付，结算审核完成后，</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支付至合同价格的97%，剩余3%转为质量保证金；承包人提交了等额质量保证担保或质量保证保险的，</w:t>
      </w:r>
      <w:r>
        <w:rPr>
          <w:rFonts w:hint="eastAsia" w:ascii="宋体" w:hAnsi="宋体" w:eastAsia="宋体" w:cs="宋体"/>
          <w:snapToGrid w:val="0"/>
          <w:color w:val="auto"/>
          <w:kern w:val="0"/>
          <w:sz w:val="24"/>
          <w:szCs w:val="20"/>
          <w:highlight w:val="none"/>
          <w:lang w:val="en-US" w:eastAsia="zh-CN"/>
        </w:rPr>
        <w:t>可</w:t>
      </w:r>
      <w:r>
        <w:rPr>
          <w:rFonts w:hint="eastAsia" w:ascii="宋体" w:hAnsi="宋体" w:eastAsia="宋体" w:cs="宋体"/>
          <w:snapToGrid w:val="0"/>
          <w:color w:val="auto"/>
          <w:kern w:val="0"/>
          <w:sz w:val="24"/>
          <w:szCs w:val="20"/>
          <w:highlight w:val="none"/>
          <w:lang w:eastAsia="zh-CN"/>
        </w:rPr>
        <w:t>一次性结清合同价格。</w:t>
      </w:r>
    </w:p>
    <w:p w14:paraId="7614AF5C">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8</w:t>
      </w:r>
      <w:r>
        <w:rPr>
          <w:rFonts w:hint="eastAsia" w:ascii="宋体" w:hAnsi="宋体" w:eastAsia="宋体" w:cs="宋体"/>
          <w:snapToGrid w:val="0"/>
          <w:color w:val="auto"/>
          <w:kern w:val="0"/>
          <w:sz w:val="24"/>
          <w:szCs w:val="20"/>
          <w:highlight w:val="none"/>
          <w:lang w:eastAsia="zh-CN"/>
        </w:rPr>
        <w:t>本招标项目缺陷责任期为</w:t>
      </w:r>
      <w:r>
        <w:rPr>
          <w:rFonts w:hint="eastAsia" w:ascii="宋体" w:hAnsi="宋体" w:eastAsia="宋体" w:cs="宋体"/>
          <w:snapToGrid w:val="0"/>
          <w:color w:val="auto"/>
          <w:kern w:val="0"/>
          <w:sz w:val="24"/>
          <w:szCs w:val="20"/>
          <w:highlight w:val="none"/>
          <w:u w:val="single"/>
          <w:lang w:val="en-US" w:eastAsia="zh-CN"/>
        </w:rPr>
        <w:t>1</w:t>
      </w:r>
      <w:r>
        <w:rPr>
          <w:rFonts w:hint="eastAsia" w:ascii="宋体" w:hAnsi="宋体" w:eastAsia="宋体" w:cs="宋体"/>
          <w:snapToGrid w:val="0"/>
          <w:color w:val="auto"/>
          <w:kern w:val="0"/>
          <w:sz w:val="24"/>
          <w:szCs w:val="20"/>
          <w:highlight w:val="none"/>
          <w:lang w:eastAsia="zh-CN"/>
        </w:rPr>
        <w:t xml:space="preserve"> 年（自通过竣工验收之日起计）。缺陷责任期到期后，承包人向发包人申请退还质量保证。发包人收到退还申请后，于</w:t>
      </w:r>
      <w:r>
        <w:rPr>
          <w:rFonts w:hint="eastAsia" w:ascii="宋体" w:hAnsi="宋体" w:eastAsia="宋体" w:cs="宋体"/>
          <w:snapToGrid w:val="0"/>
          <w:color w:val="auto"/>
          <w:kern w:val="0"/>
          <w:sz w:val="24"/>
          <w:szCs w:val="20"/>
          <w:highlight w:val="none"/>
          <w:u w:val="single"/>
          <w:lang w:eastAsia="zh-CN"/>
        </w:rPr>
        <w:t>14</w:t>
      </w:r>
      <w:r>
        <w:rPr>
          <w:rFonts w:hint="eastAsia" w:ascii="宋体" w:hAnsi="宋体" w:eastAsia="宋体" w:cs="宋体"/>
          <w:snapToGrid w:val="0"/>
          <w:color w:val="auto"/>
          <w:kern w:val="0"/>
          <w:sz w:val="24"/>
          <w:szCs w:val="20"/>
          <w:highlight w:val="none"/>
          <w:lang w:eastAsia="zh-CN"/>
        </w:rPr>
        <w:t>天内会同承包人进行核实。经双方核实且均无异议后，发包人在核实之日起</w:t>
      </w:r>
      <w:r>
        <w:rPr>
          <w:rFonts w:hint="eastAsia" w:ascii="宋体" w:hAnsi="宋体" w:eastAsia="宋体" w:cs="宋体"/>
          <w:snapToGrid w:val="0"/>
          <w:color w:val="auto"/>
          <w:kern w:val="0"/>
          <w:sz w:val="24"/>
          <w:szCs w:val="20"/>
          <w:highlight w:val="none"/>
          <w:u w:val="single"/>
          <w:lang w:eastAsia="zh-CN"/>
        </w:rPr>
        <w:t xml:space="preserve"> 14 </w:t>
      </w:r>
      <w:r>
        <w:rPr>
          <w:rFonts w:hint="eastAsia" w:ascii="宋体" w:hAnsi="宋体" w:eastAsia="宋体" w:cs="宋体"/>
          <w:snapToGrid w:val="0"/>
          <w:color w:val="auto"/>
          <w:kern w:val="0"/>
          <w:sz w:val="24"/>
          <w:szCs w:val="20"/>
          <w:highlight w:val="none"/>
          <w:lang w:eastAsia="zh-CN"/>
        </w:rPr>
        <w:t>天内将应返保证金（或银行保函）退还承包人。</w:t>
      </w:r>
    </w:p>
    <w:p w14:paraId="508CCD75">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3.9</w:t>
      </w:r>
      <w:r>
        <w:rPr>
          <w:rFonts w:hint="eastAsia" w:ascii="宋体" w:hAnsi="宋体" w:eastAsia="宋体" w:cs="宋体"/>
          <w:snapToGrid w:val="0"/>
          <w:color w:val="auto"/>
          <w:kern w:val="0"/>
          <w:sz w:val="24"/>
          <w:szCs w:val="20"/>
          <w:highlight w:val="none"/>
          <w:lang w:eastAsia="zh-CN"/>
        </w:rPr>
        <w:t xml:space="preserve"> </w:t>
      </w:r>
      <w:r>
        <w:rPr>
          <w:rFonts w:hint="eastAsia" w:ascii="宋体" w:hAnsi="宋体" w:eastAsia="宋体" w:cs="宋体"/>
          <w:b/>
          <w:bCs/>
          <w:snapToGrid w:val="0"/>
          <w:color w:val="auto"/>
          <w:kern w:val="0"/>
          <w:sz w:val="24"/>
          <w:szCs w:val="20"/>
          <w:highlight w:val="none"/>
          <w:lang w:eastAsia="zh-CN"/>
        </w:rPr>
        <w:t>发包人每次支付工程款前，承包人均应提供有效的增值税专用发票。如果承包人无法提供符合要求的发票，由此造成的相应损失由承包人承担。</w:t>
      </w:r>
    </w:p>
    <w:p w14:paraId="144BDDDA">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lang w:eastAsia="zh-CN"/>
        </w:rPr>
      </w:pPr>
      <w:r>
        <w:rPr>
          <w:rFonts w:hint="eastAsia" w:ascii="宋体" w:hAnsi="宋体" w:eastAsia="宋体" w:cs="宋体"/>
          <w:b/>
          <w:bCs/>
          <w:snapToGrid w:val="0"/>
          <w:color w:val="auto"/>
          <w:kern w:val="0"/>
          <w:sz w:val="24"/>
          <w:szCs w:val="20"/>
          <w:highlight w:val="none"/>
          <w:lang w:eastAsia="zh-CN"/>
        </w:rPr>
        <w:t>3.</w:t>
      </w:r>
      <w:r>
        <w:rPr>
          <w:rFonts w:hint="eastAsia" w:ascii="宋体" w:hAnsi="宋体" w:eastAsia="宋体" w:cs="宋体"/>
          <w:b/>
          <w:bCs/>
          <w:snapToGrid w:val="0"/>
          <w:color w:val="auto"/>
          <w:kern w:val="0"/>
          <w:sz w:val="24"/>
          <w:szCs w:val="20"/>
          <w:highlight w:val="none"/>
          <w:lang w:val="en-US" w:eastAsia="zh-CN"/>
        </w:rPr>
        <w:t>10</w:t>
      </w:r>
      <w:r>
        <w:rPr>
          <w:rFonts w:hint="eastAsia" w:ascii="宋体" w:hAnsi="宋体" w:eastAsia="宋体" w:cs="宋体"/>
          <w:snapToGrid w:val="0"/>
          <w:color w:val="auto"/>
          <w:kern w:val="0"/>
          <w:sz w:val="24"/>
          <w:szCs w:val="20"/>
          <w:highlight w:val="none"/>
          <w:lang w:eastAsia="zh-CN"/>
        </w:rPr>
        <w:t>暂列金额支付方式：</w:t>
      </w:r>
      <w:r>
        <w:rPr>
          <w:rFonts w:hint="eastAsia" w:ascii="宋体" w:hAnsi="宋体" w:eastAsia="宋体" w:cs="宋体"/>
          <w:snapToGrid w:val="0"/>
          <w:color w:val="auto"/>
          <w:kern w:val="0"/>
          <w:sz w:val="24"/>
          <w:szCs w:val="20"/>
          <w:highlight w:val="none"/>
          <w:u w:val="single"/>
          <w:lang w:val="en-US" w:eastAsia="zh-CN"/>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中的变更签证部分暂停拨付。在暂列金额的范围内，最终经发包人委托的全过程造价咨询公司审核、发包人确认后支付至该部分实际完成工程量的80％，其余部分待结算完成审核后支付至97%，剩余3%为工程质量保修金。</w:t>
      </w:r>
    </w:p>
    <w:p w14:paraId="2EF0E0E7">
      <w:pPr>
        <w:widowControl w:val="0"/>
        <w:kinsoku/>
        <w:wordWrap w:val="0"/>
        <w:autoSpaceDE/>
        <w:autoSpaceDN/>
        <w:adjustRightInd w:val="0"/>
        <w:snapToGrid w:val="0"/>
        <w:spacing w:line="440" w:lineRule="exact"/>
        <w:ind w:firstLine="482" w:firstLineChars="200"/>
        <w:jc w:val="both"/>
        <w:textAlignment w:val="auto"/>
        <w:rPr>
          <w:rFonts w:hint="eastAsia" w:ascii="宋体" w:hAnsi="宋体" w:eastAsia="宋体" w:cs="宋体"/>
          <w:snapToGrid w:val="0"/>
          <w:color w:val="auto"/>
          <w:kern w:val="0"/>
          <w:sz w:val="24"/>
          <w:szCs w:val="20"/>
          <w:highlight w:val="none"/>
          <w:u w:val="single"/>
          <w:lang w:eastAsia="zh-CN"/>
        </w:rPr>
      </w:pPr>
      <w:r>
        <w:rPr>
          <w:rFonts w:hint="eastAsia" w:ascii="宋体" w:hAnsi="宋体" w:eastAsia="宋体" w:cs="宋体"/>
          <w:b/>
          <w:bCs/>
          <w:snapToGrid w:val="0"/>
          <w:color w:val="auto"/>
          <w:kern w:val="0"/>
          <w:sz w:val="24"/>
          <w:szCs w:val="20"/>
          <w:highlight w:val="none"/>
          <w:lang w:eastAsia="zh-CN"/>
        </w:rPr>
        <w:t>3.11</w:t>
      </w:r>
      <w:r>
        <w:rPr>
          <w:rFonts w:hint="eastAsia" w:ascii="宋体" w:hAnsi="宋体" w:eastAsia="宋体" w:cs="宋体"/>
          <w:snapToGrid w:val="0"/>
          <w:color w:val="auto"/>
          <w:kern w:val="0"/>
          <w:sz w:val="24"/>
          <w:szCs w:val="20"/>
          <w:highlight w:val="none"/>
          <w:lang w:eastAsia="zh-CN"/>
        </w:rPr>
        <w:t xml:space="preserve"> 材料暂估价、专业工程暂估价支付方式：</w:t>
      </w:r>
      <w:r>
        <w:rPr>
          <w:rFonts w:hint="eastAsia" w:ascii="宋体" w:hAnsi="宋体" w:eastAsia="宋体" w:cs="宋体"/>
          <w:snapToGrid w:val="0"/>
          <w:color w:val="auto"/>
          <w:kern w:val="0"/>
          <w:sz w:val="24"/>
          <w:szCs w:val="20"/>
          <w:highlight w:val="none"/>
          <w:u w:val="single"/>
          <w:lang w:eastAsia="zh-CN"/>
        </w:rPr>
        <w:t>材料暂估价、专业工程暂估价与每个月的工程进度款一并报送，但需要列明详细项目内容，该部分材料暂估价、专业工程暂估价按该部分实际完成工程量的50%支付，工程竣工验收合格后支付至8</w:t>
      </w:r>
      <w:r>
        <w:rPr>
          <w:rFonts w:hint="eastAsia" w:ascii="宋体" w:hAnsi="宋体" w:eastAsia="宋体" w:cs="宋体"/>
          <w:snapToGrid w:val="0"/>
          <w:color w:val="auto"/>
          <w:kern w:val="0"/>
          <w:sz w:val="24"/>
          <w:szCs w:val="20"/>
          <w:highlight w:val="none"/>
          <w:u w:val="single"/>
          <w:lang w:val="en-US" w:eastAsia="zh-CN"/>
        </w:rPr>
        <w:t>0</w:t>
      </w:r>
      <w:r>
        <w:rPr>
          <w:rFonts w:hint="eastAsia" w:ascii="宋体" w:hAnsi="宋体" w:eastAsia="宋体" w:cs="宋体"/>
          <w:snapToGrid w:val="0"/>
          <w:color w:val="auto"/>
          <w:kern w:val="0"/>
          <w:sz w:val="24"/>
          <w:szCs w:val="20"/>
          <w:highlight w:val="none"/>
          <w:u w:val="single"/>
          <w:lang w:eastAsia="zh-CN"/>
        </w:rPr>
        <w:t>%，剩余部分结算完成后支付至审定造价的97%，剩余3%为工程质量保修金。</w:t>
      </w:r>
    </w:p>
    <w:p w14:paraId="7B7E862C">
      <w:pPr>
        <w:widowControl w:val="0"/>
        <w:kinsoku/>
        <w:wordWrap w:val="0"/>
        <w:autoSpaceDE/>
        <w:autoSpaceDN/>
        <w:adjustRightInd w:val="0"/>
        <w:snapToGrid w:val="0"/>
        <w:spacing w:line="440" w:lineRule="exact"/>
        <w:ind w:firstLine="480" w:firstLineChars="200"/>
        <w:jc w:val="both"/>
        <w:textAlignment w:val="auto"/>
        <w:rPr>
          <w:rFonts w:hint="eastAsia" w:ascii="宋体" w:hAnsi="宋体" w:eastAsia="宋体" w:cs="宋体"/>
          <w:snapToGrid w:val="0"/>
          <w:color w:val="auto"/>
          <w:kern w:val="0"/>
          <w:sz w:val="24"/>
          <w:szCs w:val="20"/>
          <w:highlight w:val="none"/>
          <w:u w:val="single"/>
          <w:lang w:eastAsia="zh-CN"/>
        </w:rPr>
      </w:pPr>
    </w:p>
    <w:p w14:paraId="410C34A9">
      <w:pPr>
        <w:spacing w:before="154" w:line="212" w:lineRule="auto"/>
        <w:ind w:left="486"/>
        <w:outlineLvl w:val="2"/>
        <w:rPr>
          <w:rFonts w:hint="eastAsia" w:ascii="宋体" w:hAnsi="宋体" w:eastAsia="宋体" w:cs="宋体"/>
          <w:b/>
          <w:bCs/>
          <w:color w:val="auto"/>
          <w:spacing w:val="-7"/>
          <w:sz w:val="24"/>
          <w:szCs w:val="24"/>
          <w:highlight w:val="none"/>
        </w:rPr>
      </w:pPr>
      <w:bookmarkStart w:id="179" w:name="_Toc29229"/>
      <w:r>
        <w:rPr>
          <w:rFonts w:hint="eastAsia" w:ascii="宋体" w:hAnsi="宋体" w:eastAsia="宋体" w:cs="宋体"/>
          <w:b/>
          <w:bCs/>
          <w:color w:val="auto"/>
          <w:spacing w:val="-7"/>
          <w:sz w:val="24"/>
          <w:szCs w:val="24"/>
          <w:highlight w:val="none"/>
        </w:rPr>
        <w:t>4</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7"/>
          <w:sz w:val="24"/>
          <w:szCs w:val="24"/>
          <w:highlight w:val="none"/>
        </w:rPr>
        <w:t>．其他专用合同条款</w:t>
      </w:r>
      <w:bookmarkEnd w:id="179"/>
    </w:p>
    <w:p w14:paraId="54E7AEA2">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 </w:t>
      </w:r>
      <w:r>
        <w:rPr>
          <w:rFonts w:hint="eastAsia" w:ascii="宋体" w:hAnsi="宋体" w:eastAsia="宋体" w:cs="宋体"/>
          <w:bCs/>
          <w:snapToGrid w:val="0"/>
          <w:color w:val="auto"/>
          <w:kern w:val="0"/>
          <w:sz w:val="24"/>
          <w:szCs w:val="24"/>
          <w:highlight w:val="none"/>
          <w:lang w:val="en-US" w:eastAsia="zh-CN"/>
        </w:rPr>
        <w:t xml:space="preserve">专业工程分包 </w:t>
      </w:r>
    </w:p>
    <w:p w14:paraId="3816928A">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 </w:t>
      </w:r>
    </w:p>
    <w:p w14:paraId="551F2EE5">
      <w:pPr>
        <w:spacing w:before="79" w:line="298" w:lineRule="auto"/>
        <w:ind w:left="10" w:right="91" w:firstLine="479"/>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w:t>
      </w:r>
      <w:r>
        <w:rPr>
          <w:rFonts w:hint="eastAsia" w:ascii="宋体" w:hAnsi="宋体" w:eastAsia="宋体" w:cs="宋体"/>
          <w:bCs/>
          <w:snapToGrid w:val="0"/>
          <w:color w:val="auto"/>
          <w:kern w:val="0"/>
          <w:sz w:val="24"/>
          <w:szCs w:val="24"/>
          <w:highlight w:val="none"/>
          <w:lang w:val="en-US" w:eastAsia="zh-CN"/>
        </w:rPr>
        <w:t xml:space="preserve"> </w:t>
      </w:r>
      <w:r>
        <w:rPr>
          <w:rFonts w:hint="eastAsia" w:ascii="宋体" w:hAnsi="宋体" w:eastAsia="宋体" w:cs="宋体"/>
          <w:b/>
          <w:bCs w:val="0"/>
          <w:snapToGrid w:val="0"/>
          <w:color w:val="auto"/>
          <w:kern w:val="0"/>
          <w:sz w:val="24"/>
          <w:szCs w:val="24"/>
          <w:highlight w:val="none"/>
          <w:lang w:val="en-US" w:eastAsia="zh-CN"/>
        </w:rPr>
        <w:t xml:space="preserve">工人工资支付专用账户  </w:t>
      </w:r>
    </w:p>
    <w:p w14:paraId="50C1419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根据《广东省住房和城乡建设厅关于印发《广东省在建房屋市政工程项目落实用工实名制和工资支付有关制度标准化管理手册》的通知》（粤建市〔2026〕63号）规定，承包人须对照《手册》要求，从合同签订、开工准备、施工建设到完工的整个工程建设阶段用工实名制和工资支付规范化管理，预防和减少因保障农民工工资支付有关制度落实不严不细引发的欠薪纠纷和隐患，切实维护建筑业企业和建筑工人的合法权益。</w:t>
      </w:r>
    </w:p>
    <w:p w14:paraId="7A5D154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  </w:t>
      </w:r>
    </w:p>
    <w:p w14:paraId="2596162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 </w:t>
      </w:r>
    </w:p>
    <w:p w14:paraId="7EE2CD99">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按韶关市人力资源和社会保障局、韶关市住房和城乡建设管理局、韶关市交通运输局韶关市水务局、韶关市金融工作局、国家金融监督管理总局韶关监管分局关于印发《韶关市工程建设领域农民工工资保证金管理实施细则》的通知(韶人社规〔2023〕2 号) 及《韶关市工程建设领域农民工工资保证金管理实施细则》（韶法审〔2023〕19 号）规定执行。承包人在签订工程施工承包合同后一个月内必须办妥该事项，并将办妥回执交发包人。 </w:t>
      </w:r>
    </w:p>
    <w:p w14:paraId="44FDAC8E">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 </w:t>
      </w:r>
    </w:p>
    <w:p w14:paraId="0BD3BD0A">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4.2.3 承包人应在工资专户开立后 2 个工作日内，将开户银行及其账号、开户协议等资料提交给发包人。 </w:t>
      </w:r>
    </w:p>
    <w:p w14:paraId="34DB5DE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（1）用人单位应当在建设项目动工前，在建设项目所在地商业银行设立工人工资支付专用账户。 </w:t>
      </w:r>
    </w:p>
    <w:p w14:paraId="63131C86">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（2）用人单位应当在用工之日起 15 日内为每一位工人办理个人银行账户。</w:t>
      </w:r>
    </w:p>
    <w:p w14:paraId="148B1306">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（3）用人单位应当指定专人负责建设项目施工现场台账管理，真实、准确记录工人名册、劳务合同、劳动合同、工程进度、工时台账、劳务承包款和工人工资支付等信息， 并保存两年以上备查。 </w:t>
      </w:r>
    </w:p>
    <w:p w14:paraId="7DF8F264">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（4）用人单位应当按照“及时支付，按实结算”的原则，在规定日期前通过银行工人 工资支付专用账户将工人工资直接支付到工人的个人银行账户，并按月将工人工资支付 明细表报施工总承包单位和建设单位备案。</w:t>
      </w:r>
    </w:p>
    <w:p w14:paraId="34FC3195">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 用人单位未建立、保存用工管理台账，或者伪造相关台账的，按照《广东省劳动保障监察条例》第五十条的规定，由人力资源社会保障部门责令改正，并可处以二千元以上二万元以下的人民币罚款。</w:t>
      </w:r>
    </w:p>
    <w:p w14:paraId="4392A62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Cs/>
          <w:snapToGrid w:val="0"/>
          <w:color w:val="auto"/>
          <w:kern w:val="0"/>
          <w:sz w:val="24"/>
          <w:szCs w:val="24"/>
          <w:highlight w:val="none"/>
          <w:lang w:val="en-US" w:eastAsia="zh-CN"/>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 </w:t>
      </w:r>
    </w:p>
    <w:p w14:paraId="61348DB3">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4.3</w:t>
      </w:r>
      <w:r>
        <w:rPr>
          <w:rFonts w:hint="eastAsia" w:ascii="宋体" w:hAnsi="宋体" w:eastAsia="宋体" w:cs="宋体"/>
          <w:bCs/>
          <w:snapToGrid w:val="0"/>
          <w:color w:val="auto"/>
          <w:kern w:val="0"/>
          <w:sz w:val="24"/>
          <w:szCs w:val="24"/>
          <w:highlight w:val="none"/>
          <w:lang w:val="en-US" w:eastAsia="zh-CN"/>
        </w:rPr>
        <w:t xml:space="preserve"> 诚信登记 /</w:t>
      </w:r>
    </w:p>
    <w:p w14:paraId="78D75DE2">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w:t>
      </w:r>
      <w:r>
        <w:rPr>
          <w:rFonts w:hint="eastAsia" w:ascii="宋体" w:hAnsi="宋体" w:eastAsia="宋体" w:cs="宋体"/>
          <w:bCs/>
          <w:snapToGrid w:val="0"/>
          <w:color w:val="auto"/>
          <w:kern w:val="0"/>
          <w:sz w:val="24"/>
          <w:szCs w:val="24"/>
          <w:highlight w:val="none"/>
          <w:lang w:val="en-US" w:eastAsia="zh-CN"/>
        </w:rPr>
        <w:t xml:space="preserve"> 工期进度 </w:t>
      </w:r>
    </w:p>
    <w:p w14:paraId="5453241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4.4.1</w:t>
      </w:r>
      <w:r>
        <w:rPr>
          <w:rFonts w:hint="eastAsia" w:ascii="宋体" w:hAnsi="宋体" w:eastAsia="宋体" w:cs="宋体"/>
          <w:bCs/>
          <w:snapToGrid w:val="0"/>
          <w:color w:val="auto"/>
          <w:kern w:val="0"/>
          <w:sz w:val="24"/>
          <w:szCs w:val="24"/>
          <w:highlight w:val="none"/>
          <w:lang w:val="en-US" w:eastAsia="zh-CN"/>
        </w:rPr>
        <w:t xml:space="preserve"> 本招标项目施工工期为</w:t>
      </w:r>
      <w:r>
        <w:rPr>
          <w:rFonts w:hint="eastAsia" w:ascii="宋体" w:hAnsi="宋体" w:eastAsia="宋体" w:cs="宋体"/>
          <w:bCs/>
          <w:snapToGrid w:val="0"/>
          <w:color w:val="auto"/>
          <w:kern w:val="0"/>
          <w:sz w:val="24"/>
          <w:szCs w:val="24"/>
          <w:highlight w:val="none"/>
          <w:u w:val="single"/>
          <w:lang w:val="en-US" w:eastAsia="zh-CN"/>
        </w:rPr>
        <w:t>45</w:t>
      </w:r>
      <w:r>
        <w:rPr>
          <w:rFonts w:hint="eastAsia" w:ascii="宋体" w:hAnsi="宋体" w:eastAsia="宋体" w:cs="宋体"/>
          <w:bCs/>
          <w:snapToGrid w:val="0"/>
          <w:color w:val="auto"/>
          <w:kern w:val="0"/>
          <w:sz w:val="24"/>
          <w:szCs w:val="24"/>
          <w:highlight w:val="none"/>
          <w:lang w:val="en-US" w:eastAsia="zh-CN"/>
        </w:rPr>
        <w:t xml:space="preserve">个日历天，承包人必须在招标工期内完成招标范围内的全部内容。 </w:t>
      </w:r>
    </w:p>
    <w:p w14:paraId="23855B0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4.4.2</w:t>
      </w:r>
      <w:r>
        <w:rPr>
          <w:rFonts w:hint="eastAsia" w:ascii="宋体" w:hAnsi="宋体" w:eastAsia="宋体" w:cs="宋体"/>
          <w:bCs/>
          <w:snapToGrid w:val="0"/>
          <w:color w:val="auto"/>
          <w:kern w:val="0"/>
          <w:sz w:val="24"/>
          <w:szCs w:val="24"/>
          <w:highlight w:val="none"/>
          <w:lang w:val="en-US" w:eastAsia="zh-CN"/>
        </w:rPr>
        <w:t xml:space="preserve"> 施工工期从承包人收到监理单位签发的开工令之日起计，至竣工验收合格之日止。 </w:t>
      </w:r>
    </w:p>
    <w:p w14:paraId="6F05BEE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4.4.3</w:t>
      </w:r>
      <w:r>
        <w:rPr>
          <w:rFonts w:hint="eastAsia" w:ascii="宋体" w:hAnsi="宋体" w:eastAsia="宋体" w:cs="宋体"/>
          <w:bCs/>
          <w:snapToGrid w:val="0"/>
          <w:color w:val="auto"/>
          <w:kern w:val="0"/>
          <w:sz w:val="24"/>
          <w:szCs w:val="24"/>
          <w:highlight w:val="none"/>
          <w:lang w:val="en-US" w:eastAsia="zh-CN"/>
        </w:rPr>
        <w:t xml:space="preserve"> 工期奖罚 </w:t>
      </w:r>
    </w:p>
    <w:p w14:paraId="3BB590C9">
      <w:pPr>
        <w:adjustRightInd w:val="0"/>
        <w:snapToGrid w:val="0"/>
        <w:spacing w:line="440" w:lineRule="exact"/>
        <w:ind w:firstLine="480" w:firstLineChars="200"/>
        <w:rPr>
          <w:rFonts w:hint="default" w:ascii="宋体" w:hAnsi="宋体" w:eastAsia="宋体" w:cs="宋体"/>
          <w:bCs/>
          <w:snapToGrid w:val="0"/>
          <w:color w:val="auto"/>
          <w:kern w:val="0"/>
          <w:sz w:val="24"/>
          <w:szCs w:val="24"/>
          <w:highlight w:val="none"/>
          <w:u w:val="single"/>
          <w:lang w:val="en-US"/>
        </w:rPr>
      </w:pPr>
      <w:r>
        <w:rPr>
          <w:rFonts w:hint="eastAsia" w:ascii="宋体" w:hAnsi="宋体" w:eastAsia="宋体" w:cs="宋体"/>
          <w:bCs/>
          <w:snapToGrid w:val="0"/>
          <w:color w:val="auto"/>
          <w:kern w:val="0"/>
          <w:sz w:val="24"/>
          <w:szCs w:val="24"/>
          <w:highlight w:val="none"/>
          <w:lang w:val="en-US" w:eastAsia="zh-CN"/>
        </w:rPr>
        <w:t>□竣工验收合格交付使用每提前</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天竣工；奖</w:t>
      </w:r>
      <w:r>
        <w:rPr>
          <w:rFonts w:hint="eastAsia" w:ascii="宋体" w:hAnsi="宋体" w:eastAsia="宋体" w:cs="宋体"/>
          <w:bCs/>
          <w:snapToGrid w:val="0"/>
          <w:color w:val="auto"/>
          <w:kern w:val="0"/>
          <w:sz w:val="24"/>
          <w:szCs w:val="24"/>
          <w:highlight w:val="none"/>
          <w:u w:val="single"/>
          <w:lang w:val="en-US" w:eastAsia="zh-CN"/>
        </w:rPr>
        <w:t>/</w:t>
      </w:r>
    </w:p>
    <w:p w14:paraId="20D88E69">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元，奖励金额不超过合同价款的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4E15628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元。 </w:t>
      </w:r>
    </w:p>
    <w:p w14:paraId="10EA615B">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□按施工合同期约定,因承包人原因延误工期</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天内不处罚， 自第壹天起每延误</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天竣工,罚元。处罚金额不超过合同价款的</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%（一般为 2%～5%）且不超过万元，累计延误工期达到</w:t>
      </w:r>
      <w:r>
        <w:rPr>
          <w:rFonts w:hint="eastAsia" w:ascii="宋体" w:hAnsi="宋体" w:eastAsia="宋体" w:cs="宋体"/>
          <w:bCs/>
          <w:snapToGrid w:val="0"/>
          <w:color w:val="auto"/>
          <w:kern w:val="0"/>
          <w:sz w:val="24"/>
          <w:szCs w:val="24"/>
          <w:highlight w:val="none"/>
          <w:u w:val="single"/>
          <w:lang w:val="en-US" w:eastAsia="zh-CN"/>
        </w:rPr>
        <w:t>/</w:t>
      </w:r>
      <w:r>
        <w:rPr>
          <w:rFonts w:hint="eastAsia" w:ascii="宋体" w:hAnsi="宋体" w:eastAsia="宋体" w:cs="宋体"/>
          <w:bCs/>
          <w:snapToGrid w:val="0"/>
          <w:color w:val="auto"/>
          <w:kern w:val="0"/>
          <w:sz w:val="24"/>
          <w:szCs w:val="24"/>
          <w:highlight w:val="none"/>
          <w:lang w:val="en-US" w:eastAsia="zh-CN"/>
        </w:rPr>
        <w:t xml:space="preserve">天，报请建设行政主管部门作不良行为记录，非承包方原因或不可抗力造成延误的除外。 </w:t>
      </w:r>
    </w:p>
    <w:p w14:paraId="0EE3583A">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☑其它说明：（1）因承包人原因，工程没有按期竣工时，承包人须在逾期第壹天起每天按合同价的 1‰ 向发包人返纳逾期竣工违约金。逾期竣工违约金的最高限额为合同价款的3%。</w:t>
      </w:r>
    </w:p>
    <w:p w14:paraId="59C9751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2000元缴纳违约金给发包人，在结算中一并扣除。</w:t>
      </w:r>
    </w:p>
    <w:p w14:paraId="2988B5F8">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（3）承包人在进场后7天内提交施工进度计划，并注明主要施工节点时间，送监理单位及发包人审核后，作为工期考核的阶段性指标。</w:t>
      </w:r>
    </w:p>
    <w:p w14:paraId="09C6C3A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w:t>
      </w:r>
      <w:r>
        <w:rPr>
          <w:rFonts w:hint="eastAsia" w:ascii="宋体" w:hAnsi="宋体" w:eastAsia="宋体" w:cs="宋体"/>
          <w:bCs/>
          <w:snapToGrid w:val="0"/>
          <w:color w:val="auto"/>
          <w:kern w:val="0"/>
          <w:sz w:val="24"/>
          <w:szCs w:val="24"/>
          <w:highlight w:val="none"/>
          <w:lang w:val="en-US" w:eastAsia="zh-CN"/>
        </w:rPr>
        <w:t xml:space="preserve"> 项目管理机构 </w:t>
      </w:r>
    </w:p>
    <w:p w14:paraId="29BDD362">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4.5.1</w:t>
      </w:r>
      <w:r>
        <w:rPr>
          <w:rFonts w:hint="eastAsia" w:ascii="宋体" w:hAnsi="宋体" w:eastAsia="宋体" w:cs="宋体"/>
          <w:bCs/>
          <w:snapToGrid w:val="0"/>
          <w:color w:val="auto"/>
          <w:kern w:val="0"/>
          <w:sz w:val="24"/>
          <w:szCs w:val="24"/>
          <w:highlight w:val="none"/>
          <w:lang w:val="en-US" w:eastAsia="zh-CN"/>
        </w:rPr>
        <w:t xml:space="preserve"> 承包人派驻的项目管理班子成员必须为其投标文件确定的人员，否则发包人有权终止合同。 </w:t>
      </w:r>
    </w:p>
    <w:p w14:paraId="1122052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4.5.2</w:t>
      </w:r>
      <w:r>
        <w:rPr>
          <w:rFonts w:hint="eastAsia" w:ascii="宋体" w:hAnsi="宋体" w:eastAsia="宋体" w:cs="宋体"/>
          <w:bCs/>
          <w:snapToGrid w:val="0"/>
          <w:color w:val="auto"/>
          <w:kern w:val="0"/>
          <w:sz w:val="24"/>
          <w:szCs w:val="24"/>
          <w:highlight w:val="none"/>
          <w:lang w:val="en-US" w:eastAsia="zh-CN"/>
        </w:rPr>
        <w:t xml:space="preserve">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 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 </w:t>
      </w:r>
    </w:p>
    <w:p w14:paraId="47BEC3C1">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w:t>
      </w:r>
      <w:r>
        <w:rPr>
          <w:rFonts w:hint="eastAsia" w:ascii="宋体" w:hAnsi="宋体" w:eastAsia="宋体" w:cs="宋体"/>
          <w:bCs/>
          <w:snapToGrid w:val="0"/>
          <w:color w:val="auto"/>
          <w:kern w:val="0"/>
          <w:sz w:val="24"/>
          <w:szCs w:val="24"/>
          <w:highlight w:val="none"/>
          <w:lang w:val="en-US" w:eastAsia="zh-CN"/>
        </w:rPr>
        <w:t xml:space="preserve"> 现场管理 </w:t>
      </w:r>
    </w:p>
    <w:p w14:paraId="069D264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4.6.1</w:t>
      </w:r>
      <w:r>
        <w:rPr>
          <w:rFonts w:hint="eastAsia" w:ascii="宋体" w:hAnsi="宋体" w:eastAsia="宋体" w:cs="宋体"/>
          <w:bCs/>
          <w:snapToGrid w:val="0"/>
          <w:color w:val="auto"/>
          <w:kern w:val="0"/>
          <w:sz w:val="24"/>
          <w:szCs w:val="24"/>
          <w:highlight w:val="none"/>
          <w:lang w:val="en-US" w:eastAsia="zh-CN"/>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 </w:t>
      </w:r>
    </w:p>
    <w:p w14:paraId="10D28C8B">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4.6.2</w:t>
      </w:r>
      <w:r>
        <w:rPr>
          <w:rFonts w:hint="eastAsia" w:ascii="宋体" w:hAnsi="宋体" w:eastAsia="宋体" w:cs="宋体"/>
          <w:bCs/>
          <w:snapToGrid w:val="0"/>
          <w:color w:val="auto"/>
          <w:kern w:val="0"/>
          <w:sz w:val="24"/>
          <w:szCs w:val="24"/>
          <w:highlight w:val="none"/>
          <w:lang w:val="en-US" w:eastAsia="zh-CN"/>
        </w:rPr>
        <w:t xml:space="preserve"> 承包人应按安全施工有关规定，采取严格、科学的安全防护措施，确保施工和人员（包括第三者）的安全，承担由于自身安全防护措施不力所造成的安全事故责任和发生的费用。 </w:t>
      </w:r>
    </w:p>
    <w:p w14:paraId="17733AC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4.6.3</w:t>
      </w:r>
      <w:r>
        <w:rPr>
          <w:rFonts w:hint="eastAsia" w:ascii="宋体" w:hAnsi="宋体" w:eastAsia="宋体" w:cs="宋体"/>
          <w:bCs/>
          <w:snapToGrid w:val="0"/>
          <w:color w:val="auto"/>
          <w:kern w:val="0"/>
          <w:sz w:val="24"/>
          <w:szCs w:val="24"/>
          <w:highlight w:val="none"/>
          <w:lang w:val="en-US" w:eastAsia="zh-CN"/>
        </w:rPr>
        <w:t xml:space="preserve"> 为保证施工现场的环境卫生，承包人在本招标项目施工过程中，所有的车辆必须按发包人规定的行车路线行驶。 </w:t>
      </w:r>
    </w:p>
    <w:p w14:paraId="070720B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4.7</w:t>
      </w:r>
      <w:r>
        <w:rPr>
          <w:rFonts w:hint="eastAsia" w:ascii="宋体" w:hAnsi="宋体" w:eastAsia="宋体" w:cs="宋体"/>
          <w:bCs/>
          <w:snapToGrid w:val="0"/>
          <w:color w:val="auto"/>
          <w:kern w:val="0"/>
          <w:sz w:val="24"/>
          <w:szCs w:val="24"/>
          <w:highlight w:val="none"/>
          <w:lang w:val="en-US" w:eastAsia="zh-CN"/>
        </w:rPr>
        <w:t xml:space="preserve"> 监督实施 </w:t>
      </w:r>
    </w:p>
    <w:p w14:paraId="51B9B6B6">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须服从发包人对工程质量、进度、成本的全方位监督，施工中的年度计划、季度计划、月度计划、施工方案等应报送监理单位审批和发包人备案。施工中的质量保措施等资料均应及时报送监理单位和发包人备案。 </w:t>
      </w:r>
    </w:p>
    <w:p w14:paraId="2EF9F2E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4.8</w:t>
      </w:r>
      <w:r>
        <w:rPr>
          <w:rFonts w:hint="eastAsia" w:ascii="宋体" w:hAnsi="宋体" w:eastAsia="宋体" w:cs="宋体"/>
          <w:bCs/>
          <w:snapToGrid w:val="0"/>
          <w:color w:val="auto"/>
          <w:kern w:val="0"/>
          <w:sz w:val="24"/>
          <w:szCs w:val="24"/>
          <w:highlight w:val="none"/>
          <w:lang w:val="en-US" w:eastAsia="zh-CN"/>
        </w:rPr>
        <w:t xml:space="preserve"> 主材的采购和使用 </w:t>
      </w:r>
    </w:p>
    <w:p w14:paraId="16261CF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 </w:t>
      </w:r>
    </w:p>
    <w:p w14:paraId="65B2F52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4.9 </w:t>
      </w:r>
      <w:r>
        <w:rPr>
          <w:rFonts w:hint="eastAsia" w:ascii="宋体" w:hAnsi="宋体" w:eastAsia="宋体" w:cs="宋体"/>
          <w:bCs/>
          <w:snapToGrid w:val="0"/>
          <w:color w:val="auto"/>
          <w:kern w:val="0"/>
          <w:sz w:val="24"/>
          <w:szCs w:val="24"/>
          <w:highlight w:val="none"/>
          <w:lang w:val="en-US" w:eastAsia="zh-CN"/>
        </w:rPr>
        <w:t xml:space="preserve">竣工资料移交 </w:t>
      </w:r>
    </w:p>
    <w:p w14:paraId="5323BC6A">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项目竣工验收时，承包人应向监理单位和发包人提供符合国家档案部门备案要求的，编制成册的竣工图及有关的技术档案资料（含声像档案）一式份。 </w:t>
      </w:r>
    </w:p>
    <w:p w14:paraId="6BAE5962">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w:t>
      </w:r>
      <w:r>
        <w:rPr>
          <w:rFonts w:hint="eastAsia" w:ascii="宋体" w:hAnsi="宋体" w:eastAsia="宋体" w:cs="宋体"/>
          <w:bCs/>
          <w:snapToGrid w:val="0"/>
          <w:color w:val="auto"/>
          <w:kern w:val="0"/>
          <w:sz w:val="24"/>
          <w:szCs w:val="24"/>
          <w:highlight w:val="none"/>
          <w:lang w:val="en-US" w:eastAsia="zh-CN"/>
        </w:rPr>
        <w:t xml:space="preserve"> 质量保证</w:t>
      </w:r>
    </w:p>
    <w:p w14:paraId="6B2E1FB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4.10.1</w:t>
      </w:r>
      <w:r>
        <w:rPr>
          <w:rFonts w:hint="eastAsia" w:ascii="宋体" w:hAnsi="宋体" w:eastAsia="宋体" w:cs="宋体"/>
          <w:bCs/>
          <w:snapToGrid w:val="0"/>
          <w:color w:val="auto"/>
          <w:kern w:val="0"/>
          <w:sz w:val="24"/>
          <w:szCs w:val="24"/>
          <w:highlight w:val="none"/>
          <w:lang w:val="en-US" w:eastAsia="zh-CN"/>
        </w:rPr>
        <w:t xml:space="preserve"> 本招标项目缺陷责任期为</w:t>
      </w:r>
      <w:r>
        <w:rPr>
          <w:rFonts w:hint="eastAsia" w:ascii="宋体" w:hAnsi="宋体" w:eastAsia="宋体" w:cs="宋体"/>
          <w:bCs/>
          <w:snapToGrid w:val="0"/>
          <w:color w:val="auto"/>
          <w:kern w:val="0"/>
          <w:sz w:val="24"/>
          <w:szCs w:val="24"/>
          <w:highlight w:val="none"/>
          <w:u w:val="single"/>
          <w:lang w:val="en-US" w:eastAsia="zh-CN"/>
        </w:rPr>
        <w:t>1</w:t>
      </w:r>
      <w:r>
        <w:rPr>
          <w:rFonts w:hint="eastAsia" w:ascii="宋体" w:hAnsi="宋体" w:eastAsia="宋体" w:cs="宋体"/>
          <w:bCs/>
          <w:snapToGrid w:val="0"/>
          <w:color w:val="auto"/>
          <w:kern w:val="0"/>
          <w:sz w:val="24"/>
          <w:szCs w:val="24"/>
          <w:highlight w:val="none"/>
          <w:lang w:val="en-US" w:eastAsia="zh-CN"/>
        </w:rPr>
        <w:t>年（自通过竣工验收之日起计），在此期间预留金额为结算价</w:t>
      </w:r>
      <w:r>
        <w:rPr>
          <w:rFonts w:hint="eastAsia" w:ascii="宋体" w:hAnsi="宋体" w:eastAsia="宋体" w:cs="宋体"/>
          <w:bCs/>
          <w:snapToGrid w:val="0"/>
          <w:color w:val="auto"/>
          <w:kern w:val="0"/>
          <w:sz w:val="24"/>
          <w:szCs w:val="24"/>
          <w:highlight w:val="none"/>
          <w:u w:val="single"/>
          <w:lang w:val="en-US" w:eastAsia="zh-CN"/>
        </w:rPr>
        <w:t>3%</w:t>
      </w:r>
      <w:r>
        <w:rPr>
          <w:rFonts w:hint="eastAsia" w:ascii="宋体" w:hAnsi="宋体" w:eastAsia="宋体" w:cs="宋体"/>
          <w:bCs/>
          <w:snapToGrid w:val="0"/>
          <w:color w:val="auto"/>
          <w:kern w:val="0"/>
          <w:sz w:val="24"/>
          <w:szCs w:val="24"/>
          <w:highlight w:val="none"/>
          <w:lang w:val="en-US" w:eastAsia="zh-CN"/>
        </w:rPr>
        <w:t xml:space="preserve">的质量保证。 </w:t>
      </w:r>
    </w:p>
    <w:p w14:paraId="3A99F327">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4.10.2</w:t>
      </w:r>
      <w:r>
        <w:rPr>
          <w:rFonts w:hint="eastAsia" w:ascii="宋体" w:hAnsi="宋体" w:eastAsia="宋体" w:cs="宋体"/>
          <w:bCs/>
          <w:snapToGrid w:val="0"/>
          <w:color w:val="auto"/>
          <w:kern w:val="0"/>
          <w:sz w:val="24"/>
          <w:szCs w:val="24"/>
          <w:highlight w:val="none"/>
          <w:lang w:val="en-US" w:eastAsia="zh-CN"/>
        </w:rPr>
        <w:t xml:space="preserve"> 质量保证的形式包括质量保证金、质量保证担保、质量保证保险三种，由承包人自主选择。 </w:t>
      </w:r>
    </w:p>
    <w:p w14:paraId="5D920F16">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（1）采用质量保证金形式的，在结清审定总造价时一次性扣留相应金额作为质量保证金。 </w:t>
      </w:r>
    </w:p>
    <w:p w14:paraId="1AD6970D">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2）采用质量保证担保或质量保证保险的，承包人应在竣工验收时向发包人提交有效的商业保函、银行保函或保险合同（或保险单）原件，商业保函、银行保函或保险合同（或保险单）的有效期不得短于缺陷责任期。 </w:t>
      </w:r>
    </w:p>
    <w:p w14:paraId="1730509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4.10.3</w:t>
      </w:r>
      <w:r>
        <w:rPr>
          <w:rFonts w:hint="eastAsia" w:ascii="宋体" w:hAnsi="宋体" w:eastAsia="宋体" w:cs="宋体"/>
          <w:bCs/>
          <w:snapToGrid w:val="0"/>
          <w:color w:val="auto"/>
          <w:kern w:val="0"/>
          <w:sz w:val="24"/>
          <w:szCs w:val="24"/>
          <w:highlight w:val="none"/>
          <w:lang w:val="en-US" w:eastAsia="zh-CN"/>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 </w:t>
      </w:r>
    </w:p>
    <w:p w14:paraId="08CB7003">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由他人原因造成的缺陷，发包人负责组织维修，承包人不承担费用，且发包人不得从质量保证中扣除费用。 </w:t>
      </w:r>
    </w:p>
    <w:p w14:paraId="0D58C84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4.10.4</w:t>
      </w:r>
      <w:r>
        <w:rPr>
          <w:rFonts w:hint="eastAsia" w:ascii="宋体" w:hAnsi="宋体" w:eastAsia="宋体" w:cs="宋体"/>
          <w:bCs/>
          <w:snapToGrid w:val="0"/>
          <w:color w:val="auto"/>
          <w:kern w:val="0"/>
          <w:sz w:val="24"/>
          <w:szCs w:val="24"/>
          <w:highlight w:val="none"/>
          <w:lang w:val="en-US" w:eastAsia="zh-CN"/>
        </w:rPr>
        <w:t xml:space="preserve"> 缺陷责任期内，承包人应认真履行合同约定的责任。缺陷责任期到期后，承包人向发包人申请退还质量保证，发包人应按照《建设工程质量保证金管理办法》有关规定将质量保证退还给承包人。  </w:t>
      </w:r>
    </w:p>
    <w:p w14:paraId="10A1CAC9">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4.11</w:t>
      </w:r>
      <w:r>
        <w:rPr>
          <w:rFonts w:hint="eastAsia" w:ascii="宋体" w:hAnsi="宋体" w:eastAsia="宋体" w:cs="宋体"/>
          <w:bCs/>
          <w:snapToGrid w:val="0"/>
          <w:color w:val="auto"/>
          <w:kern w:val="0"/>
          <w:sz w:val="24"/>
          <w:szCs w:val="24"/>
          <w:highlight w:val="none"/>
          <w:lang w:val="en-US" w:eastAsia="zh-CN"/>
        </w:rPr>
        <w:t xml:space="preserve"> 不良行为处理 </w:t>
      </w:r>
    </w:p>
    <w:p w14:paraId="123021E9">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及其有关人员有下列行为之一的，发包人应及时向建设行政主管部门报告。除按照有关法律、法规进行处罚外，不良行为将计入企业及有关个人诚信档案，并在韶关市住房和城乡建设管理局网站（http://zgj.sg.gov.cn）公示。 </w:t>
      </w:r>
    </w:p>
    <w:p w14:paraId="0937845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（1）转包、违法分包或违反投标承诺分包工程的； </w:t>
      </w:r>
    </w:p>
    <w:p w14:paraId="63B86F2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（2）非原参加投标中标的项目经理负责组织施工或在实施过程中擅自更换项目经理的、项目的其他主要管理人员与中标文件确定的人员不相符的；</w:t>
      </w:r>
    </w:p>
    <w:p w14:paraId="61FB760D">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（3）投标文件确定的大型机械设备没有进入施工现场的； </w:t>
      </w:r>
    </w:p>
    <w:p w14:paraId="119C6BA7">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（4）与建设单位、监理单位串通，签认虚假工程量或工程造价的； </w:t>
      </w:r>
    </w:p>
    <w:p w14:paraId="3B141AD1">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（5）项目经理施工现场管理不到位的； </w:t>
      </w:r>
    </w:p>
    <w:p w14:paraId="7D64282D">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（6）项目经理在非本人资格证书注册单位从事工程项目施工管理的； </w:t>
      </w:r>
    </w:p>
    <w:p w14:paraId="3F15E956">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（7）项目经理同时承担超过一项工程项目的； </w:t>
      </w:r>
    </w:p>
    <w:p w14:paraId="48708BC2">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（8）违反有关法律、法规、规章规定的其它行为。 </w:t>
      </w:r>
    </w:p>
    <w:p w14:paraId="50664A1C">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4.12 </w:t>
      </w:r>
      <w:r>
        <w:rPr>
          <w:rFonts w:hint="eastAsia" w:ascii="宋体" w:hAnsi="宋体" w:eastAsia="宋体" w:cs="宋体"/>
          <w:bCs/>
          <w:snapToGrid w:val="0"/>
          <w:color w:val="auto"/>
          <w:kern w:val="0"/>
          <w:sz w:val="24"/>
          <w:szCs w:val="24"/>
          <w:highlight w:val="none"/>
          <w:lang w:val="en-US" w:eastAsia="zh-CN"/>
        </w:rPr>
        <w:t xml:space="preserve">信用评价条款内容 </w:t>
      </w:r>
    </w:p>
    <w:p w14:paraId="6E91B1FC">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由发包人决定是否对施工单位的履约情况进行信用评价。若进行信用评价，评价条款由发包人自拟，条款内容可参考人员到位情况、服务配合程度、服务成果质量、项目后期服务及信用评价结果的运用等。 </w:t>
      </w:r>
    </w:p>
    <w:p w14:paraId="60480FE6">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4.13</w:t>
      </w:r>
      <w:r>
        <w:rPr>
          <w:rFonts w:hint="eastAsia" w:ascii="宋体" w:hAnsi="宋体" w:eastAsia="宋体" w:cs="宋体"/>
          <w:bCs/>
          <w:snapToGrid w:val="0"/>
          <w:color w:val="auto"/>
          <w:kern w:val="0"/>
          <w:sz w:val="24"/>
          <w:szCs w:val="24"/>
          <w:highlight w:val="none"/>
          <w:lang w:val="en-US" w:eastAsia="zh-CN"/>
        </w:rPr>
        <w:t xml:space="preserve"> 危险性较大的分部分项工程安全管理约定 。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 </w:t>
      </w:r>
    </w:p>
    <w:p w14:paraId="64786CF9">
      <w:pPr>
        <w:adjustRightInd w:val="0"/>
        <w:snapToGrid w:val="0"/>
        <w:spacing w:line="440" w:lineRule="exact"/>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lang w:val="en-US" w:eastAsia="zh-CN"/>
        </w:rPr>
        <w:t xml:space="preserve">承包人应根据《危险性较大的分部分项工程安全管理规定》（住房城乡建设部令第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 </w:t>
      </w:r>
    </w:p>
    <w:p w14:paraId="28025C02">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4.14</w:t>
      </w:r>
      <w:r>
        <w:rPr>
          <w:rFonts w:hint="eastAsia" w:ascii="宋体" w:hAnsi="宋体" w:eastAsia="宋体" w:cs="宋体"/>
          <w:bCs/>
          <w:snapToGrid w:val="0"/>
          <w:color w:val="auto"/>
          <w:kern w:val="0"/>
          <w:sz w:val="24"/>
          <w:szCs w:val="24"/>
          <w:highlight w:val="none"/>
          <w:lang w:val="en-US" w:eastAsia="zh-CN"/>
        </w:rPr>
        <w:t xml:space="preserve"> 承包人在工程实施过程中，按照国家、省、市的相关规定制定相关的专项安全施工方案（如高支模、基坑支护、沉井等），编制专项施工方案报监理人、发包人审批后方可开展专项工程的施工。 </w:t>
      </w:r>
    </w:p>
    <w:p w14:paraId="53E0767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4.15</w:t>
      </w:r>
      <w:r>
        <w:rPr>
          <w:rFonts w:hint="eastAsia" w:ascii="宋体" w:hAnsi="宋体" w:eastAsia="宋体" w:cs="宋体"/>
          <w:bCs/>
          <w:snapToGrid w:val="0"/>
          <w:color w:val="auto"/>
          <w:kern w:val="0"/>
          <w:sz w:val="24"/>
          <w:szCs w:val="24"/>
          <w:highlight w:val="none"/>
          <w:lang w:val="en-US" w:eastAsia="zh-CN"/>
        </w:rPr>
        <w:t xml:space="preserve"> 承包人须按照《韶关市建筑垃圾管理条例》（2021 年 5 月 1 日起施行），将弃土运至发包人指定的场所，否则发包人有权要求承包人无条件将弃土从违约弃土点运至发包人指定的场所并扣除违约金人民币</w:t>
      </w:r>
      <w:r>
        <w:rPr>
          <w:rFonts w:hint="eastAsia" w:ascii="宋体" w:hAnsi="宋体" w:eastAsia="宋体" w:cs="宋体"/>
          <w:color w:val="auto"/>
          <w:kern w:val="2"/>
          <w:sz w:val="24"/>
          <w:szCs w:val="24"/>
          <w:highlight w:val="none"/>
          <w:u w:val="single"/>
          <w:shd w:val="clear" w:color="auto" w:fill="FFFFFF"/>
          <w:lang w:val="en-US" w:eastAsia="zh-CN" w:bidi="ar-SA"/>
        </w:rPr>
        <w:t xml:space="preserve"> 壹 </w:t>
      </w:r>
      <w:r>
        <w:rPr>
          <w:rFonts w:hint="eastAsia" w:ascii="宋体" w:hAnsi="宋体" w:eastAsia="宋体" w:cs="宋体"/>
          <w:bCs/>
          <w:snapToGrid w:val="0"/>
          <w:color w:val="auto"/>
          <w:kern w:val="0"/>
          <w:sz w:val="24"/>
          <w:szCs w:val="24"/>
          <w:highlight w:val="none"/>
          <w:lang w:val="en-US" w:eastAsia="zh-CN"/>
        </w:rPr>
        <w:t xml:space="preserve">万元/次。承包人对建筑垃圾须按《韶关市建筑垃圾管理条例》（2021 年 5 月 1 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 </w:t>
      </w:r>
    </w:p>
    <w:p w14:paraId="6E43280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4.16 </w:t>
      </w:r>
      <w:r>
        <w:rPr>
          <w:rFonts w:hint="eastAsia" w:ascii="宋体" w:hAnsi="宋体" w:eastAsia="宋体" w:cs="宋体"/>
          <w:bCs/>
          <w:snapToGrid w:val="0"/>
          <w:color w:val="auto"/>
          <w:kern w:val="0"/>
          <w:sz w:val="24"/>
          <w:szCs w:val="24"/>
          <w:highlight w:val="none"/>
          <w:lang w:val="en-US" w:eastAsia="zh-CN"/>
        </w:rPr>
        <w:t xml:space="preserve">工程竣工验收后 15 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 </w:t>
      </w:r>
    </w:p>
    <w:p w14:paraId="350F8A6A">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4.17</w:t>
      </w:r>
      <w:r>
        <w:rPr>
          <w:rFonts w:hint="eastAsia" w:ascii="宋体" w:hAnsi="宋体" w:eastAsia="宋体" w:cs="宋体"/>
          <w:bCs/>
          <w:snapToGrid w:val="0"/>
          <w:color w:val="auto"/>
          <w:kern w:val="0"/>
          <w:sz w:val="24"/>
          <w:szCs w:val="24"/>
          <w:highlight w:val="none"/>
          <w:lang w:val="en-US" w:eastAsia="zh-CN"/>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w:t>
      </w:r>
    </w:p>
    <w:p w14:paraId="201BAC2F">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 xml:space="preserve">4.17.1 </w:t>
      </w:r>
      <w:r>
        <w:rPr>
          <w:rFonts w:hint="eastAsia" w:ascii="宋体" w:hAnsi="宋体" w:eastAsia="宋体" w:cs="宋体"/>
          <w:bCs/>
          <w:snapToGrid w:val="0"/>
          <w:color w:val="auto"/>
          <w:kern w:val="0"/>
          <w:sz w:val="24"/>
          <w:szCs w:val="24"/>
          <w:highlight w:val="none"/>
          <w:lang w:val="en-US" w:eastAsia="zh-CN"/>
        </w:rPr>
        <w:t>承包人在施工阶段应做好水土保持工作，相关费用承包人自行考虑在投标报价中。</w:t>
      </w:r>
    </w:p>
    <w:p w14:paraId="5C1CBB15">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4.18</w:t>
      </w:r>
      <w:r>
        <w:rPr>
          <w:rFonts w:hint="eastAsia" w:ascii="宋体" w:hAnsi="宋体" w:eastAsia="宋体" w:cs="宋体"/>
          <w:bCs/>
          <w:snapToGrid w:val="0"/>
          <w:color w:val="auto"/>
          <w:kern w:val="0"/>
          <w:sz w:val="24"/>
          <w:szCs w:val="24"/>
          <w:highlight w:val="none"/>
          <w:lang w:val="en-US" w:eastAsia="zh-CN"/>
        </w:rPr>
        <w:t xml:space="preserve"> 承包人中标后必须按规定及时缴交工人工资保证金、环保噪声排污费等。 </w:t>
      </w:r>
    </w:p>
    <w:p w14:paraId="24255D5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4.19</w:t>
      </w:r>
      <w:r>
        <w:rPr>
          <w:rFonts w:hint="eastAsia" w:ascii="宋体" w:hAnsi="宋体" w:eastAsia="宋体" w:cs="宋体"/>
          <w:bCs/>
          <w:snapToGrid w:val="0"/>
          <w:color w:val="auto"/>
          <w:kern w:val="0"/>
          <w:sz w:val="24"/>
          <w:szCs w:val="24"/>
          <w:highlight w:val="none"/>
          <w:lang w:val="en-US" w:eastAsia="zh-CN"/>
        </w:rPr>
        <w:t xml:space="preserve"> 工程质量保修期按《中华人民共和国建筑法》、《建设工程质量管理条例》等相关规定实施。 </w:t>
      </w:r>
    </w:p>
    <w:p w14:paraId="01712E4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4.20</w:t>
      </w:r>
      <w:r>
        <w:rPr>
          <w:rFonts w:hint="eastAsia" w:ascii="宋体" w:hAnsi="宋体" w:eastAsia="宋体" w:cs="宋体"/>
          <w:bCs/>
          <w:snapToGrid w:val="0"/>
          <w:color w:val="auto"/>
          <w:kern w:val="0"/>
          <w:sz w:val="24"/>
          <w:szCs w:val="24"/>
          <w:highlight w:val="none"/>
          <w:lang w:val="en-US" w:eastAsia="zh-CN"/>
        </w:rPr>
        <w:t xml:space="preserve"> 如项目实施过程中发生了工程变更及工程签证，承包人需根据发包人发布的《工程变更管理办法》和《工程签证管理办法》完善工程变更签证相关程序。 </w:t>
      </w:r>
    </w:p>
    <w:p w14:paraId="5093B6E2">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lang w:val="en-US" w:eastAsia="zh-CN"/>
        </w:rPr>
        <w:t>4.21</w:t>
      </w:r>
      <w:r>
        <w:rPr>
          <w:rFonts w:hint="eastAsia" w:ascii="宋体" w:hAnsi="宋体" w:eastAsia="宋体" w:cs="宋体"/>
          <w:bCs/>
          <w:snapToGrid w:val="0"/>
          <w:color w:val="auto"/>
          <w:kern w:val="0"/>
          <w:sz w:val="24"/>
          <w:szCs w:val="24"/>
          <w:highlight w:val="none"/>
          <w:lang w:val="en-US" w:eastAsia="zh-CN"/>
        </w:rPr>
        <w:t xml:space="preserve"> 承包人需按相关规定要求，设置本工程符合相关要求的永久性标牌及规划公示牌，投标人在投标报价时综合考虑在报价内，发包人不另行支付该部分费用。 </w:t>
      </w:r>
    </w:p>
    <w:p w14:paraId="26BA7A8D">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4.22</w:t>
      </w:r>
      <w:r>
        <w:rPr>
          <w:rFonts w:hint="eastAsia" w:ascii="宋体" w:hAnsi="宋体" w:eastAsia="宋体" w:cs="宋体"/>
          <w:bCs/>
          <w:snapToGrid w:val="0"/>
          <w:color w:val="auto"/>
          <w:kern w:val="0"/>
          <w:sz w:val="24"/>
          <w:szCs w:val="24"/>
          <w:highlight w:val="none"/>
          <w:lang w:val="en-US" w:eastAsia="zh-CN"/>
        </w:rPr>
        <w:t xml:space="preserve"> 承包人应按韶关市住房和城乡建设管理局、韶关市人力资源和社会保障局等职能部门对用工实名制的相关规定,落实工人及相关软硬件设施要求。</w:t>
      </w:r>
    </w:p>
    <w:p w14:paraId="75DBFEC8">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w:t>
      </w:r>
      <w:r>
        <w:rPr>
          <w:rFonts w:hint="eastAsia" w:ascii="宋体" w:hAnsi="宋体" w:eastAsia="宋体" w:cs="宋体"/>
          <w:bCs/>
          <w:snapToGrid w:val="0"/>
          <w:color w:val="auto"/>
          <w:kern w:val="0"/>
          <w:sz w:val="24"/>
          <w:szCs w:val="24"/>
          <w:highlight w:val="none"/>
          <w:lang w:val="en-US" w:eastAsia="zh-CN"/>
        </w:rPr>
        <w:t xml:space="preserve"> 质量违约</w:t>
      </w:r>
    </w:p>
    <w:p w14:paraId="4C10CC80">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4.23.1</w:t>
      </w:r>
      <w:r>
        <w:rPr>
          <w:rFonts w:hint="eastAsia" w:ascii="宋体" w:hAnsi="宋体" w:eastAsia="宋体" w:cs="宋体"/>
          <w:bCs/>
          <w:snapToGrid w:val="0"/>
          <w:color w:val="auto"/>
          <w:kern w:val="0"/>
          <w:sz w:val="24"/>
          <w:szCs w:val="24"/>
          <w:highlight w:val="none"/>
          <w:lang w:val="en-US" w:eastAsia="zh-CN"/>
        </w:rPr>
        <w:t xml:space="preserve">材料违约处理：若发现材料不符合国家标准或发包人在技术规范中规定的标准， </w:t>
      </w:r>
    </w:p>
    <w:p w14:paraId="484BD5F3">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视为承包人违约，按现行《建设工程质量管理条例》处理。 </w:t>
      </w:r>
    </w:p>
    <w:p w14:paraId="1C688EB2">
      <w:pPr>
        <w:adjustRightInd w:val="0"/>
        <w:snapToGrid w:val="0"/>
        <w:spacing w:line="440" w:lineRule="exact"/>
        <w:ind w:firstLine="482" w:firstLineChars="20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4.23.1.1</w:t>
      </w:r>
      <w:r>
        <w:rPr>
          <w:rFonts w:hint="eastAsia" w:ascii="宋体" w:hAnsi="宋体" w:eastAsia="宋体" w:cs="宋体"/>
          <w:bCs/>
          <w:snapToGrid w:val="0"/>
          <w:color w:val="auto"/>
          <w:kern w:val="0"/>
          <w:sz w:val="24"/>
          <w:szCs w:val="24"/>
          <w:highlight w:val="none"/>
          <w:lang w:val="en-US" w:eastAsia="zh-CN"/>
        </w:rPr>
        <w:t xml:space="preserve"> 成品采购项目在采购前，承包人必须先行书面征求监理人、发包人的同意并 </w:t>
      </w:r>
    </w:p>
    <w:p w14:paraId="5ECE507A">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 xml:space="preserve">一起看样定版后方能实施。未经监理人、发包人同意擅自先行采购和实施的，否则因不符 </w:t>
      </w:r>
    </w:p>
    <w:p w14:paraId="1B3D9443">
      <w:pPr>
        <w:adjustRightInd w:val="0"/>
        <w:snapToGrid w:val="0"/>
        <w:spacing w:line="440" w:lineRule="exact"/>
        <w:ind w:left="0" w:leftChars="0" w:firstLine="0" w:firstLineChars="0"/>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合设计要求返工造成的费用由承包人承担。</w:t>
      </w:r>
    </w:p>
    <w:p w14:paraId="11F19938">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4.23.2</w:t>
      </w:r>
      <w:r>
        <w:rPr>
          <w:rFonts w:hint="eastAsia" w:ascii="宋体" w:hAnsi="宋体" w:eastAsia="宋体" w:cs="宋体"/>
          <w:b w:val="0"/>
          <w:bCs/>
          <w:snapToGrid w:val="0"/>
          <w:color w:val="auto"/>
          <w:kern w:val="0"/>
          <w:sz w:val="24"/>
          <w:szCs w:val="24"/>
          <w:highlight w:val="none"/>
          <w:lang w:val="en-US" w:eastAsia="zh-CN"/>
        </w:rPr>
        <w:t xml:space="preserve">工程质量违约： </w:t>
      </w:r>
    </w:p>
    <w:p w14:paraId="2889235D">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4.23.2.1</w:t>
      </w:r>
      <w:r>
        <w:rPr>
          <w:rFonts w:hint="eastAsia" w:ascii="宋体" w:hAnsi="宋体" w:eastAsia="宋体" w:cs="宋体"/>
          <w:b w:val="0"/>
          <w:bCs/>
          <w:snapToGrid w:val="0"/>
          <w:color w:val="auto"/>
          <w:kern w:val="0"/>
          <w:sz w:val="24"/>
          <w:szCs w:val="24"/>
          <w:highlight w:val="none"/>
          <w:lang w:val="en-US" w:eastAsia="zh-CN"/>
        </w:rPr>
        <w:t xml:space="preserve"> 在施工过程中经监理单位日常巡查或抽检发现未达到合格标准，责令承包人进 </w:t>
      </w:r>
    </w:p>
    <w:p w14:paraId="57442AAE">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行整改，如未按规定时间进行整改或整改不到位的，每次按 5000元缴纳违约金给发包人，在进度款或结算款中一并扣除。 </w:t>
      </w:r>
    </w:p>
    <w:p w14:paraId="209B3536">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4.23.2.2</w:t>
      </w:r>
      <w:r>
        <w:rPr>
          <w:rFonts w:hint="eastAsia" w:ascii="宋体" w:hAnsi="宋体" w:eastAsia="宋体" w:cs="宋体"/>
          <w:b w:val="0"/>
          <w:bCs/>
          <w:snapToGrid w:val="0"/>
          <w:color w:val="auto"/>
          <w:kern w:val="0"/>
          <w:sz w:val="24"/>
          <w:szCs w:val="24"/>
          <w:highlight w:val="none"/>
          <w:lang w:val="en-US" w:eastAsia="zh-CN"/>
        </w:rPr>
        <w:t xml:space="preserve"> 工程质量标准须达到国家验收合格标准。如未达到合格标准，除无偿返工至合 </w:t>
      </w:r>
    </w:p>
    <w:p w14:paraId="3887220F">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格外，还要按合同价款的 1%向招标人支付质量违约金，工期不予顺延。 </w:t>
      </w:r>
    </w:p>
    <w:p w14:paraId="5F52F55E">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4.24</w:t>
      </w:r>
      <w:r>
        <w:rPr>
          <w:rFonts w:hint="eastAsia" w:ascii="宋体" w:hAnsi="宋体" w:eastAsia="宋体" w:cs="宋体"/>
          <w:b w:val="0"/>
          <w:bCs/>
          <w:snapToGrid w:val="0"/>
          <w:color w:val="auto"/>
          <w:kern w:val="0"/>
          <w:sz w:val="24"/>
          <w:szCs w:val="24"/>
          <w:highlight w:val="none"/>
          <w:lang w:val="en-US" w:eastAsia="zh-CN"/>
        </w:rPr>
        <w:t xml:space="preserve"> 重大责任事故违约 </w:t>
      </w:r>
    </w:p>
    <w:p w14:paraId="1E0EC601">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4.254.1</w:t>
      </w:r>
      <w:r>
        <w:rPr>
          <w:rFonts w:hint="eastAsia" w:ascii="宋体" w:hAnsi="宋体" w:eastAsia="宋体" w:cs="宋体"/>
          <w:b w:val="0"/>
          <w:bCs/>
          <w:snapToGrid w:val="0"/>
          <w:color w:val="auto"/>
          <w:kern w:val="0"/>
          <w:sz w:val="24"/>
          <w:szCs w:val="24"/>
          <w:highlight w:val="none"/>
          <w:lang w:val="en-US" w:eastAsia="zh-CN"/>
        </w:rPr>
        <w:t xml:space="preserve"> 承包人因违反国家安全质量法规及合同有关条款约定,出现火灾、坍塌、人员重 </w:t>
      </w:r>
    </w:p>
    <w:p w14:paraId="6EFEB0AD">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伤、死亡等重大责任事故,则承包人应承担全部损失,并按相关法规接受行政处罚；如造成发 </w:t>
      </w:r>
    </w:p>
    <w:p w14:paraId="2C5E6227">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包人及对第三人利益的损害,该等损害赔偿责任均由承包人承担。 </w:t>
      </w:r>
    </w:p>
    <w:p w14:paraId="702C49BF">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4.25</w:t>
      </w:r>
      <w:r>
        <w:rPr>
          <w:rFonts w:hint="eastAsia" w:ascii="宋体" w:hAnsi="宋体" w:eastAsia="宋体" w:cs="宋体"/>
          <w:b w:val="0"/>
          <w:bCs/>
          <w:snapToGrid w:val="0"/>
          <w:color w:val="auto"/>
          <w:kern w:val="0"/>
          <w:sz w:val="24"/>
          <w:szCs w:val="24"/>
          <w:highlight w:val="none"/>
          <w:lang w:val="en-US" w:eastAsia="zh-CN"/>
        </w:rPr>
        <w:t xml:space="preserve"> 用工违约 </w:t>
      </w:r>
    </w:p>
    <w:p w14:paraId="6C6B6FAB">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4.4.1 在合同履行期间，如经查实承包人拖欠或克扣农民工或劳务工工资，导致劳资纠纷 或发生危及公共安全或正常社会秩序的事件的，按承包人违约处理，按人民币 10000 元/次从 工程进度款中扣除。承包人必须无条件确保民工工资得到及时发放，无拖欠民工工资现象，并 采取发包人认为切实可行的措施确保无劳资纠纷事件发生，如发生承包人拖欠民工工资并且向 政府或发包人索要承包人拖欠工资的，发包人有权使用工人工资保证金或在剩余进度款范围内 代承包人向民工支付工资，承包人对发包人垫付工资的人员范围和工资数额均不得提异议。发 包人代支的工资除了从当期工程款内直接扣除外,承包人须按照发包人所垫付的民工工资 2 倍 向发包人支付违约金。违约金在下期进度款中扣除。未在下期进度款扣除或承包人在发包人处已经无款可扣的，起计逾期支付利息。发包人可以在承包人其他任何款项中扣除所垫付的工资 和相应的违约金与利息。承包人对提供的资料真实性负责，如发现虚假不实情况，承包人须向 发包人支付违约金 20000 元/次。</w:t>
      </w:r>
    </w:p>
    <w:p w14:paraId="37C3DC99">
      <w:pPr>
        <w:adjustRightInd w:val="0"/>
        <w:snapToGrid w:val="0"/>
        <w:spacing w:line="440" w:lineRule="exact"/>
        <w:ind w:firstLine="480"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4.4.2 承包人应积极落实有关部门关于用工实名制管理工作的要求，未按规定落实农民工 工资专户及实用工实名制要求，经有关部门警告或处罚的，按违约金人民币 10000 元/次从工 程进度款中扣除。 </w:t>
      </w:r>
    </w:p>
    <w:p w14:paraId="0CD1AFAA">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w:t>
      </w:r>
      <w:r>
        <w:rPr>
          <w:rFonts w:hint="eastAsia" w:ascii="宋体" w:hAnsi="宋体" w:eastAsia="宋体" w:cs="宋体"/>
          <w:b w:val="0"/>
          <w:bCs/>
          <w:snapToGrid w:val="0"/>
          <w:color w:val="auto"/>
          <w:kern w:val="0"/>
          <w:sz w:val="24"/>
          <w:szCs w:val="24"/>
          <w:highlight w:val="none"/>
          <w:lang w:val="en-US" w:eastAsia="zh-CN"/>
        </w:rPr>
        <w:t xml:space="preserve"> 安全文明施工违约 </w:t>
      </w:r>
    </w:p>
    <w:p w14:paraId="29F815FC">
      <w:pPr>
        <w:adjustRightInd w:val="0"/>
        <w:snapToGrid w:val="0"/>
        <w:spacing w:line="440" w:lineRule="exact"/>
        <w:ind w:firstLine="482" w:firstLineChars="20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4.26.1</w:t>
      </w:r>
      <w:r>
        <w:rPr>
          <w:rFonts w:hint="eastAsia" w:ascii="宋体" w:hAnsi="宋体" w:eastAsia="宋体" w:cs="宋体"/>
          <w:b w:val="0"/>
          <w:bCs/>
          <w:snapToGrid w:val="0"/>
          <w:color w:val="auto"/>
          <w:kern w:val="0"/>
          <w:sz w:val="24"/>
          <w:szCs w:val="24"/>
          <w:highlight w:val="none"/>
          <w:lang w:val="en-US" w:eastAsia="zh-CN"/>
        </w:rPr>
        <w:t xml:space="preserve"> 如承包人违反国家、广东省、发包人及合同关于安全文明施工的规定，但尚未造 </w:t>
      </w:r>
    </w:p>
    <w:p w14:paraId="7EE49ED3">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成安全责任事故，承包人应及时改正行为并赔偿相关方的损失，如未及时整改，针对每一违约 </w:t>
      </w:r>
    </w:p>
    <w:p w14:paraId="5455CEAD">
      <w:pPr>
        <w:adjustRightInd w:val="0"/>
        <w:snapToGrid w:val="0"/>
        <w:spacing w:line="440" w:lineRule="exact"/>
        <w:ind w:left="0" w:leftChars="0" w:firstLine="0" w:firstLineChars="0"/>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行为每持续一天应缴纳违约金1000元。</w:t>
      </w:r>
    </w:p>
    <w:p w14:paraId="572FD953">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26</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承包人必须接受发包人及监理单位组织的安全、文明施工的检查，检查中的不合 </w:t>
      </w:r>
    </w:p>
    <w:p w14:paraId="7885807C">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格项目、安全隐患必须在规定的时间内整改完成，否则每拖延一天处以2000元人民币违约金，直至整改合格。</w:t>
      </w:r>
    </w:p>
    <w:p w14:paraId="2D3AC461">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lang w:val="en-US" w:eastAsia="zh-CN"/>
        </w:rPr>
        <w:t xml:space="preserve">   </w:t>
      </w: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26</w:t>
      </w:r>
      <w:r>
        <w:rPr>
          <w:rFonts w:hint="default" w:ascii="宋体" w:hAnsi="宋体" w:eastAsia="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lang w:val="en-US" w:eastAsia="zh-CN"/>
        </w:rPr>
        <w:t xml:space="preserve">3 </w:t>
      </w:r>
      <w:r>
        <w:rPr>
          <w:rFonts w:hint="eastAsia" w:ascii="宋体" w:hAnsi="宋体" w:eastAsia="宋体" w:cs="宋体"/>
          <w:b w:val="0"/>
          <w:bCs/>
          <w:snapToGrid w:val="0"/>
          <w:color w:val="auto"/>
          <w:kern w:val="0"/>
          <w:sz w:val="24"/>
          <w:szCs w:val="24"/>
          <w:highlight w:val="none"/>
          <w:lang w:val="en-US" w:eastAsia="zh-CN"/>
        </w:rPr>
        <w:t>承包人现场施工人员未按相关规定佩戴安全帽和反光衣进入施工区域的，经现场发包人（监理单位）管理人员确认后，承包人须按100元/人/次缴纳违约金。</w:t>
      </w:r>
    </w:p>
    <w:p w14:paraId="3B3B65AF">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val="0"/>
          <w:bCs/>
          <w:snapToGrid w:val="0"/>
          <w:color w:val="auto"/>
          <w:kern w:val="0"/>
          <w:sz w:val="24"/>
          <w:szCs w:val="24"/>
          <w:highlight w:val="none"/>
          <w:lang w:val="en-US" w:eastAsia="zh-CN"/>
        </w:rPr>
        <w:t xml:space="preserve"> 其他违约 </w:t>
      </w:r>
    </w:p>
    <w:p w14:paraId="514CC0EC">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.1</w:t>
      </w:r>
      <w:r>
        <w:rPr>
          <w:rFonts w:hint="default" w:ascii="宋体" w:hAnsi="宋体" w:eastAsia="宋体" w:cs="宋体"/>
          <w:b w:val="0"/>
          <w:bCs/>
          <w:snapToGrid w:val="0"/>
          <w:color w:val="auto"/>
          <w:kern w:val="0"/>
          <w:sz w:val="24"/>
          <w:szCs w:val="24"/>
          <w:highlight w:val="none"/>
          <w:lang w:val="en-US" w:eastAsia="zh-CN"/>
        </w:rPr>
        <w:t xml:space="preserve"> 承包人安排在施工场地的主要管理人员（主要指项目经理、项目技术负责人和专 </w:t>
      </w:r>
    </w:p>
    <w:p w14:paraId="0A153623">
      <w:pPr>
        <w:adjustRightInd w:val="0"/>
        <w:snapToGrid w:val="0"/>
        <w:spacing w:line="440" w:lineRule="exact"/>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w:t>
      </w:r>
      <w:r>
        <w:rPr>
          <w:rFonts w:hint="eastAsia" w:ascii="宋体" w:hAnsi="宋体" w:eastAsia="宋体" w:cs="宋体"/>
          <w:b w:val="0"/>
          <w:bCs/>
          <w:snapToGrid w:val="0"/>
          <w:color w:val="auto"/>
          <w:kern w:val="0"/>
          <w:sz w:val="24"/>
          <w:szCs w:val="24"/>
          <w:highlight w:val="none"/>
          <w:lang w:val="en-US" w:eastAsia="zh-CN"/>
        </w:rPr>
        <w:t>在日常检查及相关会议中主要管理人员不到岗，按 500元/人/次缴纳违约金给发包人。</w:t>
      </w:r>
    </w:p>
    <w:p w14:paraId="7516FA2F">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.2</w:t>
      </w:r>
      <w:r>
        <w:rPr>
          <w:rFonts w:hint="default" w:ascii="宋体" w:hAnsi="宋体" w:eastAsia="宋体" w:cs="宋体"/>
          <w:b w:val="0"/>
          <w:bCs/>
          <w:snapToGrid w:val="0"/>
          <w:color w:val="auto"/>
          <w:kern w:val="0"/>
          <w:sz w:val="24"/>
          <w:szCs w:val="24"/>
          <w:highlight w:val="none"/>
          <w:lang w:val="en-US" w:eastAsia="zh-CN"/>
        </w:rPr>
        <w:t xml:space="preserve"> 中标人施工资料必须与形象进度同步</w:t>
      </w:r>
      <w:r>
        <w:rPr>
          <w:rFonts w:hint="eastAsia" w:ascii="宋体" w:hAnsi="宋体" w:eastAsia="宋体" w:cs="宋体"/>
          <w:b w:val="0"/>
          <w:bCs/>
          <w:snapToGrid w:val="0"/>
          <w:color w:val="auto"/>
          <w:kern w:val="0"/>
          <w:sz w:val="24"/>
          <w:szCs w:val="24"/>
          <w:highlight w:val="none"/>
          <w:lang w:val="en-US" w:eastAsia="zh-CN"/>
        </w:rPr>
        <w:t>，如发包人在日常检查中发现不同步的现象的，视为违约并扣除违约金2000元/每次</w:t>
      </w:r>
      <w:r>
        <w:rPr>
          <w:rFonts w:hint="default" w:ascii="宋体" w:hAnsi="宋体" w:eastAsia="宋体" w:cs="宋体"/>
          <w:b w:val="0"/>
          <w:bCs/>
          <w:snapToGrid w:val="0"/>
          <w:color w:val="auto"/>
          <w:kern w:val="0"/>
          <w:sz w:val="24"/>
          <w:szCs w:val="24"/>
          <w:highlight w:val="none"/>
          <w:lang w:val="en-US" w:eastAsia="zh-CN"/>
        </w:rPr>
        <w:t xml:space="preserve">。 </w:t>
      </w:r>
    </w:p>
    <w:p w14:paraId="77585534">
      <w:pPr>
        <w:adjustRightInd w:val="0"/>
        <w:snapToGrid w:val="0"/>
        <w:spacing w:line="440" w:lineRule="exact"/>
        <w:ind w:firstLine="482" w:firstLineChars="200"/>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bCs w:val="0"/>
          <w:snapToGrid w:val="0"/>
          <w:color w:val="auto"/>
          <w:kern w:val="0"/>
          <w:sz w:val="24"/>
          <w:szCs w:val="24"/>
          <w:highlight w:val="none"/>
          <w:lang w:val="en-US" w:eastAsia="zh-CN"/>
        </w:rPr>
        <w:t>4.</w:t>
      </w:r>
      <w:r>
        <w:rPr>
          <w:rFonts w:hint="eastAsia" w:ascii="宋体" w:hAnsi="宋体" w:eastAsia="宋体" w:cs="宋体"/>
          <w:b/>
          <w:bCs w:val="0"/>
          <w:snapToGrid w:val="0"/>
          <w:color w:val="auto"/>
          <w:kern w:val="0"/>
          <w:sz w:val="24"/>
          <w:szCs w:val="24"/>
          <w:highlight w:val="none"/>
          <w:lang w:val="en-US" w:eastAsia="zh-CN"/>
        </w:rPr>
        <w:t>27</w:t>
      </w:r>
      <w:r>
        <w:rPr>
          <w:rFonts w:hint="default" w:ascii="宋体" w:hAnsi="宋体" w:eastAsia="宋体" w:cs="宋体"/>
          <w:b/>
          <w:bCs w:val="0"/>
          <w:snapToGrid w:val="0"/>
          <w:color w:val="auto"/>
          <w:kern w:val="0"/>
          <w:sz w:val="24"/>
          <w:szCs w:val="24"/>
          <w:highlight w:val="none"/>
          <w:lang w:val="en-US" w:eastAsia="zh-CN"/>
        </w:rPr>
        <w:t>.3</w:t>
      </w:r>
      <w:r>
        <w:rPr>
          <w:rFonts w:hint="default" w:ascii="宋体" w:hAnsi="宋体" w:eastAsia="宋体" w:cs="宋体"/>
          <w:b w:val="0"/>
          <w:bCs/>
          <w:snapToGrid w:val="0"/>
          <w:color w:val="auto"/>
          <w:kern w:val="0"/>
          <w:sz w:val="24"/>
          <w:szCs w:val="24"/>
          <w:highlight w:val="none"/>
          <w:lang w:val="en-US" w:eastAsia="zh-CN"/>
        </w:rPr>
        <w:t xml:space="preserve"> 承包人没有正当合理的理由中途退场，可扣除承包人已递交的所有履约风险保证 </w:t>
      </w:r>
    </w:p>
    <w:p w14:paraId="5CF3AF74">
      <w:pPr>
        <w:adjustRightInd w:val="0"/>
        <w:snapToGrid w:val="0"/>
        <w:spacing w:line="440" w:lineRule="exact"/>
        <w:rPr>
          <w:rFonts w:hint="default" w:ascii="宋体" w:hAnsi="宋体" w:eastAsia="宋体" w:cs="宋体"/>
          <w:bCs/>
          <w:snapToGrid w:val="0"/>
          <w:color w:val="auto"/>
          <w:kern w:val="0"/>
          <w:sz w:val="24"/>
          <w:szCs w:val="24"/>
          <w:highlight w:val="none"/>
          <w:lang w:val="en-US" w:eastAsia="zh-CN" w:bidi="ar-SA"/>
        </w:rPr>
      </w:pPr>
      <w:r>
        <w:rPr>
          <w:rFonts w:hint="default" w:ascii="宋体" w:hAnsi="宋体" w:eastAsia="宋体" w:cs="宋体"/>
          <w:b w:val="0"/>
          <w:bCs/>
          <w:snapToGrid w:val="0"/>
          <w:color w:val="auto"/>
          <w:kern w:val="0"/>
          <w:sz w:val="24"/>
          <w:szCs w:val="24"/>
          <w:highlight w:val="none"/>
          <w:lang w:val="en-US" w:eastAsia="zh-CN"/>
        </w:rPr>
        <w:t>金。承包人因上述违约行为而须缴纳的违约金在工程进度款中或结算时一并扣除。</w:t>
      </w:r>
    </w:p>
    <w:p w14:paraId="7B415C9D">
      <w:pPr>
        <w:adjustRightInd w:val="0"/>
        <w:snapToGrid w:val="0"/>
        <w:spacing w:line="440" w:lineRule="exact"/>
        <w:ind w:firstLine="482" w:firstLineChars="200"/>
        <w:rPr>
          <w:rFonts w:hint="eastAsia" w:ascii="宋体" w:hAnsi="宋体" w:eastAsia="宋体" w:cs="宋体"/>
          <w:b/>
          <w:bCs w:val="0"/>
          <w:snapToGrid w:val="0"/>
          <w:color w:val="auto"/>
          <w:kern w:val="0"/>
          <w:sz w:val="24"/>
          <w:szCs w:val="24"/>
          <w:highlight w:val="none"/>
          <w:lang w:val="en-US" w:eastAsia="zh-CN"/>
        </w:rPr>
      </w:pPr>
      <w:r>
        <w:rPr>
          <w:rFonts w:hint="eastAsia" w:ascii="宋体" w:hAnsi="宋体" w:eastAsia="宋体" w:cs="宋体"/>
          <w:b/>
          <w:bCs w:val="0"/>
          <w:snapToGrid w:val="0"/>
          <w:color w:val="auto"/>
          <w:kern w:val="0"/>
          <w:sz w:val="24"/>
          <w:szCs w:val="24"/>
          <w:highlight w:val="none"/>
          <w:lang w:val="en-US" w:eastAsia="zh-CN"/>
        </w:rPr>
        <w:t>5.其他合同条款由招标人与中标人自行协商约定。</w:t>
      </w:r>
    </w:p>
    <w:p w14:paraId="4E97C5C1">
      <w:pPr>
        <w:rPr>
          <w:color w:val="auto"/>
          <w:sz w:val="24"/>
          <w:szCs w:val="24"/>
          <w:highlight w:val="none"/>
        </w:rPr>
      </w:pPr>
    </w:p>
    <w:p w14:paraId="33CEC7C8">
      <w:pPr>
        <w:pStyle w:val="2"/>
        <w:tabs>
          <w:tab w:val="left" w:pos="885"/>
        </w:tabs>
        <w:wordWrap w:val="0"/>
        <w:autoSpaceDE/>
        <w:autoSpaceDN/>
        <w:snapToGrid w:val="0"/>
        <w:spacing w:line="440" w:lineRule="exact"/>
        <w:jc w:val="both"/>
        <w:rPr>
          <w:rFonts w:ascii="宋体" w:hAnsi="宋体" w:cs="宋体"/>
          <w:b/>
          <w:snapToGrid w:val="0"/>
          <w:color w:val="auto"/>
          <w:kern w:val="2"/>
          <w:sz w:val="24"/>
          <w:szCs w:val="24"/>
          <w:highlight w:val="none"/>
        </w:rPr>
      </w:pPr>
    </w:p>
    <w:p w14:paraId="53E7278A">
      <w:pPr>
        <w:pStyle w:val="2"/>
        <w:tabs>
          <w:tab w:val="left" w:pos="885"/>
        </w:tabs>
        <w:wordWrap w:val="0"/>
        <w:autoSpaceDE/>
        <w:autoSpaceDN/>
        <w:snapToGrid w:val="0"/>
        <w:spacing w:line="440" w:lineRule="exact"/>
        <w:ind w:left="885" w:hanging="885"/>
        <w:jc w:val="center"/>
        <w:rPr>
          <w:rFonts w:ascii="宋体" w:hAnsi="宋体" w:cs="宋体"/>
          <w:b/>
          <w:snapToGrid w:val="0"/>
          <w:color w:val="auto"/>
          <w:kern w:val="2"/>
          <w:sz w:val="24"/>
          <w:szCs w:val="24"/>
          <w:highlight w:val="none"/>
        </w:rPr>
      </w:pPr>
    </w:p>
    <w:p w14:paraId="5FDAA685">
      <w:pPr>
        <w:rPr>
          <w:rFonts w:ascii="宋体" w:hAnsi="宋体" w:cs="宋体"/>
          <w:b/>
          <w:snapToGrid w:val="0"/>
          <w:color w:val="auto"/>
          <w:kern w:val="2"/>
          <w:sz w:val="24"/>
          <w:szCs w:val="24"/>
          <w:highlight w:val="none"/>
        </w:rPr>
      </w:pPr>
    </w:p>
    <w:p w14:paraId="5A230042">
      <w:pPr>
        <w:pStyle w:val="8"/>
        <w:rPr>
          <w:rFonts w:ascii="宋体" w:hAnsi="宋体" w:cs="宋体"/>
          <w:b/>
          <w:snapToGrid w:val="0"/>
          <w:color w:val="auto"/>
          <w:kern w:val="2"/>
          <w:sz w:val="24"/>
          <w:szCs w:val="24"/>
          <w:highlight w:val="none"/>
        </w:rPr>
      </w:pPr>
    </w:p>
    <w:p w14:paraId="73B359CC">
      <w:pPr>
        <w:pStyle w:val="14"/>
        <w:rPr>
          <w:rFonts w:hint="eastAsia" w:ascii="宋体" w:hAnsi="宋体" w:eastAsia="宋体" w:cs="宋体"/>
          <w:color w:val="auto"/>
          <w:sz w:val="24"/>
          <w:szCs w:val="24"/>
          <w:highlight w:val="none"/>
          <w:lang w:eastAsia="zh-CN"/>
        </w:rPr>
      </w:pPr>
    </w:p>
    <w:p w14:paraId="134E41C0">
      <w:pPr>
        <w:pStyle w:val="14"/>
        <w:rPr>
          <w:rFonts w:hint="eastAsia" w:ascii="宋体" w:hAnsi="宋体" w:eastAsia="宋体" w:cs="宋体"/>
          <w:color w:val="auto"/>
          <w:sz w:val="24"/>
          <w:szCs w:val="24"/>
          <w:highlight w:val="none"/>
          <w:lang w:eastAsia="zh-CN"/>
        </w:rPr>
      </w:pPr>
    </w:p>
    <w:p w14:paraId="07C56ECD">
      <w:pPr>
        <w:pStyle w:val="14"/>
        <w:rPr>
          <w:rFonts w:hint="eastAsia" w:ascii="宋体" w:hAnsi="宋体" w:eastAsia="宋体" w:cs="宋体"/>
          <w:color w:val="auto"/>
          <w:sz w:val="24"/>
          <w:szCs w:val="24"/>
          <w:highlight w:val="none"/>
          <w:lang w:eastAsia="zh-CN"/>
        </w:rPr>
      </w:pPr>
    </w:p>
    <w:p w14:paraId="72C8E0EF">
      <w:pPr>
        <w:pStyle w:val="14"/>
        <w:rPr>
          <w:rFonts w:hint="eastAsia" w:ascii="宋体" w:hAnsi="宋体" w:eastAsia="宋体" w:cs="宋体"/>
          <w:color w:val="auto"/>
          <w:sz w:val="24"/>
          <w:szCs w:val="24"/>
          <w:highlight w:val="none"/>
          <w:lang w:eastAsia="zh-CN"/>
        </w:rPr>
      </w:pPr>
    </w:p>
    <w:p w14:paraId="66AF3AAF">
      <w:pPr>
        <w:spacing w:before="78" w:line="219" w:lineRule="auto"/>
        <w:outlineLvl w:val="9"/>
        <w:rPr>
          <w:rFonts w:hint="eastAsia" w:ascii="宋体" w:hAnsi="宋体" w:eastAsia="宋体" w:cs="宋体"/>
          <w:b/>
          <w:bCs/>
          <w:color w:val="auto"/>
          <w:spacing w:val="-3"/>
          <w:sz w:val="24"/>
          <w:szCs w:val="24"/>
          <w:highlight w:val="none"/>
        </w:rPr>
      </w:pPr>
      <w:bookmarkStart w:id="180" w:name="bookmark96"/>
      <w:bookmarkEnd w:id="180"/>
    </w:p>
    <w:p w14:paraId="48462BAF">
      <w:pPr>
        <w:rPr>
          <w:rFonts w:hint="eastAsia" w:ascii="宋体" w:hAnsi="宋体" w:eastAsia="宋体" w:cs="宋体"/>
          <w:b/>
          <w:bCs/>
          <w:color w:val="auto"/>
          <w:spacing w:val="-3"/>
          <w:sz w:val="24"/>
          <w:szCs w:val="24"/>
          <w:highlight w:val="none"/>
        </w:rPr>
      </w:pPr>
      <w:r>
        <w:rPr>
          <w:rFonts w:hint="eastAsia" w:ascii="宋体" w:hAnsi="宋体" w:eastAsia="宋体" w:cs="宋体"/>
          <w:b/>
          <w:bCs/>
          <w:color w:val="auto"/>
          <w:spacing w:val="-3"/>
          <w:sz w:val="24"/>
          <w:szCs w:val="24"/>
          <w:highlight w:val="none"/>
        </w:rPr>
        <w:br w:type="page"/>
      </w:r>
    </w:p>
    <w:p w14:paraId="6956492B">
      <w:pPr>
        <w:spacing w:before="78" w:line="219" w:lineRule="auto"/>
        <w:ind w:left="3273"/>
        <w:outlineLvl w:val="0"/>
        <w:rPr>
          <w:rFonts w:hint="eastAsia" w:ascii="宋体" w:hAnsi="宋体" w:eastAsia="宋体" w:cs="宋体"/>
          <w:color w:val="auto"/>
          <w:highlight w:val="none"/>
        </w:rPr>
      </w:pPr>
      <w:bookmarkStart w:id="181" w:name="_Toc30225"/>
      <w:r>
        <w:rPr>
          <w:rFonts w:hint="eastAsia" w:ascii="宋体" w:hAnsi="宋体" w:eastAsia="宋体" w:cs="宋体"/>
          <w:b/>
          <w:bCs/>
          <w:color w:val="auto"/>
          <w:spacing w:val="-3"/>
          <w:sz w:val="24"/>
          <w:szCs w:val="24"/>
          <w:highlight w:val="none"/>
        </w:rPr>
        <w:t>第四章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技术要求</w:t>
      </w:r>
      <w:bookmarkEnd w:id="181"/>
    </w:p>
    <w:p w14:paraId="65DD417D">
      <w:pPr>
        <w:pStyle w:val="6"/>
        <w:spacing w:line="257" w:lineRule="auto"/>
        <w:rPr>
          <w:rFonts w:hint="eastAsia" w:ascii="宋体" w:hAnsi="宋体" w:eastAsia="宋体" w:cs="宋体"/>
          <w:color w:val="auto"/>
          <w:highlight w:val="none"/>
        </w:rPr>
      </w:pPr>
    </w:p>
    <w:p w14:paraId="676D9B16">
      <w:pPr>
        <w:spacing w:before="78" w:line="221" w:lineRule="auto"/>
        <w:ind w:left="125"/>
        <w:outlineLvl w:val="2"/>
        <w:rPr>
          <w:rFonts w:hint="eastAsia" w:ascii="宋体" w:hAnsi="宋体" w:eastAsia="宋体" w:cs="宋体"/>
          <w:color w:val="auto"/>
          <w:sz w:val="24"/>
          <w:szCs w:val="24"/>
          <w:highlight w:val="none"/>
        </w:rPr>
      </w:pPr>
      <w:bookmarkStart w:id="182" w:name="_Toc10155"/>
      <w:bookmarkStart w:id="183" w:name="_Toc19340"/>
      <w:r>
        <w:rPr>
          <w:rFonts w:hint="eastAsia" w:ascii="宋体" w:hAnsi="宋体" w:eastAsia="宋体" w:cs="宋体"/>
          <w:b/>
          <w:bCs/>
          <w:color w:val="auto"/>
          <w:spacing w:val="-6"/>
          <w:sz w:val="24"/>
          <w:szCs w:val="24"/>
          <w:highlight w:val="none"/>
        </w:rPr>
        <w:t>1</w:t>
      </w:r>
      <w:r>
        <w:rPr>
          <w:rFonts w:hint="eastAsia" w:ascii="宋体" w:hAnsi="宋体" w:eastAsia="宋体" w:cs="宋体"/>
          <w:b/>
          <w:bCs/>
          <w:color w:val="auto"/>
          <w:spacing w:val="-23"/>
          <w:sz w:val="24"/>
          <w:szCs w:val="24"/>
          <w:highlight w:val="none"/>
        </w:rPr>
        <w:t xml:space="preserve"> </w:t>
      </w:r>
      <w:r>
        <w:rPr>
          <w:rFonts w:hint="eastAsia" w:ascii="宋体" w:hAnsi="宋体" w:eastAsia="宋体" w:cs="宋体"/>
          <w:b/>
          <w:bCs/>
          <w:color w:val="auto"/>
          <w:spacing w:val="-6"/>
          <w:sz w:val="24"/>
          <w:szCs w:val="24"/>
          <w:highlight w:val="none"/>
        </w:rPr>
        <w:t>．</w:t>
      </w:r>
      <w:r>
        <w:rPr>
          <w:rFonts w:hint="eastAsia" w:ascii="宋体" w:hAnsi="宋体" w:eastAsia="宋体" w:cs="宋体"/>
          <w:b/>
          <w:bCs/>
          <w:color w:val="auto"/>
          <w:spacing w:val="-1"/>
          <w:sz w:val="24"/>
          <w:szCs w:val="24"/>
          <w:highlight w:val="none"/>
        </w:rPr>
        <w:t>房屋建筑工程建设项目</w:t>
      </w:r>
      <w:bookmarkEnd w:id="182"/>
      <w:bookmarkEnd w:id="183"/>
    </w:p>
    <w:p w14:paraId="207C7161">
      <w:pPr>
        <w:spacing w:before="152" w:line="220" w:lineRule="auto"/>
        <w:ind w:left="12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房屋建筑工程建设项目必须执行的现行技术规范，包括且不限于：</w:t>
      </w:r>
    </w:p>
    <w:p w14:paraId="16F9CF9A">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（1）《建筑工程施工质量验收统一标准》；</w:t>
      </w:r>
    </w:p>
    <w:p w14:paraId="3C988F20">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（2）《建筑地基基础工程施工质量验收规范》；</w:t>
      </w:r>
    </w:p>
    <w:p w14:paraId="57B6CCBB">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（3）《砌体工程施工质量验收规范》；</w:t>
      </w:r>
    </w:p>
    <w:p w14:paraId="79D03B83">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（4）《混凝土结构工程施工质量验收规范》；</w:t>
      </w:r>
    </w:p>
    <w:p w14:paraId="78A259CE">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（5）《屋面工程质量验收规范》；</w:t>
      </w:r>
    </w:p>
    <w:p w14:paraId="5D84CC9B">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（6）《地下防水工程质量验收规范》；</w:t>
      </w:r>
    </w:p>
    <w:p w14:paraId="01A4325E">
      <w:pPr>
        <w:spacing w:before="156"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（7）《建筑地面工程施工质量验收规范》；</w:t>
      </w:r>
    </w:p>
    <w:p w14:paraId="7C054B73">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（8）《建筑装饰装修工程施工质量验收规范》；</w:t>
      </w:r>
    </w:p>
    <w:p w14:paraId="09CCD543">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（9）《建筑给排水及采暖工程施工质量验收规范》；</w:t>
      </w:r>
    </w:p>
    <w:p w14:paraId="2BF32395">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（10）《建筑电气工程施工质量验收规范》；</w:t>
      </w:r>
    </w:p>
    <w:p w14:paraId="444A78FD">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（11）《住建部绿色建筑评价标准》；</w:t>
      </w:r>
    </w:p>
    <w:p w14:paraId="03F83826">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（12）《建筑节能与可再生能源利用通用规范》（GB55015-2021）；</w:t>
      </w:r>
    </w:p>
    <w:p w14:paraId="151CB418">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（13）《建筑环境通用规范》；</w:t>
      </w:r>
    </w:p>
    <w:p w14:paraId="345E5448">
      <w:pPr>
        <w:spacing w:before="153" w:line="219" w:lineRule="auto"/>
        <w:ind w:left="130"/>
        <w:rPr>
          <w:rFonts w:hint="eastAsia" w:ascii="宋体" w:hAnsi="宋体" w:eastAsia="宋体" w:cs="宋体"/>
          <w:color w:val="auto"/>
          <w:spacing w:val="-1"/>
          <w:sz w:val="24"/>
          <w:szCs w:val="24"/>
          <w:highlight w:val="none"/>
        </w:rPr>
      </w:pPr>
      <w:bookmarkStart w:id="184" w:name="_Toc12084"/>
      <w:bookmarkStart w:id="185" w:name="_Toc16294"/>
      <w:r>
        <w:rPr>
          <w:rFonts w:hint="eastAsia" w:ascii="宋体" w:hAnsi="宋体" w:eastAsia="宋体" w:cs="宋体"/>
          <w:color w:val="auto"/>
          <w:spacing w:val="-1"/>
          <w:sz w:val="24"/>
          <w:szCs w:val="24"/>
          <w:highlight w:val="none"/>
        </w:rPr>
        <w:t>（14）《建筑与市政工程无障碍通用规范》 GB 55019-2021；</w:t>
      </w:r>
      <w:bookmarkEnd w:id="184"/>
      <w:bookmarkEnd w:id="185"/>
    </w:p>
    <w:p w14:paraId="7BF01187">
      <w:pPr>
        <w:spacing w:before="153" w:line="219" w:lineRule="auto"/>
        <w:ind w:left="130"/>
        <w:rPr>
          <w:rFonts w:hint="eastAsia" w:ascii="宋体" w:hAnsi="宋体" w:eastAsia="宋体" w:cs="宋体"/>
          <w:color w:val="auto"/>
          <w:spacing w:val="-1"/>
          <w:sz w:val="24"/>
          <w:szCs w:val="24"/>
          <w:highlight w:val="none"/>
        </w:rPr>
      </w:pPr>
      <w:bookmarkStart w:id="186" w:name="_Toc1177"/>
      <w:bookmarkStart w:id="187" w:name="_Toc15158"/>
      <w:r>
        <w:rPr>
          <w:rFonts w:hint="eastAsia" w:ascii="宋体" w:hAnsi="宋体" w:eastAsia="宋体" w:cs="宋体"/>
          <w:color w:val="auto"/>
          <w:spacing w:val="-1"/>
          <w:sz w:val="24"/>
          <w:szCs w:val="24"/>
          <w:highlight w:val="none"/>
        </w:rPr>
        <w:t>（15）《建筑防火通用规范》GB 55037-2022;</w:t>
      </w:r>
      <w:bookmarkEnd w:id="186"/>
      <w:bookmarkEnd w:id="187"/>
    </w:p>
    <w:p w14:paraId="29E4C8FC">
      <w:pPr>
        <w:spacing w:before="153" w:line="219" w:lineRule="auto"/>
        <w:ind w:left="130"/>
        <w:rPr>
          <w:rFonts w:hint="eastAsia" w:ascii="宋体" w:hAnsi="宋体" w:eastAsia="宋体" w:cs="宋体"/>
          <w:color w:val="auto"/>
          <w:spacing w:val="-1"/>
          <w:sz w:val="24"/>
          <w:szCs w:val="24"/>
          <w:highlight w:val="none"/>
        </w:rPr>
      </w:pPr>
      <w:bookmarkStart w:id="188" w:name="_Toc2461"/>
      <w:bookmarkStart w:id="189" w:name="_Toc24233"/>
      <w:r>
        <w:rPr>
          <w:rFonts w:hint="eastAsia" w:ascii="宋体" w:hAnsi="宋体" w:eastAsia="宋体" w:cs="宋体"/>
          <w:color w:val="auto"/>
          <w:spacing w:val="-1"/>
          <w:sz w:val="24"/>
          <w:szCs w:val="24"/>
          <w:highlight w:val="none"/>
        </w:rPr>
        <w:t>（16）《建筑与市政工程抗震通用规范》GB55002-2001;</w:t>
      </w:r>
      <w:bookmarkEnd w:id="188"/>
      <w:bookmarkEnd w:id="189"/>
    </w:p>
    <w:p w14:paraId="0A06A566">
      <w:pPr>
        <w:spacing w:before="153" w:line="219" w:lineRule="auto"/>
        <w:ind w:left="130"/>
        <w:rPr>
          <w:rFonts w:hint="eastAsia" w:ascii="宋体" w:hAnsi="宋体" w:eastAsia="宋体" w:cs="宋体"/>
          <w:color w:val="auto"/>
          <w:spacing w:val="-1"/>
          <w:sz w:val="24"/>
          <w:szCs w:val="24"/>
          <w:highlight w:val="none"/>
        </w:rPr>
      </w:pPr>
      <w:bookmarkStart w:id="190" w:name="_Toc5777"/>
      <w:bookmarkStart w:id="191" w:name="_Toc8109"/>
      <w:r>
        <w:rPr>
          <w:rFonts w:hint="eastAsia" w:ascii="宋体" w:hAnsi="宋体" w:eastAsia="宋体" w:cs="宋体"/>
          <w:color w:val="auto"/>
          <w:spacing w:val="-1"/>
          <w:sz w:val="24"/>
          <w:szCs w:val="24"/>
          <w:highlight w:val="none"/>
        </w:rPr>
        <w:t>（17）《建筑与市政地基基础通用规范》GB55003-2001;</w:t>
      </w:r>
      <w:bookmarkEnd w:id="190"/>
      <w:bookmarkEnd w:id="191"/>
    </w:p>
    <w:p w14:paraId="5AAC3403">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（18）《广东省住房和城乡建设厅绿色施工导则》；</w:t>
      </w:r>
    </w:p>
    <w:p w14:paraId="67D644AD">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（19）《广东省建筑工程绿色施工评价标准》；</w:t>
      </w:r>
    </w:p>
    <w:p w14:paraId="1057494F">
      <w:pPr>
        <w:spacing w:before="153" w:line="219" w:lineRule="auto"/>
        <w:ind w:left="130"/>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（20）《广东省建筑节能与绿色建筑工程施工质量验收规范》</w:t>
      </w:r>
    </w:p>
    <w:p w14:paraId="6DDC636B">
      <w:pPr>
        <w:spacing w:before="153" w:line="219"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（21）其他现行国家、广东省关于房建工程的施工及验收规范、定额</w:t>
      </w:r>
      <w:r>
        <w:rPr>
          <w:rFonts w:hint="eastAsia" w:ascii="宋体" w:hAnsi="宋体" w:eastAsia="宋体" w:cs="宋体"/>
          <w:color w:val="auto"/>
          <w:spacing w:val="-6"/>
          <w:sz w:val="24"/>
          <w:szCs w:val="24"/>
          <w:highlight w:val="none"/>
        </w:rPr>
        <w:t>、规程、标准。</w:t>
      </w:r>
    </w:p>
    <w:p w14:paraId="6651FAFB">
      <w:pPr>
        <w:pStyle w:val="6"/>
        <w:spacing w:line="257" w:lineRule="auto"/>
        <w:rPr>
          <w:rFonts w:hint="eastAsia" w:ascii="宋体" w:hAnsi="宋体" w:eastAsia="宋体" w:cs="宋体"/>
          <w:color w:val="auto"/>
          <w:highlight w:val="none"/>
        </w:rPr>
      </w:pPr>
    </w:p>
    <w:p w14:paraId="6689F434">
      <w:pPr>
        <w:spacing w:before="78" w:line="220" w:lineRule="auto"/>
        <w:ind w:left="115"/>
        <w:outlineLvl w:val="2"/>
        <w:rPr>
          <w:rFonts w:hint="eastAsia" w:ascii="宋体" w:hAnsi="宋体" w:eastAsia="宋体" w:cs="宋体"/>
          <w:color w:val="auto"/>
          <w:sz w:val="24"/>
          <w:szCs w:val="24"/>
          <w:highlight w:val="none"/>
        </w:rPr>
      </w:pPr>
      <w:bookmarkStart w:id="192" w:name="_Toc16340"/>
      <w:bookmarkStart w:id="193" w:name="_Toc15652"/>
      <w:r>
        <w:rPr>
          <w:rFonts w:hint="eastAsia" w:ascii="宋体" w:hAnsi="宋体" w:eastAsia="宋体" w:cs="宋体"/>
          <w:b/>
          <w:bCs/>
          <w:color w:val="auto"/>
          <w:spacing w:val="-5"/>
          <w:sz w:val="24"/>
          <w:szCs w:val="24"/>
          <w:highlight w:val="none"/>
        </w:rPr>
        <w:t>2</w:t>
      </w:r>
      <w:r>
        <w:rPr>
          <w:rFonts w:hint="eastAsia" w:ascii="宋体" w:hAnsi="宋体" w:eastAsia="宋体" w:cs="宋体"/>
          <w:b/>
          <w:bCs/>
          <w:color w:val="auto"/>
          <w:spacing w:val="-18"/>
          <w:sz w:val="24"/>
          <w:szCs w:val="24"/>
          <w:highlight w:val="none"/>
        </w:rPr>
        <w:t xml:space="preserve"> </w:t>
      </w:r>
      <w:r>
        <w:rPr>
          <w:rFonts w:hint="eastAsia" w:ascii="宋体" w:hAnsi="宋体" w:eastAsia="宋体" w:cs="宋体"/>
          <w:b/>
          <w:bCs/>
          <w:color w:val="auto"/>
          <w:spacing w:val="-5"/>
          <w:sz w:val="24"/>
          <w:szCs w:val="24"/>
          <w:highlight w:val="none"/>
        </w:rPr>
        <w:t>．市政基础设施工程建设项目</w:t>
      </w:r>
      <w:bookmarkEnd w:id="192"/>
      <w:bookmarkEnd w:id="193"/>
    </w:p>
    <w:p w14:paraId="4745335C">
      <w:pPr>
        <w:spacing w:before="154" w:line="220" w:lineRule="auto"/>
        <w:ind w:left="12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市政基础设施工程建设项目必须执行的现行技术规范，包括且不限于：</w:t>
      </w:r>
    </w:p>
    <w:p w14:paraId="7BB5E0FE">
      <w:pPr>
        <w:spacing w:before="155"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（1）《公路路基施工技术规范》；</w:t>
      </w:r>
    </w:p>
    <w:p w14:paraId="15195069">
      <w:pPr>
        <w:spacing w:before="153"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（2）《市政道路工程质量检验评定标准》；</w:t>
      </w:r>
    </w:p>
    <w:p w14:paraId="5B7C38D8">
      <w:pPr>
        <w:spacing w:before="154" w:line="220"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（3）《市政排水管渠工程质量检验评定标准》；</w:t>
      </w:r>
    </w:p>
    <w:p w14:paraId="5D25ACA6">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（4）《给水排水管道工程施工及验收规范》；</w:t>
      </w:r>
    </w:p>
    <w:p w14:paraId="3EBB3B65">
      <w:pPr>
        <w:keepNext w:val="0"/>
        <w:keepLines w:val="0"/>
        <w:pageBreakBefore w:val="0"/>
        <w:widowControl w:val="0"/>
        <w:kinsoku w:val="0"/>
        <w:wordWrap/>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（5）《城市道路路基工程施工及验收规范》；</w:t>
      </w:r>
    </w:p>
    <w:p w14:paraId="53D30BA2">
      <w:pPr>
        <w:keepNext w:val="0"/>
        <w:keepLines w:val="0"/>
        <w:pageBreakBefore w:val="0"/>
        <w:widowControl w:val="0"/>
        <w:kinsoku w:val="0"/>
        <w:wordWrap/>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（6）《水泥砼路面施工及验收规范》；</w:t>
      </w:r>
    </w:p>
    <w:p w14:paraId="6708A72B">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（7）《公路水泥砼路面施工技术规范》；</w:t>
      </w:r>
    </w:p>
    <w:p w14:paraId="43BE96D6">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（8）《埋地硬聚氯乙烯排水管道工程技术规程》；</w:t>
      </w:r>
    </w:p>
    <w:p w14:paraId="48BC2942">
      <w:pPr>
        <w:keepNext w:val="0"/>
        <w:keepLines w:val="0"/>
        <w:pageBreakBefore w:val="0"/>
        <w:widowControl w:val="0"/>
        <w:kinsoku w:val="0"/>
        <w:wordWrap/>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（9）《沥青路面施工及验收规范》；</w:t>
      </w:r>
    </w:p>
    <w:p w14:paraId="2BB34F75">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（10）《广东省市政工程施工质量技术资料统一用表》。</w:t>
      </w:r>
    </w:p>
    <w:p w14:paraId="47CB8D54">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4" w:name="_Toc30781"/>
      <w:bookmarkStart w:id="195" w:name="_Toc8494"/>
      <w:r>
        <w:rPr>
          <w:rFonts w:hint="eastAsia" w:ascii="宋体" w:hAnsi="宋体" w:eastAsia="宋体" w:cs="宋体"/>
          <w:color w:val="auto"/>
          <w:spacing w:val="-2"/>
          <w:sz w:val="24"/>
          <w:szCs w:val="24"/>
          <w:highlight w:val="none"/>
        </w:rPr>
        <w:t>（11）《建筑与市政工程无障碍通用规范》 GB 55019-2021；</w:t>
      </w:r>
      <w:bookmarkEnd w:id="194"/>
      <w:bookmarkEnd w:id="195"/>
    </w:p>
    <w:p w14:paraId="763C31EE">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6" w:name="_Toc17383"/>
      <w:bookmarkStart w:id="197" w:name="_Toc31143"/>
      <w:r>
        <w:rPr>
          <w:rFonts w:hint="eastAsia" w:ascii="宋体" w:hAnsi="宋体" w:eastAsia="宋体" w:cs="宋体"/>
          <w:color w:val="auto"/>
          <w:spacing w:val="-2"/>
          <w:sz w:val="24"/>
          <w:szCs w:val="24"/>
          <w:highlight w:val="none"/>
        </w:rPr>
        <w:t>（12）《建筑防火通用规范》GB 55037-2022;</w:t>
      </w:r>
      <w:bookmarkEnd w:id="196"/>
      <w:bookmarkEnd w:id="197"/>
    </w:p>
    <w:p w14:paraId="12CCBEA6">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198" w:name="_Toc32476"/>
      <w:bookmarkStart w:id="199" w:name="_Toc954"/>
      <w:r>
        <w:rPr>
          <w:rFonts w:hint="eastAsia" w:ascii="宋体" w:hAnsi="宋体" w:eastAsia="宋体" w:cs="宋体"/>
          <w:color w:val="auto"/>
          <w:spacing w:val="-2"/>
          <w:sz w:val="24"/>
          <w:szCs w:val="24"/>
          <w:highlight w:val="none"/>
        </w:rPr>
        <w:t>（13）《建筑与市政工程抗震通用规范》GB55002-2001;</w:t>
      </w:r>
      <w:bookmarkEnd w:id="198"/>
      <w:bookmarkEnd w:id="199"/>
    </w:p>
    <w:p w14:paraId="7FEC7858">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0" w:name="_Toc27898"/>
      <w:bookmarkStart w:id="201" w:name="_Toc7185"/>
      <w:r>
        <w:rPr>
          <w:rFonts w:hint="eastAsia" w:ascii="宋体" w:hAnsi="宋体" w:eastAsia="宋体" w:cs="宋体"/>
          <w:color w:val="auto"/>
          <w:spacing w:val="-2"/>
          <w:sz w:val="24"/>
          <w:szCs w:val="24"/>
          <w:highlight w:val="none"/>
        </w:rPr>
        <w:t>（14）《建筑与市政地基基础通用规范》GB55003-2001;</w:t>
      </w:r>
      <w:bookmarkEnd w:id="200"/>
      <w:bookmarkEnd w:id="201"/>
    </w:p>
    <w:p w14:paraId="585A05C2">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2" w:name="_Toc17281"/>
      <w:bookmarkStart w:id="203" w:name="_Toc29669"/>
      <w:r>
        <w:rPr>
          <w:rFonts w:hint="eastAsia" w:ascii="宋体" w:hAnsi="宋体" w:eastAsia="宋体" w:cs="宋体"/>
          <w:color w:val="auto"/>
          <w:spacing w:val="-2"/>
          <w:sz w:val="24"/>
          <w:szCs w:val="24"/>
          <w:highlight w:val="none"/>
        </w:rPr>
        <w:t>（15）《城市道路照明设计标准》（CJJ45-2015）；</w:t>
      </w:r>
      <w:bookmarkEnd w:id="202"/>
      <w:bookmarkEnd w:id="203"/>
    </w:p>
    <w:p w14:paraId="1F9D3360">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4" w:name="_Toc9161"/>
      <w:bookmarkStart w:id="205" w:name="_Toc31812"/>
      <w:r>
        <w:rPr>
          <w:rFonts w:hint="eastAsia" w:ascii="宋体" w:hAnsi="宋体" w:eastAsia="宋体" w:cs="宋体"/>
          <w:color w:val="auto"/>
          <w:spacing w:val="-2"/>
          <w:sz w:val="24"/>
          <w:szCs w:val="24"/>
          <w:highlight w:val="none"/>
        </w:rPr>
        <w:t>（16）《低压配电设计规范》（GB50054-2011）；</w:t>
      </w:r>
      <w:bookmarkEnd w:id="204"/>
      <w:bookmarkEnd w:id="205"/>
    </w:p>
    <w:p w14:paraId="2235F9F7">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bookmarkStart w:id="206" w:name="_Toc18255"/>
      <w:bookmarkStart w:id="207" w:name="_Toc6405"/>
      <w:r>
        <w:rPr>
          <w:rFonts w:hint="eastAsia" w:ascii="宋体" w:hAnsi="宋体" w:eastAsia="宋体" w:cs="宋体"/>
          <w:color w:val="auto"/>
          <w:spacing w:val="-2"/>
          <w:sz w:val="24"/>
          <w:szCs w:val="24"/>
          <w:highlight w:val="none"/>
        </w:rPr>
        <w:t>（17）《城市道路照明工程施工及验收规程》（CJJ89-2012）；</w:t>
      </w:r>
      <w:bookmarkEnd w:id="206"/>
      <w:bookmarkEnd w:id="207"/>
    </w:p>
    <w:p w14:paraId="1133F1A7">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（18）《LED 道路照明工程技术规范》（DB44/T 1898-2016）；</w:t>
      </w:r>
    </w:p>
    <w:p w14:paraId="0184B88E">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（19）《灯具第 1 部分：一般要求与试验》（GB7000.1-2015）；</w:t>
      </w:r>
    </w:p>
    <w:p w14:paraId="2C735567">
      <w:pPr>
        <w:keepNext w:val="0"/>
        <w:keepLines w:val="0"/>
        <w:pageBreakBefore w:val="0"/>
        <w:widowControl w:val="0"/>
        <w:kinsoku w:val="0"/>
        <w:wordWrap/>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（20）《电缆工程电缆设计标准》（GB50217-2018）；</w:t>
      </w:r>
    </w:p>
    <w:p w14:paraId="29D152C9">
      <w:pPr>
        <w:keepNext w:val="0"/>
        <w:keepLines w:val="0"/>
        <w:pageBreakBefore w:val="0"/>
        <w:widowControl w:val="0"/>
        <w:kinsoku w:val="0"/>
        <w:wordWrap/>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（21）其他现行国家、广东省关于市政工程的技术及验收规范、定额、规程、标准。</w:t>
      </w:r>
    </w:p>
    <w:p w14:paraId="66D001D5">
      <w:pPr>
        <w:pStyle w:val="6"/>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08F9D645">
      <w:pPr>
        <w:pStyle w:val="6"/>
        <w:keepNext w:val="0"/>
        <w:keepLines w:val="0"/>
        <w:pageBreakBefore w:val="0"/>
        <w:widowControl w:val="0"/>
        <w:kinsoku w:val="0"/>
        <w:wordWrap/>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highlight w:val="none"/>
        </w:rPr>
      </w:pPr>
    </w:p>
    <w:p w14:paraId="5896DC22">
      <w:pPr>
        <w:keepNext w:val="0"/>
        <w:keepLines w:val="0"/>
        <w:pageBreakBefore w:val="0"/>
        <w:widowControl w:val="0"/>
        <w:kinsoku w:val="0"/>
        <w:wordWrap/>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auto"/>
          <w:sz w:val="24"/>
          <w:szCs w:val="24"/>
          <w:highlight w:val="none"/>
        </w:rPr>
      </w:pPr>
      <w:bookmarkStart w:id="208" w:name="_Toc31813"/>
      <w:bookmarkStart w:id="209" w:name="_Toc9200"/>
      <w:r>
        <w:rPr>
          <w:rFonts w:hint="eastAsia" w:ascii="宋体" w:hAnsi="宋体" w:eastAsia="宋体" w:cs="宋体"/>
          <w:b/>
          <w:bCs/>
          <w:color w:val="auto"/>
          <w:spacing w:val="-8"/>
          <w:sz w:val="24"/>
          <w:szCs w:val="24"/>
          <w:highlight w:val="none"/>
        </w:rPr>
        <w:t>3</w:t>
      </w:r>
      <w:r>
        <w:rPr>
          <w:rFonts w:hint="eastAsia" w:ascii="宋体" w:hAnsi="宋体" w:eastAsia="宋体" w:cs="宋体"/>
          <w:b/>
          <w:bCs/>
          <w:color w:val="auto"/>
          <w:spacing w:val="-25"/>
          <w:sz w:val="24"/>
          <w:szCs w:val="24"/>
          <w:highlight w:val="none"/>
        </w:rPr>
        <w:t xml:space="preserve"> </w:t>
      </w:r>
      <w:r>
        <w:rPr>
          <w:rFonts w:hint="eastAsia" w:ascii="宋体" w:hAnsi="宋体" w:eastAsia="宋体" w:cs="宋体"/>
          <w:b/>
          <w:bCs/>
          <w:color w:val="auto"/>
          <w:spacing w:val="-8"/>
          <w:sz w:val="24"/>
          <w:szCs w:val="24"/>
          <w:highlight w:val="none"/>
        </w:rPr>
        <w:t>．备查要求</w:t>
      </w:r>
      <w:bookmarkEnd w:id="208"/>
      <w:bookmarkEnd w:id="209"/>
    </w:p>
    <w:p w14:paraId="73CE1445">
      <w:pPr>
        <w:keepNext w:val="0"/>
        <w:keepLines w:val="0"/>
        <w:pageBreakBefore w:val="0"/>
        <w:widowControl w:val="0"/>
        <w:kinsoku w:val="0"/>
        <w:wordWrap/>
        <w:overflowPunct/>
        <w:topLinePunct w:val="0"/>
        <w:autoSpaceDE w:val="0"/>
        <w:autoSpaceDN w:val="0"/>
        <w:bidi w:val="0"/>
        <w:adjustRightInd w:val="0"/>
        <w:snapToGrid w:val="0"/>
        <w:spacing w:before="155" w:line="324" w:lineRule="auto"/>
        <w:ind w:right="81" w:firstLine="561"/>
        <w:jc w:val="both"/>
        <w:textAlignment w:val="baseline"/>
        <w:rPr>
          <w:rFonts w:hint="eastAsia"/>
          <w:color w:val="auto"/>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spacing w:val="3"/>
          <w:sz w:val="24"/>
          <w:szCs w:val="24"/>
          <w:highlight w:val="none"/>
        </w:rPr>
        <w:t>承包人必须在施工现场准备至少一套上述规范，发包人和监理单位可</w:t>
      </w:r>
      <w:r>
        <w:rPr>
          <w:rFonts w:hint="eastAsia" w:ascii="宋体" w:hAnsi="宋体" w:eastAsia="宋体" w:cs="宋体"/>
          <w:color w:val="auto"/>
          <w:spacing w:val="2"/>
          <w:sz w:val="24"/>
          <w:szCs w:val="24"/>
          <w:highlight w:val="none"/>
        </w:rPr>
        <w:t>随时检查承</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包人的上述规范，并监督承包人按规范要求执行。</w:t>
      </w:r>
    </w:p>
    <w:p w14:paraId="2E0DBE7D">
      <w:pPr>
        <w:spacing w:before="78" w:line="219" w:lineRule="auto"/>
        <w:jc w:val="center"/>
        <w:outlineLvl w:val="0"/>
        <w:rPr>
          <w:rFonts w:hint="eastAsia" w:ascii="宋体" w:hAnsi="宋体" w:eastAsia="宋体" w:cs="宋体"/>
          <w:color w:val="auto"/>
          <w:sz w:val="24"/>
          <w:szCs w:val="24"/>
          <w:highlight w:val="none"/>
        </w:rPr>
      </w:pPr>
      <w:bookmarkStart w:id="210" w:name="bookmark100"/>
      <w:bookmarkEnd w:id="210"/>
      <w:bookmarkStart w:id="211" w:name="bookmark146"/>
      <w:bookmarkEnd w:id="211"/>
      <w:bookmarkStart w:id="212" w:name="_Toc21699"/>
      <w:r>
        <w:rPr>
          <w:rFonts w:hint="eastAsia" w:ascii="宋体" w:hAnsi="宋体" w:eastAsia="宋体" w:cs="宋体"/>
          <w:b/>
          <w:bCs/>
          <w:color w:val="auto"/>
          <w:spacing w:val="-5"/>
          <w:sz w:val="24"/>
          <w:szCs w:val="24"/>
          <w:highlight w:val="none"/>
        </w:rPr>
        <w:t>第五章</w:t>
      </w:r>
      <w:r>
        <w:rPr>
          <w:rFonts w:hint="eastAsia" w:ascii="宋体" w:hAnsi="宋体" w:eastAsia="宋体" w:cs="宋体"/>
          <w:color w:val="auto"/>
          <w:spacing w:val="33"/>
          <w:sz w:val="24"/>
          <w:szCs w:val="24"/>
          <w:highlight w:val="none"/>
        </w:rPr>
        <w:t xml:space="preserve"> </w:t>
      </w:r>
      <w:r>
        <w:rPr>
          <w:rFonts w:hint="eastAsia" w:ascii="宋体" w:hAnsi="宋体" w:eastAsia="宋体" w:cs="宋体"/>
          <w:b/>
          <w:bCs/>
          <w:color w:val="auto"/>
          <w:spacing w:val="-5"/>
          <w:sz w:val="24"/>
          <w:szCs w:val="24"/>
          <w:highlight w:val="none"/>
        </w:rPr>
        <w:t>图纸和招标工程量清单</w:t>
      </w:r>
      <w:bookmarkEnd w:id="212"/>
    </w:p>
    <w:p w14:paraId="426BE3E0">
      <w:pPr>
        <w:pStyle w:val="6"/>
        <w:spacing w:line="283" w:lineRule="auto"/>
        <w:rPr>
          <w:rFonts w:hint="eastAsia" w:ascii="宋体" w:hAnsi="宋体" w:eastAsia="宋体" w:cs="宋体"/>
          <w:color w:val="auto"/>
          <w:highlight w:val="none"/>
        </w:rPr>
      </w:pPr>
    </w:p>
    <w:p w14:paraId="4875FD10">
      <w:pPr>
        <w:wordWrap w:val="0"/>
        <w:adjustRightInd w:val="0"/>
        <w:snapToGrid w:val="0"/>
        <w:spacing w:line="440" w:lineRule="exact"/>
        <w:rPr>
          <w:rFonts w:hint="eastAsia" w:ascii="Times New Roman"/>
          <w:snapToGrid w:val="0"/>
          <w:color w:val="auto"/>
          <w:kern w:val="0"/>
          <w:highlight w:val="none"/>
        </w:rPr>
      </w:pPr>
    </w:p>
    <w:p w14:paraId="116B6A3B">
      <w:pPr>
        <w:spacing w:before="78" w:line="219" w:lineRule="auto"/>
        <w:ind w:left="106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 xml:space="preserve">□有，另附复印件         </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有，自行网上下载(浏览)           □无</w:t>
      </w:r>
    </w:p>
    <w:p w14:paraId="48F75832">
      <w:pPr>
        <w:pStyle w:val="6"/>
        <w:spacing w:line="265" w:lineRule="auto"/>
        <w:rPr>
          <w:rFonts w:hint="eastAsia" w:ascii="宋体" w:hAnsi="宋体" w:eastAsia="宋体" w:cs="宋体"/>
          <w:color w:val="auto"/>
          <w:highlight w:val="none"/>
        </w:rPr>
      </w:pPr>
    </w:p>
    <w:p w14:paraId="45CC48D5">
      <w:pPr>
        <w:spacing w:before="151" w:line="222" w:lineRule="auto"/>
        <w:ind w:left="715"/>
        <w:outlineLvl w:val="2"/>
        <w:rPr>
          <w:rFonts w:hint="eastAsia" w:ascii="宋体" w:hAnsi="宋体" w:eastAsia="宋体" w:cs="宋体"/>
          <w:color w:val="auto"/>
          <w:sz w:val="24"/>
          <w:szCs w:val="24"/>
          <w:highlight w:val="none"/>
        </w:rPr>
      </w:pPr>
      <w:bookmarkStart w:id="213" w:name="_Toc24446"/>
      <w:bookmarkStart w:id="214" w:name="_Toc21706"/>
      <w:r>
        <w:rPr>
          <w:rFonts w:hint="eastAsia" w:ascii="宋体" w:hAnsi="宋体" w:eastAsia="宋体" w:cs="宋体"/>
          <w:b/>
          <w:bCs/>
          <w:color w:val="auto"/>
          <w:spacing w:val="-14"/>
          <w:sz w:val="24"/>
          <w:szCs w:val="24"/>
          <w:highlight w:val="none"/>
        </w:rPr>
        <w:t>1</w:t>
      </w:r>
      <w:r>
        <w:rPr>
          <w:rFonts w:hint="eastAsia" w:ascii="宋体" w:hAnsi="宋体" w:eastAsia="宋体" w:cs="宋体"/>
          <w:b/>
          <w:bCs/>
          <w:color w:val="auto"/>
          <w:spacing w:val="-27"/>
          <w:sz w:val="24"/>
          <w:szCs w:val="24"/>
          <w:highlight w:val="none"/>
        </w:rPr>
        <w:t xml:space="preserve"> </w:t>
      </w:r>
      <w:r>
        <w:rPr>
          <w:rFonts w:hint="eastAsia" w:ascii="宋体" w:hAnsi="宋体" w:eastAsia="宋体" w:cs="宋体"/>
          <w:b/>
          <w:bCs/>
          <w:color w:val="auto"/>
          <w:spacing w:val="-14"/>
          <w:sz w:val="24"/>
          <w:szCs w:val="24"/>
          <w:highlight w:val="none"/>
        </w:rPr>
        <w:t>．图纸</w:t>
      </w:r>
      <w:bookmarkEnd w:id="213"/>
      <w:bookmarkEnd w:id="214"/>
    </w:p>
    <w:p w14:paraId="022ED3AB">
      <w:pPr>
        <w:spacing w:before="150" w:line="330" w:lineRule="auto"/>
        <w:ind w:left="230" w:firstLine="480"/>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本招标文件随文另附施工图（电子文件）一套。</w:t>
      </w:r>
    </w:p>
    <w:p w14:paraId="19E440D0">
      <w:pPr>
        <w:pStyle w:val="6"/>
        <w:spacing w:line="253" w:lineRule="auto"/>
        <w:rPr>
          <w:rFonts w:hint="eastAsia" w:ascii="宋体" w:hAnsi="宋体" w:eastAsia="宋体" w:cs="宋体"/>
          <w:color w:val="auto"/>
          <w:highlight w:val="none"/>
        </w:rPr>
      </w:pPr>
    </w:p>
    <w:p w14:paraId="05E465DE">
      <w:pPr>
        <w:spacing w:before="79" w:line="221" w:lineRule="auto"/>
        <w:ind w:left="705"/>
        <w:outlineLvl w:val="2"/>
        <w:rPr>
          <w:rFonts w:hint="eastAsia" w:ascii="宋体" w:hAnsi="宋体" w:eastAsia="宋体" w:cs="宋体"/>
          <w:color w:val="auto"/>
          <w:sz w:val="24"/>
          <w:szCs w:val="24"/>
          <w:highlight w:val="none"/>
        </w:rPr>
      </w:pPr>
      <w:bookmarkStart w:id="215" w:name="_Toc24419"/>
      <w:bookmarkStart w:id="216" w:name="_Toc9064"/>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26"/>
          <w:sz w:val="24"/>
          <w:szCs w:val="24"/>
          <w:highlight w:val="none"/>
        </w:rPr>
        <w:t xml:space="preserve"> </w:t>
      </w:r>
      <w:r>
        <w:rPr>
          <w:rFonts w:hint="eastAsia" w:ascii="宋体" w:hAnsi="宋体" w:eastAsia="宋体" w:cs="宋体"/>
          <w:b/>
          <w:bCs/>
          <w:color w:val="auto"/>
          <w:spacing w:val="-6"/>
          <w:sz w:val="24"/>
          <w:szCs w:val="24"/>
          <w:highlight w:val="none"/>
        </w:rPr>
        <w:t>．招标工程量清单</w:t>
      </w:r>
      <w:bookmarkEnd w:id="215"/>
      <w:bookmarkEnd w:id="216"/>
    </w:p>
    <w:p w14:paraId="3D4BF4B7">
      <w:pPr>
        <w:spacing w:before="117" w:line="312" w:lineRule="auto"/>
        <w:ind w:left="231" w:firstLine="474"/>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2.1  </w:t>
      </w:r>
      <w:r>
        <w:rPr>
          <w:rFonts w:hint="eastAsia" w:ascii="宋体" w:hAnsi="宋体" w:eastAsia="宋体" w:cs="宋体"/>
          <w:color w:val="auto"/>
          <w:spacing w:val="-3"/>
          <w:sz w:val="24"/>
          <w:szCs w:val="24"/>
          <w:highlight w:val="none"/>
        </w:rPr>
        <w:t>本招标文件随文另附</w:t>
      </w:r>
      <w:bookmarkStart w:id="217" w:name="OLE_LINK33"/>
      <w:r>
        <w:rPr>
          <w:rFonts w:hint="eastAsia" w:ascii="宋体" w:hAnsi="宋体" w:eastAsia="宋体" w:cs="宋体"/>
          <w:color w:val="auto"/>
          <w:spacing w:val="-3"/>
          <w:sz w:val="24"/>
          <w:szCs w:val="24"/>
          <w:highlight w:val="none"/>
          <w:u w:val="single"/>
        </w:rPr>
        <w:t>招标工程量清单EXCEL版</w:t>
      </w:r>
      <w:r>
        <w:rPr>
          <w:rFonts w:hint="eastAsia" w:ascii="宋体" w:hAnsi="宋体" w:eastAsia="宋体" w:cs="宋体"/>
          <w:color w:val="auto"/>
          <w:spacing w:val="-3"/>
          <w:sz w:val="24"/>
          <w:szCs w:val="24"/>
          <w:highlight w:val="none"/>
          <w:u w:val="single"/>
          <w:lang w:val="en-US" w:eastAsia="zh-CN"/>
        </w:rPr>
        <w:t>和</w:t>
      </w:r>
      <w:bookmarkEnd w:id="217"/>
      <w:r>
        <w:rPr>
          <w:rFonts w:hint="eastAsia" w:ascii="宋体" w:hAnsi="宋体" w:eastAsia="宋体" w:cs="宋体"/>
          <w:color w:val="auto"/>
          <w:spacing w:val="-3"/>
          <w:sz w:val="24"/>
          <w:szCs w:val="24"/>
          <w:highlight w:val="none"/>
          <w:u w:val="single"/>
          <w:lang w:val="en-US" w:eastAsia="zh-CN"/>
        </w:rPr>
        <w:t>最高投标限价PDF</w:t>
      </w:r>
      <w:r>
        <w:rPr>
          <w:rFonts w:hint="eastAsia" w:ascii="宋体" w:hAnsi="宋体" w:eastAsia="宋体" w:cs="宋体"/>
          <w:color w:val="auto"/>
          <w:spacing w:val="37"/>
          <w:sz w:val="24"/>
          <w:szCs w:val="24"/>
          <w:highlight w:val="none"/>
          <w:u w:val="single"/>
        </w:rPr>
        <w:t xml:space="preserve"> </w:t>
      </w:r>
      <w:r>
        <w:rPr>
          <w:rFonts w:hint="eastAsia" w:ascii="宋体" w:hAnsi="宋体" w:eastAsia="宋体" w:cs="宋体"/>
          <w:color w:val="auto"/>
          <w:spacing w:val="-3"/>
          <w:sz w:val="24"/>
          <w:szCs w:val="24"/>
          <w:highlight w:val="none"/>
        </w:rPr>
        <w:t>电子文件一套。</w:t>
      </w:r>
    </w:p>
    <w:p w14:paraId="7B802B52">
      <w:pPr>
        <w:spacing w:before="78" w:line="219" w:lineRule="auto"/>
        <w:ind w:left="478" w:firstLine="239" w:firstLineChars="100"/>
        <w:rPr>
          <w:rFonts w:hint="eastAsia" w:ascii="宋体" w:hAnsi="宋体" w:eastAsia="宋体" w:cs="宋体"/>
          <w:color w:val="auto"/>
          <w:sz w:val="24"/>
          <w:szCs w:val="24"/>
          <w:highlight w:val="none"/>
        </w:rPr>
      </w:pPr>
      <w:bookmarkStart w:id="218" w:name="bookmark147"/>
      <w:bookmarkEnd w:id="218"/>
      <w:r>
        <w:rPr>
          <w:rFonts w:hint="eastAsia" w:ascii="宋体" w:hAnsi="宋体" w:eastAsia="宋体" w:cs="宋体"/>
          <w:b/>
          <w:bCs/>
          <w:color w:val="auto"/>
          <w:spacing w:val="-1"/>
          <w:sz w:val="24"/>
          <w:szCs w:val="24"/>
          <w:highlight w:val="none"/>
        </w:rPr>
        <w:t xml:space="preserve">2.2  </w:t>
      </w:r>
      <w:r>
        <w:rPr>
          <w:rFonts w:hint="eastAsia" w:ascii="宋体" w:hAnsi="宋体" w:eastAsia="宋体" w:cs="宋体"/>
          <w:color w:val="auto"/>
          <w:spacing w:val="-1"/>
          <w:sz w:val="24"/>
          <w:szCs w:val="24"/>
          <w:highlight w:val="none"/>
        </w:rPr>
        <w:t>本工程按照以下依据编制</w:t>
      </w:r>
      <w:r>
        <w:rPr>
          <w:rFonts w:hint="eastAsia" w:ascii="宋体" w:hAnsi="宋体" w:eastAsia="宋体" w:cs="宋体"/>
          <w:color w:val="auto"/>
          <w:spacing w:val="-1"/>
          <w:sz w:val="24"/>
          <w:szCs w:val="24"/>
          <w:highlight w:val="none"/>
          <w:u w:val="single"/>
        </w:rPr>
        <w:t>招标工程量清单</w:t>
      </w:r>
      <w:r>
        <w:rPr>
          <w:rFonts w:hint="eastAsia" w:ascii="宋体" w:hAnsi="宋体" w:eastAsia="宋体" w:cs="宋体"/>
          <w:color w:val="auto"/>
          <w:spacing w:val="-1"/>
          <w:sz w:val="24"/>
          <w:szCs w:val="24"/>
          <w:highlight w:val="none"/>
        </w:rPr>
        <w:t>：</w:t>
      </w:r>
    </w:p>
    <w:p w14:paraId="02362135">
      <w:pPr>
        <w:spacing w:before="123" w:line="219"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（1）《建设工程工程量清单计价</w:t>
      </w:r>
      <w:r>
        <w:rPr>
          <w:rFonts w:hint="eastAsia" w:ascii="宋体" w:hAnsi="宋体" w:eastAsia="宋体" w:cs="宋体"/>
          <w:color w:val="auto"/>
          <w:spacing w:val="-1"/>
          <w:sz w:val="24"/>
          <w:szCs w:val="24"/>
          <w:highlight w:val="none"/>
          <w:lang w:val="en-US" w:eastAsia="zh-CN"/>
        </w:rPr>
        <w:t>标准</w:t>
      </w:r>
      <w:r>
        <w:rPr>
          <w:rFonts w:hint="eastAsia" w:ascii="宋体" w:hAnsi="宋体" w:eastAsia="宋体" w:cs="宋体"/>
          <w:color w:val="auto"/>
          <w:spacing w:val="-1"/>
          <w:sz w:val="24"/>
          <w:szCs w:val="24"/>
          <w:highlight w:val="none"/>
        </w:rPr>
        <w:t>》（GB50500—20</w:t>
      </w:r>
      <w:r>
        <w:rPr>
          <w:rFonts w:hint="eastAsia" w:ascii="宋体" w:hAnsi="宋体" w:eastAsia="宋体" w:cs="宋体"/>
          <w:color w:val="auto"/>
          <w:spacing w:val="-1"/>
          <w:sz w:val="24"/>
          <w:szCs w:val="24"/>
          <w:highlight w:val="none"/>
          <w:lang w:val="en-US" w:eastAsia="zh-CN"/>
        </w:rPr>
        <w:t>24</w:t>
      </w:r>
      <w:r>
        <w:rPr>
          <w:rFonts w:hint="eastAsia" w:ascii="宋体" w:hAnsi="宋体" w:eastAsia="宋体" w:cs="宋体"/>
          <w:color w:val="auto"/>
          <w:spacing w:val="4"/>
          <w:sz w:val="24"/>
          <w:szCs w:val="24"/>
          <w:highlight w:val="none"/>
        </w:rPr>
        <w:t>）；</w:t>
      </w:r>
    </w:p>
    <w:p w14:paraId="61B98E77">
      <w:pPr>
        <w:spacing w:before="115" w:line="299" w:lineRule="auto"/>
        <w:ind w:firstLine="493"/>
        <w:jc w:val="both"/>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（2）投标人应对招标人提供的工程量清单进行认真细致的复核。这种复核包括对</w:t>
      </w:r>
      <w:r>
        <w:rPr>
          <w:rFonts w:hint="eastAsia" w:ascii="宋体" w:hAnsi="宋体" w:eastAsia="宋体" w:cs="宋体"/>
          <w:color w:val="auto"/>
          <w:spacing w:val="-1"/>
          <w:sz w:val="24"/>
          <w:szCs w:val="24"/>
          <w:highlight w:val="none"/>
        </w:rPr>
        <w:t>招标人提供的工程量清单中的子目编码、子目名称、子</w:t>
      </w:r>
      <w:r>
        <w:rPr>
          <w:rFonts w:hint="eastAsia" w:ascii="宋体" w:hAnsi="宋体" w:eastAsia="宋体" w:cs="宋体"/>
          <w:color w:val="auto"/>
          <w:spacing w:val="-2"/>
          <w:sz w:val="24"/>
          <w:szCs w:val="24"/>
          <w:highlight w:val="none"/>
        </w:rPr>
        <w:t>目特征描述、计量单位、工程量</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的准确性以及可能存在的任何书写、打印错误进行检查</w:t>
      </w:r>
      <w:r>
        <w:rPr>
          <w:rFonts w:hint="eastAsia" w:ascii="宋体" w:hAnsi="宋体" w:eastAsia="宋体" w:cs="宋体"/>
          <w:color w:val="auto"/>
          <w:spacing w:val="-2"/>
          <w:sz w:val="24"/>
          <w:szCs w:val="24"/>
          <w:highlight w:val="none"/>
        </w:rPr>
        <w:t>和复核，特别是对“分部分项工</w:t>
      </w:r>
      <w:r>
        <w:rPr>
          <w:rFonts w:hint="eastAsia" w:ascii="宋体" w:hAnsi="宋体" w:eastAsia="宋体" w:cs="宋体"/>
          <w:color w:val="auto"/>
          <w:spacing w:val="-1"/>
          <w:sz w:val="24"/>
          <w:szCs w:val="24"/>
          <w:highlight w:val="none"/>
        </w:rPr>
        <w:t>程量清单与计价表”中每个工作子目的工程量进</w:t>
      </w:r>
      <w:r>
        <w:rPr>
          <w:rFonts w:hint="eastAsia" w:ascii="宋体" w:hAnsi="宋体" w:eastAsia="宋体" w:cs="宋体"/>
          <w:color w:val="auto"/>
          <w:spacing w:val="-2"/>
          <w:sz w:val="24"/>
          <w:szCs w:val="24"/>
          <w:highlight w:val="none"/>
        </w:rPr>
        <w:t>行重新计算和校核。如果投标人经过检</w:t>
      </w:r>
      <w:r>
        <w:rPr>
          <w:rFonts w:hint="eastAsia" w:ascii="宋体" w:hAnsi="宋体" w:eastAsia="宋体" w:cs="宋体"/>
          <w:color w:val="auto"/>
          <w:spacing w:val="-1"/>
          <w:sz w:val="24"/>
          <w:szCs w:val="24"/>
          <w:highlight w:val="none"/>
        </w:rPr>
        <w:t>查和复核以后认为招标人提供的工程量清单存在</w:t>
      </w:r>
      <w:r>
        <w:rPr>
          <w:rFonts w:hint="eastAsia" w:ascii="宋体" w:hAnsi="宋体" w:eastAsia="宋体" w:cs="宋体"/>
          <w:color w:val="auto"/>
          <w:spacing w:val="-2"/>
          <w:sz w:val="24"/>
          <w:szCs w:val="24"/>
          <w:highlight w:val="none"/>
        </w:rPr>
        <w:t>差异，则投标人应将此类差异的详细情</w:t>
      </w:r>
      <w:r>
        <w:rPr>
          <w:rFonts w:hint="eastAsia" w:ascii="宋体" w:hAnsi="宋体" w:eastAsia="宋体" w:cs="宋体"/>
          <w:color w:val="auto"/>
          <w:spacing w:val="-8"/>
          <w:sz w:val="24"/>
          <w:szCs w:val="24"/>
          <w:highlight w:val="none"/>
        </w:rPr>
        <w:t>况连同按“投标须知</w:t>
      </w:r>
      <w:r>
        <w:rPr>
          <w:rFonts w:hint="eastAsia" w:ascii="宋体" w:hAnsi="宋体" w:eastAsia="宋体" w:cs="宋体"/>
          <w:color w:val="auto"/>
          <w:spacing w:val="-89"/>
          <w:sz w:val="24"/>
          <w:szCs w:val="24"/>
          <w:highlight w:val="none"/>
        </w:rPr>
        <w:t xml:space="preserve"> </w:t>
      </w:r>
      <w:r>
        <w:rPr>
          <w:rFonts w:hint="eastAsia" w:ascii="宋体" w:hAnsi="宋体" w:eastAsia="宋体" w:cs="宋体"/>
          <w:color w:val="auto"/>
          <w:spacing w:val="-8"/>
          <w:sz w:val="24"/>
          <w:szCs w:val="24"/>
          <w:highlight w:val="none"/>
        </w:rPr>
        <w:t>”规定提交的要求招标人澄清的其他</w:t>
      </w:r>
      <w:r>
        <w:rPr>
          <w:rFonts w:hint="eastAsia" w:ascii="宋体" w:hAnsi="宋体" w:eastAsia="宋体" w:cs="宋体"/>
          <w:color w:val="auto"/>
          <w:spacing w:val="-9"/>
          <w:sz w:val="24"/>
          <w:szCs w:val="24"/>
          <w:highlight w:val="none"/>
        </w:rPr>
        <w:t>问题一起提交给招标人，招标人</w:t>
      </w:r>
      <w:r>
        <w:rPr>
          <w:rFonts w:hint="eastAsia" w:ascii="宋体" w:hAnsi="宋体" w:eastAsia="宋体" w:cs="宋体"/>
          <w:color w:val="auto"/>
          <w:spacing w:val="-2"/>
          <w:sz w:val="24"/>
          <w:szCs w:val="24"/>
          <w:highlight w:val="none"/>
        </w:rPr>
        <w:t>将根据实际情况决定是否颁发</w:t>
      </w:r>
      <w:r>
        <w:rPr>
          <w:rFonts w:hint="eastAsia" w:ascii="宋体" w:hAnsi="宋体" w:eastAsia="宋体" w:cs="宋体"/>
          <w:color w:val="auto"/>
          <w:spacing w:val="-2"/>
          <w:sz w:val="24"/>
          <w:szCs w:val="24"/>
          <w:highlight w:val="none"/>
          <w:u w:val="single"/>
        </w:rPr>
        <w:t>工程量清单</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8"/>
          <w:sz w:val="24"/>
          <w:szCs w:val="24"/>
          <w:highlight w:val="none"/>
          <w:lang w:eastAsia="zh-CN"/>
        </w:rPr>
        <w:t>最高投标限价</w:t>
      </w:r>
      <w:r>
        <w:rPr>
          <w:rFonts w:hint="eastAsia" w:ascii="宋体" w:hAnsi="宋体" w:eastAsia="宋体" w:cs="宋体"/>
          <w:color w:val="auto"/>
          <w:spacing w:val="-8"/>
          <w:sz w:val="24"/>
          <w:szCs w:val="24"/>
          <w:highlight w:val="none"/>
        </w:rPr>
        <w:t>的</w:t>
      </w:r>
      <w:r>
        <w:rPr>
          <w:rFonts w:hint="eastAsia" w:ascii="宋体" w:hAnsi="宋体" w:eastAsia="宋体" w:cs="宋体"/>
          <w:color w:val="auto"/>
          <w:spacing w:val="-2"/>
          <w:sz w:val="24"/>
          <w:szCs w:val="24"/>
          <w:highlight w:val="none"/>
        </w:rPr>
        <w:t>补充和(或)修改文件。</w:t>
      </w:r>
    </w:p>
    <w:p w14:paraId="3FCA4C7D">
      <w:pPr>
        <w:spacing w:before="79" w:line="263" w:lineRule="auto"/>
        <w:ind w:left="2" w:right="2" w:firstLine="48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（3）本招标工程量清单措施项目中的</w:t>
      </w:r>
      <w:r>
        <w:rPr>
          <w:rFonts w:hint="eastAsia" w:ascii="宋体" w:hAnsi="宋体" w:eastAsia="宋体" w:cs="宋体"/>
          <w:b/>
          <w:bCs/>
          <w:color w:val="auto"/>
          <w:spacing w:val="-6"/>
          <w:sz w:val="24"/>
          <w:szCs w:val="24"/>
          <w:highlight w:val="none"/>
          <w:u w:val="single"/>
        </w:rPr>
        <w:t>暂列金额、暂估价</w:t>
      </w:r>
      <w:r>
        <w:rPr>
          <w:rFonts w:hint="eastAsia" w:ascii="宋体" w:hAnsi="宋体" w:eastAsia="宋体" w:cs="宋体"/>
          <w:color w:val="auto"/>
          <w:spacing w:val="-2"/>
          <w:sz w:val="24"/>
          <w:szCs w:val="24"/>
          <w:highlight w:val="none"/>
        </w:rPr>
        <w:t>不得作为竞争性费用，投标报价必须按本招标工程量清</w:t>
      </w:r>
      <w:r>
        <w:rPr>
          <w:rFonts w:hint="eastAsia" w:ascii="宋体" w:hAnsi="宋体" w:eastAsia="宋体" w:cs="宋体"/>
          <w:color w:val="auto"/>
          <w:spacing w:val="-3"/>
          <w:sz w:val="24"/>
          <w:szCs w:val="24"/>
          <w:highlight w:val="none"/>
        </w:rPr>
        <w:t>单规定</w:t>
      </w:r>
      <w:r>
        <w:rPr>
          <w:rFonts w:hint="eastAsia" w:ascii="宋体" w:hAnsi="宋体" w:eastAsia="宋体" w:cs="宋体"/>
          <w:color w:val="auto"/>
          <w:spacing w:val="-2"/>
          <w:sz w:val="24"/>
          <w:szCs w:val="24"/>
          <w:highlight w:val="none"/>
        </w:rPr>
        <w:t>的金额填</w:t>
      </w:r>
      <w:r>
        <w:rPr>
          <w:rFonts w:hint="eastAsia" w:ascii="宋体" w:hAnsi="宋体" w:eastAsia="宋体" w:cs="宋体"/>
          <w:color w:val="auto"/>
          <w:spacing w:val="-3"/>
          <w:sz w:val="24"/>
          <w:szCs w:val="24"/>
          <w:highlight w:val="none"/>
        </w:rPr>
        <w:t>报。</w:t>
      </w:r>
    </w:p>
    <w:p w14:paraId="771762E6">
      <w:pPr>
        <w:spacing w:before="118" w:line="265" w:lineRule="auto"/>
        <w:ind w:left="7" w:right="4" w:firstLine="48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（4）投标报价使用的表格格式须按照 GB50500-20</w:t>
      </w:r>
      <w:r>
        <w:rPr>
          <w:rFonts w:hint="eastAsia" w:ascii="宋体" w:hAnsi="宋体" w:eastAsia="宋体" w:cs="宋体"/>
          <w:color w:val="auto"/>
          <w:spacing w:val="-2"/>
          <w:sz w:val="24"/>
          <w:szCs w:val="24"/>
          <w:highlight w:val="none"/>
          <w:lang w:val="en-US" w:eastAsia="zh-CN"/>
        </w:rPr>
        <w:t>24</w:t>
      </w:r>
      <w:r>
        <w:rPr>
          <w:rFonts w:hint="eastAsia" w:ascii="宋体" w:hAnsi="宋体" w:eastAsia="宋体" w:cs="宋体"/>
          <w:color w:val="auto"/>
          <w:spacing w:val="-2"/>
          <w:sz w:val="24"/>
          <w:szCs w:val="24"/>
          <w:highlight w:val="none"/>
        </w:rPr>
        <w:t>《建设工程工程量清单计价</w:t>
      </w:r>
      <w:r>
        <w:rPr>
          <w:rFonts w:hint="eastAsia" w:ascii="宋体" w:hAnsi="宋体" w:eastAsia="宋体" w:cs="宋体"/>
          <w:color w:val="auto"/>
          <w:spacing w:val="-2"/>
          <w:sz w:val="24"/>
          <w:szCs w:val="24"/>
          <w:highlight w:val="none"/>
          <w:lang w:val="en-US" w:eastAsia="zh-CN"/>
        </w:rPr>
        <w:t>标准</w:t>
      </w:r>
      <w:r>
        <w:rPr>
          <w:rFonts w:hint="eastAsia" w:ascii="宋体" w:hAnsi="宋体" w:eastAsia="宋体" w:cs="宋体"/>
          <w:color w:val="auto"/>
          <w:spacing w:val="-6"/>
          <w:sz w:val="24"/>
          <w:szCs w:val="24"/>
          <w:highlight w:val="none"/>
        </w:rPr>
        <w:t>》。</w:t>
      </w:r>
    </w:p>
    <w:p w14:paraId="12F193A0">
      <w:pPr>
        <w:spacing w:before="107" w:line="286" w:lineRule="auto"/>
        <w:ind w:right="4" w:firstLine="492"/>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5）《市政工程工程量计算标准》(GB/T50857-2024）、《园林绿化工程工程量计算标准》(GB/T50858-2024）、2018年《广东省市政工程综合定额》、2018年《广东省园林绿化工程综合定额》及现行的建筑施工规范和省市有关文件、规定为编制依据进行编制；</w:t>
      </w:r>
    </w:p>
    <w:p w14:paraId="18E085EB">
      <w:pPr>
        <w:spacing w:before="146" w:line="221"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（6）施工图及相关资料；</w:t>
      </w:r>
    </w:p>
    <w:p w14:paraId="75A26699">
      <w:pPr>
        <w:spacing w:before="153"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（7）招标文件；</w:t>
      </w:r>
    </w:p>
    <w:p w14:paraId="37B4AFD5">
      <w:pPr>
        <w:spacing w:before="155" w:line="220" w:lineRule="auto"/>
        <w:ind w:left="493"/>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（8）施工现场情况、地勘水文资料、工程特点及常规施工方案；</w:t>
      </w:r>
    </w:p>
    <w:p w14:paraId="4F58A665">
      <w:pPr>
        <w:spacing w:before="153" w:line="219" w:lineRule="auto"/>
        <w:ind w:left="493"/>
        <w:rPr>
          <w:color w:val="auto"/>
          <w:highlight w:val="none"/>
        </w:rPr>
        <w:sectPr>
          <w:footerReference r:id="rId13" w:type="default"/>
          <w:endnotePr>
            <w:numFmt w:val="decimal"/>
          </w:endnotePr>
          <w:pgSz w:w="11906" w:h="16838"/>
          <w:pgMar w:top="1020" w:right="1134" w:bottom="1020" w:left="1134" w:header="680" w:footer="765" w:gutter="0"/>
          <w:cols w:space="720" w:num="1"/>
          <w:docGrid w:linePitch="327" w:charSpace="0"/>
        </w:sectPr>
      </w:pPr>
      <w:r>
        <w:rPr>
          <w:rFonts w:hint="eastAsia" w:ascii="宋体" w:hAnsi="宋体" w:eastAsia="宋体" w:cs="宋体"/>
          <w:color w:val="auto"/>
          <w:spacing w:val="-1"/>
          <w:sz w:val="24"/>
          <w:szCs w:val="24"/>
          <w:highlight w:val="none"/>
        </w:rPr>
        <w:t>（9）与建设工程有关的标准、规范、技术资料、材料设备信息价或市场价格等</w:t>
      </w:r>
      <w:r>
        <w:rPr>
          <w:rFonts w:hint="eastAsia" w:ascii="宋体" w:hAnsi="宋体" w:eastAsia="宋体" w:cs="宋体"/>
          <w:color w:val="auto"/>
          <w:spacing w:val="-2"/>
          <w:sz w:val="24"/>
          <w:szCs w:val="24"/>
          <w:highlight w:val="none"/>
        </w:rPr>
        <w:t>。</w:t>
      </w:r>
    </w:p>
    <w:p w14:paraId="3841A216">
      <w:pPr>
        <w:spacing w:before="78" w:line="219" w:lineRule="auto"/>
        <w:jc w:val="center"/>
        <w:outlineLvl w:val="0"/>
        <w:rPr>
          <w:rFonts w:hint="eastAsia" w:ascii="宋体" w:hAnsi="宋体" w:eastAsia="宋体" w:cs="宋体"/>
          <w:color w:val="auto"/>
          <w:sz w:val="24"/>
          <w:szCs w:val="24"/>
          <w:highlight w:val="none"/>
        </w:rPr>
      </w:pPr>
      <w:bookmarkStart w:id="219" w:name="_Toc27130"/>
      <w:r>
        <w:rPr>
          <w:rFonts w:hint="eastAsia" w:ascii="宋体" w:hAnsi="宋体" w:eastAsia="宋体" w:cs="宋体"/>
          <w:b/>
          <w:bCs/>
          <w:color w:val="auto"/>
          <w:spacing w:val="-3"/>
          <w:sz w:val="24"/>
          <w:szCs w:val="24"/>
          <w:highlight w:val="none"/>
        </w:rPr>
        <w:t>第六章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投标文件格式</w:t>
      </w:r>
      <w:bookmarkEnd w:id="219"/>
    </w:p>
    <w:p w14:paraId="15B208D3">
      <w:pPr>
        <w:pStyle w:val="6"/>
        <w:spacing w:line="302" w:lineRule="auto"/>
        <w:jc w:val="right"/>
        <w:rPr>
          <w:rFonts w:hint="eastAsia" w:ascii="宋体" w:hAnsi="宋体" w:eastAsia="宋体" w:cs="宋体"/>
          <w:color w:val="auto"/>
          <w:highlight w:val="none"/>
        </w:rPr>
      </w:pPr>
    </w:p>
    <w:p w14:paraId="00706EC0">
      <w:pPr>
        <w:spacing w:before="78" w:line="220" w:lineRule="auto"/>
        <w:outlineLvl w:val="2"/>
        <w:rPr>
          <w:rFonts w:hint="eastAsia" w:ascii="宋体" w:hAnsi="宋体" w:eastAsia="宋体" w:cs="宋体"/>
          <w:color w:val="auto"/>
          <w:sz w:val="24"/>
          <w:szCs w:val="24"/>
          <w:highlight w:val="none"/>
        </w:rPr>
      </w:pPr>
      <w:bookmarkStart w:id="220" w:name="_Toc11203"/>
      <w:r>
        <w:rPr>
          <w:rFonts w:hint="eastAsia" w:ascii="宋体" w:hAnsi="宋体" w:eastAsia="宋体" w:cs="宋体"/>
          <w:b/>
          <w:bCs/>
          <w:color w:val="auto"/>
          <w:spacing w:val="-4"/>
          <w:sz w:val="24"/>
          <w:szCs w:val="24"/>
          <w:highlight w:val="none"/>
        </w:rPr>
        <w:t>格式一</w:t>
      </w:r>
      <w:r>
        <w:rPr>
          <w:rFonts w:hint="eastAsia" w:ascii="宋体" w:hAnsi="宋体" w:eastAsia="宋体" w:cs="宋体"/>
          <w:color w:val="auto"/>
          <w:spacing w:val="-4"/>
          <w:sz w:val="24"/>
          <w:szCs w:val="24"/>
          <w:highlight w:val="none"/>
        </w:rPr>
        <w:t xml:space="preserve"> </w:t>
      </w:r>
      <w:r>
        <w:rPr>
          <w:rFonts w:hint="eastAsia" w:ascii="宋体" w:hAnsi="宋体" w:eastAsia="宋体" w:cs="宋体"/>
          <w:b/>
          <w:bCs/>
          <w:color w:val="auto"/>
          <w:spacing w:val="-4"/>
          <w:sz w:val="24"/>
          <w:szCs w:val="24"/>
          <w:highlight w:val="none"/>
        </w:rPr>
        <w:t>封面</w:t>
      </w:r>
      <w:bookmarkEnd w:id="220"/>
    </w:p>
    <w:p w14:paraId="0DD9B6DB">
      <w:pPr>
        <w:pStyle w:val="6"/>
        <w:spacing w:line="258" w:lineRule="auto"/>
        <w:rPr>
          <w:rFonts w:hint="eastAsia" w:ascii="宋体" w:hAnsi="宋体" w:eastAsia="宋体" w:cs="宋体"/>
          <w:color w:val="auto"/>
          <w:highlight w:val="none"/>
        </w:rPr>
      </w:pPr>
    </w:p>
    <w:p w14:paraId="30B4EFC1">
      <w:pPr>
        <w:pStyle w:val="6"/>
        <w:spacing w:line="259" w:lineRule="auto"/>
        <w:rPr>
          <w:rFonts w:hint="eastAsia" w:ascii="宋体" w:hAnsi="宋体" w:eastAsia="宋体" w:cs="宋体"/>
          <w:color w:val="auto"/>
          <w:highlight w:val="none"/>
        </w:rPr>
      </w:pPr>
    </w:p>
    <w:p w14:paraId="2BA24286">
      <w:pPr>
        <w:pStyle w:val="6"/>
        <w:spacing w:line="259" w:lineRule="auto"/>
        <w:rPr>
          <w:rFonts w:hint="eastAsia" w:ascii="宋体" w:hAnsi="宋体" w:eastAsia="宋体" w:cs="宋体"/>
          <w:color w:val="auto"/>
          <w:highlight w:val="none"/>
        </w:rPr>
      </w:pPr>
    </w:p>
    <w:p w14:paraId="1B97EE3D">
      <w:pPr>
        <w:spacing w:before="153" w:line="225" w:lineRule="auto"/>
        <w:ind w:left="-1" w:leftChars="0" w:firstLine="0" w:firstLineChars="0"/>
        <w:jc w:val="center"/>
        <w:rPr>
          <w:rFonts w:hint="eastAsia" w:ascii="宋体" w:hAnsi="宋体" w:eastAsia="宋体" w:cs="宋体"/>
          <w:color w:val="auto"/>
          <w:sz w:val="47"/>
          <w:szCs w:val="47"/>
          <w:highlight w:val="none"/>
        </w:rPr>
      </w:pPr>
      <w:r>
        <w:rPr>
          <w:rFonts w:hint="eastAsia" w:ascii="宋体" w:hAnsi="宋体" w:eastAsia="宋体" w:cs="宋体"/>
          <w:b/>
          <w:bCs/>
          <w:color w:val="auto"/>
          <w:spacing w:val="8"/>
          <w:sz w:val="47"/>
          <w:szCs w:val="47"/>
          <w:highlight w:val="none"/>
          <w:u w:val="single"/>
          <w:lang w:val="en-US" w:eastAsia="zh-CN"/>
        </w:rPr>
        <w:t xml:space="preserve">       </w:t>
      </w:r>
      <w:r>
        <w:rPr>
          <w:rFonts w:hint="eastAsia" w:ascii="宋体" w:hAnsi="宋体" w:eastAsia="宋体" w:cs="宋体"/>
          <w:b/>
          <w:bCs/>
          <w:color w:val="auto"/>
          <w:spacing w:val="8"/>
          <w:sz w:val="47"/>
          <w:szCs w:val="47"/>
          <w:highlight w:val="none"/>
          <w:u w:val="single"/>
        </w:rPr>
        <w:t>（项目名称</w:t>
      </w:r>
      <w:r>
        <w:rPr>
          <w:rFonts w:hint="eastAsia" w:ascii="宋体" w:hAnsi="宋体" w:eastAsia="宋体" w:cs="宋体"/>
          <w:b/>
          <w:bCs/>
          <w:color w:val="auto"/>
          <w:spacing w:val="-32"/>
          <w:sz w:val="47"/>
          <w:szCs w:val="47"/>
          <w:highlight w:val="none"/>
          <w:u w:val="single"/>
        </w:rPr>
        <w:t>）</w:t>
      </w:r>
      <w:r>
        <w:rPr>
          <w:rFonts w:hint="eastAsia" w:ascii="宋体" w:hAnsi="宋体" w:eastAsia="宋体" w:cs="宋体"/>
          <w:b/>
          <w:bCs/>
          <w:color w:val="auto"/>
          <w:spacing w:val="8"/>
          <w:sz w:val="47"/>
          <w:szCs w:val="47"/>
          <w:highlight w:val="none"/>
        </w:rPr>
        <w:t>招标</w:t>
      </w:r>
    </w:p>
    <w:p w14:paraId="7332F8E4">
      <w:pPr>
        <w:pStyle w:val="6"/>
        <w:spacing w:line="247" w:lineRule="auto"/>
        <w:rPr>
          <w:rFonts w:hint="eastAsia" w:ascii="宋体" w:hAnsi="宋体" w:eastAsia="宋体" w:cs="宋体"/>
          <w:color w:val="auto"/>
          <w:highlight w:val="none"/>
        </w:rPr>
      </w:pPr>
    </w:p>
    <w:p w14:paraId="7ABC2E3D">
      <w:pPr>
        <w:pStyle w:val="6"/>
        <w:spacing w:line="247" w:lineRule="auto"/>
        <w:rPr>
          <w:rFonts w:hint="eastAsia" w:ascii="宋体" w:hAnsi="宋体" w:eastAsia="宋体" w:cs="宋体"/>
          <w:color w:val="auto"/>
          <w:highlight w:val="none"/>
        </w:rPr>
      </w:pPr>
    </w:p>
    <w:p w14:paraId="6E24384B">
      <w:pPr>
        <w:pStyle w:val="6"/>
        <w:spacing w:line="247" w:lineRule="auto"/>
        <w:rPr>
          <w:rFonts w:hint="eastAsia" w:ascii="宋体" w:hAnsi="宋体" w:eastAsia="宋体" w:cs="宋体"/>
          <w:color w:val="auto"/>
          <w:highlight w:val="none"/>
        </w:rPr>
      </w:pPr>
    </w:p>
    <w:p w14:paraId="57625B3E">
      <w:pPr>
        <w:pStyle w:val="6"/>
        <w:spacing w:line="247" w:lineRule="auto"/>
        <w:rPr>
          <w:rFonts w:hint="eastAsia" w:ascii="宋体" w:hAnsi="宋体" w:eastAsia="宋体" w:cs="宋体"/>
          <w:color w:val="auto"/>
          <w:highlight w:val="none"/>
        </w:rPr>
      </w:pPr>
    </w:p>
    <w:p w14:paraId="2E7686F1">
      <w:pPr>
        <w:pStyle w:val="6"/>
        <w:spacing w:line="248" w:lineRule="auto"/>
        <w:rPr>
          <w:rFonts w:hint="eastAsia" w:ascii="宋体" w:hAnsi="宋体" w:eastAsia="宋体" w:cs="宋体"/>
          <w:color w:val="auto"/>
          <w:highlight w:val="none"/>
        </w:rPr>
      </w:pPr>
    </w:p>
    <w:p w14:paraId="46F8403D">
      <w:pPr>
        <w:spacing w:before="231" w:line="223" w:lineRule="auto"/>
        <w:jc w:val="center"/>
        <w:rPr>
          <w:rFonts w:hint="eastAsia" w:ascii="宋体" w:hAnsi="宋体" w:eastAsia="宋体" w:cs="宋体"/>
          <w:color w:val="auto"/>
          <w:sz w:val="71"/>
          <w:szCs w:val="71"/>
          <w:highlight w:val="none"/>
        </w:rPr>
      </w:pPr>
      <w:r>
        <w:rPr>
          <w:rFonts w:hint="eastAsia" w:ascii="宋体" w:hAnsi="宋体" w:eastAsia="宋体" w:cs="宋体"/>
          <w:b/>
          <w:bCs/>
          <w:color w:val="auto"/>
          <w:spacing w:val="-26"/>
          <w:sz w:val="71"/>
          <w:szCs w:val="71"/>
          <w:highlight w:val="none"/>
        </w:rPr>
        <w:t>投</w:t>
      </w:r>
      <w:r>
        <w:rPr>
          <w:rFonts w:hint="eastAsia" w:ascii="宋体" w:hAnsi="宋体" w:eastAsia="宋体" w:cs="宋体"/>
          <w:color w:val="auto"/>
          <w:spacing w:val="22"/>
          <w:sz w:val="71"/>
          <w:szCs w:val="71"/>
          <w:highlight w:val="none"/>
        </w:rPr>
        <w:t xml:space="preserve">  </w:t>
      </w:r>
      <w:r>
        <w:rPr>
          <w:rFonts w:hint="eastAsia" w:ascii="宋体" w:hAnsi="宋体" w:eastAsia="宋体" w:cs="宋体"/>
          <w:b/>
          <w:bCs/>
          <w:color w:val="auto"/>
          <w:spacing w:val="-26"/>
          <w:sz w:val="71"/>
          <w:szCs w:val="71"/>
          <w:highlight w:val="none"/>
        </w:rPr>
        <w:t>标</w:t>
      </w:r>
      <w:r>
        <w:rPr>
          <w:rFonts w:hint="eastAsia" w:ascii="宋体" w:hAnsi="宋体" w:eastAsia="宋体" w:cs="宋体"/>
          <w:color w:val="auto"/>
          <w:spacing w:val="23"/>
          <w:sz w:val="71"/>
          <w:szCs w:val="71"/>
          <w:highlight w:val="none"/>
        </w:rPr>
        <w:t xml:space="preserve">  </w:t>
      </w:r>
      <w:r>
        <w:rPr>
          <w:rFonts w:hint="eastAsia" w:ascii="宋体" w:hAnsi="宋体" w:eastAsia="宋体" w:cs="宋体"/>
          <w:b/>
          <w:bCs/>
          <w:color w:val="auto"/>
          <w:spacing w:val="-26"/>
          <w:sz w:val="71"/>
          <w:szCs w:val="71"/>
          <w:highlight w:val="none"/>
        </w:rPr>
        <w:t>文</w:t>
      </w:r>
      <w:r>
        <w:rPr>
          <w:rFonts w:hint="eastAsia" w:ascii="宋体" w:hAnsi="宋体" w:eastAsia="宋体" w:cs="宋体"/>
          <w:color w:val="auto"/>
          <w:spacing w:val="19"/>
          <w:sz w:val="71"/>
          <w:szCs w:val="71"/>
          <w:highlight w:val="none"/>
        </w:rPr>
        <w:t xml:space="preserve">  </w:t>
      </w:r>
      <w:r>
        <w:rPr>
          <w:rFonts w:hint="eastAsia" w:ascii="宋体" w:hAnsi="宋体" w:eastAsia="宋体" w:cs="宋体"/>
          <w:b/>
          <w:bCs/>
          <w:color w:val="auto"/>
          <w:spacing w:val="-26"/>
          <w:sz w:val="71"/>
          <w:szCs w:val="71"/>
          <w:highlight w:val="none"/>
        </w:rPr>
        <w:t>件</w:t>
      </w:r>
    </w:p>
    <w:p w14:paraId="0E547877">
      <w:pPr>
        <w:pStyle w:val="6"/>
        <w:spacing w:line="293" w:lineRule="auto"/>
        <w:rPr>
          <w:rFonts w:hint="eastAsia" w:ascii="宋体" w:hAnsi="宋体" w:eastAsia="宋体" w:cs="宋体"/>
          <w:color w:val="auto"/>
          <w:highlight w:val="none"/>
        </w:rPr>
      </w:pPr>
    </w:p>
    <w:p w14:paraId="056D96BE">
      <w:pPr>
        <w:pStyle w:val="6"/>
        <w:spacing w:line="293" w:lineRule="auto"/>
        <w:rPr>
          <w:rFonts w:hint="eastAsia" w:ascii="宋体" w:hAnsi="宋体" w:eastAsia="宋体" w:cs="宋体"/>
          <w:color w:val="auto"/>
          <w:highlight w:val="none"/>
        </w:rPr>
      </w:pPr>
    </w:p>
    <w:p w14:paraId="31B75796">
      <w:pPr>
        <w:spacing w:before="152" w:line="223" w:lineRule="auto"/>
        <w:jc w:val="center"/>
        <w:rPr>
          <w:rFonts w:hint="eastAsia" w:ascii="宋体" w:hAnsi="宋体" w:eastAsia="宋体" w:cs="宋体"/>
          <w:b/>
          <w:bCs/>
          <w:color w:val="auto"/>
          <w:spacing w:val="2"/>
          <w:sz w:val="40"/>
          <w:szCs w:val="40"/>
          <w:highlight w:val="none"/>
        </w:rPr>
      </w:pPr>
      <w:bookmarkStart w:id="221" w:name="bookmark105"/>
      <w:bookmarkEnd w:id="221"/>
      <w:r>
        <w:rPr>
          <w:rFonts w:hint="eastAsia" w:ascii="宋体" w:hAnsi="宋体" w:eastAsia="宋体" w:cs="宋体"/>
          <w:b/>
          <w:bCs/>
          <w:color w:val="auto"/>
          <w:spacing w:val="2"/>
          <w:sz w:val="40"/>
          <w:szCs w:val="40"/>
          <w:highlight w:val="none"/>
        </w:rPr>
        <w:t>（商务标书／经济标书／施工组织设计</w:t>
      </w:r>
      <w:r>
        <w:rPr>
          <w:rFonts w:hint="eastAsia" w:ascii="宋体" w:hAnsi="宋体" w:eastAsia="宋体" w:cs="宋体"/>
          <w:b/>
          <w:bCs/>
          <w:color w:val="auto"/>
          <w:spacing w:val="2"/>
          <w:sz w:val="40"/>
          <w:szCs w:val="40"/>
          <w:highlight w:val="none"/>
          <w:lang w:val="en-US" w:eastAsia="zh-CN"/>
        </w:rPr>
        <w:t>/定标文件</w:t>
      </w:r>
      <w:r>
        <w:rPr>
          <w:rFonts w:hint="eastAsia" w:ascii="宋体" w:hAnsi="宋体" w:eastAsia="宋体" w:cs="宋体"/>
          <w:b/>
          <w:bCs/>
          <w:color w:val="auto"/>
          <w:spacing w:val="2"/>
          <w:sz w:val="40"/>
          <w:szCs w:val="40"/>
          <w:highlight w:val="none"/>
        </w:rPr>
        <w:t>）</w:t>
      </w:r>
    </w:p>
    <w:p w14:paraId="7B8A7EE1">
      <w:pPr>
        <w:bidi w:val="0"/>
        <w:rPr>
          <w:rFonts w:hint="eastAsia"/>
          <w:color w:val="auto"/>
          <w:highlight w:val="none"/>
        </w:rPr>
      </w:pPr>
    </w:p>
    <w:p w14:paraId="1260FD39">
      <w:pPr>
        <w:bidi w:val="0"/>
        <w:rPr>
          <w:rFonts w:hint="eastAsia"/>
          <w:color w:val="auto"/>
          <w:highlight w:val="none"/>
        </w:rPr>
      </w:pPr>
    </w:p>
    <w:p w14:paraId="6A252881">
      <w:pPr>
        <w:bidi w:val="0"/>
        <w:rPr>
          <w:rFonts w:hint="eastAsia"/>
          <w:color w:val="auto"/>
          <w:highlight w:val="none"/>
        </w:rPr>
      </w:pPr>
    </w:p>
    <w:p w14:paraId="31CDB2AA">
      <w:pPr>
        <w:bidi w:val="0"/>
        <w:rPr>
          <w:rFonts w:hint="eastAsia"/>
          <w:color w:val="auto"/>
          <w:highlight w:val="none"/>
        </w:rPr>
      </w:pPr>
    </w:p>
    <w:p w14:paraId="07041ABC">
      <w:pPr>
        <w:bidi w:val="0"/>
        <w:rPr>
          <w:rFonts w:hint="eastAsia"/>
          <w:color w:val="auto"/>
          <w:highlight w:val="none"/>
        </w:rPr>
      </w:pPr>
    </w:p>
    <w:p w14:paraId="6F4468B5">
      <w:pPr>
        <w:bidi w:val="0"/>
        <w:rPr>
          <w:rFonts w:hint="eastAsia"/>
          <w:color w:val="auto"/>
          <w:highlight w:val="none"/>
        </w:rPr>
      </w:pPr>
    </w:p>
    <w:p w14:paraId="57999A62">
      <w:pPr>
        <w:bidi w:val="0"/>
        <w:rPr>
          <w:rFonts w:hint="eastAsia"/>
          <w:color w:val="auto"/>
          <w:highlight w:val="none"/>
        </w:rPr>
      </w:pPr>
    </w:p>
    <w:p w14:paraId="5D805491">
      <w:pPr>
        <w:bidi w:val="0"/>
        <w:rPr>
          <w:rFonts w:hint="eastAsia"/>
          <w:color w:val="auto"/>
          <w:highlight w:val="none"/>
        </w:rPr>
      </w:pPr>
    </w:p>
    <w:p w14:paraId="72847790">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42CFCC09">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64A740DA">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3AC288DB">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2798870D">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p>
    <w:p w14:paraId="0D0A995E">
      <w:pPr>
        <w:pStyle w:val="40"/>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u w:val="single"/>
        </w:rPr>
      </w:pPr>
    </w:p>
    <w:p w14:paraId="7B263C08">
      <w:pPr>
        <w:pStyle w:val="40"/>
        <w:widowControl w:val="0"/>
        <w:wordWrap w:val="0"/>
        <w:adjustRightInd w:val="0"/>
        <w:snapToGrid w:val="0"/>
        <w:spacing w:line="36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047CB103">
      <w:pPr>
        <w:bidi w:val="0"/>
        <w:rPr>
          <w:rFonts w:hint="eastAsia"/>
          <w:color w:val="auto"/>
          <w:highlight w:val="none"/>
        </w:rPr>
      </w:pPr>
    </w:p>
    <w:p w14:paraId="161DBC52">
      <w:pPr>
        <w:outlineLvl w:val="9"/>
        <w:rPr>
          <w:rFonts w:hint="eastAsia"/>
          <w:color w:val="auto"/>
          <w:highlight w:val="none"/>
        </w:rPr>
      </w:pPr>
    </w:p>
    <w:p w14:paraId="4C360526">
      <w:pPr>
        <w:spacing w:line="223" w:lineRule="auto"/>
        <w:rPr>
          <w:rFonts w:hint="eastAsia" w:ascii="宋体" w:hAnsi="宋体" w:eastAsia="宋体" w:cs="宋体"/>
          <w:color w:val="auto"/>
          <w:sz w:val="47"/>
          <w:szCs w:val="47"/>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3CA7821E">
      <w:pPr>
        <w:spacing w:before="78" w:line="220" w:lineRule="auto"/>
        <w:outlineLvl w:val="2"/>
        <w:rPr>
          <w:rFonts w:hint="eastAsia" w:ascii="宋体" w:hAnsi="宋体" w:eastAsia="宋体" w:cs="宋体"/>
          <w:b/>
          <w:bCs/>
          <w:color w:val="auto"/>
          <w:spacing w:val="-4"/>
          <w:sz w:val="24"/>
          <w:szCs w:val="24"/>
          <w:highlight w:val="none"/>
        </w:rPr>
      </w:pPr>
      <w:bookmarkStart w:id="222" w:name="_Toc24492"/>
      <w:r>
        <w:rPr>
          <w:rFonts w:hint="eastAsia" w:ascii="宋体" w:hAnsi="宋体" w:eastAsia="宋体" w:cs="宋体"/>
          <w:b/>
          <w:bCs/>
          <w:color w:val="auto"/>
          <w:spacing w:val="-4"/>
          <w:sz w:val="24"/>
          <w:szCs w:val="24"/>
          <w:highlight w:val="none"/>
        </w:rPr>
        <w:t>格式二 投标函</w:t>
      </w:r>
      <w:bookmarkEnd w:id="222"/>
    </w:p>
    <w:p w14:paraId="3DF173B2">
      <w:pPr>
        <w:pStyle w:val="6"/>
        <w:spacing w:line="261" w:lineRule="auto"/>
        <w:rPr>
          <w:rFonts w:hint="eastAsia" w:ascii="宋体" w:hAnsi="宋体" w:eastAsia="宋体" w:cs="宋体"/>
          <w:color w:val="auto"/>
          <w:highlight w:val="none"/>
        </w:rPr>
      </w:pPr>
    </w:p>
    <w:p w14:paraId="0BF10E10">
      <w:pPr>
        <w:spacing w:before="97" w:line="221" w:lineRule="auto"/>
        <w:ind w:left="3799"/>
        <w:outlineLvl w:val="9"/>
        <w:rPr>
          <w:rFonts w:hint="eastAsia" w:ascii="宋体" w:hAnsi="宋体" w:eastAsia="宋体" w:cs="宋体"/>
          <w:color w:val="auto"/>
          <w:sz w:val="30"/>
          <w:szCs w:val="30"/>
          <w:highlight w:val="none"/>
        </w:rPr>
      </w:pPr>
      <w:bookmarkStart w:id="223" w:name="bookmark148"/>
      <w:bookmarkEnd w:id="223"/>
      <w:bookmarkStart w:id="224" w:name="_Toc297"/>
      <w:bookmarkStart w:id="225" w:name="_Toc317"/>
      <w:bookmarkStart w:id="226" w:name="_Toc27397"/>
      <w:r>
        <w:rPr>
          <w:rFonts w:hint="eastAsia" w:ascii="宋体" w:hAnsi="宋体" w:eastAsia="宋体" w:cs="宋体"/>
          <w:b/>
          <w:bCs/>
          <w:color w:val="auto"/>
          <w:spacing w:val="-13"/>
          <w:sz w:val="30"/>
          <w:szCs w:val="30"/>
          <w:highlight w:val="none"/>
        </w:rPr>
        <w:t>投</w:t>
      </w:r>
      <w:r>
        <w:rPr>
          <w:rFonts w:hint="eastAsia" w:ascii="宋体" w:hAnsi="宋体" w:eastAsia="宋体" w:cs="宋体"/>
          <w:color w:val="auto"/>
          <w:spacing w:val="6"/>
          <w:sz w:val="30"/>
          <w:szCs w:val="30"/>
          <w:highlight w:val="none"/>
        </w:rPr>
        <w:t xml:space="preserve">  </w:t>
      </w:r>
      <w:r>
        <w:rPr>
          <w:rFonts w:hint="eastAsia" w:ascii="宋体" w:hAnsi="宋体" w:eastAsia="宋体" w:cs="宋体"/>
          <w:b/>
          <w:bCs/>
          <w:color w:val="auto"/>
          <w:spacing w:val="-13"/>
          <w:sz w:val="30"/>
          <w:szCs w:val="30"/>
          <w:highlight w:val="none"/>
        </w:rPr>
        <w:t>标</w:t>
      </w:r>
      <w:r>
        <w:rPr>
          <w:rFonts w:hint="eastAsia" w:ascii="宋体" w:hAnsi="宋体" w:eastAsia="宋体" w:cs="宋体"/>
          <w:color w:val="auto"/>
          <w:spacing w:val="17"/>
          <w:sz w:val="30"/>
          <w:szCs w:val="30"/>
          <w:highlight w:val="none"/>
        </w:rPr>
        <w:t xml:space="preserve">  </w:t>
      </w:r>
      <w:r>
        <w:rPr>
          <w:rFonts w:hint="eastAsia" w:ascii="宋体" w:hAnsi="宋体" w:eastAsia="宋体" w:cs="宋体"/>
          <w:b/>
          <w:bCs/>
          <w:color w:val="auto"/>
          <w:spacing w:val="-13"/>
          <w:sz w:val="30"/>
          <w:szCs w:val="30"/>
          <w:highlight w:val="none"/>
        </w:rPr>
        <w:t>函</w:t>
      </w:r>
      <w:bookmarkEnd w:id="224"/>
      <w:bookmarkEnd w:id="225"/>
      <w:bookmarkEnd w:id="226"/>
    </w:p>
    <w:p w14:paraId="5786DC1E">
      <w:pPr>
        <w:pStyle w:val="6"/>
        <w:spacing w:line="249" w:lineRule="auto"/>
        <w:rPr>
          <w:rFonts w:hint="eastAsia" w:ascii="宋体" w:hAnsi="宋体" w:eastAsia="宋体" w:cs="宋体"/>
          <w:color w:val="auto"/>
          <w:highlight w:val="none"/>
        </w:rPr>
      </w:pPr>
    </w:p>
    <w:p w14:paraId="72CE24CA">
      <w:pPr>
        <w:pStyle w:val="6"/>
        <w:spacing w:line="250" w:lineRule="auto"/>
        <w:rPr>
          <w:rFonts w:hint="eastAsia" w:ascii="宋体" w:hAnsi="宋体" w:eastAsia="宋体" w:cs="宋体"/>
          <w:color w:val="auto"/>
          <w:highlight w:val="none"/>
        </w:rPr>
      </w:pPr>
    </w:p>
    <w:p w14:paraId="168AB820">
      <w:pPr>
        <w:pStyle w:val="6"/>
        <w:spacing w:line="250" w:lineRule="auto"/>
        <w:rPr>
          <w:rFonts w:hint="eastAsia" w:ascii="宋体" w:hAnsi="宋体" w:eastAsia="宋体" w:cs="宋体"/>
          <w:color w:val="auto"/>
          <w:highlight w:val="none"/>
        </w:rPr>
      </w:pPr>
    </w:p>
    <w:p w14:paraId="01F0CE90">
      <w:pPr>
        <w:spacing w:before="78" w:line="221" w:lineRule="auto"/>
        <w:ind w:left="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致</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30"/>
          <w:sz w:val="24"/>
          <w:szCs w:val="24"/>
          <w:highlight w:val="none"/>
          <w:u w:val="single"/>
          <w:lang w:val="en-US" w:eastAsia="zh-CN"/>
        </w:rPr>
        <w:t xml:space="preserve">                    </w:t>
      </w:r>
      <w:r>
        <w:rPr>
          <w:rFonts w:hint="eastAsia" w:ascii="宋体" w:hAnsi="宋体" w:eastAsia="宋体" w:cs="宋体"/>
          <w:color w:val="auto"/>
          <w:spacing w:val="-30"/>
          <w:sz w:val="24"/>
          <w:szCs w:val="24"/>
          <w:highlight w:val="none"/>
        </w:rPr>
        <w:t>（</w:t>
      </w:r>
      <w:r>
        <w:rPr>
          <w:rFonts w:hint="eastAsia" w:ascii="宋体" w:hAnsi="宋体" w:eastAsia="宋体" w:cs="宋体"/>
          <w:color w:val="auto"/>
          <w:spacing w:val="7"/>
          <w:sz w:val="24"/>
          <w:szCs w:val="24"/>
          <w:highlight w:val="none"/>
        </w:rPr>
        <w:t>招标人名称）</w:t>
      </w:r>
    </w:p>
    <w:p w14:paraId="41AD49C9">
      <w:pPr>
        <w:pStyle w:val="6"/>
        <w:spacing w:before="156" w:line="328" w:lineRule="auto"/>
        <w:ind w:left="9" w:right="142" w:firstLine="589"/>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我方考察现场并充分研究</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12"/>
          <w:sz w:val="24"/>
          <w:szCs w:val="24"/>
          <w:highlight w:val="none"/>
        </w:rPr>
        <w:t>）（</w:t>
      </w:r>
      <w:r>
        <w:rPr>
          <w:rFonts w:hint="eastAsia" w:ascii="宋体" w:hAnsi="宋体" w:eastAsia="宋体" w:cs="宋体"/>
          <w:color w:val="auto"/>
          <w:sz w:val="24"/>
          <w:szCs w:val="24"/>
          <w:highlight w:val="none"/>
        </w:rPr>
        <w:t>以下简称“本项目</w:t>
      </w:r>
      <w:r>
        <w:rPr>
          <w:rFonts w:hint="eastAsia" w:ascii="宋体" w:hAnsi="宋体" w:eastAsia="宋体" w:cs="宋体"/>
          <w:color w:val="auto"/>
          <w:spacing w:val="-85"/>
          <w:sz w:val="24"/>
          <w:szCs w:val="24"/>
          <w:highlight w:val="none"/>
        </w:rPr>
        <w:t xml:space="preserve"> </w:t>
      </w:r>
      <w:r>
        <w:rPr>
          <w:rFonts w:hint="eastAsia" w:ascii="宋体" w:hAnsi="宋体" w:eastAsia="宋体" w:cs="宋体"/>
          <w:color w:val="auto"/>
          <w:sz w:val="24"/>
          <w:szCs w:val="24"/>
          <w:highlight w:val="none"/>
        </w:rPr>
        <w:t>”）招标文件</w:t>
      </w:r>
      <w:r>
        <w:rPr>
          <w:rFonts w:hint="eastAsia" w:ascii="宋体" w:hAnsi="宋体" w:eastAsia="宋体" w:cs="宋体"/>
          <w:color w:val="auto"/>
          <w:spacing w:val="-2"/>
          <w:sz w:val="24"/>
          <w:szCs w:val="24"/>
          <w:highlight w:val="none"/>
        </w:rPr>
        <w:t>所有内容后，结合自身资质、能力和特点，愿意接受招标文件的全部内容和条件，兹以</w:t>
      </w:r>
      <w:r>
        <w:rPr>
          <w:rFonts w:hint="eastAsia" w:ascii="宋体" w:hAnsi="宋体" w:eastAsia="宋体" w:cs="宋体"/>
          <w:color w:val="auto"/>
          <w:spacing w:val="-5"/>
          <w:sz w:val="24"/>
          <w:szCs w:val="24"/>
          <w:highlight w:val="none"/>
        </w:rPr>
        <w:t>人民币（大写</w:t>
      </w:r>
      <w:r>
        <w:rPr>
          <w:rFonts w:hint="eastAsia" w:ascii="宋体" w:hAnsi="宋体" w:eastAsia="宋体" w:cs="宋体"/>
          <w:color w:val="auto"/>
          <w:spacing w:val="2"/>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2"/>
          <w:sz w:val="24"/>
          <w:szCs w:val="24"/>
          <w:highlight w:val="none"/>
          <w:u w:val="single"/>
        </w:rPr>
        <w:t xml:space="preserve">       </w:t>
      </w:r>
      <w:r>
        <w:rPr>
          <w:rFonts w:hint="eastAsia" w:ascii="宋体" w:hAnsi="宋体" w:eastAsia="宋体" w:cs="宋体"/>
          <w:color w:val="auto"/>
          <w:spacing w:val="-32"/>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的投标总价竞投本项目施工。</w:t>
      </w:r>
    </w:p>
    <w:p w14:paraId="161A4CD5">
      <w:pPr>
        <w:spacing w:before="39" w:line="323" w:lineRule="auto"/>
        <w:ind w:right="142" w:firstLine="579"/>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在我方的上述投标总价中，包括：</w:t>
      </w:r>
      <w:r>
        <w:rPr>
          <w:rFonts w:hint="eastAsia" w:ascii="宋体" w:hAnsi="宋体" w:eastAsia="宋体" w:cs="宋体"/>
          <w:color w:val="auto"/>
          <w:spacing w:val="-2"/>
          <w:sz w:val="24"/>
          <w:szCs w:val="24"/>
          <w:highlight w:val="none"/>
          <w:lang w:val="en-US" w:eastAsia="zh-CN"/>
        </w:rPr>
        <w:t>安全生产措施费</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；暂列金额</w:t>
      </w:r>
      <w:r>
        <w:rPr>
          <w:rFonts w:hint="eastAsia" w:ascii="宋体" w:hAnsi="宋体" w:eastAsia="宋体" w:cs="宋体"/>
          <w:color w:val="auto"/>
          <w:spacing w:val="-2"/>
          <w:sz w:val="24"/>
          <w:szCs w:val="24"/>
          <w:highlight w:val="none"/>
          <w:u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3"/>
          <w:sz w:val="24"/>
          <w:szCs w:val="24"/>
          <w:highlight w:val="none"/>
          <w:u w:val="none"/>
          <w:lang w:eastAsia="zh-CN"/>
        </w:rPr>
        <w:t>；暂估价</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3"/>
          <w:sz w:val="24"/>
          <w:szCs w:val="24"/>
          <w:highlight w:val="none"/>
          <w:u w:val="single"/>
        </w:rPr>
        <w:t xml:space="preserve">                </w:t>
      </w:r>
      <w:r>
        <w:rPr>
          <w:rFonts w:hint="eastAsia" w:ascii="宋体" w:hAnsi="宋体" w:eastAsia="宋体" w:cs="宋体"/>
          <w:color w:val="auto"/>
          <w:spacing w:val="-8"/>
          <w:sz w:val="24"/>
          <w:szCs w:val="24"/>
          <w:highlight w:val="none"/>
        </w:rPr>
        <w:t>。</w:t>
      </w:r>
    </w:p>
    <w:p w14:paraId="4C81A754">
      <w:pPr>
        <w:spacing w:before="38" w:line="280" w:lineRule="auto"/>
        <w:ind w:left="13" w:right="142" w:firstLine="56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  如果我方中标，我方保证按照合同约定的开工日期开始本项目的施工</w:t>
      </w:r>
      <w:r>
        <w:rPr>
          <w:rFonts w:hint="eastAsia" w:ascii="宋体" w:hAnsi="宋体" w:eastAsia="宋体" w:cs="宋体"/>
          <w:color w:val="auto"/>
          <w:sz w:val="24"/>
          <w:szCs w:val="24"/>
          <w:highlight w:val="none"/>
        </w:rPr>
        <w:t>，</w:t>
      </w:r>
      <w:bookmarkStart w:id="227" w:name="OLE_LINK34"/>
      <w:r>
        <w:rPr>
          <w:rFonts w:hint="eastAsia" w:ascii="宋体" w:hAnsi="宋体" w:eastAsia="宋体" w:cs="宋体"/>
          <w:color w:val="auto"/>
          <w:sz w:val="24"/>
          <w:szCs w:val="24"/>
          <w:highlight w:val="none"/>
          <w:u w:val="single"/>
          <w:lang w:val="en-US" w:eastAsia="zh-CN"/>
        </w:rPr>
        <w:t xml:space="preserve">     </w:t>
      </w:r>
      <w:bookmarkEnd w:id="227"/>
      <w:r>
        <w:rPr>
          <w:rFonts w:hint="eastAsia" w:ascii="宋体" w:hAnsi="宋体" w:eastAsia="宋体" w:cs="宋体"/>
          <w:color w:val="auto"/>
          <w:sz w:val="24"/>
          <w:szCs w:val="24"/>
          <w:highlight w:val="none"/>
        </w:rPr>
        <w:t>个日历</w:t>
      </w:r>
      <w:r>
        <w:rPr>
          <w:rFonts w:hint="eastAsia" w:ascii="宋体" w:hAnsi="宋体" w:eastAsia="宋体" w:cs="宋体"/>
          <w:color w:val="auto"/>
          <w:spacing w:val="-1"/>
          <w:sz w:val="24"/>
          <w:szCs w:val="24"/>
          <w:highlight w:val="none"/>
        </w:rPr>
        <w:t>天内竣工，并确保工程质量达到</w:t>
      </w:r>
      <w:r>
        <w:rPr>
          <w:rFonts w:hint="eastAsia" w:ascii="宋体" w:hAnsi="宋体" w:eastAsia="宋体" w:cs="宋体"/>
          <w:color w:val="auto"/>
          <w:spacing w:val="-1"/>
          <w:sz w:val="24"/>
          <w:szCs w:val="24"/>
          <w:highlight w:val="none"/>
          <w:u w:val="single"/>
          <w:lang w:val="en-US" w:eastAsia="zh-CN"/>
        </w:rPr>
        <w:t xml:space="preserve">     </w:t>
      </w:r>
      <w:r>
        <w:rPr>
          <w:rFonts w:hint="eastAsia" w:ascii="宋体" w:hAnsi="宋体" w:eastAsia="宋体" w:cs="宋体"/>
          <w:color w:val="auto"/>
          <w:spacing w:val="-1"/>
          <w:sz w:val="24"/>
          <w:szCs w:val="24"/>
          <w:highlight w:val="none"/>
        </w:rPr>
        <w:t>标准和维修其中的任何缺陷。</w:t>
      </w:r>
    </w:p>
    <w:p w14:paraId="340342D2">
      <w:pPr>
        <w:spacing w:before="152" w:line="279" w:lineRule="auto"/>
        <w:ind w:left="11" w:right="142" w:firstLine="56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  本投标函在你方接收我方递交的投标文件之日起、到招标</w:t>
      </w:r>
      <w:r>
        <w:rPr>
          <w:rFonts w:hint="eastAsia" w:ascii="宋体" w:hAnsi="宋体" w:eastAsia="宋体" w:cs="宋体"/>
          <w:color w:val="auto"/>
          <w:sz w:val="24"/>
          <w:szCs w:val="24"/>
          <w:highlight w:val="none"/>
        </w:rPr>
        <w:t>文件规定的投标有效</w:t>
      </w:r>
      <w:r>
        <w:rPr>
          <w:rFonts w:hint="eastAsia" w:ascii="宋体" w:hAnsi="宋体" w:eastAsia="宋体" w:cs="宋体"/>
          <w:color w:val="auto"/>
          <w:spacing w:val="-1"/>
          <w:sz w:val="24"/>
          <w:szCs w:val="24"/>
          <w:highlight w:val="none"/>
        </w:rPr>
        <w:t>期期满前对我方具有约束力。我方随时准备接受你方发出的中标通知书。</w:t>
      </w:r>
    </w:p>
    <w:p w14:paraId="46E2E000">
      <w:pPr>
        <w:spacing w:before="156" w:line="279" w:lineRule="auto"/>
        <w:ind w:left="11" w:right="61" w:firstLine="5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z w:val="24"/>
          <w:szCs w:val="24"/>
          <w:highlight w:val="none"/>
        </w:rPr>
        <w:t>．我方在此声明，我方不存在本项目招标</w:t>
      </w:r>
      <w:r>
        <w:rPr>
          <w:rFonts w:hint="eastAsia" w:ascii="宋体" w:hAnsi="宋体" w:eastAsia="宋体" w:cs="宋体"/>
          <w:color w:val="auto"/>
          <w:spacing w:val="-1"/>
          <w:sz w:val="24"/>
          <w:szCs w:val="24"/>
          <w:highlight w:val="none"/>
        </w:rPr>
        <w:t>文件第一章第三节第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2.4</w:t>
      </w:r>
      <w:r>
        <w:rPr>
          <w:rFonts w:hint="eastAsia" w:ascii="宋体" w:hAnsi="宋体" w:eastAsia="宋体" w:cs="宋体"/>
          <w:b/>
          <w:bCs/>
          <w:color w:val="auto"/>
          <w:spacing w:val="16"/>
          <w:w w:val="101"/>
          <w:sz w:val="24"/>
          <w:szCs w:val="24"/>
          <w:highlight w:val="none"/>
        </w:rPr>
        <w:t xml:space="preserve"> </w:t>
      </w:r>
      <w:r>
        <w:rPr>
          <w:rFonts w:hint="eastAsia" w:ascii="宋体" w:hAnsi="宋体" w:eastAsia="宋体" w:cs="宋体"/>
          <w:color w:val="auto"/>
          <w:spacing w:val="-1"/>
          <w:sz w:val="24"/>
          <w:szCs w:val="24"/>
          <w:highlight w:val="none"/>
        </w:rPr>
        <w:t>条“禁止投标</w:t>
      </w:r>
      <w:r>
        <w:rPr>
          <w:rFonts w:hint="eastAsia" w:ascii="宋体" w:hAnsi="宋体" w:eastAsia="宋体" w:cs="宋体"/>
          <w:color w:val="auto"/>
          <w:spacing w:val="-6"/>
          <w:sz w:val="24"/>
          <w:szCs w:val="24"/>
          <w:highlight w:val="none"/>
        </w:rPr>
        <w:t>条款</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6"/>
          <w:sz w:val="24"/>
          <w:szCs w:val="24"/>
          <w:highlight w:val="none"/>
        </w:rPr>
        <w:t>”所列出的任何一种情形，并愿意承担因我</w:t>
      </w:r>
      <w:r>
        <w:rPr>
          <w:rFonts w:hint="eastAsia" w:ascii="宋体" w:hAnsi="宋体" w:eastAsia="宋体" w:cs="宋体"/>
          <w:color w:val="auto"/>
          <w:spacing w:val="-7"/>
          <w:sz w:val="24"/>
          <w:szCs w:val="24"/>
          <w:highlight w:val="none"/>
        </w:rPr>
        <w:t>方就此弄虚作假所引起的一切法律后果。</w:t>
      </w:r>
    </w:p>
    <w:p w14:paraId="1D33063C">
      <w:pPr>
        <w:spacing w:before="153" w:line="280" w:lineRule="auto"/>
        <w:ind w:left="9" w:right="142" w:firstLine="573"/>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2"/>
          <w:sz w:val="24"/>
          <w:szCs w:val="24"/>
          <w:highlight w:val="none"/>
        </w:rPr>
        <w:t>．我方在此承诺，所递交投标文件的全部内容均为真实、有效、准确的，并愿意承担因我方就此弄虚作假所引起的一切法律后果，同时理解和同意有可能被要求提供更</w:t>
      </w:r>
    </w:p>
    <w:p w14:paraId="02AEB5D4">
      <w:pPr>
        <w:spacing w:before="153" w:line="221" w:lineRule="auto"/>
        <w:ind w:left="20"/>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多的资料。</w:t>
      </w:r>
    </w:p>
    <w:p w14:paraId="1C092AD2">
      <w:pPr>
        <w:spacing w:before="153" w:line="326" w:lineRule="auto"/>
        <w:ind w:left="13" w:firstLine="56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6.  我方理解你方不一定要接纳收到的最低投标总价或任何投标总价的投标人中标，</w:t>
      </w:r>
      <w:r>
        <w:rPr>
          <w:rFonts w:hint="eastAsia" w:ascii="宋体" w:hAnsi="宋体" w:eastAsia="宋体" w:cs="宋体"/>
          <w:color w:val="auto"/>
          <w:spacing w:val="-1"/>
          <w:sz w:val="24"/>
          <w:szCs w:val="24"/>
          <w:highlight w:val="none"/>
        </w:rPr>
        <w:t>也不要求你方解释我方是否中标的原因。</w:t>
      </w:r>
    </w:p>
    <w:p w14:paraId="3BD0DAFE">
      <w:pPr>
        <w:pStyle w:val="6"/>
        <w:spacing w:line="276" w:lineRule="auto"/>
        <w:rPr>
          <w:rFonts w:hint="eastAsia" w:ascii="宋体" w:hAnsi="宋体" w:eastAsia="宋体" w:cs="宋体"/>
          <w:color w:val="auto"/>
          <w:highlight w:val="none"/>
        </w:rPr>
      </w:pPr>
    </w:p>
    <w:p w14:paraId="3340DC23">
      <w:pPr>
        <w:pStyle w:val="6"/>
        <w:spacing w:line="277" w:lineRule="auto"/>
        <w:rPr>
          <w:rFonts w:hint="eastAsia" w:ascii="宋体" w:hAnsi="宋体" w:eastAsia="宋体" w:cs="宋体"/>
          <w:color w:val="auto"/>
          <w:highlight w:val="none"/>
        </w:rPr>
      </w:pPr>
    </w:p>
    <w:p w14:paraId="6112F4BB">
      <w:pPr>
        <w:pStyle w:val="6"/>
        <w:spacing w:line="277" w:lineRule="auto"/>
        <w:rPr>
          <w:rFonts w:hint="eastAsia" w:ascii="宋体" w:hAnsi="宋体" w:eastAsia="宋体" w:cs="宋体"/>
          <w:color w:val="auto"/>
          <w:highlight w:val="none"/>
        </w:rPr>
      </w:pPr>
    </w:p>
    <w:p w14:paraId="3C3B5068">
      <w:pPr>
        <w:spacing w:before="79" w:line="219" w:lineRule="auto"/>
        <w:ind w:firstLine="5856" w:firstLineChars="240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1529BCF9">
      <w:pPr>
        <w:pStyle w:val="6"/>
        <w:spacing w:line="256" w:lineRule="auto"/>
        <w:jc w:val="right"/>
        <w:rPr>
          <w:rFonts w:hint="eastAsia" w:ascii="宋体" w:hAnsi="宋体" w:eastAsia="宋体" w:cs="宋体"/>
          <w:color w:val="auto"/>
          <w:highlight w:val="none"/>
        </w:rPr>
      </w:pPr>
    </w:p>
    <w:p w14:paraId="5D5796EA">
      <w:pPr>
        <w:pStyle w:val="6"/>
        <w:spacing w:line="256" w:lineRule="auto"/>
        <w:jc w:val="right"/>
        <w:rPr>
          <w:rFonts w:hint="eastAsia" w:ascii="宋体" w:hAnsi="宋体" w:eastAsia="宋体" w:cs="宋体"/>
          <w:color w:val="auto"/>
          <w:highlight w:val="none"/>
        </w:rPr>
      </w:pPr>
    </w:p>
    <w:p w14:paraId="077AAC23">
      <w:pPr>
        <w:spacing w:before="78" w:line="219" w:lineRule="auto"/>
        <w:ind w:left="3922"/>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4E670E0E">
      <w:pPr>
        <w:pStyle w:val="6"/>
        <w:spacing w:line="257" w:lineRule="auto"/>
        <w:rPr>
          <w:rFonts w:hint="eastAsia" w:ascii="宋体" w:hAnsi="宋体" w:eastAsia="宋体" w:cs="宋体"/>
          <w:color w:val="auto"/>
          <w:highlight w:val="none"/>
        </w:rPr>
      </w:pPr>
    </w:p>
    <w:p w14:paraId="3F18B311">
      <w:pPr>
        <w:pStyle w:val="6"/>
        <w:spacing w:line="257" w:lineRule="auto"/>
        <w:rPr>
          <w:rFonts w:hint="eastAsia" w:ascii="宋体" w:hAnsi="宋体" w:eastAsia="宋体" w:cs="宋体"/>
          <w:color w:val="auto"/>
          <w:highlight w:val="none"/>
        </w:rPr>
      </w:pPr>
    </w:p>
    <w:p w14:paraId="159419D8">
      <w:pPr>
        <w:spacing w:before="79" w:line="220" w:lineRule="auto"/>
        <w:ind w:left="697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9"/>
          <w:sz w:val="24"/>
          <w:szCs w:val="24"/>
          <w:highlight w:val="none"/>
        </w:rPr>
        <w:t>日</w:t>
      </w:r>
    </w:p>
    <w:p w14:paraId="440739B3">
      <w:pPr>
        <w:spacing w:line="220" w:lineRule="auto"/>
        <w:rPr>
          <w:rFonts w:hint="eastAsia" w:ascii="宋体" w:hAnsi="宋体" w:eastAsia="宋体" w:cs="宋体"/>
          <w:color w:val="auto"/>
          <w:sz w:val="24"/>
          <w:szCs w:val="24"/>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3F5E0DE7">
      <w:pPr>
        <w:spacing w:before="78" w:line="220" w:lineRule="auto"/>
        <w:outlineLvl w:val="2"/>
        <w:rPr>
          <w:rFonts w:hint="eastAsia" w:ascii="宋体" w:hAnsi="宋体" w:eastAsia="宋体" w:cs="宋体"/>
          <w:b/>
          <w:bCs/>
          <w:color w:val="auto"/>
          <w:spacing w:val="-4"/>
          <w:sz w:val="24"/>
          <w:szCs w:val="24"/>
          <w:highlight w:val="none"/>
        </w:rPr>
      </w:pPr>
      <w:bookmarkStart w:id="228" w:name="_Toc15958"/>
      <w:r>
        <w:rPr>
          <w:rFonts w:hint="eastAsia" w:ascii="宋体" w:hAnsi="宋体" w:eastAsia="宋体" w:cs="宋体"/>
          <w:b/>
          <w:bCs/>
          <w:color w:val="auto"/>
          <w:spacing w:val="-4"/>
          <w:sz w:val="24"/>
          <w:szCs w:val="24"/>
          <w:highlight w:val="none"/>
        </w:rPr>
        <w:t>格式三 各项承诺一览表</w:t>
      </w:r>
      <w:bookmarkEnd w:id="228"/>
    </w:p>
    <w:p w14:paraId="026AE8D0">
      <w:pPr>
        <w:pStyle w:val="6"/>
        <w:spacing w:line="254" w:lineRule="auto"/>
        <w:rPr>
          <w:rFonts w:hint="eastAsia" w:ascii="宋体" w:hAnsi="宋体" w:eastAsia="宋体" w:cs="宋体"/>
          <w:color w:val="auto"/>
          <w:highlight w:val="none"/>
        </w:rPr>
      </w:pPr>
    </w:p>
    <w:p w14:paraId="40480B0B">
      <w:pPr>
        <w:spacing w:before="98" w:line="220" w:lineRule="auto"/>
        <w:ind w:left="3581"/>
        <w:outlineLvl w:val="9"/>
        <w:rPr>
          <w:rFonts w:hint="eastAsia" w:ascii="宋体" w:hAnsi="宋体" w:eastAsia="宋体" w:cs="宋体"/>
          <w:color w:val="auto"/>
          <w:sz w:val="30"/>
          <w:szCs w:val="30"/>
          <w:highlight w:val="none"/>
        </w:rPr>
      </w:pPr>
      <w:bookmarkStart w:id="229" w:name="bookmark149"/>
      <w:bookmarkEnd w:id="229"/>
      <w:bookmarkStart w:id="230" w:name="_Toc2936"/>
      <w:bookmarkStart w:id="231" w:name="_Toc4767"/>
      <w:bookmarkStart w:id="232" w:name="_Toc10326"/>
      <w:r>
        <w:rPr>
          <w:rFonts w:hint="eastAsia" w:ascii="宋体" w:hAnsi="宋体" w:eastAsia="宋体" w:cs="宋体"/>
          <w:b/>
          <w:bCs/>
          <w:color w:val="auto"/>
          <w:spacing w:val="-5"/>
          <w:sz w:val="30"/>
          <w:szCs w:val="30"/>
          <w:highlight w:val="none"/>
        </w:rPr>
        <w:t>各项承诺一览表</w:t>
      </w:r>
      <w:bookmarkEnd w:id="230"/>
      <w:bookmarkEnd w:id="231"/>
      <w:bookmarkEnd w:id="232"/>
    </w:p>
    <w:p w14:paraId="1019DBE2">
      <w:pPr>
        <w:spacing w:before="6"/>
        <w:rPr>
          <w:rFonts w:hint="eastAsia" w:ascii="宋体" w:hAnsi="宋体" w:eastAsia="宋体" w:cs="宋体"/>
          <w:color w:val="auto"/>
          <w:highlight w:val="none"/>
        </w:rPr>
      </w:pPr>
    </w:p>
    <w:tbl>
      <w:tblPr>
        <w:tblStyle w:val="15"/>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1A644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014BDA62">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75" w:type="dxa"/>
            <w:vAlign w:val="top"/>
          </w:tcPr>
          <w:p w14:paraId="24E2BE57">
            <w:pPr>
              <w:keepNext w:val="0"/>
              <w:keepLines w:val="0"/>
              <w:pageBreakBefore w:val="0"/>
              <w:widowControl/>
              <w:kinsoku w:val="0"/>
              <w:wordWrap/>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承诺事项</w:t>
            </w:r>
          </w:p>
        </w:tc>
        <w:tc>
          <w:tcPr>
            <w:tcW w:w="3107" w:type="dxa"/>
            <w:vAlign w:val="top"/>
          </w:tcPr>
          <w:p w14:paraId="60AB79B6">
            <w:pPr>
              <w:keepNext w:val="0"/>
              <w:keepLines w:val="0"/>
              <w:pageBreakBefore w:val="0"/>
              <w:widowControl/>
              <w:kinsoku w:val="0"/>
              <w:wordWrap/>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承诺内容</w:t>
            </w:r>
          </w:p>
        </w:tc>
        <w:tc>
          <w:tcPr>
            <w:tcW w:w="4272" w:type="dxa"/>
            <w:vAlign w:val="top"/>
          </w:tcPr>
          <w:p w14:paraId="551DFBEF">
            <w:pPr>
              <w:keepNext w:val="0"/>
              <w:keepLines w:val="0"/>
              <w:pageBreakBefore w:val="0"/>
              <w:widowControl/>
              <w:kinsoku w:val="0"/>
              <w:wordWrap/>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违约承诺</w:t>
            </w:r>
          </w:p>
        </w:tc>
      </w:tr>
      <w:tr w14:paraId="2321D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4CB3F03F">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9FA0C6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5F17FF0">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BF339DF">
            <w:pPr>
              <w:keepNext w:val="0"/>
              <w:keepLines w:val="0"/>
              <w:pageBreakBefore w:val="0"/>
              <w:widowControl/>
              <w:kinsoku w:val="0"/>
              <w:wordWrap/>
              <w:overflowPunct/>
              <w:topLinePunct w:val="0"/>
              <w:autoSpaceDE w:val="0"/>
              <w:autoSpaceDN w:val="0"/>
              <w:bidi w:val="0"/>
              <w:adjustRightInd w:val="0"/>
              <w:snapToGrid w:val="0"/>
              <w:spacing w:before="58" w:line="288" w:lineRule="auto"/>
              <w:ind w:left="32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75" w:type="dxa"/>
            <w:vAlign w:val="top"/>
          </w:tcPr>
          <w:p w14:paraId="140F332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E9EEF94">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4D37E14">
            <w:pPr>
              <w:keepNext w:val="0"/>
              <w:keepLines w:val="0"/>
              <w:pageBreakBefore w:val="0"/>
              <w:widowControl/>
              <w:kinsoku w:val="0"/>
              <w:wordWrap/>
              <w:overflowPunct/>
              <w:topLinePunct w:val="0"/>
              <w:autoSpaceDE w:val="0"/>
              <w:autoSpaceDN w:val="0"/>
              <w:bidi w:val="0"/>
              <w:adjustRightInd w:val="0"/>
              <w:snapToGrid w:val="0"/>
              <w:spacing w:before="65" w:line="288" w:lineRule="auto"/>
              <w:ind w:left="57" w:right="50" w:firstLine="13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自愿接受招标</w:t>
            </w:r>
            <w:r>
              <w:rPr>
                <w:rFonts w:hint="eastAsia" w:ascii="宋体" w:hAnsi="宋体" w:eastAsia="宋体" w:cs="宋体"/>
                <w:color w:val="auto"/>
                <w:spacing w:val="8"/>
                <w:sz w:val="24"/>
                <w:szCs w:val="24"/>
                <w:highlight w:val="none"/>
              </w:rPr>
              <w:t>文件条款的承诺</w:t>
            </w:r>
          </w:p>
        </w:tc>
        <w:tc>
          <w:tcPr>
            <w:tcW w:w="3107" w:type="dxa"/>
            <w:vAlign w:val="top"/>
          </w:tcPr>
          <w:p w14:paraId="4843DD35">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D2370A6">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我方自愿接受招标文件的</w:t>
            </w:r>
            <w:r>
              <w:rPr>
                <w:rFonts w:hint="eastAsia" w:ascii="宋体" w:hAnsi="宋体" w:eastAsia="宋体" w:cs="宋体"/>
                <w:color w:val="auto"/>
                <w:spacing w:val="7"/>
                <w:sz w:val="24"/>
                <w:szCs w:val="24"/>
                <w:highlight w:val="none"/>
              </w:rPr>
              <w:t>所有条款，所递交的投标文件已</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23"/>
                <w:sz w:val="24"/>
                <w:szCs w:val="24"/>
                <w:highlight w:val="none"/>
              </w:rPr>
              <w:t>经充分响应招标文件的实质性</w:t>
            </w:r>
            <w:r>
              <w:rPr>
                <w:rFonts w:hint="eastAsia" w:ascii="宋体" w:hAnsi="宋体" w:eastAsia="宋体" w:cs="宋体"/>
                <w:color w:val="auto"/>
                <w:spacing w:val="3"/>
                <w:sz w:val="24"/>
                <w:szCs w:val="24"/>
                <w:highlight w:val="none"/>
              </w:rPr>
              <w:t>要求。</w:t>
            </w:r>
          </w:p>
        </w:tc>
        <w:tc>
          <w:tcPr>
            <w:tcW w:w="4272" w:type="dxa"/>
            <w:vAlign w:val="top"/>
          </w:tcPr>
          <w:p w14:paraId="57E88BE8">
            <w:pPr>
              <w:keepNext w:val="0"/>
              <w:keepLines w:val="0"/>
              <w:pageBreakBefore w:val="0"/>
              <w:widowControl/>
              <w:kinsoku w:val="0"/>
              <w:wordWrap/>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如果我方的投标文件未响应、违反、偏</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10"/>
                <w:sz w:val="24"/>
                <w:szCs w:val="24"/>
                <w:highlight w:val="none"/>
              </w:rPr>
              <w:t>离招标文件的实质性要求，我方接受招标人或其授权的招标代理机构或其组建的评标委员会依据招标文件作出的相应处理，包括否</w:t>
            </w:r>
            <w:r>
              <w:rPr>
                <w:rFonts w:hint="eastAsia" w:ascii="宋体" w:hAnsi="宋体" w:eastAsia="宋体" w:cs="宋体"/>
                <w:color w:val="auto"/>
                <w:spacing w:val="4"/>
                <w:sz w:val="24"/>
                <w:szCs w:val="24"/>
                <w:highlight w:val="none"/>
              </w:rPr>
              <w:t>决投标。</w:t>
            </w:r>
          </w:p>
        </w:tc>
      </w:tr>
      <w:tr w14:paraId="75D71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7A5045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629315E">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7FA171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75C41C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F1232F5">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8"/>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75" w:type="dxa"/>
            <w:vAlign w:val="top"/>
          </w:tcPr>
          <w:p w14:paraId="6C3EE17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E1826BD">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2131ED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0DEF1CA">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2" w:right="261" w:firstLine="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无禁止投标</w:t>
            </w:r>
            <w:r>
              <w:rPr>
                <w:rFonts w:hint="eastAsia" w:ascii="宋体" w:hAnsi="宋体" w:eastAsia="宋体" w:cs="宋体"/>
                <w:color w:val="auto"/>
                <w:spacing w:val="8"/>
                <w:sz w:val="24"/>
                <w:szCs w:val="24"/>
                <w:highlight w:val="none"/>
              </w:rPr>
              <w:t>情形的承诺</w:t>
            </w:r>
          </w:p>
        </w:tc>
        <w:tc>
          <w:tcPr>
            <w:tcW w:w="3107" w:type="dxa"/>
            <w:vAlign w:val="top"/>
          </w:tcPr>
          <w:p w14:paraId="5806933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EB24B0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3DC0748">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5"/>
                <w:sz w:val="24"/>
                <w:szCs w:val="24"/>
                <w:highlight w:val="none"/>
              </w:rPr>
              <w:t>我方不存在招标文件第一</w:t>
            </w:r>
            <w:r>
              <w:rPr>
                <w:rFonts w:hint="eastAsia" w:ascii="宋体" w:hAnsi="宋体" w:eastAsia="宋体" w:cs="宋体"/>
                <w:color w:val="auto"/>
                <w:spacing w:val="8"/>
                <w:sz w:val="24"/>
                <w:szCs w:val="24"/>
                <w:highlight w:val="none"/>
              </w:rPr>
              <w:t>章第三节第</w:t>
            </w:r>
            <w:r>
              <w:rPr>
                <w:rFonts w:hint="eastAsia" w:ascii="宋体" w:hAnsi="宋体" w:eastAsia="宋体" w:cs="宋体"/>
                <w:color w:val="auto"/>
                <w:spacing w:val="-35"/>
                <w:sz w:val="24"/>
                <w:szCs w:val="24"/>
                <w:highlight w:val="none"/>
              </w:rPr>
              <w:t xml:space="preserve"> </w:t>
            </w:r>
            <w:r>
              <w:rPr>
                <w:rFonts w:hint="eastAsia" w:ascii="宋体" w:hAnsi="宋体" w:eastAsia="宋体" w:cs="宋体"/>
                <w:b/>
                <w:bCs/>
                <w:color w:val="auto"/>
                <w:spacing w:val="8"/>
                <w:sz w:val="24"/>
                <w:szCs w:val="24"/>
                <w:highlight w:val="none"/>
              </w:rPr>
              <w:t>2.4</w:t>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8"/>
                <w:sz w:val="24"/>
                <w:szCs w:val="24"/>
                <w:highlight w:val="none"/>
              </w:rPr>
              <w:t>条“禁止投标条</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款</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6"/>
                <w:sz w:val="24"/>
                <w:szCs w:val="24"/>
                <w:highlight w:val="none"/>
              </w:rPr>
              <w:t>”规定的任何一种情形。</w:t>
            </w:r>
          </w:p>
        </w:tc>
        <w:tc>
          <w:tcPr>
            <w:tcW w:w="4272" w:type="dxa"/>
            <w:vAlign w:val="top"/>
          </w:tcPr>
          <w:p w14:paraId="373FA553">
            <w:pPr>
              <w:keepNext w:val="0"/>
              <w:keepLines w:val="0"/>
              <w:pageBreakBefore w:val="0"/>
              <w:widowControl/>
              <w:kinsoku w:val="0"/>
              <w:wordWrap/>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如果我方有招标文件第一章第三节第</w:t>
            </w:r>
            <w:r>
              <w:rPr>
                <w:rFonts w:hint="eastAsia" w:ascii="宋体" w:hAnsi="宋体" w:eastAsia="宋体" w:cs="宋体"/>
                <w:color w:val="auto"/>
                <w:spacing w:val="-27"/>
                <w:sz w:val="24"/>
                <w:szCs w:val="24"/>
                <w:highlight w:val="none"/>
              </w:rPr>
              <w:t xml:space="preserve"> </w:t>
            </w:r>
            <w:r>
              <w:rPr>
                <w:rFonts w:hint="eastAsia" w:ascii="宋体" w:hAnsi="宋体" w:eastAsia="宋体" w:cs="宋体"/>
                <w:b/>
                <w:bCs/>
                <w:color w:val="auto"/>
                <w:spacing w:val="6"/>
                <w:sz w:val="24"/>
                <w:szCs w:val="24"/>
                <w:highlight w:val="none"/>
              </w:rPr>
              <w:t>2.</w:t>
            </w:r>
            <w:r>
              <w:rPr>
                <w:rFonts w:hint="eastAsia" w:ascii="宋体" w:hAnsi="宋体" w:eastAsia="宋体" w:cs="宋体"/>
                <w:b/>
                <w:bCs/>
                <w:color w:val="auto"/>
                <w:spacing w:val="1"/>
                <w:sz w:val="24"/>
                <w:szCs w:val="24"/>
                <w:highlight w:val="none"/>
              </w:rPr>
              <w:t xml:space="preserve">4 </w:t>
            </w:r>
            <w:r>
              <w:rPr>
                <w:rFonts w:hint="eastAsia" w:ascii="宋体" w:hAnsi="宋体" w:eastAsia="宋体" w:cs="宋体"/>
                <w:color w:val="auto"/>
                <w:spacing w:val="1"/>
                <w:sz w:val="24"/>
                <w:szCs w:val="24"/>
                <w:highlight w:val="none"/>
              </w:rPr>
              <w:t>条“禁止投标条款</w:t>
            </w:r>
            <w:r>
              <w:rPr>
                <w:rFonts w:hint="eastAsia" w:ascii="宋体" w:hAnsi="宋体" w:eastAsia="宋体" w:cs="宋体"/>
                <w:color w:val="auto"/>
                <w:spacing w:val="-65"/>
                <w:sz w:val="24"/>
                <w:szCs w:val="24"/>
                <w:highlight w:val="none"/>
              </w:rPr>
              <w:t xml:space="preserve"> </w:t>
            </w:r>
            <w:r>
              <w:rPr>
                <w:rFonts w:hint="eastAsia" w:ascii="宋体" w:hAnsi="宋体" w:eastAsia="宋体" w:cs="宋体"/>
                <w:color w:val="auto"/>
                <w:spacing w:val="1"/>
                <w:sz w:val="24"/>
                <w:szCs w:val="24"/>
                <w:highlight w:val="none"/>
              </w:rPr>
              <w:t>”规定的任何一种情形，</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我方接受招标人或其授权的招标代理机构或</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其组建的评标委员会依据招标文件作出的相</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8"/>
                <w:sz w:val="24"/>
                <w:szCs w:val="24"/>
                <w:highlight w:val="none"/>
              </w:rPr>
              <w:t>应处理以及有关监督部门作出的行政处罚，</w:t>
            </w:r>
            <w:r>
              <w:rPr>
                <w:rFonts w:hint="eastAsia" w:ascii="宋体" w:hAnsi="宋体" w:eastAsia="宋体" w:cs="宋体"/>
                <w:color w:val="auto"/>
                <w:spacing w:val="6"/>
                <w:sz w:val="24"/>
                <w:szCs w:val="24"/>
                <w:highlight w:val="none"/>
              </w:rPr>
              <w:t>并承担由此引起的一切法律后果。</w:t>
            </w:r>
          </w:p>
        </w:tc>
      </w:tr>
      <w:tr w14:paraId="35D8E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50EF8F2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D82C04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A3747C5">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EFEA37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39286DF">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75" w:type="dxa"/>
            <w:vAlign w:val="top"/>
          </w:tcPr>
          <w:p w14:paraId="46D4F3AB">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B3E0218">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7908DE5">
            <w:pPr>
              <w:keepNext w:val="0"/>
              <w:keepLines w:val="0"/>
              <w:pageBreakBefore w:val="0"/>
              <w:widowControl/>
              <w:kinsoku w:val="0"/>
              <w:wordWrap/>
              <w:overflowPunct/>
              <w:topLinePunct w:val="0"/>
              <w:autoSpaceDE w:val="0"/>
              <w:autoSpaceDN w:val="0"/>
              <w:bidi w:val="0"/>
              <w:adjustRightInd w:val="0"/>
              <w:snapToGrid w:val="0"/>
              <w:spacing w:before="65" w:line="288" w:lineRule="auto"/>
              <w:ind w:left="19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自觉抵制围标</w:t>
            </w:r>
          </w:p>
          <w:p w14:paraId="24B6EC43">
            <w:pPr>
              <w:keepNext w:val="0"/>
              <w:keepLines w:val="0"/>
              <w:pageBreakBefore w:val="0"/>
              <w:widowControl/>
              <w:kinsoku w:val="0"/>
              <w:wordWrap/>
              <w:overflowPunct/>
              <w:topLinePunct w:val="0"/>
              <w:autoSpaceDE w:val="0"/>
              <w:autoSpaceDN w:val="0"/>
              <w:bidi w:val="0"/>
              <w:adjustRightInd w:val="0"/>
              <w:snapToGrid w:val="0"/>
              <w:spacing w:before="131" w:line="288" w:lineRule="auto"/>
              <w:ind w:left="2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串标和弄虚</w:t>
            </w:r>
          </w:p>
          <w:p w14:paraId="79AED1DA">
            <w:pPr>
              <w:keepNext w:val="0"/>
              <w:keepLines w:val="0"/>
              <w:pageBreakBefore w:val="0"/>
              <w:widowControl/>
              <w:kinsoku w:val="0"/>
              <w:wordWrap/>
              <w:overflowPunct/>
              <w:topLinePunct w:val="0"/>
              <w:autoSpaceDE w:val="0"/>
              <w:autoSpaceDN w:val="0"/>
              <w:bidi w:val="0"/>
              <w:adjustRightInd w:val="0"/>
              <w:snapToGrid w:val="0"/>
              <w:spacing w:before="133" w:line="288" w:lineRule="auto"/>
              <w:ind w:left="5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作假行为的承诺</w:t>
            </w:r>
          </w:p>
        </w:tc>
        <w:tc>
          <w:tcPr>
            <w:tcW w:w="3107" w:type="dxa"/>
            <w:vAlign w:val="top"/>
          </w:tcPr>
          <w:p w14:paraId="2BB2A63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B1E7220">
            <w:pPr>
              <w:keepNext w:val="0"/>
              <w:keepLines w:val="0"/>
              <w:pageBreakBefore w:val="0"/>
              <w:widowControl/>
              <w:kinsoku w:val="0"/>
              <w:wordWrap/>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我方合法正当、诚实守信地</w:t>
            </w:r>
            <w:r>
              <w:rPr>
                <w:rFonts w:hint="eastAsia" w:ascii="宋体" w:hAnsi="宋体" w:eastAsia="宋体" w:cs="宋体"/>
                <w:color w:val="auto"/>
                <w:spacing w:val="7"/>
                <w:sz w:val="24"/>
                <w:szCs w:val="24"/>
                <w:highlight w:val="none"/>
              </w:rPr>
              <w:t>参与投标，不组织、不参加围标串标违法行为，不通过弄虚作假</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6"/>
                <w:sz w:val="24"/>
                <w:szCs w:val="24"/>
                <w:highlight w:val="none"/>
              </w:rPr>
              <w:t>行为骗取中标。</w:t>
            </w:r>
          </w:p>
        </w:tc>
        <w:tc>
          <w:tcPr>
            <w:tcW w:w="4272" w:type="dxa"/>
            <w:vAlign w:val="top"/>
          </w:tcPr>
          <w:p w14:paraId="26B083FE">
            <w:pPr>
              <w:keepNext w:val="0"/>
              <w:keepLines w:val="0"/>
              <w:pageBreakBefore w:val="0"/>
              <w:widowControl/>
              <w:kinsoku w:val="0"/>
              <w:wordWrap/>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w:t>
            </w:r>
            <w:r>
              <w:rPr>
                <w:rFonts w:hint="eastAsia" w:ascii="宋体" w:hAnsi="宋体" w:eastAsia="宋体" w:cs="宋体"/>
                <w:color w:val="auto"/>
                <w:spacing w:val="7"/>
                <w:sz w:val="24"/>
                <w:szCs w:val="24"/>
                <w:highlight w:val="none"/>
              </w:rPr>
              <w:t>引起的一切法律后果。</w:t>
            </w:r>
          </w:p>
        </w:tc>
      </w:tr>
      <w:tr w14:paraId="2D9BB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132E4EFB">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409B33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DB6B00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EF032B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1490C1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E3CB086">
            <w:pPr>
              <w:keepNext w:val="0"/>
              <w:keepLines w:val="0"/>
              <w:pageBreakBefore w:val="0"/>
              <w:widowControl/>
              <w:kinsoku w:val="0"/>
              <w:wordWrap/>
              <w:overflowPunct/>
              <w:topLinePunct w:val="0"/>
              <w:autoSpaceDE w:val="0"/>
              <w:autoSpaceDN w:val="0"/>
              <w:bidi w:val="0"/>
              <w:adjustRightInd w:val="0"/>
              <w:snapToGrid w:val="0"/>
              <w:spacing w:before="58" w:line="288" w:lineRule="auto"/>
              <w:ind w:left="30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675" w:type="dxa"/>
            <w:vAlign w:val="top"/>
          </w:tcPr>
          <w:p w14:paraId="215074D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74C634D">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2C168CF">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1908086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AE96CB2">
            <w:pPr>
              <w:keepNext w:val="0"/>
              <w:keepLines w:val="0"/>
              <w:pageBreakBefore w:val="0"/>
              <w:widowControl/>
              <w:kinsoku w:val="0"/>
              <w:wordWrap/>
              <w:overflowPunct/>
              <w:topLinePunct w:val="0"/>
              <w:autoSpaceDE w:val="0"/>
              <w:autoSpaceDN w:val="0"/>
              <w:bidi w:val="0"/>
              <w:adjustRightInd w:val="0"/>
              <w:snapToGrid w:val="0"/>
              <w:spacing w:before="65" w:line="288" w:lineRule="auto"/>
              <w:ind w:left="369" w:right="367" w:firstLine="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r>
              <w:rPr>
                <w:rFonts w:hint="eastAsia" w:ascii="宋体" w:hAnsi="宋体" w:eastAsia="宋体" w:cs="宋体"/>
                <w:color w:val="auto"/>
                <w:spacing w:val="7"/>
                <w:sz w:val="24"/>
                <w:szCs w:val="24"/>
                <w:highlight w:val="none"/>
              </w:rPr>
              <w:t>任职承诺</w:t>
            </w:r>
          </w:p>
        </w:tc>
        <w:tc>
          <w:tcPr>
            <w:tcW w:w="3107" w:type="dxa"/>
            <w:vAlign w:val="top"/>
          </w:tcPr>
          <w:p w14:paraId="76EFB3E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9A627F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5BDC043">
            <w:pPr>
              <w:keepNext w:val="0"/>
              <w:keepLines w:val="0"/>
              <w:pageBreakBefore w:val="0"/>
              <w:widowControl/>
              <w:kinsoku w:val="0"/>
              <w:wordWrap/>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9"/>
                <w:sz w:val="24"/>
                <w:szCs w:val="24"/>
                <w:highlight w:val="none"/>
              </w:rPr>
              <w:t>我方拟派项目经理现阶段</w:t>
            </w:r>
            <w:r>
              <w:rPr>
                <w:rFonts w:hint="eastAsia" w:ascii="宋体" w:hAnsi="宋体" w:eastAsia="宋体" w:cs="宋体"/>
                <w:color w:val="auto"/>
                <w:spacing w:val="7"/>
                <w:sz w:val="24"/>
                <w:szCs w:val="24"/>
                <w:highlight w:val="none"/>
              </w:rPr>
              <w:t>没有担任任何在施（包括已中标</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未开工、已开工未竣工）建设工</w:t>
            </w:r>
            <w:r>
              <w:rPr>
                <w:rFonts w:hint="eastAsia" w:ascii="宋体" w:hAnsi="宋体" w:eastAsia="宋体" w:cs="宋体"/>
                <w:color w:val="auto"/>
                <w:spacing w:val="5"/>
                <w:sz w:val="24"/>
                <w:szCs w:val="24"/>
                <w:highlight w:val="none"/>
              </w:rPr>
              <w:t xml:space="preserve"> </w:t>
            </w:r>
            <w:r>
              <w:rPr>
                <w:rFonts w:hint="eastAsia" w:ascii="宋体" w:hAnsi="宋体" w:eastAsia="宋体" w:cs="宋体"/>
                <w:color w:val="auto"/>
                <w:spacing w:val="7"/>
                <w:sz w:val="24"/>
                <w:szCs w:val="24"/>
                <w:highlight w:val="none"/>
              </w:rPr>
              <w:t>程项目的项目经理。</w:t>
            </w:r>
          </w:p>
        </w:tc>
        <w:tc>
          <w:tcPr>
            <w:tcW w:w="4272" w:type="dxa"/>
            <w:vAlign w:val="top"/>
          </w:tcPr>
          <w:p w14:paraId="5743E675">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如果我方拟派项目经理在本项目招标投</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标活动期间有担任其他任何在施（包括已中标未开工、已开工未竣工）建设工程项目的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项目经理，我方接受招标人或其授权的招标</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7"/>
                <w:sz w:val="24"/>
                <w:szCs w:val="24"/>
                <w:highlight w:val="none"/>
              </w:rPr>
              <w:t>代理机构或其组建的评标委员会依据招标文件作出的相应处理以及有关监督部门作出的</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z w:val="24"/>
                <w:szCs w:val="24"/>
                <w:highlight w:val="none"/>
              </w:rPr>
              <w:t>行政处罚，并承担由此引起的一切法律后果。</w:t>
            </w:r>
          </w:p>
        </w:tc>
      </w:tr>
      <w:tr w14:paraId="72FB26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4E3D8D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F025A1B">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B6C23FF">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4"/>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675" w:type="dxa"/>
            <w:vAlign w:val="top"/>
          </w:tcPr>
          <w:p w14:paraId="55EAC14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878D575">
            <w:pPr>
              <w:keepNext w:val="0"/>
              <w:keepLines w:val="0"/>
              <w:pageBreakBefore w:val="0"/>
              <w:widowControl/>
              <w:kinsoku w:val="0"/>
              <w:wordWrap/>
              <w:overflowPunct/>
              <w:topLinePunct w:val="0"/>
              <w:autoSpaceDE w:val="0"/>
              <w:autoSpaceDN w:val="0"/>
              <w:bidi w:val="0"/>
              <w:adjustRightInd w:val="0"/>
              <w:snapToGrid w:val="0"/>
              <w:spacing w:before="65" w:line="288" w:lineRule="auto"/>
              <w:ind w:left="267" w:right="261" w:firstLine="105"/>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真实性承诺</w:t>
            </w:r>
          </w:p>
        </w:tc>
        <w:tc>
          <w:tcPr>
            <w:tcW w:w="3107" w:type="dxa"/>
            <w:vAlign w:val="top"/>
          </w:tcPr>
          <w:p w14:paraId="18597784">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456CE76">
            <w:pPr>
              <w:keepNext w:val="0"/>
              <w:keepLines w:val="0"/>
              <w:pageBreakBefore w:val="0"/>
              <w:widowControl/>
              <w:kinsoku w:val="0"/>
              <w:wordWrap/>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我方所递交投标文件的全</w:t>
            </w:r>
            <w:r>
              <w:rPr>
                <w:rFonts w:hint="eastAsia" w:ascii="宋体" w:hAnsi="宋体" w:eastAsia="宋体" w:cs="宋体"/>
                <w:color w:val="auto"/>
                <w:spacing w:val="-7"/>
                <w:sz w:val="24"/>
                <w:szCs w:val="24"/>
                <w:highlight w:val="none"/>
              </w:rPr>
              <w:t>部内容均为真实、有效、准确的。</w:t>
            </w:r>
          </w:p>
        </w:tc>
        <w:tc>
          <w:tcPr>
            <w:tcW w:w="4272" w:type="dxa"/>
            <w:vAlign w:val="top"/>
          </w:tcPr>
          <w:p w14:paraId="5795EA48">
            <w:pPr>
              <w:keepNext w:val="0"/>
              <w:keepLines w:val="0"/>
              <w:pageBreakBefore w:val="0"/>
              <w:widowControl/>
              <w:kinsoku w:val="0"/>
              <w:wordWrap/>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如果我方递交的投标文件任何内容不真实或无效或不准确，我方接受招标人或其授权的招标代理机构或其组建的评标委员会依</w:t>
            </w:r>
            <w:r>
              <w:rPr>
                <w:rFonts w:hint="eastAsia" w:ascii="宋体" w:hAnsi="宋体" w:eastAsia="宋体" w:cs="宋体"/>
                <w:color w:val="auto"/>
                <w:sz w:val="24"/>
                <w:szCs w:val="24"/>
                <w:highlight w:val="none"/>
              </w:rPr>
              <w:t>据招标文件作出的相应处理，包括否决投标。</w:t>
            </w:r>
          </w:p>
        </w:tc>
      </w:tr>
      <w:tr w14:paraId="51603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top"/>
          </w:tcPr>
          <w:p w14:paraId="49BD0024">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CCB262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FE2C9E7">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3"/>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p w14:paraId="32AB978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drawing>
                <wp:anchor distT="0" distB="0" distL="114300" distR="114300" simplePos="0" relativeHeight="251662336"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3"/>
                          <a:stretch>
                            <a:fillRect/>
                          </a:stretch>
                        </pic:blipFill>
                        <pic:spPr>
                          <a:xfrm>
                            <a:off x="0" y="0"/>
                            <a:ext cx="6350" cy="241300"/>
                          </a:xfrm>
                          <a:prstGeom prst="rect">
                            <a:avLst/>
                          </a:prstGeom>
                          <a:noFill/>
                          <a:ln>
                            <a:noFill/>
                          </a:ln>
                        </pic:spPr>
                      </pic:pic>
                    </a:graphicData>
                  </a:graphic>
                </wp:anchor>
              </w:drawing>
            </w:r>
          </w:p>
        </w:tc>
        <w:tc>
          <w:tcPr>
            <w:tcW w:w="1675" w:type="dxa"/>
            <w:vAlign w:val="top"/>
          </w:tcPr>
          <w:p w14:paraId="030C31BE">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0294887">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投标文件</w:t>
            </w:r>
          </w:p>
          <w:p w14:paraId="143CB162">
            <w:pPr>
              <w:keepNext w:val="0"/>
              <w:keepLines w:val="0"/>
              <w:pageBreakBefore w:val="0"/>
              <w:widowControl/>
              <w:kinsoku w:val="0"/>
              <w:wordWrap/>
              <w:overflowPunct/>
              <w:topLinePunct w:val="0"/>
              <w:autoSpaceDE w:val="0"/>
              <w:autoSpaceDN w:val="0"/>
              <w:bidi w:val="0"/>
              <w:adjustRightInd w:val="0"/>
              <w:snapToGrid w:val="0"/>
              <w:spacing w:line="288" w:lineRule="auto"/>
              <w:ind w:left="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信息公开承诺</w:t>
            </w:r>
          </w:p>
        </w:tc>
        <w:tc>
          <w:tcPr>
            <w:tcW w:w="3107" w:type="dxa"/>
            <w:vAlign w:val="top"/>
          </w:tcPr>
          <w:p w14:paraId="18B580A3">
            <w:pPr>
              <w:keepNext w:val="0"/>
              <w:keepLines w:val="0"/>
              <w:pageBreakBefore w:val="0"/>
              <w:widowControl/>
              <w:kinsoku w:val="0"/>
              <w:wordWrap/>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我方提供完整的文件。如果</w:t>
            </w:r>
            <w:r>
              <w:rPr>
                <w:rFonts w:hint="eastAsia" w:ascii="宋体" w:hAnsi="宋体" w:eastAsia="宋体" w:cs="宋体"/>
                <w:color w:val="auto"/>
                <w:spacing w:val="7"/>
                <w:sz w:val="24"/>
                <w:szCs w:val="24"/>
                <w:highlight w:val="none"/>
              </w:rPr>
              <w:t>我方成为本项目中标候选人，我</w:t>
            </w:r>
            <w:r>
              <w:rPr>
                <w:rFonts w:hint="eastAsia" w:ascii="宋体" w:hAnsi="宋体" w:eastAsia="宋体" w:cs="宋体"/>
                <w:color w:val="auto"/>
                <w:spacing w:val="23"/>
                <w:sz w:val="24"/>
                <w:szCs w:val="24"/>
                <w:highlight w:val="none"/>
              </w:rPr>
              <w:t>方同意并授权招标人在评标结果公示期内公开我方商务标书</w:t>
            </w:r>
            <w:r>
              <w:rPr>
                <w:rFonts w:hint="eastAsia" w:ascii="宋体" w:hAnsi="宋体" w:eastAsia="宋体" w:cs="宋体"/>
                <w:color w:val="auto"/>
                <w:spacing w:val="3"/>
                <w:sz w:val="24"/>
                <w:szCs w:val="24"/>
                <w:highlight w:val="none"/>
              </w:rPr>
              <w:t>的全部内容。</w:t>
            </w:r>
          </w:p>
        </w:tc>
        <w:tc>
          <w:tcPr>
            <w:tcW w:w="4272" w:type="dxa"/>
            <w:vAlign w:val="top"/>
          </w:tcPr>
          <w:p w14:paraId="58689A3B">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19050</wp:posOffset>
                      </wp:positionV>
                      <wp:extent cx="2698750" cy="1539875"/>
                      <wp:effectExtent l="3175" t="5715" r="3175" b="16510"/>
                      <wp:wrapNone/>
                      <wp:docPr id="23" name="直接连接符 23"/>
                      <wp:cNvGraphicFramePr/>
                      <a:graphic xmlns:a="http://schemas.openxmlformats.org/drawingml/2006/main">
                        <a:graphicData uri="http://schemas.microsoft.com/office/word/2010/wordprocessingShape">
                          <wps:wsp>
                            <wps:cNvCnPr/>
                            <wps:spPr>
                              <a:xfrm flipV="1">
                                <a:off x="4209415" y="1651000"/>
                                <a:ext cx="2698750" cy="1539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05pt;margin-top:1.5pt;height:121.25pt;width:212.5pt;z-index:251660288;mso-width-relative:page;mso-height-relative:page;" filled="f" stroked="t" coordsize="21600,21600" o:gfxdata="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qIdPdQAAAAHAQAADwAAAAAAAAABACAAAAAiAAAAZHJzL2Rvd25y&#10;ZXYueG1sUEsBAhQAFAAAAAgAh07iQNS38qICAgAA0AMAAA4AAAAAAAAAAQAgAAAAIwEAAGRycy9l&#10;Mm9Eb2MueG1sUEsFBgAAAAAGAAYAWQEAAJcFAAAAAA==&#10;">
                      <v:fill on="f" focussize="0,0"/>
                      <v:stroke weight="1pt" color="#4874CB [3204]" miterlimit="8" joinstyle="miter"/>
                      <v:imagedata o:title=""/>
                      <o:lock v:ext="edit" aspectratio="f"/>
                    </v:line>
                  </w:pict>
                </mc:Fallback>
              </mc:AlternateContent>
            </w:r>
          </w:p>
          <w:p w14:paraId="7B63BF6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365EE97">
            <w:pPr>
              <w:keepNext w:val="0"/>
              <w:keepLines w:val="0"/>
              <w:pageBreakBefore w:val="0"/>
              <w:widowControl/>
              <w:kinsoku w:val="0"/>
              <w:wordWrap/>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z w:val="24"/>
                <w:szCs w:val="24"/>
                <w:highlight w:val="none"/>
              </w:rPr>
            </w:pPr>
          </w:p>
        </w:tc>
      </w:tr>
      <w:tr w14:paraId="3B05B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top"/>
          </w:tcPr>
          <w:p w14:paraId="4FE4BF02">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599883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BAF5C8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FE97F0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B2A9F3E">
            <w:pPr>
              <w:keepNext w:val="0"/>
              <w:keepLines w:val="0"/>
              <w:pageBreakBefore w:val="0"/>
              <w:widowControl/>
              <w:kinsoku w:val="0"/>
              <w:wordWrap/>
              <w:overflowPunct/>
              <w:topLinePunct w:val="0"/>
              <w:autoSpaceDE w:val="0"/>
              <w:autoSpaceDN w:val="0"/>
              <w:bidi w:val="0"/>
              <w:adjustRightInd w:val="0"/>
              <w:snapToGrid w:val="0"/>
              <w:spacing w:before="57"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675" w:type="dxa"/>
            <w:vAlign w:val="top"/>
          </w:tcPr>
          <w:p w14:paraId="43163C3D">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21584682">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3628BCDB">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17B4F23B">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对不正常报价</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4"/>
                <w:sz w:val="24"/>
                <w:szCs w:val="24"/>
                <w:highlight w:val="none"/>
              </w:rPr>
              <w:t>的确认承诺</w:t>
            </w:r>
          </w:p>
        </w:tc>
        <w:tc>
          <w:tcPr>
            <w:tcW w:w="3107" w:type="dxa"/>
            <w:vAlign w:val="top"/>
          </w:tcPr>
          <w:p w14:paraId="7ED4B132">
            <w:pPr>
              <w:keepNext w:val="0"/>
              <w:keepLines w:val="0"/>
              <w:pageBreakBefore w:val="0"/>
              <w:widowControl/>
              <w:kinsoku w:val="0"/>
              <w:wordWrap/>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如果我方中标，我方接受招</w:t>
            </w:r>
            <w:r>
              <w:rPr>
                <w:rFonts w:hint="eastAsia" w:ascii="宋体" w:hAnsi="宋体" w:eastAsia="宋体" w:cs="宋体"/>
                <w:color w:val="auto"/>
                <w:spacing w:val="23"/>
                <w:sz w:val="24"/>
                <w:szCs w:val="24"/>
                <w:highlight w:val="none"/>
              </w:rPr>
              <w:t>标人在合同订立期间依据招标文件有关条款约定对我方已标价工程量清单中不正常报价的</w:t>
            </w:r>
            <w:r>
              <w:rPr>
                <w:rFonts w:hint="eastAsia" w:ascii="宋体" w:hAnsi="宋体" w:eastAsia="宋体" w:cs="宋体"/>
                <w:color w:val="auto"/>
                <w:spacing w:val="7"/>
                <w:sz w:val="24"/>
                <w:szCs w:val="24"/>
                <w:highlight w:val="none"/>
              </w:rPr>
              <w:t>修正或认定，并按要求签署《不</w:t>
            </w:r>
            <w:r>
              <w:rPr>
                <w:rFonts w:hint="eastAsia" w:ascii="宋体" w:hAnsi="宋体" w:eastAsia="宋体" w:cs="宋体"/>
                <w:color w:val="auto"/>
                <w:spacing w:val="8"/>
                <w:sz w:val="24"/>
                <w:szCs w:val="24"/>
                <w:highlight w:val="none"/>
              </w:rPr>
              <w:t>正常报价清单》加以确认。</w:t>
            </w:r>
          </w:p>
        </w:tc>
        <w:tc>
          <w:tcPr>
            <w:tcW w:w="4272" w:type="dxa"/>
            <w:vAlign w:val="top"/>
          </w:tcPr>
          <w:p w14:paraId="45890CD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r>
              <w:rPr>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26035</wp:posOffset>
                      </wp:positionV>
                      <wp:extent cx="2706370" cy="1920875"/>
                      <wp:effectExtent l="3810" t="5080" r="13970" b="17145"/>
                      <wp:wrapNone/>
                      <wp:docPr id="24" name="直接连接符 24"/>
                      <wp:cNvGraphicFramePr/>
                      <a:graphic xmlns:a="http://schemas.openxmlformats.org/drawingml/2006/main">
                        <a:graphicData uri="http://schemas.microsoft.com/office/word/2010/wordprocessingShape">
                          <wps:wsp>
                            <wps:cNvCnPr/>
                            <wps:spPr>
                              <a:xfrm flipV="1">
                                <a:off x="4217670" y="3238500"/>
                                <a:ext cx="2706370" cy="192087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0.6pt;margin-top:2.05pt;height:151.25pt;width:213.1pt;z-index:251661312;mso-width-relative:page;mso-height-relative:page;" filled="f" stroked="t" coordsize="21600,21600" o:gfxdata="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7HjHtdIAAAAHAQAADwAAAAAAAAABACAAAAAiAAAAZHJzL2Rvd25y&#10;ZXYueG1sUEsBAhQAFAAAAAgAh07iQBDx3nQEAgAA0AMAAA4AAAAAAAAAAQAgAAAAIQEAAGRycy9l&#10;Mm9Eb2MueG1sUEsFBgAAAAAGAAYAWQEAAJcFAAAAAA==&#10;">
                      <v:fill on="f" focussize="0,0"/>
                      <v:stroke weight="1pt" color="#4874CB [3204]" miterlimit="8" joinstyle="miter"/>
                      <v:imagedata o:title=""/>
                      <o:lock v:ext="edit" aspectratio="f"/>
                    </v:line>
                  </w:pict>
                </mc:Fallback>
              </mc:AlternateContent>
            </w:r>
          </w:p>
          <w:p w14:paraId="5F28B8B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6D395E9">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940329C">
            <w:pPr>
              <w:keepNext w:val="0"/>
              <w:keepLines w:val="0"/>
              <w:pageBreakBefore w:val="0"/>
              <w:widowControl/>
              <w:kinsoku w:val="0"/>
              <w:wordWrap/>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z w:val="24"/>
                <w:szCs w:val="24"/>
                <w:highlight w:val="none"/>
              </w:rPr>
            </w:pPr>
          </w:p>
        </w:tc>
      </w:tr>
      <w:tr w14:paraId="7BD2A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0EAD56D7">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FE0E6B3">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96F77DE">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21867D0E">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7"/>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675" w:type="dxa"/>
            <w:vAlign w:val="top"/>
          </w:tcPr>
          <w:p w14:paraId="723303EA">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0BBA9BD9">
            <w:pPr>
              <w:pStyle w:val="22"/>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p>
          <w:p w14:paraId="5CC084B4">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按时提交履约</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7"/>
                <w:sz w:val="24"/>
                <w:szCs w:val="24"/>
                <w:highlight w:val="none"/>
              </w:rPr>
              <w:t>保证的承诺</w:t>
            </w:r>
          </w:p>
        </w:tc>
        <w:tc>
          <w:tcPr>
            <w:tcW w:w="3107" w:type="dxa"/>
            <w:vAlign w:val="top"/>
          </w:tcPr>
          <w:p w14:paraId="7B61A6B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1FDB927">
            <w:pPr>
              <w:keepNext w:val="0"/>
              <w:keepLines w:val="0"/>
              <w:pageBreakBefore w:val="0"/>
              <w:widowControl/>
              <w:kinsoku w:val="0"/>
              <w:wordWrap/>
              <w:overflowPunct/>
              <w:topLinePunct w:val="0"/>
              <w:autoSpaceDE w:val="0"/>
              <w:autoSpaceDN w:val="0"/>
              <w:bidi w:val="0"/>
              <w:adjustRightInd w:val="0"/>
              <w:snapToGrid w:val="0"/>
              <w:spacing w:line="288" w:lineRule="auto"/>
              <w:ind w:left="11"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招标文件规定的时限内全额提</w:t>
            </w:r>
            <w:r>
              <w:rPr>
                <w:rFonts w:hint="eastAsia" w:ascii="宋体" w:hAnsi="宋体" w:eastAsia="宋体" w:cs="宋体"/>
                <w:color w:val="auto"/>
                <w:spacing w:val="6"/>
                <w:sz w:val="24"/>
                <w:szCs w:val="24"/>
                <w:highlight w:val="none"/>
              </w:rPr>
              <w:t>交履约保证。</w:t>
            </w:r>
          </w:p>
        </w:tc>
        <w:tc>
          <w:tcPr>
            <w:tcW w:w="4272" w:type="dxa"/>
            <w:vAlign w:val="top"/>
          </w:tcPr>
          <w:p w14:paraId="37B7C163">
            <w:pPr>
              <w:keepNext w:val="0"/>
              <w:keepLines w:val="0"/>
              <w:pageBreakBefore w:val="0"/>
              <w:widowControl/>
              <w:kinsoku w:val="0"/>
              <w:wordWrap/>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如果我方未在招标文件规定的时限内全</w:t>
            </w:r>
            <w:r>
              <w:rPr>
                <w:rFonts w:hint="eastAsia" w:ascii="宋体" w:hAnsi="宋体" w:eastAsia="宋体" w:cs="宋体"/>
                <w:color w:val="auto"/>
                <w:spacing w:val="3"/>
                <w:sz w:val="24"/>
                <w:szCs w:val="24"/>
                <w:highlight w:val="none"/>
              </w:rPr>
              <w:t xml:space="preserve"> </w:t>
            </w:r>
            <w:r>
              <w:rPr>
                <w:rFonts w:hint="eastAsia" w:ascii="宋体" w:hAnsi="宋体" w:eastAsia="宋体" w:cs="宋体"/>
                <w:color w:val="auto"/>
                <w:spacing w:val="9"/>
                <w:sz w:val="24"/>
                <w:szCs w:val="24"/>
                <w:highlight w:val="none"/>
              </w:rPr>
              <w:t>额提交履约保证，我方接受招标人依据招标文件作出的相应处理以及有关监督部门作出的行政处罚，并承担由此引起的一切法律后</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果。</w:t>
            </w:r>
          </w:p>
        </w:tc>
      </w:tr>
      <w:tr w14:paraId="208D9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30120DE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5046E4C">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7ECA051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6042F4FA">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5D371D4C">
            <w:pPr>
              <w:keepNext w:val="0"/>
              <w:keepLines w:val="0"/>
              <w:pageBreakBefore w:val="0"/>
              <w:widowControl/>
              <w:kinsoku w:val="0"/>
              <w:wordWrap/>
              <w:overflowPunct/>
              <w:topLinePunct w:val="0"/>
              <w:autoSpaceDE w:val="0"/>
              <w:autoSpaceDN w:val="0"/>
              <w:bidi w:val="0"/>
              <w:adjustRightInd w:val="0"/>
              <w:snapToGrid w:val="0"/>
              <w:spacing w:before="58" w:line="288" w:lineRule="auto"/>
              <w:ind w:left="312"/>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675" w:type="dxa"/>
            <w:vAlign w:val="top"/>
          </w:tcPr>
          <w:p w14:paraId="18DB3F26">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459BCC8F">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39A4BCB">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0452B58C">
            <w:pPr>
              <w:keepNext w:val="0"/>
              <w:keepLines w:val="0"/>
              <w:pageBreakBefore w:val="0"/>
              <w:widowControl/>
              <w:kinsoku w:val="0"/>
              <w:wordWrap/>
              <w:overflowPunct/>
              <w:topLinePunct w:val="0"/>
              <w:autoSpaceDE w:val="0"/>
              <w:autoSpaceDN w:val="0"/>
              <w:bidi w:val="0"/>
              <w:adjustRightInd w:val="0"/>
              <w:snapToGrid w:val="0"/>
              <w:spacing w:line="288" w:lineRule="auto"/>
              <w:ind w:left="0" w:right="0" w:firstLine="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按时签订合同</w:t>
            </w:r>
            <w:r>
              <w:rPr>
                <w:rFonts w:hint="eastAsia" w:ascii="宋体" w:hAnsi="宋体" w:eastAsia="宋体" w:cs="宋体"/>
                <w:color w:val="auto"/>
                <w:spacing w:val="1"/>
                <w:sz w:val="24"/>
                <w:szCs w:val="24"/>
                <w:highlight w:val="none"/>
              </w:rPr>
              <w:t>的承诺</w:t>
            </w:r>
          </w:p>
        </w:tc>
        <w:tc>
          <w:tcPr>
            <w:tcW w:w="3107" w:type="dxa"/>
            <w:vAlign w:val="top"/>
          </w:tcPr>
          <w:p w14:paraId="745A5CAB">
            <w:pPr>
              <w:pStyle w:val="22"/>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z w:val="24"/>
                <w:szCs w:val="24"/>
                <w:highlight w:val="none"/>
              </w:rPr>
            </w:pPr>
          </w:p>
          <w:p w14:paraId="3044BA3E">
            <w:pPr>
              <w:keepNext w:val="0"/>
              <w:keepLines w:val="0"/>
              <w:pageBreakBefore w:val="0"/>
              <w:widowControl/>
              <w:kinsoku w:val="0"/>
              <w:wordWrap/>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如果我方中标，我方保证在</w:t>
            </w:r>
            <w:r>
              <w:rPr>
                <w:rFonts w:hint="eastAsia" w:ascii="宋体" w:hAnsi="宋体" w:eastAsia="宋体" w:cs="宋体"/>
                <w:color w:val="auto"/>
                <w:spacing w:val="23"/>
                <w:sz w:val="24"/>
                <w:szCs w:val="24"/>
                <w:highlight w:val="none"/>
              </w:rPr>
              <w:t>招标文件规定的时限内与招标</w:t>
            </w:r>
            <w:r>
              <w:rPr>
                <w:rFonts w:hint="eastAsia" w:ascii="宋体" w:hAnsi="宋体" w:eastAsia="宋体" w:cs="宋体"/>
                <w:color w:val="auto"/>
                <w:spacing w:val="7"/>
                <w:sz w:val="24"/>
                <w:szCs w:val="24"/>
                <w:highlight w:val="none"/>
              </w:rPr>
              <w:t>人签订合同，不提出违背或超出</w:t>
            </w:r>
            <w:r>
              <w:rPr>
                <w:rFonts w:hint="eastAsia" w:ascii="宋体" w:hAnsi="宋体" w:eastAsia="宋体" w:cs="宋体"/>
                <w:color w:val="auto"/>
                <w:spacing w:val="8"/>
                <w:sz w:val="24"/>
                <w:szCs w:val="24"/>
                <w:highlight w:val="none"/>
              </w:rPr>
              <w:t>招标文件、中标文件的要求。</w:t>
            </w:r>
          </w:p>
        </w:tc>
        <w:tc>
          <w:tcPr>
            <w:tcW w:w="4272" w:type="dxa"/>
            <w:vAlign w:val="top"/>
          </w:tcPr>
          <w:p w14:paraId="1F95DB8F">
            <w:pPr>
              <w:keepNext w:val="0"/>
              <w:keepLines w:val="0"/>
              <w:pageBreakBefore w:val="0"/>
              <w:widowControl/>
              <w:kinsoku w:val="0"/>
              <w:wordWrap/>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如果我方未在招标文件规定的时限内与招标人签订合同，或我方在签订合同过程中</w:t>
            </w:r>
            <w:r>
              <w:rPr>
                <w:rFonts w:hint="eastAsia" w:ascii="宋体" w:hAnsi="宋体" w:eastAsia="宋体" w:cs="宋体"/>
                <w:color w:val="auto"/>
                <w:sz w:val="24"/>
                <w:szCs w:val="24"/>
                <w:highlight w:val="none"/>
              </w:rPr>
              <w:t>提出违背或超出招标文件、中标文件的要求。</w:t>
            </w:r>
            <w:r>
              <w:rPr>
                <w:rFonts w:hint="eastAsia" w:ascii="宋体" w:hAnsi="宋体" w:eastAsia="宋体" w:cs="宋体"/>
                <w:color w:val="auto"/>
                <w:spacing w:val="2"/>
                <w:sz w:val="24"/>
                <w:szCs w:val="24"/>
                <w:highlight w:val="none"/>
              </w:rPr>
              <w:t xml:space="preserve"> </w:t>
            </w:r>
            <w:r>
              <w:rPr>
                <w:rFonts w:hint="eastAsia" w:ascii="宋体" w:hAnsi="宋体" w:eastAsia="宋体" w:cs="宋体"/>
                <w:color w:val="auto"/>
                <w:spacing w:val="7"/>
                <w:sz w:val="24"/>
                <w:szCs w:val="24"/>
                <w:highlight w:val="none"/>
              </w:rPr>
              <w:t>我方接受招标人依据招标文件作出的相应处</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7"/>
                <w:sz w:val="24"/>
                <w:szCs w:val="24"/>
                <w:highlight w:val="none"/>
              </w:rPr>
              <w:t>理以及有关监督部门作出的行政处罚，并承</w:t>
            </w:r>
            <w:r>
              <w:rPr>
                <w:rFonts w:hint="eastAsia" w:ascii="宋体" w:hAnsi="宋体" w:eastAsia="宋体" w:cs="宋体"/>
                <w:color w:val="auto"/>
                <w:spacing w:val="5"/>
                <w:sz w:val="24"/>
                <w:szCs w:val="24"/>
                <w:highlight w:val="none"/>
              </w:rPr>
              <w:t>担由此引起的一切法律后果。</w:t>
            </w:r>
          </w:p>
        </w:tc>
      </w:tr>
    </w:tbl>
    <w:p w14:paraId="1280BF8E">
      <w:pPr>
        <w:spacing w:before="78" w:line="219" w:lineRule="auto"/>
        <w:ind w:firstLine="6832" w:firstLineChars="2800"/>
        <w:jc w:val="both"/>
        <w:rPr>
          <w:rFonts w:hint="eastAsia" w:ascii="宋体" w:hAnsi="宋体" w:eastAsia="宋体" w:cs="宋体"/>
          <w:color w:val="auto"/>
          <w:spacing w:val="2"/>
          <w:sz w:val="24"/>
          <w:szCs w:val="24"/>
          <w:highlight w:val="none"/>
        </w:rPr>
      </w:pPr>
    </w:p>
    <w:p w14:paraId="2CF50268">
      <w:pPr>
        <w:spacing w:before="78" w:line="219" w:lineRule="auto"/>
        <w:ind w:firstLine="6832" w:firstLineChars="280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2D917528">
      <w:pPr>
        <w:pStyle w:val="6"/>
        <w:spacing w:line="297" w:lineRule="auto"/>
        <w:jc w:val="right"/>
        <w:rPr>
          <w:rFonts w:hint="eastAsia" w:ascii="宋体" w:hAnsi="宋体" w:eastAsia="宋体" w:cs="宋体"/>
          <w:color w:val="auto"/>
          <w:highlight w:val="none"/>
        </w:rPr>
      </w:pPr>
    </w:p>
    <w:p w14:paraId="6AF2FDE1">
      <w:pPr>
        <w:spacing w:before="78" w:line="219" w:lineRule="auto"/>
        <w:ind w:left="4366"/>
        <w:jc w:val="right"/>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28353B88">
      <w:pPr>
        <w:outlineLvl w:val="9"/>
        <w:rPr>
          <w:rFonts w:hint="eastAsia"/>
          <w:color w:val="auto"/>
          <w:highlight w:val="none"/>
        </w:rPr>
      </w:pPr>
    </w:p>
    <w:p w14:paraId="4D59FD44">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4DEAF14D">
      <w:pPr>
        <w:spacing w:line="220" w:lineRule="auto"/>
        <w:jc w:val="right"/>
        <w:rPr>
          <w:rFonts w:hint="eastAsia" w:ascii="宋体" w:hAnsi="宋体" w:eastAsia="宋体" w:cs="宋体"/>
          <w:color w:val="auto"/>
          <w:sz w:val="24"/>
          <w:szCs w:val="24"/>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E08E517">
      <w:pPr>
        <w:spacing w:before="78" w:line="220" w:lineRule="auto"/>
        <w:outlineLvl w:val="2"/>
        <w:rPr>
          <w:rFonts w:hint="eastAsia" w:ascii="宋体" w:hAnsi="宋体" w:eastAsia="宋体" w:cs="宋体"/>
          <w:b/>
          <w:bCs/>
          <w:color w:val="auto"/>
          <w:spacing w:val="-4"/>
          <w:sz w:val="24"/>
          <w:szCs w:val="24"/>
          <w:highlight w:val="none"/>
        </w:rPr>
      </w:pPr>
      <w:bookmarkStart w:id="233" w:name="_Toc16537"/>
      <w:r>
        <w:rPr>
          <w:rFonts w:hint="eastAsia" w:ascii="宋体" w:hAnsi="宋体" w:eastAsia="宋体" w:cs="宋体"/>
          <w:b/>
          <w:bCs/>
          <w:color w:val="auto"/>
          <w:spacing w:val="-4"/>
          <w:sz w:val="24"/>
          <w:szCs w:val="24"/>
          <w:highlight w:val="none"/>
        </w:rPr>
        <w:t>格式四 授权委托书</w:t>
      </w:r>
      <w:bookmarkEnd w:id="233"/>
    </w:p>
    <w:p w14:paraId="52D6B1AC">
      <w:pPr>
        <w:pStyle w:val="6"/>
        <w:spacing w:line="351" w:lineRule="auto"/>
        <w:rPr>
          <w:rFonts w:hint="eastAsia" w:ascii="宋体" w:hAnsi="宋体" w:eastAsia="宋体" w:cs="宋体"/>
          <w:color w:val="auto"/>
          <w:highlight w:val="none"/>
        </w:rPr>
      </w:pPr>
    </w:p>
    <w:p w14:paraId="4FF0C18E">
      <w:pPr>
        <w:pStyle w:val="6"/>
        <w:spacing w:line="351" w:lineRule="auto"/>
        <w:rPr>
          <w:rFonts w:hint="eastAsia" w:ascii="宋体" w:hAnsi="宋体" w:eastAsia="宋体" w:cs="宋体"/>
          <w:color w:val="auto"/>
          <w:highlight w:val="none"/>
        </w:rPr>
      </w:pPr>
    </w:p>
    <w:p w14:paraId="392E9734">
      <w:pPr>
        <w:spacing w:before="97" w:line="219" w:lineRule="auto"/>
        <w:ind w:left="3786"/>
        <w:rPr>
          <w:rFonts w:hint="eastAsia" w:ascii="宋体" w:hAnsi="宋体" w:eastAsia="宋体" w:cs="宋体"/>
          <w:color w:val="auto"/>
          <w:sz w:val="30"/>
          <w:szCs w:val="30"/>
          <w:highlight w:val="none"/>
        </w:rPr>
      </w:pPr>
      <w:bookmarkStart w:id="234" w:name="bookmark151"/>
      <w:bookmarkEnd w:id="234"/>
      <w:r>
        <w:rPr>
          <w:rFonts w:hint="eastAsia" w:ascii="宋体" w:hAnsi="宋体" w:eastAsia="宋体" w:cs="宋体"/>
          <w:b/>
          <w:bCs/>
          <w:color w:val="auto"/>
          <w:spacing w:val="-5"/>
          <w:sz w:val="30"/>
          <w:szCs w:val="30"/>
          <w:highlight w:val="none"/>
        </w:rPr>
        <w:t>授权委托书</w:t>
      </w:r>
    </w:p>
    <w:p w14:paraId="04F88440">
      <w:pPr>
        <w:pStyle w:val="6"/>
        <w:spacing w:line="250" w:lineRule="auto"/>
        <w:rPr>
          <w:rFonts w:hint="eastAsia" w:ascii="宋体" w:hAnsi="宋体" w:eastAsia="宋体" w:cs="宋体"/>
          <w:color w:val="auto"/>
          <w:highlight w:val="none"/>
        </w:rPr>
      </w:pPr>
    </w:p>
    <w:p w14:paraId="2017F5C3">
      <w:pPr>
        <w:pStyle w:val="6"/>
        <w:spacing w:line="250" w:lineRule="auto"/>
        <w:rPr>
          <w:rFonts w:hint="eastAsia" w:ascii="宋体" w:hAnsi="宋体" w:eastAsia="宋体" w:cs="宋体"/>
          <w:color w:val="auto"/>
          <w:highlight w:val="none"/>
        </w:rPr>
      </w:pPr>
    </w:p>
    <w:p w14:paraId="05FEBBB4">
      <w:pPr>
        <w:pStyle w:val="6"/>
        <w:spacing w:line="251" w:lineRule="auto"/>
        <w:rPr>
          <w:rFonts w:hint="eastAsia" w:ascii="宋体" w:hAnsi="宋体" w:eastAsia="宋体" w:cs="宋体"/>
          <w:color w:val="auto"/>
          <w:highlight w:val="none"/>
        </w:rPr>
      </w:pPr>
    </w:p>
    <w:p w14:paraId="751DBC02">
      <w:pPr>
        <w:spacing w:before="78" w:line="330" w:lineRule="auto"/>
        <w:ind w:firstLine="481"/>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8"/>
          <w:highlight w:val="none"/>
          <w:lang w:eastAsia="zh-CN"/>
        </w:rPr>
        <w:t>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snapToGrid w:val="0"/>
          <w:color w:val="auto"/>
          <w:kern w:val="0"/>
          <w:sz w:val="24"/>
          <w:szCs w:val="28"/>
          <w:highlight w:val="none"/>
          <w:u w:val="single"/>
          <w:lang w:eastAsia="zh-CN"/>
        </w:rPr>
        <w:t>（项目名称）</w:t>
      </w:r>
      <w:r>
        <w:rPr>
          <w:rFonts w:hint="eastAsia" w:ascii="宋体" w:hAnsi="宋体" w:eastAsia="宋体" w:cs="宋体"/>
          <w:snapToGrid w:val="0"/>
          <w:color w:val="auto"/>
          <w:kern w:val="0"/>
          <w:sz w:val="24"/>
          <w:szCs w:val="28"/>
          <w:highlight w:val="none"/>
          <w:lang w:eastAsia="zh-CN"/>
        </w:rPr>
        <w:t xml:space="preserve"> 投标文件、签订合同和处理有关事宜，其法律后果由我方承担。</w:t>
      </w:r>
    </w:p>
    <w:p w14:paraId="2653EF0D">
      <w:pPr>
        <w:spacing w:before="32" w:line="320" w:lineRule="auto"/>
        <w:ind w:left="480" w:right="497"/>
        <w:rPr>
          <w:rFonts w:hint="eastAsia" w:ascii="宋体" w:hAnsi="宋体" w:eastAsia="宋体" w:cs="宋体"/>
          <w:color w:val="auto"/>
          <w:spacing w:val="15"/>
          <w:sz w:val="24"/>
          <w:szCs w:val="24"/>
          <w:highlight w:val="none"/>
        </w:rPr>
      </w:pPr>
      <w:r>
        <w:rPr>
          <w:rFonts w:hint="eastAsia" w:ascii="宋体" w:hAnsi="宋体" w:eastAsia="宋体" w:cs="宋体"/>
          <w:color w:val="auto"/>
          <w:spacing w:val="-9"/>
          <w:sz w:val="24"/>
          <w:szCs w:val="24"/>
          <w:highlight w:val="none"/>
        </w:rPr>
        <w:t>委托期限：至</w:t>
      </w:r>
      <w:r>
        <w:rPr>
          <w:rFonts w:hint="eastAsia" w:ascii="宋体" w:hAnsi="宋体" w:eastAsia="宋体" w:cs="宋体"/>
          <w:color w:val="auto"/>
          <w:spacing w:val="-9"/>
          <w:sz w:val="24"/>
          <w:szCs w:val="24"/>
          <w:highlight w:val="none"/>
          <w:u w:val="single"/>
        </w:rPr>
        <w:t xml:space="preserve">     年   月    日</w:t>
      </w:r>
      <w:r>
        <w:rPr>
          <w:rFonts w:hint="eastAsia" w:ascii="宋体" w:hAnsi="宋体" w:eastAsia="宋体" w:cs="宋体"/>
          <w:i/>
          <w:iCs/>
          <w:color w:val="auto"/>
          <w:spacing w:val="-9"/>
          <w:sz w:val="25"/>
          <w:szCs w:val="25"/>
          <w:highlight w:val="none"/>
          <w:u w:val="single"/>
        </w:rPr>
        <w:t>（不得短于招标文件规定的投标有效期）</w:t>
      </w:r>
      <w:r>
        <w:rPr>
          <w:rFonts w:hint="eastAsia" w:ascii="宋体" w:hAnsi="宋体" w:eastAsia="宋体" w:cs="宋体"/>
          <w:color w:val="auto"/>
          <w:spacing w:val="-9"/>
          <w:sz w:val="25"/>
          <w:szCs w:val="25"/>
          <w:highlight w:val="none"/>
        </w:rPr>
        <w:t xml:space="preserve"> </w:t>
      </w:r>
      <w:r>
        <w:rPr>
          <w:rFonts w:hint="eastAsia" w:ascii="宋体" w:hAnsi="宋体" w:eastAsia="宋体" w:cs="宋体"/>
          <w:color w:val="auto"/>
          <w:spacing w:val="-9"/>
          <w:sz w:val="24"/>
          <w:szCs w:val="24"/>
          <w:highlight w:val="none"/>
        </w:rPr>
        <w:t>。</w:t>
      </w:r>
      <w:r>
        <w:rPr>
          <w:rFonts w:hint="eastAsia" w:ascii="宋体" w:hAnsi="宋体" w:eastAsia="宋体" w:cs="宋体"/>
          <w:color w:val="auto"/>
          <w:spacing w:val="15"/>
          <w:sz w:val="24"/>
          <w:szCs w:val="24"/>
          <w:highlight w:val="none"/>
        </w:rPr>
        <w:t xml:space="preserve"> </w:t>
      </w:r>
    </w:p>
    <w:p w14:paraId="7CF2436B">
      <w:pPr>
        <w:spacing w:before="32" w:line="320" w:lineRule="auto"/>
        <w:ind w:left="480" w:right="497"/>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代理人无转委托权。</w:t>
      </w:r>
    </w:p>
    <w:p w14:paraId="0C0A40E6">
      <w:pPr>
        <w:pStyle w:val="6"/>
        <w:spacing w:line="276" w:lineRule="auto"/>
        <w:rPr>
          <w:rFonts w:hint="eastAsia" w:ascii="宋体" w:hAnsi="宋体" w:eastAsia="宋体" w:cs="宋体"/>
          <w:color w:val="auto"/>
          <w:highlight w:val="none"/>
        </w:rPr>
      </w:pPr>
    </w:p>
    <w:p w14:paraId="418B1FBB">
      <w:pPr>
        <w:pStyle w:val="6"/>
        <w:spacing w:line="277" w:lineRule="auto"/>
        <w:rPr>
          <w:rFonts w:hint="eastAsia" w:ascii="宋体" w:hAnsi="宋体" w:eastAsia="宋体" w:cs="宋体"/>
          <w:color w:val="auto"/>
          <w:highlight w:val="none"/>
        </w:rPr>
      </w:pPr>
    </w:p>
    <w:p w14:paraId="0ECC62DD">
      <w:pPr>
        <w:pStyle w:val="6"/>
        <w:spacing w:line="277" w:lineRule="auto"/>
        <w:rPr>
          <w:rFonts w:hint="eastAsia" w:ascii="宋体" w:hAnsi="宋体" w:eastAsia="宋体" w:cs="宋体"/>
          <w:color w:val="auto"/>
          <w:highlight w:val="none"/>
        </w:rPr>
      </w:pPr>
    </w:p>
    <w:p w14:paraId="7120C750">
      <w:pPr>
        <w:spacing w:before="78" w:line="219" w:lineRule="auto"/>
        <w:ind w:left="3123"/>
        <w:jc w:val="righ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投  标  人</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pacing w:val="4"/>
          <w:sz w:val="24"/>
          <w:szCs w:val="24"/>
          <w:highlight w:val="none"/>
        </w:rPr>
        <w:t>盖单位章）</w:t>
      </w:r>
    </w:p>
    <w:p w14:paraId="51DF3B0D">
      <w:pPr>
        <w:pStyle w:val="6"/>
        <w:spacing w:line="317" w:lineRule="auto"/>
        <w:jc w:val="right"/>
        <w:rPr>
          <w:rFonts w:hint="eastAsia" w:ascii="宋体" w:hAnsi="宋体" w:eastAsia="宋体" w:cs="宋体"/>
          <w:color w:val="auto"/>
          <w:highlight w:val="none"/>
        </w:rPr>
      </w:pPr>
    </w:p>
    <w:p w14:paraId="387F00A4">
      <w:pPr>
        <w:pStyle w:val="6"/>
        <w:spacing w:line="317" w:lineRule="auto"/>
        <w:jc w:val="right"/>
        <w:rPr>
          <w:rFonts w:hint="eastAsia" w:ascii="宋体" w:hAnsi="宋体" w:eastAsia="宋体" w:cs="宋体"/>
          <w:color w:val="auto"/>
          <w:highlight w:val="none"/>
        </w:rPr>
      </w:pPr>
    </w:p>
    <w:p w14:paraId="1CDD9DC5">
      <w:pPr>
        <w:pStyle w:val="6"/>
        <w:spacing w:line="317" w:lineRule="auto"/>
        <w:jc w:val="right"/>
        <w:rPr>
          <w:rFonts w:hint="eastAsia" w:ascii="宋体" w:hAnsi="宋体" w:eastAsia="宋体" w:cs="宋体"/>
          <w:color w:val="auto"/>
          <w:highlight w:val="none"/>
        </w:rPr>
      </w:pPr>
    </w:p>
    <w:p w14:paraId="65F4BA3B">
      <w:pPr>
        <w:spacing w:before="79" w:line="219" w:lineRule="auto"/>
        <w:ind w:left="3121"/>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2"/>
          <w:sz w:val="24"/>
          <w:szCs w:val="24"/>
          <w:highlight w:val="none"/>
        </w:rPr>
        <w:t>签字或盖章）</w:t>
      </w:r>
    </w:p>
    <w:p w14:paraId="596BE95B">
      <w:pPr>
        <w:pStyle w:val="6"/>
        <w:spacing w:line="317" w:lineRule="auto"/>
        <w:jc w:val="right"/>
        <w:rPr>
          <w:rFonts w:hint="eastAsia" w:ascii="宋体" w:hAnsi="宋体" w:eastAsia="宋体" w:cs="宋体"/>
          <w:color w:val="auto"/>
          <w:highlight w:val="none"/>
        </w:rPr>
      </w:pPr>
    </w:p>
    <w:p w14:paraId="19BDFE69">
      <w:pPr>
        <w:pStyle w:val="6"/>
        <w:spacing w:line="317" w:lineRule="auto"/>
        <w:jc w:val="right"/>
        <w:rPr>
          <w:rFonts w:hint="eastAsia" w:ascii="宋体" w:hAnsi="宋体" w:eastAsia="宋体" w:cs="宋体"/>
          <w:color w:val="auto"/>
          <w:highlight w:val="none"/>
        </w:rPr>
      </w:pPr>
    </w:p>
    <w:p w14:paraId="1EA7C1F1">
      <w:pPr>
        <w:pStyle w:val="6"/>
        <w:spacing w:line="317" w:lineRule="auto"/>
        <w:jc w:val="right"/>
        <w:rPr>
          <w:rFonts w:hint="eastAsia" w:ascii="宋体" w:hAnsi="宋体" w:eastAsia="宋体" w:cs="宋体"/>
          <w:color w:val="auto"/>
          <w:highlight w:val="none"/>
        </w:rPr>
      </w:pPr>
    </w:p>
    <w:p w14:paraId="1D10DF0C">
      <w:pPr>
        <w:spacing w:before="78" w:line="219" w:lineRule="auto"/>
        <w:ind w:left="2880"/>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委托代理人</w:t>
      </w:r>
      <w:r>
        <w:rPr>
          <w:rFonts w:hint="eastAsia" w:ascii="宋体" w:hAnsi="宋体" w:eastAsia="宋体" w:cs="宋体"/>
          <w:color w:val="auto"/>
          <w:spacing w:val="-16"/>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6"/>
          <w:sz w:val="24"/>
          <w:szCs w:val="24"/>
          <w:highlight w:val="none"/>
        </w:rPr>
        <w:t>（</w:t>
      </w:r>
      <w:r>
        <w:rPr>
          <w:rFonts w:hint="eastAsia" w:ascii="宋体" w:hAnsi="宋体" w:eastAsia="宋体" w:cs="宋体"/>
          <w:color w:val="auto"/>
          <w:spacing w:val="2"/>
          <w:sz w:val="24"/>
          <w:szCs w:val="24"/>
          <w:highlight w:val="none"/>
        </w:rPr>
        <w:t>签字或盖章）</w:t>
      </w:r>
    </w:p>
    <w:p w14:paraId="5B063E8A">
      <w:pPr>
        <w:pStyle w:val="6"/>
        <w:spacing w:line="256" w:lineRule="auto"/>
        <w:jc w:val="right"/>
        <w:rPr>
          <w:rFonts w:hint="eastAsia" w:ascii="宋体" w:hAnsi="宋体" w:eastAsia="宋体" w:cs="宋体"/>
          <w:color w:val="auto"/>
          <w:highlight w:val="none"/>
        </w:rPr>
      </w:pPr>
    </w:p>
    <w:p w14:paraId="492E95D9">
      <w:pPr>
        <w:pStyle w:val="6"/>
        <w:spacing w:line="256" w:lineRule="auto"/>
        <w:jc w:val="right"/>
        <w:rPr>
          <w:rFonts w:hint="eastAsia" w:ascii="宋体" w:hAnsi="宋体" w:eastAsia="宋体" w:cs="宋体"/>
          <w:color w:val="auto"/>
          <w:highlight w:val="none"/>
        </w:rPr>
      </w:pPr>
    </w:p>
    <w:p w14:paraId="116EE129">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528954B">
      <w:pPr>
        <w:spacing w:before="78" w:line="220" w:lineRule="auto"/>
        <w:ind w:left="4201"/>
        <w:jc w:val="right"/>
        <w:rPr>
          <w:rFonts w:hint="eastAsia" w:ascii="宋体" w:hAnsi="宋体" w:eastAsia="宋体" w:cs="宋体"/>
          <w:color w:val="auto"/>
          <w:sz w:val="24"/>
          <w:szCs w:val="24"/>
          <w:highlight w:val="none"/>
        </w:rPr>
      </w:pPr>
    </w:p>
    <w:p w14:paraId="6285CC3E">
      <w:pPr>
        <w:spacing w:before="69"/>
        <w:rPr>
          <w:rFonts w:hint="eastAsia" w:ascii="宋体" w:hAnsi="宋体" w:eastAsia="宋体" w:cs="宋体"/>
          <w:color w:val="auto"/>
          <w:highlight w:val="none"/>
        </w:rPr>
      </w:pPr>
    </w:p>
    <w:p w14:paraId="13041B14">
      <w:pPr>
        <w:spacing w:before="69"/>
        <w:rPr>
          <w:rFonts w:hint="eastAsia" w:ascii="宋体" w:hAnsi="宋体" w:eastAsia="宋体" w:cs="宋体"/>
          <w:color w:val="auto"/>
          <w:highlight w:val="none"/>
        </w:rPr>
      </w:pPr>
    </w:p>
    <w:tbl>
      <w:tblPr>
        <w:tblStyle w:val="15"/>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2E62157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2570" w:hRule="atLeast"/>
        </w:trPr>
        <w:tc>
          <w:tcPr>
            <w:tcW w:w="5600" w:type="dxa"/>
            <w:vAlign w:val="top"/>
          </w:tcPr>
          <w:p w14:paraId="68BF3639">
            <w:pPr>
              <w:pStyle w:val="22"/>
              <w:spacing w:line="245" w:lineRule="auto"/>
              <w:rPr>
                <w:rFonts w:hint="eastAsia" w:ascii="宋体" w:hAnsi="宋体" w:eastAsia="宋体" w:cs="宋体"/>
                <w:color w:val="auto"/>
                <w:highlight w:val="none"/>
              </w:rPr>
            </w:pPr>
          </w:p>
          <w:p w14:paraId="4B47535F">
            <w:pPr>
              <w:pStyle w:val="22"/>
              <w:spacing w:line="245" w:lineRule="auto"/>
              <w:rPr>
                <w:rFonts w:hint="eastAsia" w:ascii="宋体" w:hAnsi="宋体" w:eastAsia="宋体" w:cs="宋体"/>
                <w:color w:val="auto"/>
                <w:highlight w:val="none"/>
              </w:rPr>
            </w:pPr>
          </w:p>
          <w:p w14:paraId="0C140ADB">
            <w:pPr>
              <w:pStyle w:val="22"/>
              <w:spacing w:line="245" w:lineRule="auto"/>
              <w:rPr>
                <w:rFonts w:hint="eastAsia" w:ascii="宋体" w:hAnsi="宋体" w:eastAsia="宋体" w:cs="宋体"/>
                <w:color w:val="auto"/>
                <w:highlight w:val="none"/>
              </w:rPr>
            </w:pPr>
          </w:p>
          <w:p w14:paraId="37AC5D2F">
            <w:pPr>
              <w:pStyle w:val="22"/>
              <w:spacing w:line="245" w:lineRule="auto"/>
              <w:rPr>
                <w:rFonts w:hint="eastAsia" w:ascii="宋体" w:hAnsi="宋体" w:eastAsia="宋体" w:cs="宋体"/>
                <w:color w:val="auto"/>
                <w:highlight w:val="none"/>
              </w:rPr>
            </w:pPr>
          </w:p>
          <w:p w14:paraId="4D91F07F">
            <w:pPr>
              <w:pStyle w:val="22"/>
              <w:spacing w:line="245" w:lineRule="auto"/>
              <w:rPr>
                <w:rFonts w:hint="eastAsia" w:ascii="宋体" w:hAnsi="宋体" w:eastAsia="宋体" w:cs="宋体"/>
                <w:color w:val="auto"/>
                <w:highlight w:val="none"/>
              </w:rPr>
            </w:pPr>
          </w:p>
          <w:p w14:paraId="51376401">
            <w:pPr>
              <w:pStyle w:val="22"/>
              <w:spacing w:line="245" w:lineRule="auto"/>
              <w:rPr>
                <w:rFonts w:hint="eastAsia" w:ascii="宋体" w:hAnsi="宋体" w:eastAsia="宋体" w:cs="宋体"/>
                <w:color w:val="auto"/>
                <w:highlight w:val="none"/>
              </w:rPr>
            </w:pPr>
          </w:p>
          <w:p w14:paraId="3DA54932">
            <w:pPr>
              <w:pStyle w:val="22"/>
              <w:spacing w:line="246" w:lineRule="auto"/>
              <w:rPr>
                <w:rFonts w:hint="eastAsia" w:ascii="宋体" w:hAnsi="宋体" w:eastAsia="宋体" w:cs="宋体"/>
                <w:color w:val="auto"/>
                <w:highlight w:val="none"/>
              </w:rPr>
            </w:pPr>
          </w:p>
          <w:p w14:paraId="163627A6">
            <w:pPr>
              <w:spacing w:before="78" w:line="220" w:lineRule="auto"/>
              <w:ind w:left="718"/>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委托代理人身份证</w:t>
            </w:r>
            <w:r>
              <w:rPr>
                <w:rFonts w:hint="eastAsia" w:ascii="宋体" w:hAnsi="宋体" w:eastAsia="宋体" w:cs="宋体"/>
                <w:color w:val="auto"/>
                <w:spacing w:val="-1"/>
                <w:sz w:val="24"/>
                <w:szCs w:val="24"/>
                <w:highlight w:val="none"/>
                <w:lang w:val="en-US" w:eastAsia="zh-CN"/>
              </w:rPr>
              <w:t>彩色扫描件</w:t>
            </w:r>
            <w:r>
              <w:rPr>
                <w:rFonts w:hint="eastAsia" w:ascii="宋体" w:hAnsi="宋体" w:eastAsia="宋体" w:cs="宋体"/>
                <w:color w:val="auto"/>
                <w:spacing w:val="-1"/>
                <w:sz w:val="24"/>
                <w:szCs w:val="24"/>
                <w:highlight w:val="none"/>
              </w:rPr>
              <w:t>正、反面</w:t>
            </w:r>
          </w:p>
        </w:tc>
      </w:tr>
    </w:tbl>
    <w:p w14:paraId="28E282AE">
      <w:pPr>
        <w:pStyle w:val="6"/>
        <w:rPr>
          <w:rFonts w:hint="eastAsia" w:ascii="宋体" w:hAnsi="宋体" w:eastAsia="宋体" w:cs="宋体"/>
          <w:color w:val="auto"/>
          <w:highlight w:val="none"/>
        </w:rPr>
      </w:pPr>
    </w:p>
    <w:p w14:paraId="54CE0BF6">
      <w:pPr>
        <w:rPr>
          <w:rFonts w:hint="eastAsia" w:ascii="宋体" w:hAnsi="宋体" w:eastAsia="宋体" w:cs="宋体"/>
          <w:color w:val="auto"/>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2EDAFA3A">
      <w:pPr>
        <w:spacing w:before="78" w:line="220" w:lineRule="auto"/>
        <w:outlineLvl w:val="2"/>
        <w:rPr>
          <w:rFonts w:hint="eastAsia" w:ascii="宋体" w:hAnsi="宋体" w:eastAsia="宋体" w:cs="宋体"/>
          <w:b/>
          <w:bCs/>
          <w:color w:val="auto"/>
          <w:spacing w:val="-4"/>
          <w:sz w:val="24"/>
          <w:szCs w:val="24"/>
          <w:highlight w:val="none"/>
        </w:rPr>
      </w:pPr>
      <w:bookmarkStart w:id="235" w:name="_Toc30394"/>
      <w:r>
        <w:rPr>
          <w:rFonts w:hint="eastAsia" w:ascii="宋体" w:hAnsi="宋体" w:eastAsia="宋体" w:cs="宋体"/>
          <w:b/>
          <w:bCs/>
          <w:color w:val="auto"/>
          <w:spacing w:val="-4"/>
          <w:sz w:val="24"/>
          <w:szCs w:val="24"/>
          <w:highlight w:val="none"/>
        </w:rPr>
        <w:t>格式五 法定代表人身份证明</w:t>
      </w:r>
      <w:bookmarkEnd w:id="235"/>
    </w:p>
    <w:p w14:paraId="1AD2910A">
      <w:pPr>
        <w:pStyle w:val="6"/>
        <w:spacing w:line="350" w:lineRule="auto"/>
        <w:rPr>
          <w:rFonts w:hint="eastAsia" w:ascii="宋体" w:hAnsi="宋体" w:eastAsia="宋体" w:cs="宋体"/>
          <w:color w:val="auto"/>
          <w:highlight w:val="none"/>
        </w:rPr>
      </w:pPr>
    </w:p>
    <w:p w14:paraId="00B721B3">
      <w:pPr>
        <w:pStyle w:val="6"/>
        <w:spacing w:line="350" w:lineRule="auto"/>
        <w:rPr>
          <w:rFonts w:hint="eastAsia" w:ascii="宋体" w:hAnsi="宋体" w:eastAsia="宋体" w:cs="宋体"/>
          <w:color w:val="auto"/>
          <w:highlight w:val="none"/>
        </w:rPr>
      </w:pPr>
    </w:p>
    <w:p w14:paraId="62C321D1">
      <w:pPr>
        <w:spacing w:before="98" w:line="220" w:lineRule="auto"/>
        <w:ind w:left="3183"/>
        <w:rPr>
          <w:rFonts w:hint="eastAsia" w:ascii="宋体" w:hAnsi="宋体" w:eastAsia="宋体" w:cs="宋体"/>
          <w:color w:val="auto"/>
          <w:sz w:val="30"/>
          <w:szCs w:val="30"/>
          <w:highlight w:val="none"/>
        </w:rPr>
      </w:pPr>
      <w:bookmarkStart w:id="236" w:name="bookmark152"/>
      <w:bookmarkEnd w:id="236"/>
      <w:r>
        <w:rPr>
          <w:rFonts w:hint="eastAsia" w:ascii="宋体" w:hAnsi="宋体" w:eastAsia="宋体" w:cs="宋体"/>
          <w:b/>
          <w:bCs/>
          <w:color w:val="auto"/>
          <w:spacing w:val="-4"/>
          <w:sz w:val="30"/>
          <w:szCs w:val="30"/>
          <w:highlight w:val="none"/>
        </w:rPr>
        <w:t>法定代表人身份证明</w:t>
      </w:r>
    </w:p>
    <w:p w14:paraId="5055A950">
      <w:pPr>
        <w:pStyle w:val="6"/>
        <w:spacing w:line="250" w:lineRule="auto"/>
        <w:rPr>
          <w:rFonts w:hint="eastAsia" w:ascii="宋体" w:hAnsi="宋体" w:eastAsia="宋体" w:cs="宋体"/>
          <w:color w:val="auto"/>
          <w:highlight w:val="none"/>
        </w:rPr>
      </w:pPr>
    </w:p>
    <w:p w14:paraId="705CECB5">
      <w:pPr>
        <w:pStyle w:val="6"/>
        <w:spacing w:line="250" w:lineRule="auto"/>
        <w:rPr>
          <w:rFonts w:hint="eastAsia" w:ascii="宋体" w:hAnsi="宋体" w:eastAsia="宋体" w:cs="宋体"/>
          <w:color w:val="auto"/>
          <w:highlight w:val="none"/>
        </w:rPr>
      </w:pPr>
    </w:p>
    <w:p w14:paraId="0978BEEE">
      <w:pPr>
        <w:pStyle w:val="6"/>
        <w:spacing w:line="251" w:lineRule="auto"/>
        <w:rPr>
          <w:rFonts w:hint="eastAsia" w:ascii="宋体" w:hAnsi="宋体" w:eastAsia="宋体" w:cs="宋体"/>
          <w:color w:val="auto"/>
          <w:highlight w:val="none"/>
        </w:rPr>
      </w:pPr>
    </w:p>
    <w:p w14:paraId="59417B9C">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投标人名称：</w:t>
      </w:r>
      <w:r>
        <w:rPr>
          <w:rFonts w:hint="eastAsia" w:ascii="宋体" w:hAnsi="宋体" w:eastAsia="宋体" w:cs="宋体"/>
          <w:snapToGrid w:val="0"/>
          <w:color w:val="auto"/>
          <w:kern w:val="0"/>
          <w:sz w:val="24"/>
          <w:szCs w:val="24"/>
          <w:highlight w:val="none"/>
          <w:u w:val="single"/>
        </w:rPr>
        <w:t xml:space="preserve">                  </w:t>
      </w:r>
    </w:p>
    <w:p w14:paraId="5CFA1839">
      <w:pPr>
        <w:wordWrap w:val="0"/>
        <w:adjustRightInd w:val="0"/>
        <w:snapToGrid w:val="0"/>
        <w:spacing w:line="440" w:lineRule="exact"/>
        <w:rPr>
          <w:rFonts w:hint="eastAsia" w:ascii="宋体" w:hAnsi="宋体" w:eastAsia="宋体" w:cs="宋体"/>
          <w:snapToGrid w:val="0"/>
          <w:color w:val="auto"/>
          <w:kern w:val="0"/>
          <w:sz w:val="24"/>
          <w:szCs w:val="24"/>
          <w:highlight w:val="none"/>
          <w:u w:val="single"/>
        </w:rPr>
      </w:pPr>
      <w:r>
        <w:rPr>
          <w:rFonts w:hint="eastAsia" w:ascii="宋体" w:hAnsi="宋体" w:eastAsia="宋体" w:cs="宋体"/>
          <w:snapToGrid w:val="0"/>
          <w:color w:val="auto"/>
          <w:kern w:val="0"/>
          <w:sz w:val="24"/>
          <w:szCs w:val="24"/>
          <w:highlight w:val="none"/>
        </w:rPr>
        <w:t>姓名：</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性别：</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年龄：</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职务：</w:t>
      </w:r>
      <w:r>
        <w:rPr>
          <w:rFonts w:hint="eastAsia" w:ascii="宋体" w:hAnsi="宋体" w:eastAsia="宋体" w:cs="宋体"/>
          <w:snapToGrid w:val="0"/>
          <w:color w:val="auto"/>
          <w:kern w:val="0"/>
          <w:sz w:val="24"/>
          <w:szCs w:val="24"/>
          <w:highlight w:val="none"/>
          <w:u w:val="single"/>
        </w:rPr>
        <w:t xml:space="preserve">           </w:t>
      </w:r>
    </w:p>
    <w:p w14:paraId="34156ED0">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w:t>
      </w:r>
    </w:p>
    <w:p w14:paraId="4052DAC3">
      <w:pPr>
        <w:wordWrap w:val="0"/>
        <w:adjustRightInd w:val="0"/>
        <w:snapToGrid w:val="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 w:val="24"/>
          <w:szCs w:val="24"/>
          <w:highlight w:val="none"/>
        </w:rPr>
        <w:t xml:space="preserve">    特此证明。</w:t>
      </w:r>
    </w:p>
    <w:p w14:paraId="53ADDF35">
      <w:pPr>
        <w:pStyle w:val="6"/>
        <w:spacing w:line="277" w:lineRule="auto"/>
        <w:rPr>
          <w:rFonts w:hint="eastAsia" w:ascii="宋体" w:hAnsi="宋体" w:eastAsia="宋体" w:cs="宋体"/>
          <w:color w:val="auto"/>
          <w:highlight w:val="none"/>
        </w:rPr>
      </w:pPr>
    </w:p>
    <w:p w14:paraId="7F91432D">
      <w:pPr>
        <w:pStyle w:val="6"/>
        <w:spacing w:line="277" w:lineRule="auto"/>
        <w:rPr>
          <w:rFonts w:hint="eastAsia" w:ascii="宋体" w:hAnsi="宋体" w:eastAsia="宋体" w:cs="宋体"/>
          <w:color w:val="auto"/>
          <w:highlight w:val="none"/>
        </w:rPr>
      </w:pPr>
    </w:p>
    <w:p w14:paraId="449CA16E">
      <w:pPr>
        <w:pStyle w:val="6"/>
        <w:spacing w:line="278" w:lineRule="auto"/>
        <w:rPr>
          <w:rFonts w:hint="eastAsia" w:ascii="宋体" w:hAnsi="宋体" w:eastAsia="宋体" w:cs="宋体"/>
          <w:color w:val="auto"/>
          <w:highlight w:val="none"/>
        </w:rPr>
      </w:pPr>
    </w:p>
    <w:p w14:paraId="739A3A69">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盖单位章）</w:t>
      </w:r>
    </w:p>
    <w:p w14:paraId="09C9B7F3">
      <w:pPr>
        <w:pStyle w:val="6"/>
        <w:spacing w:line="317" w:lineRule="auto"/>
        <w:jc w:val="right"/>
        <w:rPr>
          <w:rFonts w:hint="eastAsia" w:ascii="宋体" w:hAnsi="宋体" w:eastAsia="宋体" w:cs="宋体"/>
          <w:color w:val="auto"/>
          <w:highlight w:val="none"/>
        </w:rPr>
      </w:pPr>
    </w:p>
    <w:p w14:paraId="7ED9322A">
      <w:pPr>
        <w:pStyle w:val="6"/>
        <w:spacing w:line="317" w:lineRule="auto"/>
        <w:jc w:val="right"/>
        <w:rPr>
          <w:rFonts w:hint="eastAsia" w:ascii="宋体" w:hAnsi="宋体" w:eastAsia="宋体" w:cs="宋体"/>
          <w:color w:val="auto"/>
          <w:highlight w:val="none"/>
        </w:rPr>
      </w:pPr>
    </w:p>
    <w:p w14:paraId="2815C601">
      <w:pPr>
        <w:pStyle w:val="6"/>
        <w:spacing w:line="317" w:lineRule="auto"/>
        <w:jc w:val="right"/>
        <w:rPr>
          <w:rFonts w:hint="eastAsia" w:ascii="宋体" w:hAnsi="宋体" w:eastAsia="宋体" w:cs="宋体"/>
          <w:color w:val="auto"/>
          <w:highlight w:val="none"/>
        </w:rPr>
      </w:pPr>
    </w:p>
    <w:p w14:paraId="42180BF6">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73A6063C">
      <w:pPr>
        <w:pStyle w:val="6"/>
        <w:spacing w:line="257" w:lineRule="auto"/>
        <w:jc w:val="right"/>
        <w:rPr>
          <w:rFonts w:hint="eastAsia" w:ascii="宋体" w:hAnsi="宋体" w:eastAsia="宋体" w:cs="宋体"/>
          <w:color w:val="auto"/>
          <w:highlight w:val="none"/>
        </w:rPr>
      </w:pPr>
    </w:p>
    <w:p w14:paraId="018096D8">
      <w:pPr>
        <w:pStyle w:val="6"/>
        <w:spacing w:line="257" w:lineRule="auto"/>
        <w:jc w:val="right"/>
        <w:rPr>
          <w:rFonts w:hint="eastAsia" w:ascii="宋体" w:hAnsi="宋体" w:eastAsia="宋体" w:cs="宋体"/>
          <w:color w:val="auto"/>
          <w:highlight w:val="none"/>
        </w:rPr>
      </w:pPr>
    </w:p>
    <w:p w14:paraId="617EB836">
      <w:pPr>
        <w:pStyle w:val="6"/>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11A090BA">
      <w:pPr>
        <w:pStyle w:val="6"/>
        <w:spacing w:line="254" w:lineRule="auto"/>
        <w:rPr>
          <w:rFonts w:hint="eastAsia" w:ascii="宋体" w:hAnsi="宋体" w:eastAsia="宋体" w:cs="宋体"/>
          <w:color w:val="auto"/>
          <w:highlight w:val="none"/>
        </w:rPr>
      </w:pPr>
    </w:p>
    <w:p w14:paraId="5CEDF64B">
      <w:pPr>
        <w:pStyle w:val="6"/>
        <w:spacing w:line="254" w:lineRule="auto"/>
        <w:rPr>
          <w:rFonts w:hint="eastAsia" w:ascii="宋体" w:hAnsi="宋体" w:eastAsia="宋体" w:cs="宋体"/>
          <w:color w:val="auto"/>
          <w:highlight w:val="none"/>
        </w:rPr>
      </w:pPr>
    </w:p>
    <w:p w14:paraId="37810D14">
      <w:pPr>
        <w:pStyle w:val="6"/>
        <w:spacing w:line="254" w:lineRule="auto"/>
        <w:rPr>
          <w:rFonts w:hint="eastAsia" w:ascii="宋体" w:hAnsi="宋体" w:eastAsia="宋体" w:cs="宋体"/>
          <w:color w:val="auto"/>
          <w:highlight w:val="none"/>
        </w:rPr>
      </w:pPr>
    </w:p>
    <w:p w14:paraId="160B9E44">
      <w:pPr>
        <w:pStyle w:val="6"/>
        <w:spacing w:line="254" w:lineRule="auto"/>
        <w:rPr>
          <w:rFonts w:hint="eastAsia" w:ascii="宋体" w:hAnsi="宋体" w:eastAsia="宋体" w:cs="宋体"/>
          <w:color w:val="auto"/>
          <w:highlight w:val="none"/>
        </w:rPr>
      </w:pPr>
    </w:p>
    <w:p w14:paraId="5A8402FE">
      <w:pPr>
        <w:pStyle w:val="6"/>
        <w:spacing w:line="255" w:lineRule="auto"/>
        <w:rPr>
          <w:rFonts w:hint="eastAsia" w:ascii="宋体" w:hAnsi="宋体" w:eastAsia="宋体" w:cs="宋体"/>
          <w:color w:val="auto"/>
          <w:highlight w:val="none"/>
        </w:rPr>
      </w:pPr>
    </w:p>
    <w:p w14:paraId="0AF113AB">
      <w:pPr>
        <w:pStyle w:val="6"/>
        <w:spacing w:line="255" w:lineRule="auto"/>
        <w:rPr>
          <w:rFonts w:hint="eastAsia" w:ascii="宋体" w:hAnsi="宋体" w:eastAsia="宋体" w:cs="宋体"/>
          <w:color w:val="auto"/>
          <w:highlight w:val="none"/>
        </w:rPr>
      </w:pPr>
    </w:p>
    <w:p w14:paraId="7240EAD7">
      <w:pPr>
        <w:pStyle w:val="6"/>
        <w:spacing w:before="1" w:line="2510" w:lineRule="exact"/>
        <w:ind w:firstLine="2534"/>
        <w:rPr>
          <w:rFonts w:hint="eastAsia" w:ascii="宋体" w:hAnsi="宋体" w:eastAsia="宋体" w:cs="宋体"/>
          <w:color w:val="auto"/>
          <w:highlight w:val="none"/>
        </w:rPr>
      </w:pPr>
      <w:r>
        <w:rPr>
          <w:rFonts w:hint="eastAsia" w:ascii="宋体" w:hAnsi="宋体" w:eastAsia="宋体" w:cs="宋体"/>
          <w:color w:val="auto"/>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4"/>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638F7D77">
                              <w:pPr>
                                <w:spacing w:line="249" w:lineRule="auto"/>
                              </w:pPr>
                            </w:p>
                            <w:p w14:paraId="5E375EDF">
                              <w:pPr>
                                <w:spacing w:line="249" w:lineRule="auto"/>
                              </w:pPr>
                            </w:p>
                            <w:p w14:paraId="79DCDDFC">
                              <w:pPr>
                                <w:spacing w:line="249" w:lineRule="auto"/>
                              </w:pPr>
                            </w:p>
                            <w:p w14:paraId="4864DF24">
                              <w:pPr>
                                <w:spacing w:line="249" w:lineRule="auto"/>
                              </w:pPr>
                            </w:p>
                            <w:p w14:paraId="587E985E">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4"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38F7D77">
                        <w:pPr>
                          <w:spacing w:line="249" w:lineRule="auto"/>
                        </w:pPr>
                      </w:p>
                      <w:p w14:paraId="5E375EDF">
                        <w:pPr>
                          <w:spacing w:line="249" w:lineRule="auto"/>
                        </w:pPr>
                      </w:p>
                      <w:p w14:paraId="79DCDDFC">
                        <w:pPr>
                          <w:spacing w:line="249" w:lineRule="auto"/>
                        </w:pPr>
                      </w:p>
                      <w:p w14:paraId="4864DF24">
                        <w:pPr>
                          <w:spacing w:line="249" w:lineRule="auto"/>
                        </w:pPr>
                      </w:p>
                      <w:p w14:paraId="587E985E">
                        <w:pPr>
                          <w:spacing w:before="78" w:line="220" w:lineRule="auto"/>
                          <w:jc w:val="center"/>
                          <w:rPr>
                            <w:rFonts w:ascii="宋体" w:hAnsi="宋体" w:eastAsia="宋体" w:cs="宋体"/>
                            <w:sz w:val="24"/>
                            <w:szCs w:val="24"/>
                          </w:rPr>
                        </w:pPr>
                        <w:r>
                          <w:rPr>
                            <w:rFonts w:ascii="宋体" w:hAnsi="宋体" w:eastAsia="宋体" w:cs="宋体"/>
                            <w:spacing w:val="-1"/>
                            <w:sz w:val="24"/>
                            <w:szCs w:val="24"/>
                          </w:rPr>
                          <w:t>法定代表人身</w:t>
                        </w:r>
                        <w:r>
                          <w:rPr>
                            <w:rFonts w:ascii="宋体" w:hAnsi="宋体" w:eastAsia="宋体" w:cs="宋体"/>
                            <w:spacing w:val="-1"/>
                            <w:sz w:val="24"/>
                            <w:szCs w:val="24"/>
                            <w:highlight w:val="none"/>
                          </w:rPr>
                          <w:t>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w:t>
                        </w:r>
                        <w:r>
                          <w:rPr>
                            <w:rFonts w:ascii="宋体" w:hAnsi="宋体" w:eastAsia="宋体" w:cs="宋体"/>
                            <w:spacing w:val="-1"/>
                            <w:sz w:val="24"/>
                            <w:szCs w:val="24"/>
                          </w:rPr>
                          <w:t>、反面</w:t>
                        </w:r>
                      </w:p>
                    </w:txbxContent>
                  </v:textbox>
                </v:shape>
                <w10:wrap type="none"/>
                <w10:anchorlock/>
              </v:group>
            </w:pict>
          </mc:Fallback>
        </mc:AlternateContent>
      </w:r>
    </w:p>
    <w:p w14:paraId="0F3417DC">
      <w:pPr>
        <w:spacing w:line="2510" w:lineRule="exact"/>
        <w:rPr>
          <w:rFonts w:hint="eastAsia" w:ascii="宋体" w:hAnsi="宋体" w:eastAsia="宋体" w:cs="宋体"/>
          <w:color w:val="auto"/>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3A3A170">
      <w:pPr>
        <w:spacing w:before="78" w:line="220" w:lineRule="auto"/>
        <w:outlineLvl w:val="2"/>
        <w:rPr>
          <w:rFonts w:hint="eastAsia" w:ascii="宋体" w:hAnsi="宋体" w:eastAsia="宋体" w:cs="宋体"/>
          <w:b/>
          <w:bCs/>
          <w:color w:val="auto"/>
          <w:spacing w:val="-4"/>
          <w:sz w:val="24"/>
          <w:szCs w:val="24"/>
          <w:highlight w:val="none"/>
        </w:rPr>
      </w:pPr>
      <w:bookmarkStart w:id="237" w:name="_Toc5771"/>
      <w:r>
        <w:rPr>
          <w:rFonts w:hint="eastAsia" w:ascii="宋体" w:hAnsi="宋体" w:eastAsia="宋体" w:cs="宋体"/>
          <w:b/>
          <w:bCs/>
          <w:color w:val="auto"/>
          <w:spacing w:val="-4"/>
          <w:sz w:val="24"/>
          <w:szCs w:val="24"/>
          <w:highlight w:val="none"/>
        </w:rPr>
        <w:t>格式六 联合体协议书</w:t>
      </w:r>
      <w:bookmarkEnd w:id="237"/>
    </w:p>
    <w:p w14:paraId="3D9671D8">
      <w:pPr>
        <w:spacing w:before="98" w:line="219" w:lineRule="auto"/>
        <w:ind w:left="3638"/>
        <w:rPr>
          <w:rFonts w:hint="eastAsia" w:ascii="宋体" w:hAnsi="宋体" w:eastAsia="宋体" w:cs="宋体"/>
          <w:color w:val="auto"/>
          <w:sz w:val="30"/>
          <w:szCs w:val="30"/>
          <w:highlight w:val="none"/>
        </w:rPr>
      </w:pPr>
      <w:bookmarkStart w:id="238" w:name="bookmark153"/>
      <w:bookmarkEnd w:id="238"/>
      <w:r>
        <w:rPr>
          <w:rFonts w:hint="eastAsia" w:ascii="宋体" w:hAnsi="宋体" w:eastAsia="宋体" w:cs="宋体"/>
          <w:b/>
          <w:bCs/>
          <w:color w:val="auto"/>
          <w:spacing w:val="-5"/>
          <w:sz w:val="30"/>
          <w:szCs w:val="30"/>
          <w:highlight w:val="none"/>
        </w:rPr>
        <w:t>联合体协议书</w:t>
      </w:r>
    </w:p>
    <w:p w14:paraId="75F1511F">
      <w:pPr>
        <w:pStyle w:val="6"/>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280CB50B">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4"/>
          <w:sz w:val="24"/>
          <w:szCs w:val="24"/>
          <w:highlight w:val="none"/>
        </w:rPr>
      </w:pPr>
      <w:r>
        <w:rPr>
          <w:rFonts w:hint="eastAsia" w:ascii="宋体" w:hAnsi="宋体" w:eastAsia="宋体" w:cs="宋体"/>
          <w:color w:val="auto"/>
          <w:spacing w:val="-12"/>
          <w:sz w:val="24"/>
          <w:szCs w:val="24"/>
          <w:highlight w:val="none"/>
        </w:rPr>
        <w:t>牵头人名称：</w:t>
      </w:r>
      <w:r>
        <w:rPr>
          <w:rFonts w:hint="eastAsia" w:ascii="宋体" w:hAnsi="宋体" w:eastAsia="宋体" w:cs="宋体"/>
          <w:color w:val="auto"/>
          <w:spacing w:val="4"/>
          <w:sz w:val="24"/>
          <w:szCs w:val="24"/>
          <w:highlight w:val="none"/>
        </w:rPr>
        <w:t xml:space="preserve"> </w:t>
      </w:r>
    </w:p>
    <w:p w14:paraId="7BD92AE9">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79AFE5A3">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法定住所：</w:t>
      </w:r>
    </w:p>
    <w:p w14:paraId="2D9D8763">
      <w:pPr>
        <w:outlineLvl w:val="9"/>
        <w:rPr>
          <w:rFonts w:hint="eastAsia"/>
          <w:color w:val="auto"/>
          <w:highlight w:val="none"/>
        </w:rPr>
      </w:pPr>
    </w:p>
    <w:p w14:paraId="3419B235">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成员二名称：</w:t>
      </w:r>
      <w:r>
        <w:rPr>
          <w:rFonts w:hint="eastAsia" w:ascii="宋体" w:hAnsi="宋体" w:eastAsia="宋体" w:cs="宋体"/>
          <w:color w:val="auto"/>
          <w:sz w:val="24"/>
          <w:szCs w:val="24"/>
          <w:highlight w:val="none"/>
        </w:rPr>
        <w:t xml:space="preserve"> </w:t>
      </w:r>
    </w:p>
    <w:p w14:paraId="47C56F7F">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法定代表人：</w:t>
      </w:r>
      <w:r>
        <w:rPr>
          <w:rFonts w:hint="eastAsia" w:ascii="宋体" w:hAnsi="宋体" w:eastAsia="宋体" w:cs="宋体"/>
          <w:color w:val="auto"/>
          <w:sz w:val="24"/>
          <w:szCs w:val="24"/>
          <w:highlight w:val="none"/>
        </w:rPr>
        <w:t xml:space="preserve"> </w:t>
      </w:r>
    </w:p>
    <w:p w14:paraId="13D1A308">
      <w:pPr>
        <w:keepNext w:val="0"/>
        <w:keepLines w:val="0"/>
        <w:pageBreakBefore w:val="0"/>
        <w:widowControl/>
        <w:kinsoku w:val="0"/>
        <w:wordWrap/>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法定住所：</w:t>
      </w:r>
    </w:p>
    <w:p w14:paraId="2D4D3269">
      <w:pPr>
        <w:keepNext w:val="0"/>
        <w:keepLines w:val="0"/>
        <w:pageBreakBefore w:val="0"/>
        <w:widowControl/>
        <w:kinsoku w:val="0"/>
        <w:wordWrap/>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3"/>
          <w:position w:val="3"/>
          <w:sz w:val="24"/>
          <w:szCs w:val="24"/>
          <w:highlight w:val="none"/>
        </w:rPr>
        <w:t>……</w:t>
      </w:r>
    </w:p>
    <w:p w14:paraId="3C7B8779">
      <w:pPr>
        <w:keepNext w:val="0"/>
        <w:keepLines w:val="0"/>
        <w:pageBreakBefore w:val="0"/>
        <w:widowControl/>
        <w:kinsoku w:val="0"/>
        <w:wordWrap/>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上述各成员单位经过友好协商，自愿组成联合体，</w:t>
      </w:r>
      <w:r>
        <w:rPr>
          <w:rFonts w:hint="eastAsia" w:ascii="宋体" w:hAnsi="宋体" w:eastAsia="宋体" w:cs="宋体"/>
          <w:color w:val="auto"/>
          <w:sz w:val="24"/>
          <w:szCs w:val="24"/>
          <w:highlight w:val="none"/>
        </w:rPr>
        <w:t>共同参加（项目名称</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rPr>
        <w:t>以下简</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2"/>
          <w:sz w:val="24"/>
          <w:szCs w:val="24"/>
          <w:highlight w:val="none"/>
        </w:rPr>
        <w:t>称“本项目</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”）的施工投标并争取赢得本项目施工承包</w:t>
      </w:r>
      <w:r>
        <w:rPr>
          <w:rFonts w:hint="eastAsia" w:ascii="宋体" w:hAnsi="宋体" w:eastAsia="宋体" w:cs="宋体"/>
          <w:color w:val="auto"/>
          <w:spacing w:val="-3"/>
          <w:sz w:val="24"/>
          <w:szCs w:val="24"/>
          <w:highlight w:val="none"/>
        </w:rPr>
        <w:t>合同（以下简称合同）。现就联</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
          <w:sz w:val="24"/>
          <w:szCs w:val="24"/>
          <w:highlight w:val="none"/>
        </w:rPr>
        <w:t>合体投标事宜订立如下协议：</w:t>
      </w:r>
    </w:p>
    <w:p w14:paraId="731B67A3">
      <w:pPr>
        <w:keepNext w:val="0"/>
        <w:keepLines w:val="0"/>
        <w:pageBreakBefore w:val="0"/>
        <w:widowControl/>
        <w:kinsoku w:val="0"/>
        <w:wordWrap/>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31"/>
          <w:sz w:val="24"/>
          <w:szCs w:val="24"/>
          <w:highlight w:val="none"/>
        </w:rPr>
        <w:t>．（</w:t>
      </w:r>
      <w:r>
        <w:rPr>
          <w:rFonts w:hint="eastAsia" w:ascii="宋体" w:hAnsi="宋体" w:eastAsia="宋体" w:cs="宋体"/>
          <w:color w:val="auto"/>
          <w:sz w:val="24"/>
          <w:szCs w:val="24"/>
          <w:highlight w:val="none"/>
        </w:rPr>
        <w:t>某成员单位名称）为联合体牵头人。</w:t>
      </w:r>
    </w:p>
    <w:p w14:paraId="7D88355E">
      <w:pPr>
        <w:keepNext w:val="0"/>
        <w:keepLines w:val="0"/>
        <w:pageBreakBefore w:val="0"/>
        <w:widowControl/>
        <w:kinsoku w:val="0"/>
        <w:wordWrap/>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2</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1"/>
          <w:sz w:val="24"/>
          <w:szCs w:val="24"/>
          <w:highlight w:val="none"/>
        </w:rPr>
        <w:t>．在本项目投标阶段，联合体牵头人合法代表联合体各成员负责本项目投标</w:t>
      </w:r>
      <w:r>
        <w:rPr>
          <w:rFonts w:hint="eastAsia" w:ascii="宋体" w:hAnsi="宋体" w:eastAsia="宋体" w:cs="宋体"/>
          <w:color w:val="auto"/>
          <w:spacing w:val="-2"/>
          <w:sz w:val="24"/>
          <w:szCs w:val="24"/>
          <w:highlight w:val="none"/>
        </w:rPr>
        <w:t>文件编制活动，代表联合体提交和接收相关的资料、信息及指示，并处理与投标和中标有关</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的一切事务；联合体中标后，联合体牵头人负责合同订立和合同实施阶段的主办、组织</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2"/>
          <w:sz w:val="24"/>
          <w:szCs w:val="24"/>
          <w:highlight w:val="none"/>
        </w:rPr>
        <w:t>和协调工作。</w:t>
      </w:r>
    </w:p>
    <w:p w14:paraId="5409F1B3">
      <w:pPr>
        <w:keepNext w:val="0"/>
        <w:keepLines w:val="0"/>
        <w:pageBreakBefore w:val="0"/>
        <w:widowControl/>
        <w:kinsoku w:val="0"/>
        <w:wordWrap/>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．联合体将严格按照招标文件的各项要求，递交投标文件，履行</w:t>
      </w:r>
      <w:r>
        <w:rPr>
          <w:rFonts w:hint="eastAsia" w:ascii="宋体" w:hAnsi="宋体" w:eastAsia="宋体" w:cs="宋体"/>
          <w:color w:val="auto"/>
          <w:spacing w:val="-2"/>
          <w:sz w:val="24"/>
          <w:szCs w:val="24"/>
          <w:highlight w:val="none"/>
        </w:rPr>
        <w:t>投标义务和中标后的合同，共同承担合同规定的一切义务和责任，联合体各成员单位按照内部职责的部</w:t>
      </w:r>
      <w:r>
        <w:rPr>
          <w:rFonts w:hint="eastAsia" w:ascii="宋体" w:hAnsi="宋体" w:eastAsia="宋体" w:cs="宋体"/>
          <w:color w:val="auto"/>
          <w:spacing w:val="15"/>
          <w:sz w:val="24"/>
          <w:szCs w:val="24"/>
          <w:highlight w:val="none"/>
        </w:rPr>
        <w:t xml:space="preserve"> </w:t>
      </w:r>
      <w:r>
        <w:rPr>
          <w:rFonts w:hint="eastAsia" w:ascii="宋体" w:hAnsi="宋体" w:eastAsia="宋体" w:cs="宋体"/>
          <w:color w:val="auto"/>
          <w:spacing w:val="-1"/>
          <w:sz w:val="24"/>
          <w:szCs w:val="24"/>
          <w:highlight w:val="none"/>
        </w:rPr>
        <w:t>分，承担各自所负的责任和风险，并向招标人承担连带责任。</w:t>
      </w:r>
    </w:p>
    <w:p w14:paraId="36A1D70C">
      <w:pPr>
        <w:keepNext w:val="0"/>
        <w:keepLines w:val="0"/>
        <w:pageBreakBefore w:val="0"/>
        <w:widowControl/>
        <w:kinsoku w:val="0"/>
        <w:wordWrap/>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auto"/>
          <w:sz w:val="24"/>
          <w:szCs w:val="24"/>
          <w:highlight w:val="none"/>
        </w:rPr>
      </w:pPr>
      <w:bookmarkStart w:id="239" w:name="_Toc5365"/>
      <w:bookmarkStart w:id="240" w:name="_Toc32149"/>
      <w:r>
        <w:rPr>
          <w:rFonts w:hint="eastAsia" w:ascii="宋体" w:hAnsi="宋体" w:eastAsia="宋体" w:cs="宋体"/>
          <w:color w:val="auto"/>
          <w:spacing w:val="-2"/>
          <w:sz w:val="24"/>
          <w:szCs w:val="24"/>
          <w:highlight w:val="none"/>
        </w:rPr>
        <w:t>4</w:t>
      </w:r>
      <w:r>
        <w:rPr>
          <w:rFonts w:hint="eastAsia" w:ascii="宋体" w:hAnsi="宋体" w:eastAsia="宋体" w:cs="宋体"/>
          <w:color w:val="auto"/>
          <w:spacing w:val="-23"/>
          <w:sz w:val="24"/>
          <w:szCs w:val="24"/>
          <w:highlight w:val="none"/>
        </w:rPr>
        <w:t xml:space="preserve"> </w:t>
      </w:r>
      <w:r>
        <w:rPr>
          <w:rFonts w:hint="eastAsia" w:ascii="宋体" w:hAnsi="宋体" w:eastAsia="宋体" w:cs="宋体"/>
          <w:color w:val="auto"/>
          <w:spacing w:val="-2"/>
          <w:sz w:val="24"/>
          <w:szCs w:val="24"/>
          <w:highlight w:val="none"/>
        </w:rPr>
        <w:t>．联合体各成员单位内部的职责分工如下：。</w:t>
      </w:r>
      <w:bookmarkEnd w:id="239"/>
      <w:bookmarkEnd w:id="240"/>
    </w:p>
    <w:p w14:paraId="17E97E7A">
      <w:pPr>
        <w:keepNext w:val="0"/>
        <w:keepLines w:val="0"/>
        <w:pageBreakBefore w:val="0"/>
        <w:widowControl/>
        <w:kinsoku w:val="0"/>
        <w:wordWrap/>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5</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．投标工作和联合体在中标后工程实施过程中的有关费用按</w:t>
      </w:r>
      <w:r>
        <w:rPr>
          <w:rFonts w:hint="eastAsia" w:ascii="宋体" w:hAnsi="宋体" w:eastAsia="宋体" w:cs="宋体"/>
          <w:color w:val="auto"/>
          <w:spacing w:val="-2"/>
          <w:sz w:val="24"/>
          <w:szCs w:val="24"/>
          <w:highlight w:val="none"/>
        </w:rPr>
        <w:t>各自承担的工作量分</w:t>
      </w:r>
      <w:r>
        <w:rPr>
          <w:rFonts w:hint="eastAsia" w:ascii="宋体" w:hAnsi="宋体" w:eastAsia="宋体" w:cs="宋体"/>
          <w:color w:val="auto"/>
          <w:spacing w:val="-5"/>
          <w:sz w:val="24"/>
          <w:szCs w:val="24"/>
          <w:highlight w:val="none"/>
        </w:rPr>
        <w:t>摊。</w:t>
      </w:r>
    </w:p>
    <w:p w14:paraId="40E0DA14">
      <w:pPr>
        <w:keepNext w:val="0"/>
        <w:keepLines w:val="0"/>
        <w:pageBreakBefore w:val="0"/>
        <w:widowControl/>
        <w:kinsoku w:val="0"/>
        <w:wordWrap/>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6</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．联合体中标后，本联合体协议是合同的附件，对联合体各成</w:t>
      </w:r>
      <w:r>
        <w:rPr>
          <w:rFonts w:hint="eastAsia" w:ascii="宋体" w:hAnsi="宋体" w:eastAsia="宋体" w:cs="宋体"/>
          <w:color w:val="auto"/>
          <w:spacing w:val="-2"/>
          <w:sz w:val="24"/>
          <w:szCs w:val="24"/>
          <w:highlight w:val="none"/>
        </w:rPr>
        <w:t>员单位有合同约束</w:t>
      </w:r>
      <w:r>
        <w:rPr>
          <w:rFonts w:hint="eastAsia" w:ascii="宋体" w:hAnsi="宋体" w:eastAsia="宋体" w:cs="宋体"/>
          <w:color w:val="auto"/>
          <w:spacing w:val="-7"/>
          <w:sz w:val="24"/>
          <w:szCs w:val="24"/>
          <w:highlight w:val="none"/>
        </w:rPr>
        <w:t>力。</w:t>
      </w:r>
    </w:p>
    <w:p w14:paraId="38B03B8C">
      <w:pPr>
        <w:keepNext w:val="0"/>
        <w:keepLines w:val="0"/>
        <w:pageBreakBefore w:val="0"/>
        <w:widowControl/>
        <w:kinsoku w:val="0"/>
        <w:wordWrap/>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7</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1"/>
          <w:sz w:val="24"/>
          <w:szCs w:val="24"/>
          <w:highlight w:val="none"/>
        </w:rPr>
        <w:t>．本协议书自签署之日起生效，联合体未中标或者中标时合同履行</w:t>
      </w:r>
      <w:r>
        <w:rPr>
          <w:rFonts w:hint="eastAsia" w:ascii="宋体" w:hAnsi="宋体" w:eastAsia="宋体" w:cs="宋体"/>
          <w:color w:val="auto"/>
          <w:spacing w:val="-2"/>
          <w:sz w:val="24"/>
          <w:szCs w:val="24"/>
          <w:highlight w:val="none"/>
        </w:rPr>
        <w:t>完毕后自动失</w:t>
      </w:r>
      <w:r>
        <w:rPr>
          <w:rFonts w:hint="eastAsia" w:ascii="宋体" w:hAnsi="宋体" w:eastAsia="宋体" w:cs="宋体"/>
          <w:color w:val="auto"/>
          <w:spacing w:val="-8"/>
          <w:sz w:val="24"/>
          <w:szCs w:val="24"/>
          <w:highlight w:val="none"/>
        </w:rPr>
        <w:t>效。</w:t>
      </w:r>
    </w:p>
    <w:p w14:paraId="378200D7">
      <w:pPr>
        <w:keepNext w:val="0"/>
        <w:keepLines w:val="0"/>
        <w:pageBreakBefore w:val="0"/>
        <w:widowControl/>
        <w:kinsoku w:val="0"/>
        <w:wordWrap/>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z w:val="24"/>
          <w:szCs w:val="24"/>
          <w:highlight w:val="none"/>
        </w:rPr>
      </w:pPr>
      <w:bookmarkStart w:id="241" w:name="_Toc22612"/>
      <w:bookmarkStart w:id="242" w:name="_Toc26708"/>
      <w:r>
        <w:rPr>
          <w:rFonts w:hint="eastAsia" w:ascii="宋体" w:hAnsi="宋体" w:eastAsia="宋体" w:cs="宋体"/>
          <w:color w:val="auto"/>
          <w:spacing w:val="-2"/>
          <w:sz w:val="24"/>
          <w:szCs w:val="24"/>
          <w:highlight w:val="none"/>
        </w:rPr>
        <w:t>8</w:t>
      </w:r>
      <w:r>
        <w:rPr>
          <w:rFonts w:hint="eastAsia" w:ascii="宋体" w:hAnsi="宋体" w:eastAsia="宋体" w:cs="宋体"/>
          <w:color w:val="auto"/>
          <w:spacing w:val="-28"/>
          <w:sz w:val="24"/>
          <w:szCs w:val="24"/>
          <w:highlight w:val="none"/>
        </w:rPr>
        <w:t xml:space="preserve"> </w:t>
      </w:r>
      <w:r>
        <w:rPr>
          <w:rFonts w:hint="eastAsia" w:ascii="宋体" w:hAnsi="宋体" w:eastAsia="宋体" w:cs="宋体"/>
          <w:color w:val="auto"/>
          <w:spacing w:val="-2"/>
          <w:sz w:val="24"/>
          <w:szCs w:val="24"/>
          <w:highlight w:val="none"/>
        </w:rPr>
        <w:t>．本协议书一式份，联合体成员和招标人各执一份。</w:t>
      </w:r>
      <w:bookmarkEnd w:id="241"/>
      <w:bookmarkEnd w:id="242"/>
    </w:p>
    <w:p w14:paraId="24676EC3">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bookmarkStart w:id="243" w:name="bookmark154"/>
      <w:bookmarkEnd w:id="243"/>
      <w:r>
        <w:rPr>
          <w:rFonts w:hint="eastAsia" w:ascii="宋体" w:hAnsi="宋体" w:eastAsia="宋体" w:cs="宋体"/>
          <w:color w:val="auto"/>
          <w:sz w:val="24"/>
          <w:szCs w:val="24"/>
          <w:highlight w:val="none"/>
        </w:rPr>
        <w:t>牵头人名称</w:t>
      </w:r>
      <w:r>
        <w:rPr>
          <w:rFonts w:hint="eastAsia" w:ascii="宋体" w:hAnsi="宋体" w:eastAsia="宋体" w:cs="宋体"/>
          <w:color w:val="auto"/>
          <w:spacing w:val="-15"/>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rPr>
        <w:t>盖单位章）</w:t>
      </w:r>
    </w:p>
    <w:p w14:paraId="1FF38044">
      <w:pPr>
        <w:pStyle w:val="6"/>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2CEAEED2">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57F4BFEA">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成员二名称</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盖单位章）</w:t>
      </w:r>
    </w:p>
    <w:p w14:paraId="0DBBACEF">
      <w:pPr>
        <w:pStyle w:val="6"/>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45E38371">
      <w:pPr>
        <w:keepNext w:val="0"/>
        <w:keepLines w:val="0"/>
        <w:pageBreakBefore w:val="0"/>
        <w:widowControl/>
        <w:kinsoku w:val="0"/>
        <w:wordWrap/>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pacing w:val="-17"/>
          <w:sz w:val="24"/>
          <w:szCs w:val="24"/>
          <w:highlight w:val="none"/>
        </w:rPr>
        <w:t>：</w:t>
      </w:r>
      <w:r>
        <w:rPr>
          <w:rFonts w:hint="eastAsia" w:ascii="宋体" w:hAnsi="宋体" w:eastAsia="宋体" w:cs="宋体"/>
          <w:snapToGrid w:val="0"/>
          <w:color w:val="auto"/>
          <w:kern w:val="0"/>
          <w:sz w:val="24"/>
          <w:szCs w:val="24"/>
          <w:highlight w:val="none"/>
          <w:u w:val="single"/>
          <w:lang w:val="en-US" w:eastAsia="zh-CN" w:bidi="ar-SA"/>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z w:val="24"/>
          <w:szCs w:val="24"/>
          <w:highlight w:val="none"/>
        </w:rPr>
        <w:t>签字或盖章）</w:t>
      </w:r>
    </w:p>
    <w:p w14:paraId="05FB342E">
      <w:pPr>
        <w:spacing w:before="78" w:line="220" w:lineRule="auto"/>
        <w:ind w:left="6730"/>
        <w:jc w:val="right"/>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78725DE3">
      <w:pPr>
        <w:pStyle w:val="6"/>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highlight w:val="none"/>
        </w:rPr>
      </w:pPr>
    </w:p>
    <w:p w14:paraId="75956A52">
      <w:pPr>
        <w:keepNext w:val="0"/>
        <w:keepLines w:val="0"/>
        <w:pageBreakBefore w:val="0"/>
        <w:widowControl/>
        <w:kinsoku w:val="0"/>
        <w:wordWrap/>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z w:val="20"/>
          <w:szCs w:val="20"/>
          <w:highlight w:val="none"/>
        </w:rPr>
      </w:pPr>
      <w:r>
        <w:rPr>
          <w:rFonts w:hint="eastAsia" w:ascii="宋体" w:hAnsi="宋体" w:eastAsia="宋体" w:cs="宋体"/>
          <w:color w:val="auto"/>
          <w:spacing w:val="9"/>
          <w:sz w:val="20"/>
          <w:szCs w:val="20"/>
          <w:highlight w:val="none"/>
        </w:rPr>
        <w:t>说明：《联合体协议书》</w:t>
      </w:r>
      <w:r>
        <w:rPr>
          <w:rFonts w:hint="eastAsia" w:ascii="宋体" w:hAnsi="宋体" w:eastAsia="宋体" w:cs="宋体"/>
          <w:color w:val="auto"/>
          <w:spacing w:val="-55"/>
          <w:sz w:val="20"/>
          <w:szCs w:val="20"/>
          <w:highlight w:val="none"/>
        </w:rPr>
        <w:t xml:space="preserve"> </w:t>
      </w:r>
      <w:r>
        <w:rPr>
          <w:rFonts w:hint="eastAsia" w:ascii="宋体" w:hAnsi="宋体" w:eastAsia="宋体" w:cs="宋体"/>
          <w:color w:val="auto"/>
          <w:spacing w:val="9"/>
          <w:sz w:val="20"/>
          <w:szCs w:val="20"/>
          <w:highlight w:val="none"/>
        </w:rPr>
        <w:t>由委托代理人签字或盖章的，</w:t>
      </w:r>
      <w:r>
        <w:rPr>
          <w:rFonts w:hint="eastAsia" w:ascii="宋体" w:hAnsi="宋体" w:eastAsia="宋体" w:cs="宋体"/>
          <w:color w:val="auto"/>
          <w:spacing w:val="8"/>
          <w:sz w:val="20"/>
          <w:szCs w:val="20"/>
          <w:highlight w:val="none"/>
        </w:rPr>
        <w:t>应附法定代表人签字或盖章的授权委托</w:t>
      </w:r>
      <w:r>
        <w:rPr>
          <w:rFonts w:hint="eastAsia" w:ascii="宋体" w:hAnsi="宋体" w:eastAsia="宋体" w:cs="宋体"/>
          <w:color w:val="auto"/>
          <w:spacing w:val="-2"/>
          <w:sz w:val="20"/>
          <w:szCs w:val="20"/>
          <w:highlight w:val="none"/>
        </w:rPr>
        <w:t>书。</w:t>
      </w:r>
    </w:p>
    <w:p w14:paraId="3B8BD5E4">
      <w:pPr>
        <w:keepNext w:val="0"/>
        <w:keepLines w:val="0"/>
        <w:pageBreakBefore w:val="0"/>
        <w:widowControl/>
        <w:kinsoku w:val="0"/>
        <w:wordWrap/>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z w:val="20"/>
          <w:szCs w:val="20"/>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6817F60">
      <w:pPr>
        <w:spacing w:before="78" w:line="220" w:lineRule="auto"/>
        <w:outlineLvl w:val="2"/>
        <w:rPr>
          <w:rFonts w:hint="eastAsia" w:ascii="宋体" w:hAnsi="宋体" w:eastAsia="宋体" w:cs="宋体"/>
          <w:b/>
          <w:bCs/>
          <w:color w:val="auto"/>
          <w:spacing w:val="-4"/>
          <w:sz w:val="24"/>
          <w:szCs w:val="24"/>
          <w:highlight w:val="none"/>
        </w:rPr>
      </w:pPr>
      <w:bookmarkStart w:id="244" w:name="_Toc17838"/>
      <w:r>
        <w:rPr>
          <w:rFonts w:hint="eastAsia" w:ascii="宋体" w:hAnsi="宋体" w:eastAsia="宋体" w:cs="宋体"/>
          <w:b/>
          <w:bCs/>
          <w:color w:val="auto"/>
          <w:spacing w:val="-4"/>
          <w:sz w:val="24"/>
          <w:szCs w:val="24"/>
          <w:highlight w:val="none"/>
        </w:rPr>
        <w:t>格式七 投标人基本情况表</w:t>
      </w:r>
      <w:bookmarkEnd w:id="244"/>
    </w:p>
    <w:p w14:paraId="14DDA036">
      <w:pPr>
        <w:spacing w:before="333" w:line="219" w:lineRule="auto"/>
        <w:ind w:left="3350"/>
        <w:rPr>
          <w:rFonts w:hint="eastAsia" w:ascii="宋体" w:hAnsi="宋体" w:eastAsia="宋体" w:cs="宋体"/>
          <w:color w:val="auto"/>
          <w:sz w:val="30"/>
          <w:szCs w:val="30"/>
          <w:highlight w:val="none"/>
        </w:rPr>
      </w:pPr>
      <w:r>
        <w:rPr>
          <w:rFonts w:hint="eastAsia" w:ascii="宋体" w:hAnsi="宋体" w:eastAsia="宋体" w:cs="宋体"/>
          <w:b/>
          <w:bCs/>
          <w:color w:val="auto"/>
          <w:spacing w:val="-5"/>
          <w:sz w:val="30"/>
          <w:szCs w:val="30"/>
          <w:highlight w:val="none"/>
        </w:rPr>
        <w:t>投标人基本情况表</w:t>
      </w:r>
    </w:p>
    <w:p w14:paraId="32729EED">
      <w:pPr>
        <w:spacing w:line="239" w:lineRule="exact"/>
        <w:rPr>
          <w:rFonts w:hint="eastAsia" w:ascii="宋体" w:hAnsi="宋体" w:eastAsia="宋体" w:cs="宋体"/>
          <w:color w:val="auto"/>
          <w:highlight w:val="none"/>
        </w:rPr>
      </w:pPr>
    </w:p>
    <w:tbl>
      <w:tblPr>
        <w:tblStyle w:val="15"/>
        <w:tblW w:w="9259" w:type="dxa"/>
        <w:tblInd w:w="2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02A72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20" w:type="dxa"/>
            <w:vAlign w:val="center"/>
          </w:tcPr>
          <w:p w14:paraId="7D1EE0F5">
            <w:pPr>
              <w:spacing w:before="149" w:line="229" w:lineRule="auto"/>
              <w:ind w:left="22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p>
        </w:tc>
        <w:tc>
          <w:tcPr>
            <w:tcW w:w="7639" w:type="dxa"/>
            <w:gridSpan w:val="8"/>
            <w:vAlign w:val="top"/>
          </w:tcPr>
          <w:p w14:paraId="21519AEE">
            <w:pPr>
              <w:pStyle w:val="22"/>
              <w:rPr>
                <w:rFonts w:hint="eastAsia" w:ascii="宋体" w:hAnsi="宋体" w:eastAsia="宋体" w:cs="宋体"/>
                <w:color w:val="auto"/>
                <w:sz w:val="24"/>
                <w:szCs w:val="24"/>
                <w:highlight w:val="none"/>
              </w:rPr>
            </w:pPr>
          </w:p>
        </w:tc>
      </w:tr>
      <w:tr w14:paraId="3CBAE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1620" w:type="dxa"/>
            <w:vAlign w:val="top"/>
          </w:tcPr>
          <w:p w14:paraId="5E142255">
            <w:pPr>
              <w:spacing w:before="144"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注册地址</w:t>
            </w:r>
          </w:p>
        </w:tc>
        <w:tc>
          <w:tcPr>
            <w:tcW w:w="3684" w:type="dxa"/>
            <w:gridSpan w:val="3"/>
            <w:vAlign w:val="top"/>
          </w:tcPr>
          <w:p w14:paraId="27D85F71">
            <w:pPr>
              <w:pStyle w:val="22"/>
              <w:rPr>
                <w:rFonts w:hint="eastAsia" w:ascii="宋体" w:hAnsi="宋体" w:eastAsia="宋体" w:cs="宋体"/>
                <w:color w:val="auto"/>
                <w:sz w:val="24"/>
                <w:szCs w:val="24"/>
                <w:highlight w:val="none"/>
              </w:rPr>
            </w:pPr>
          </w:p>
        </w:tc>
        <w:tc>
          <w:tcPr>
            <w:tcW w:w="1354" w:type="dxa"/>
            <w:gridSpan w:val="2"/>
            <w:vAlign w:val="top"/>
          </w:tcPr>
          <w:p w14:paraId="114BD33C">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邮政编码</w:t>
            </w:r>
          </w:p>
        </w:tc>
        <w:tc>
          <w:tcPr>
            <w:tcW w:w="2601" w:type="dxa"/>
            <w:gridSpan w:val="3"/>
            <w:vAlign w:val="top"/>
          </w:tcPr>
          <w:p w14:paraId="33C2FF9E">
            <w:pPr>
              <w:pStyle w:val="22"/>
              <w:rPr>
                <w:rFonts w:hint="eastAsia" w:ascii="宋体" w:hAnsi="宋体" w:eastAsia="宋体" w:cs="宋体"/>
                <w:color w:val="auto"/>
                <w:sz w:val="24"/>
                <w:szCs w:val="24"/>
                <w:highlight w:val="none"/>
              </w:rPr>
            </w:pPr>
          </w:p>
        </w:tc>
      </w:tr>
      <w:tr w14:paraId="487E2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20" w:type="dxa"/>
            <w:vMerge w:val="restart"/>
            <w:tcBorders>
              <w:bottom w:val="nil"/>
            </w:tcBorders>
            <w:vAlign w:val="top"/>
          </w:tcPr>
          <w:p w14:paraId="224BDDF4">
            <w:pPr>
              <w:pStyle w:val="22"/>
              <w:spacing w:line="332" w:lineRule="auto"/>
              <w:rPr>
                <w:rFonts w:hint="eastAsia" w:ascii="宋体" w:hAnsi="宋体" w:eastAsia="宋体" w:cs="宋体"/>
                <w:color w:val="auto"/>
                <w:sz w:val="24"/>
                <w:szCs w:val="24"/>
                <w:highlight w:val="none"/>
              </w:rPr>
            </w:pPr>
          </w:p>
          <w:p w14:paraId="21572833">
            <w:pPr>
              <w:spacing w:before="65" w:line="230" w:lineRule="auto"/>
              <w:ind w:left="329"/>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联系方式</w:t>
            </w:r>
          </w:p>
        </w:tc>
        <w:tc>
          <w:tcPr>
            <w:tcW w:w="975" w:type="dxa"/>
            <w:vAlign w:val="top"/>
          </w:tcPr>
          <w:p w14:paraId="78B0FA2A">
            <w:pPr>
              <w:spacing w:before="145" w:line="231" w:lineRule="auto"/>
              <w:ind w:left="13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联系人</w:t>
            </w:r>
          </w:p>
        </w:tc>
        <w:tc>
          <w:tcPr>
            <w:tcW w:w="2709" w:type="dxa"/>
            <w:gridSpan w:val="2"/>
            <w:vAlign w:val="top"/>
          </w:tcPr>
          <w:p w14:paraId="018023DF">
            <w:pPr>
              <w:pStyle w:val="22"/>
              <w:rPr>
                <w:rFonts w:hint="eastAsia" w:ascii="宋体" w:hAnsi="宋体" w:eastAsia="宋体" w:cs="宋体"/>
                <w:color w:val="auto"/>
                <w:sz w:val="24"/>
                <w:szCs w:val="24"/>
                <w:highlight w:val="none"/>
              </w:rPr>
            </w:pPr>
          </w:p>
        </w:tc>
        <w:tc>
          <w:tcPr>
            <w:tcW w:w="1354" w:type="dxa"/>
            <w:gridSpan w:val="2"/>
            <w:vAlign w:val="top"/>
          </w:tcPr>
          <w:p w14:paraId="126A236B">
            <w:pPr>
              <w:spacing w:before="145" w:line="231"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电</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12"/>
                <w:sz w:val="24"/>
                <w:szCs w:val="24"/>
                <w:highlight w:val="none"/>
              </w:rPr>
              <w:t>话</w:t>
            </w:r>
          </w:p>
        </w:tc>
        <w:tc>
          <w:tcPr>
            <w:tcW w:w="2601" w:type="dxa"/>
            <w:gridSpan w:val="3"/>
            <w:vAlign w:val="top"/>
          </w:tcPr>
          <w:p w14:paraId="459A9DAF">
            <w:pPr>
              <w:pStyle w:val="22"/>
              <w:rPr>
                <w:rFonts w:hint="eastAsia" w:ascii="宋体" w:hAnsi="宋体" w:eastAsia="宋体" w:cs="宋体"/>
                <w:color w:val="auto"/>
                <w:sz w:val="24"/>
                <w:szCs w:val="24"/>
                <w:highlight w:val="none"/>
              </w:rPr>
            </w:pPr>
          </w:p>
        </w:tc>
      </w:tr>
      <w:tr w14:paraId="25D8C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620" w:type="dxa"/>
            <w:vMerge w:val="continue"/>
            <w:tcBorders>
              <w:top w:val="nil"/>
            </w:tcBorders>
            <w:vAlign w:val="top"/>
          </w:tcPr>
          <w:p w14:paraId="08B2AEE9">
            <w:pPr>
              <w:pStyle w:val="22"/>
              <w:rPr>
                <w:rFonts w:hint="eastAsia" w:ascii="宋体" w:hAnsi="宋体" w:eastAsia="宋体" w:cs="宋体"/>
                <w:color w:val="auto"/>
                <w:sz w:val="24"/>
                <w:szCs w:val="24"/>
                <w:highlight w:val="none"/>
              </w:rPr>
            </w:pPr>
          </w:p>
        </w:tc>
        <w:tc>
          <w:tcPr>
            <w:tcW w:w="975" w:type="dxa"/>
            <w:vAlign w:val="top"/>
          </w:tcPr>
          <w:p w14:paraId="6A4932C0">
            <w:pPr>
              <w:spacing w:before="143" w:line="228" w:lineRule="auto"/>
              <w:ind w:left="134"/>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传</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1"/>
                <w:sz w:val="24"/>
                <w:szCs w:val="24"/>
                <w:highlight w:val="none"/>
              </w:rPr>
              <w:t>真</w:t>
            </w:r>
          </w:p>
        </w:tc>
        <w:tc>
          <w:tcPr>
            <w:tcW w:w="2709" w:type="dxa"/>
            <w:gridSpan w:val="2"/>
            <w:vAlign w:val="top"/>
          </w:tcPr>
          <w:p w14:paraId="6A9B29CC">
            <w:pPr>
              <w:pStyle w:val="22"/>
              <w:rPr>
                <w:rFonts w:hint="eastAsia" w:ascii="宋体" w:hAnsi="宋体" w:eastAsia="宋体" w:cs="宋体"/>
                <w:color w:val="auto"/>
                <w:sz w:val="24"/>
                <w:szCs w:val="24"/>
                <w:highlight w:val="none"/>
              </w:rPr>
            </w:pPr>
          </w:p>
        </w:tc>
        <w:tc>
          <w:tcPr>
            <w:tcW w:w="1354" w:type="dxa"/>
            <w:gridSpan w:val="2"/>
            <w:vAlign w:val="top"/>
          </w:tcPr>
          <w:p w14:paraId="4163A6BA">
            <w:pPr>
              <w:spacing w:before="144" w:line="229" w:lineRule="auto"/>
              <w:ind w:left="235"/>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电子邮箱</w:t>
            </w:r>
          </w:p>
        </w:tc>
        <w:tc>
          <w:tcPr>
            <w:tcW w:w="2601" w:type="dxa"/>
            <w:gridSpan w:val="3"/>
            <w:vAlign w:val="top"/>
          </w:tcPr>
          <w:p w14:paraId="53C1B651">
            <w:pPr>
              <w:pStyle w:val="22"/>
              <w:rPr>
                <w:rFonts w:hint="eastAsia" w:ascii="宋体" w:hAnsi="宋体" w:eastAsia="宋体" w:cs="宋体"/>
                <w:color w:val="auto"/>
                <w:sz w:val="24"/>
                <w:szCs w:val="24"/>
                <w:highlight w:val="none"/>
              </w:rPr>
            </w:pPr>
          </w:p>
        </w:tc>
      </w:tr>
      <w:tr w14:paraId="73083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620" w:type="dxa"/>
            <w:vAlign w:val="top"/>
          </w:tcPr>
          <w:p w14:paraId="628A515D">
            <w:pPr>
              <w:spacing w:before="14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单位性质</w:t>
            </w:r>
          </w:p>
        </w:tc>
        <w:tc>
          <w:tcPr>
            <w:tcW w:w="7639" w:type="dxa"/>
            <w:gridSpan w:val="8"/>
            <w:vAlign w:val="top"/>
          </w:tcPr>
          <w:p w14:paraId="78C22A91">
            <w:pPr>
              <w:pStyle w:val="22"/>
              <w:rPr>
                <w:rFonts w:hint="eastAsia" w:ascii="宋体" w:hAnsi="宋体" w:eastAsia="宋体" w:cs="宋体"/>
                <w:color w:val="auto"/>
                <w:sz w:val="24"/>
                <w:szCs w:val="24"/>
                <w:highlight w:val="none"/>
              </w:rPr>
            </w:pPr>
          </w:p>
        </w:tc>
      </w:tr>
      <w:tr w14:paraId="19942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5EAEFA74">
            <w:pPr>
              <w:spacing w:before="144" w:line="228" w:lineRule="auto"/>
              <w:ind w:left="22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法定代表人</w:t>
            </w:r>
          </w:p>
        </w:tc>
        <w:tc>
          <w:tcPr>
            <w:tcW w:w="975" w:type="dxa"/>
            <w:vAlign w:val="top"/>
          </w:tcPr>
          <w:p w14:paraId="33E41CE3">
            <w:pPr>
              <w:spacing w:before="144" w:line="228" w:lineRule="auto"/>
              <w:ind w:left="2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837" w:type="dxa"/>
            <w:vAlign w:val="top"/>
          </w:tcPr>
          <w:p w14:paraId="73A0FFE2">
            <w:pPr>
              <w:pStyle w:val="22"/>
              <w:rPr>
                <w:rFonts w:hint="eastAsia" w:ascii="宋体" w:hAnsi="宋体" w:eastAsia="宋体" w:cs="宋体"/>
                <w:color w:val="auto"/>
                <w:sz w:val="24"/>
                <w:szCs w:val="24"/>
                <w:highlight w:val="none"/>
              </w:rPr>
            </w:pPr>
          </w:p>
        </w:tc>
        <w:tc>
          <w:tcPr>
            <w:tcW w:w="1183" w:type="dxa"/>
            <w:gridSpan w:val="2"/>
            <w:vAlign w:val="top"/>
          </w:tcPr>
          <w:p w14:paraId="3F974C18">
            <w:pPr>
              <w:spacing w:before="144" w:line="228" w:lineRule="auto"/>
              <w:ind w:left="13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技术职称</w:t>
            </w:r>
          </w:p>
        </w:tc>
        <w:tc>
          <w:tcPr>
            <w:tcW w:w="1326" w:type="dxa"/>
            <w:gridSpan w:val="2"/>
            <w:vAlign w:val="top"/>
          </w:tcPr>
          <w:p w14:paraId="4D7CA3C1">
            <w:pPr>
              <w:pStyle w:val="22"/>
              <w:rPr>
                <w:rFonts w:hint="eastAsia" w:ascii="宋体" w:hAnsi="宋体" w:eastAsia="宋体" w:cs="宋体"/>
                <w:color w:val="auto"/>
                <w:sz w:val="24"/>
                <w:szCs w:val="24"/>
                <w:highlight w:val="none"/>
              </w:rPr>
            </w:pPr>
          </w:p>
        </w:tc>
        <w:tc>
          <w:tcPr>
            <w:tcW w:w="770" w:type="dxa"/>
            <w:vAlign w:val="top"/>
          </w:tcPr>
          <w:p w14:paraId="78C62852">
            <w:pPr>
              <w:spacing w:before="143" w:line="231" w:lineRule="auto"/>
              <w:ind w:left="17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电话</w:t>
            </w:r>
          </w:p>
        </w:tc>
        <w:tc>
          <w:tcPr>
            <w:tcW w:w="1548" w:type="dxa"/>
            <w:vAlign w:val="top"/>
          </w:tcPr>
          <w:p w14:paraId="57E9D0E0">
            <w:pPr>
              <w:pStyle w:val="22"/>
              <w:rPr>
                <w:rFonts w:hint="eastAsia" w:ascii="宋体" w:hAnsi="宋体" w:eastAsia="宋体" w:cs="宋体"/>
                <w:color w:val="auto"/>
                <w:sz w:val="24"/>
                <w:szCs w:val="24"/>
                <w:highlight w:val="none"/>
              </w:rPr>
            </w:pPr>
          </w:p>
        </w:tc>
      </w:tr>
      <w:tr w14:paraId="3D745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1620" w:type="dxa"/>
            <w:vAlign w:val="top"/>
          </w:tcPr>
          <w:p w14:paraId="6064B7FD">
            <w:pPr>
              <w:spacing w:before="145" w:line="230"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成立时间</w:t>
            </w:r>
          </w:p>
        </w:tc>
        <w:tc>
          <w:tcPr>
            <w:tcW w:w="2812" w:type="dxa"/>
            <w:gridSpan w:val="2"/>
            <w:vAlign w:val="top"/>
          </w:tcPr>
          <w:p w14:paraId="61CAEFD6">
            <w:pPr>
              <w:pStyle w:val="22"/>
              <w:rPr>
                <w:rFonts w:hint="eastAsia" w:ascii="宋体" w:hAnsi="宋体" w:eastAsia="宋体" w:cs="宋体"/>
                <w:color w:val="auto"/>
                <w:sz w:val="24"/>
                <w:szCs w:val="24"/>
                <w:highlight w:val="none"/>
              </w:rPr>
            </w:pPr>
          </w:p>
        </w:tc>
        <w:tc>
          <w:tcPr>
            <w:tcW w:w="4827" w:type="dxa"/>
            <w:gridSpan w:val="6"/>
            <w:vAlign w:val="top"/>
          </w:tcPr>
          <w:p w14:paraId="68EE19B6">
            <w:pPr>
              <w:spacing w:before="145" w:line="228" w:lineRule="auto"/>
              <w:ind w:left="1287"/>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员工总人数（个</w:t>
            </w:r>
            <w:r>
              <w:rPr>
                <w:rFonts w:hint="eastAsia" w:ascii="宋体" w:hAnsi="宋体" w:eastAsia="宋体" w:cs="宋体"/>
                <w:color w:val="auto"/>
                <w:sz w:val="24"/>
                <w:szCs w:val="24"/>
                <w:highlight w:val="none"/>
              </w:rPr>
              <w:t>）：</w:t>
            </w:r>
          </w:p>
        </w:tc>
      </w:tr>
      <w:tr w14:paraId="4A4B6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620" w:type="dxa"/>
            <w:vAlign w:val="top"/>
          </w:tcPr>
          <w:p w14:paraId="3DF6D215">
            <w:pPr>
              <w:spacing w:before="61" w:line="262" w:lineRule="auto"/>
              <w:ind w:right="220"/>
              <w:jc w:val="center"/>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企业资质</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类型和等级</w:t>
            </w:r>
          </w:p>
        </w:tc>
        <w:tc>
          <w:tcPr>
            <w:tcW w:w="2812" w:type="dxa"/>
            <w:gridSpan w:val="2"/>
            <w:vAlign w:val="top"/>
          </w:tcPr>
          <w:p w14:paraId="7C6CD087">
            <w:pPr>
              <w:pStyle w:val="22"/>
              <w:rPr>
                <w:rFonts w:hint="eastAsia" w:ascii="宋体" w:hAnsi="宋体" w:eastAsia="宋体" w:cs="宋体"/>
                <w:color w:val="auto"/>
                <w:sz w:val="24"/>
                <w:szCs w:val="24"/>
                <w:highlight w:val="none"/>
              </w:rPr>
            </w:pPr>
          </w:p>
        </w:tc>
        <w:tc>
          <w:tcPr>
            <w:tcW w:w="1183" w:type="dxa"/>
            <w:gridSpan w:val="2"/>
            <w:vMerge w:val="restart"/>
            <w:tcBorders>
              <w:bottom w:val="nil"/>
            </w:tcBorders>
            <w:vAlign w:val="top"/>
          </w:tcPr>
          <w:p w14:paraId="2F74217E">
            <w:pPr>
              <w:pStyle w:val="22"/>
              <w:spacing w:line="254" w:lineRule="auto"/>
              <w:rPr>
                <w:rFonts w:hint="eastAsia" w:ascii="宋体" w:hAnsi="宋体" w:eastAsia="宋体" w:cs="宋体"/>
                <w:color w:val="auto"/>
                <w:sz w:val="24"/>
                <w:szCs w:val="24"/>
                <w:highlight w:val="none"/>
              </w:rPr>
            </w:pPr>
          </w:p>
          <w:p w14:paraId="085FDF22">
            <w:pPr>
              <w:pStyle w:val="22"/>
              <w:spacing w:line="254" w:lineRule="auto"/>
              <w:rPr>
                <w:rFonts w:hint="eastAsia" w:ascii="宋体" w:hAnsi="宋体" w:eastAsia="宋体" w:cs="宋体"/>
                <w:color w:val="auto"/>
                <w:sz w:val="24"/>
                <w:szCs w:val="24"/>
                <w:highlight w:val="none"/>
              </w:rPr>
            </w:pPr>
          </w:p>
          <w:p w14:paraId="0058CF4E">
            <w:pPr>
              <w:pStyle w:val="22"/>
              <w:spacing w:line="254" w:lineRule="auto"/>
              <w:rPr>
                <w:rFonts w:hint="eastAsia" w:ascii="宋体" w:hAnsi="宋体" w:eastAsia="宋体" w:cs="宋体"/>
                <w:color w:val="auto"/>
                <w:sz w:val="24"/>
                <w:szCs w:val="24"/>
                <w:highlight w:val="none"/>
              </w:rPr>
            </w:pPr>
          </w:p>
          <w:p w14:paraId="52D89A9C">
            <w:pPr>
              <w:pStyle w:val="22"/>
              <w:spacing w:line="254" w:lineRule="auto"/>
              <w:rPr>
                <w:rFonts w:hint="eastAsia" w:ascii="宋体" w:hAnsi="宋体" w:eastAsia="宋体" w:cs="宋体"/>
                <w:color w:val="auto"/>
                <w:sz w:val="24"/>
                <w:szCs w:val="24"/>
                <w:highlight w:val="none"/>
              </w:rPr>
            </w:pPr>
          </w:p>
          <w:p w14:paraId="2A9C3BD7">
            <w:pPr>
              <w:pStyle w:val="22"/>
              <w:spacing w:line="255" w:lineRule="auto"/>
              <w:rPr>
                <w:rFonts w:hint="eastAsia" w:ascii="宋体" w:hAnsi="宋体" w:eastAsia="宋体" w:cs="宋体"/>
                <w:color w:val="auto"/>
                <w:sz w:val="24"/>
                <w:szCs w:val="24"/>
                <w:highlight w:val="none"/>
              </w:rPr>
            </w:pPr>
          </w:p>
          <w:p w14:paraId="6CC6EF4A">
            <w:pPr>
              <w:spacing w:before="65" w:line="229" w:lineRule="auto"/>
              <w:ind w:left="34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其中</w:t>
            </w:r>
          </w:p>
        </w:tc>
        <w:tc>
          <w:tcPr>
            <w:tcW w:w="2096" w:type="dxa"/>
            <w:gridSpan w:val="3"/>
            <w:vAlign w:val="top"/>
          </w:tcPr>
          <w:p w14:paraId="2425027A">
            <w:pPr>
              <w:spacing w:before="214" w:line="229" w:lineRule="auto"/>
              <w:ind w:left="554"/>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48" w:type="dxa"/>
            <w:vAlign w:val="top"/>
          </w:tcPr>
          <w:p w14:paraId="0CC078DE">
            <w:pPr>
              <w:pStyle w:val="22"/>
              <w:rPr>
                <w:rFonts w:hint="eastAsia" w:ascii="宋体" w:hAnsi="宋体" w:eastAsia="宋体" w:cs="宋体"/>
                <w:color w:val="auto"/>
                <w:sz w:val="24"/>
                <w:szCs w:val="24"/>
                <w:highlight w:val="none"/>
              </w:rPr>
            </w:pPr>
          </w:p>
        </w:tc>
      </w:tr>
      <w:tr w14:paraId="02597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620" w:type="dxa"/>
            <w:vAlign w:val="top"/>
          </w:tcPr>
          <w:p w14:paraId="38A0687A">
            <w:pPr>
              <w:spacing w:before="146" w:line="228" w:lineRule="auto"/>
              <w:ind w:left="232"/>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营业执照号</w:t>
            </w:r>
          </w:p>
        </w:tc>
        <w:tc>
          <w:tcPr>
            <w:tcW w:w="2812" w:type="dxa"/>
            <w:gridSpan w:val="2"/>
            <w:vAlign w:val="top"/>
          </w:tcPr>
          <w:p w14:paraId="48DD56DF">
            <w:pPr>
              <w:pStyle w:val="22"/>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7CE88A7F">
            <w:pPr>
              <w:pStyle w:val="22"/>
              <w:rPr>
                <w:rFonts w:hint="eastAsia" w:ascii="宋体" w:hAnsi="宋体" w:eastAsia="宋体" w:cs="宋体"/>
                <w:color w:val="auto"/>
                <w:sz w:val="24"/>
                <w:szCs w:val="24"/>
                <w:highlight w:val="none"/>
              </w:rPr>
            </w:pPr>
          </w:p>
        </w:tc>
        <w:tc>
          <w:tcPr>
            <w:tcW w:w="2096" w:type="dxa"/>
            <w:gridSpan w:val="3"/>
            <w:vAlign w:val="top"/>
          </w:tcPr>
          <w:p w14:paraId="12538A97">
            <w:pPr>
              <w:spacing w:before="146" w:line="228" w:lineRule="auto"/>
              <w:ind w:left="3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高级职称人员</w:t>
            </w:r>
          </w:p>
        </w:tc>
        <w:tc>
          <w:tcPr>
            <w:tcW w:w="1548" w:type="dxa"/>
            <w:vAlign w:val="top"/>
          </w:tcPr>
          <w:p w14:paraId="0D96978F">
            <w:pPr>
              <w:pStyle w:val="22"/>
              <w:rPr>
                <w:rFonts w:hint="eastAsia" w:ascii="宋体" w:hAnsi="宋体" w:eastAsia="宋体" w:cs="宋体"/>
                <w:color w:val="auto"/>
                <w:sz w:val="24"/>
                <w:szCs w:val="24"/>
                <w:highlight w:val="none"/>
              </w:rPr>
            </w:pPr>
          </w:p>
        </w:tc>
      </w:tr>
      <w:tr w14:paraId="578F8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1620" w:type="dxa"/>
            <w:vAlign w:val="top"/>
          </w:tcPr>
          <w:p w14:paraId="7EBB8EC3">
            <w:pPr>
              <w:spacing w:before="146" w:line="230" w:lineRule="auto"/>
              <w:ind w:left="32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注册资金</w:t>
            </w:r>
          </w:p>
        </w:tc>
        <w:tc>
          <w:tcPr>
            <w:tcW w:w="2812" w:type="dxa"/>
            <w:gridSpan w:val="2"/>
            <w:vAlign w:val="top"/>
          </w:tcPr>
          <w:p w14:paraId="60BBB588">
            <w:pPr>
              <w:pStyle w:val="22"/>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042B2402">
            <w:pPr>
              <w:pStyle w:val="22"/>
              <w:rPr>
                <w:rFonts w:hint="eastAsia" w:ascii="宋体" w:hAnsi="宋体" w:eastAsia="宋体" w:cs="宋体"/>
                <w:color w:val="auto"/>
                <w:sz w:val="24"/>
                <w:szCs w:val="24"/>
                <w:highlight w:val="none"/>
              </w:rPr>
            </w:pPr>
          </w:p>
        </w:tc>
        <w:tc>
          <w:tcPr>
            <w:tcW w:w="2096" w:type="dxa"/>
            <w:gridSpan w:val="3"/>
            <w:vAlign w:val="top"/>
          </w:tcPr>
          <w:p w14:paraId="254C5EFF">
            <w:pPr>
              <w:spacing w:before="147"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中级职称人员</w:t>
            </w:r>
          </w:p>
        </w:tc>
        <w:tc>
          <w:tcPr>
            <w:tcW w:w="1548" w:type="dxa"/>
            <w:vAlign w:val="top"/>
          </w:tcPr>
          <w:p w14:paraId="0CD349BE">
            <w:pPr>
              <w:pStyle w:val="22"/>
              <w:rPr>
                <w:rFonts w:hint="eastAsia" w:ascii="宋体" w:hAnsi="宋体" w:eastAsia="宋体" w:cs="宋体"/>
                <w:color w:val="auto"/>
                <w:sz w:val="24"/>
                <w:szCs w:val="24"/>
                <w:highlight w:val="none"/>
              </w:rPr>
            </w:pPr>
          </w:p>
        </w:tc>
      </w:tr>
      <w:tr w14:paraId="251D3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620" w:type="dxa"/>
            <w:vAlign w:val="top"/>
          </w:tcPr>
          <w:p w14:paraId="7F05C22D">
            <w:pPr>
              <w:spacing w:before="62" w:line="241"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开户银行</w:t>
            </w:r>
          </w:p>
        </w:tc>
        <w:tc>
          <w:tcPr>
            <w:tcW w:w="2812" w:type="dxa"/>
            <w:gridSpan w:val="2"/>
            <w:vAlign w:val="top"/>
          </w:tcPr>
          <w:p w14:paraId="001B5A6A">
            <w:pPr>
              <w:pStyle w:val="22"/>
              <w:rPr>
                <w:rFonts w:hint="eastAsia" w:ascii="宋体" w:hAnsi="宋体" w:eastAsia="宋体" w:cs="宋体"/>
                <w:color w:val="auto"/>
                <w:sz w:val="24"/>
                <w:szCs w:val="24"/>
                <w:highlight w:val="none"/>
              </w:rPr>
            </w:pPr>
          </w:p>
        </w:tc>
        <w:tc>
          <w:tcPr>
            <w:tcW w:w="1183" w:type="dxa"/>
            <w:gridSpan w:val="2"/>
            <w:vMerge w:val="continue"/>
            <w:tcBorders>
              <w:top w:val="nil"/>
              <w:bottom w:val="nil"/>
            </w:tcBorders>
            <w:vAlign w:val="top"/>
          </w:tcPr>
          <w:p w14:paraId="07E236F6">
            <w:pPr>
              <w:pStyle w:val="22"/>
              <w:rPr>
                <w:rFonts w:hint="eastAsia" w:ascii="宋体" w:hAnsi="宋体" w:eastAsia="宋体" w:cs="宋体"/>
                <w:color w:val="auto"/>
                <w:sz w:val="24"/>
                <w:szCs w:val="24"/>
                <w:highlight w:val="none"/>
              </w:rPr>
            </w:pPr>
          </w:p>
        </w:tc>
        <w:tc>
          <w:tcPr>
            <w:tcW w:w="2096" w:type="dxa"/>
            <w:gridSpan w:val="3"/>
            <w:vAlign w:val="top"/>
          </w:tcPr>
          <w:p w14:paraId="5A14CD2D">
            <w:pPr>
              <w:spacing w:before="191" w:line="230" w:lineRule="auto"/>
              <w:ind w:left="3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初级职称人员</w:t>
            </w:r>
          </w:p>
        </w:tc>
        <w:tc>
          <w:tcPr>
            <w:tcW w:w="1548" w:type="dxa"/>
            <w:vAlign w:val="top"/>
          </w:tcPr>
          <w:p w14:paraId="56D27094">
            <w:pPr>
              <w:pStyle w:val="22"/>
              <w:rPr>
                <w:rFonts w:hint="eastAsia" w:ascii="宋体" w:hAnsi="宋体" w:eastAsia="宋体" w:cs="宋体"/>
                <w:color w:val="auto"/>
                <w:sz w:val="24"/>
                <w:szCs w:val="24"/>
                <w:highlight w:val="none"/>
              </w:rPr>
            </w:pPr>
          </w:p>
        </w:tc>
      </w:tr>
      <w:tr w14:paraId="63130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620" w:type="dxa"/>
            <w:vAlign w:val="top"/>
          </w:tcPr>
          <w:p w14:paraId="46DD69AB">
            <w:pPr>
              <w:spacing w:before="62" w:line="259" w:lineRule="auto"/>
              <w:ind w:right="325"/>
              <w:jc w:val="center"/>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基本账户</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银行账号</w:t>
            </w:r>
          </w:p>
        </w:tc>
        <w:tc>
          <w:tcPr>
            <w:tcW w:w="2812" w:type="dxa"/>
            <w:gridSpan w:val="2"/>
            <w:vAlign w:val="top"/>
          </w:tcPr>
          <w:p w14:paraId="65CE9325">
            <w:pPr>
              <w:pStyle w:val="22"/>
              <w:rPr>
                <w:rFonts w:hint="eastAsia" w:ascii="宋体" w:hAnsi="宋体" w:eastAsia="宋体" w:cs="宋体"/>
                <w:color w:val="auto"/>
                <w:sz w:val="24"/>
                <w:szCs w:val="24"/>
                <w:highlight w:val="none"/>
              </w:rPr>
            </w:pPr>
          </w:p>
        </w:tc>
        <w:tc>
          <w:tcPr>
            <w:tcW w:w="1183" w:type="dxa"/>
            <w:gridSpan w:val="2"/>
            <w:vMerge w:val="continue"/>
            <w:tcBorders>
              <w:top w:val="nil"/>
            </w:tcBorders>
            <w:vAlign w:val="top"/>
          </w:tcPr>
          <w:p w14:paraId="1DA4FF47">
            <w:pPr>
              <w:pStyle w:val="22"/>
              <w:rPr>
                <w:rFonts w:hint="eastAsia" w:ascii="宋体" w:hAnsi="宋体" w:eastAsia="宋体" w:cs="宋体"/>
                <w:color w:val="auto"/>
                <w:sz w:val="24"/>
                <w:szCs w:val="24"/>
                <w:highlight w:val="none"/>
              </w:rPr>
            </w:pPr>
          </w:p>
        </w:tc>
        <w:tc>
          <w:tcPr>
            <w:tcW w:w="2096" w:type="dxa"/>
            <w:gridSpan w:val="3"/>
            <w:vAlign w:val="top"/>
          </w:tcPr>
          <w:p w14:paraId="71351406">
            <w:pPr>
              <w:spacing w:before="211" w:line="228" w:lineRule="auto"/>
              <w:ind w:left="6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技术员</w:t>
            </w:r>
          </w:p>
        </w:tc>
        <w:tc>
          <w:tcPr>
            <w:tcW w:w="1548" w:type="dxa"/>
            <w:vAlign w:val="top"/>
          </w:tcPr>
          <w:p w14:paraId="0D809729">
            <w:pPr>
              <w:pStyle w:val="22"/>
              <w:rPr>
                <w:rFonts w:hint="eastAsia" w:ascii="宋体" w:hAnsi="宋体" w:eastAsia="宋体" w:cs="宋体"/>
                <w:color w:val="auto"/>
                <w:sz w:val="24"/>
                <w:szCs w:val="24"/>
                <w:highlight w:val="none"/>
              </w:rPr>
            </w:pPr>
          </w:p>
        </w:tc>
      </w:tr>
      <w:tr w14:paraId="74295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620" w:type="dxa"/>
            <w:vAlign w:val="top"/>
          </w:tcPr>
          <w:p w14:paraId="6F177D67">
            <w:pPr>
              <w:spacing w:before="65" w:line="229" w:lineRule="auto"/>
              <w:ind w:left="33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经营范围</w:t>
            </w:r>
          </w:p>
        </w:tc>
        <w:tc>
          <w:tcPr>
            <w:tcW w:w="7639" w:type="dxa"/>
            <w:gridSpan w:val="8"/>
            <w:vAlign w:val="top"/>
          </w:tcPr>
          <w:p w14:paraId="05F8D88C">
            <w:pPr>
              <w:pStyle w:val="22"/>
              <w:rPr>
                <w:rFonts w:hint="eastAsia" w:ascii="宋体" w:hAnsi="宋体" w:eastAsia="宋体" w:cs="宋体"/>
                <w:color w:val="auto"/>
                <w:sz w:val="24"/>
                <w:szCs w:val="24"/>
                <w:highlight w:val="none"/>
              </w:rPr>
            </w:pPr>
          </w:p>
        </w:tc>
      </w:tr>
      <w:tr w14:paraId="33756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1" w:hRule="atLeast"/>
        </w:trPr>
        <w:tc>
          <w:tcPr>
            <w:tcW w:w="1620" w:type="dxa"/>
            <w:vAlign w:val="top"/>
          </w:tcPr>
          <w:p w14:paraId="01E6D9DD">
            <w:pPr>
              <w:pStyle w:val="22"/>
              <w:spacing w:line="295" w:lineRule="auto"/>
              <w:rPr>
                <w:rFonts w:hint="eastAsia" w:ascii="宋体" w:hAnsi="宋体" w:eastAsia="宋体" w:cs="宋体"/>
                <w:color w:val="auto"/>
                <w:sz w:val="24"/>
                <w:szCs w:val="24"/>
                <w:highlight w:val="none"/>
              </w:rPr>
            </w:pPr>
          </w:p>
          <w:p w14:paraId="2DD91160">
            <w:pPr>
              <w:pStyle w:val="22"/>
              <w:spacing w:line="296" w:lineRule="auto"/>
              <w:rPr>
                <w:rFonts w:hint="eastAsia" w:ascii="宋体" w:hAnsi="宋体" w:eastAsia="宋体" w:cs="宋体"/>
                <w:color w:val="auto"/>
                <w:sz w:val="24"/>
                <w:szCs w:val="24"/>
                <w:highlight w:val="none"/>
              </w:rPr>
            </w:pPr>
          </w:p>
          <w:p w14:paraId="1E607DF4">
            <w:pPr>
              <w:spacing w:before="65" w:line="229"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关联企业情况</w:t>
            </w:r>
          </w:p>
        </w:tc>
        <w:tc>
          <w:tcPr>
            <w:tcW w:w="7639" w:type="dxa"/>
            <w:gridSpan w:val="8"/>
            <w:vAlign w:val="top"/>
          </w:tcPr>
          <w:p w14:paraId="5ACD1C76">
            <w:pPr>
              <w:spacing w:before="168" w:line="228" w:lineRule="auto"/>
              <w:ind w:left="111"/>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包括但不限于与投标人存在以下关系的不同单位：</w:t>
            </w:r>
          </w:p>
          <w:p w14:paraId="70295B84">
            <w:pPr>
              <w:spacing w:before="81" w:line="228" w:lineRule="auto"/>
              <w:ind w:left="12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4"/>
                <w:sz w:val="24"/>
                <w:szCs w:val="24"/>
                <w:highlight w:val="none"/>
              </w:rPr>
              <w:t>．法定代表人为同一人的。</w:t>
            </w:r>
          </w:p>
          <w:p w14:paraId="069BC0F2">
            <w:pPr>
              <w:spacing w:before="81" w:line="228" w:lineRule="auto"/>
              <w:ind w:left="10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6"/>
                <w:sz w:val="24"/>
                <w:szCs w:val="24"/>
                <w:highlight w:val="none"/>
              </w:rPr>
              <w:t>．存在控股、管理关系的。</w:t>
            </w:r>
          </w:p>
          <w:p w14:paraId="488A58D1">
            <w:pPr>
              <w:spacing w:before="81" w:line="228" w:lineRule="auto"/>
              <w:ind w:left="112"/>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5"/>
                <w:sz w:val="24"/>
                <w:szCs w:val="24"/>
                <w:highlight w:val="none"/>
              </w:rPr>
              <w:t>．主要人员相互任职的。</w:t>
            </w:r>
          </w:p>
        </w:tc>
      </w:tr>
      <w:tr w14:paraId="5AA68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1620" w:type="dxa"/>
            <w:vAlign w:val="top"/>
          </w:tcPr>
          <w:p w14:paraId="519A8291">
            <w:pPr>
              <w:spacing w:before="235" w:line="230" w:lineRule="auto"/>
              <w:ind w:left="54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备注</w:t>
            </w:r>
          </w:p>
        </w:tc>
        <w:tc>
          <w:tcPr>
            <w:tcW w:w="7639" w:type="dxa"/>
            <w:gridSpan w:val="8"/>
            <w:vAlign w:val="top"/>
          </w:tcPr>
          <w:p w14:paraId="20FD0AE4">
            <w:pPr>
              <w:pStyle w:val="22"/>
              <w:rPr>
                <w:rFonts w:hint="eastAsia" w:ascii="宋体" w:hAnsi="宋体" w:eastAsia="宋体" w:cs="宋体"/>
                <w:color w:val="auto"/>
                <w:sz w:val="24"/>
                <w:szCs w:val="24"/>
                <w:highlight w:val="none"/>
              </w:rPr>
            </w:pPr>
          </w:p>
        </w:tc>
      </w:tr>
    </w:tbl>
    <w:p w14:paraId="2CDDCDA5">
      <w:pPr>
        <w:spacing w:before="140" w:line="228" w:lineRule="auto"/>
        <w:rPr>
          <w:rFonts w:hint="eastAsia" w:ascii="宋体" w:hAnsi="宋体" w:eastAsia="宋体" w:cs="宋体"/>
          <w:color w:val="auto"/>
          <w:sz w:val="18"/>
          <w:szCs w:val="18"/>
          <w:highlight w:val="none"/>
        </w:rPr>
      </w:pPr>
      <w:r>
        <w:rPr>
          <w:rFonts w:hint="eastAsia" w:ascii="宋体" w:hAnsi="宋体" w:eastAsia="宋体" w:cs="宋体"/>
          <w:color w:val="auto"/>
          <w:spacing w:val="2"/>
          <w:sz w:val="18"/>
          <w:szCs w:val="18"/>
          <w:highlight w:val="none"/>
        </w:rPr>
        <w:t>说明：</w:t>
      </w:r>
    </w:p>
    <w:p w14:paraId="3E4045BF">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outlineLvl w:val="9"/>
        <w:rPr>
          <w:rFonts w:hint="eastAsia" w:ascii="宋体" w:hAnsi="宋体" w:eastAsia="宋体" w:cs="宋体"/>
          <w:color w:val="auto"/>
          <w:spacing w:val="4"/>
          <w:sz w:val="18"/>
          <w:szCs w:val="18"/>
          <w:highlight w:val="none"/>
        </w:rPr>
      </w:pPr>
      <w:bookmarkStart w:id="245" w:name="_Toc14048"/>
      <w:bookmarkStart w:id="246" w:name="_Toc5131"/>
      <w:r>
        <w:rPr>
          <w:rFonts w:hint="eastAsia" w:ascii="宋体" w:hAnsi="宋体" w:eastAsia="宋体" w:cs="宋体"/>
          <w:color w:val="auto"/>
          <w:spacing w:val="4"/>
          <w:sz w:val="18"/>
          <w:szCs w:val="18"/>
          <w:highlight w:val="none"/>
        </w:rPr>
        <w:t>1 ．《投标人基本情况表》后应附以下资料：</w:t>
      </w:r>
      <w:bookmarkEnd w:id="245"/>
      <w:bookmarkEnd w:id="246"/>
    </w:p>
    <w:p w14:paraId="2CEABDBC">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pacing w:val="6"/>
          <w:sz w:val="18"/>
          <w:szCs w:val="18"/>
          <w:highlight w:val="none"/>
        </w:rPr>
      </w:pPr>
      <w:r>
        <w:rPr>
          <w:rFonts w:hint="eastAsia" w:ascii="宋体" w:hAnsi="宋体" w:eastAsia="宋体" w:cs="宋体"/>
          <w:color w:val="auto"/>
          <w:spacing w:val="9"/>
          <w:sz w:val="18"/>
          <w:szCs w:val="18"/>
          <w:highlight w:val="none"/>
          <w:lang w:eastAsia="zh-CN"/>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7EFD6D50">
      <w:pPr>
        <w:keepNext w:val="0"/>
        <w:keepLines w:val="0"/>
        <w:pageBreakBefore w:val="0"/>
        <w:widowControl/>
        <w:kinsoku w:val="0"/>
        <w:wordWrap/>
        <w:overflowPunct/>
        <w:topLinePunct w:val="0"/>
        <w:autoSpaceDE w:val="0"/>
        <w:autoSpaceDN w:val="0"/>
        <w:bidi w:val="0"/>
        <w:adjustRightInd w:val="0"/>
        <w:snapToGrid w:val="0"/>
        <w:spacing w:before="153" w:line="288" w:lineRule="auto"/>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9"/>
          <w:sz w:val="18"/>
          <w:szCs w:val="18"/>
          <w:highlight w:val="none"/>
          <w:lang w:eastAsia="zh-CN"/>
        </w:rPr>
        <w:t>（2）</w:t>
      </w:r>
      <w:r>
        <w:rPr>
          <w:rFonts w:hint="eastAsia" w:ascii="宋体" w:hAnsi="宋体" w:eastAsia="宋体" w:cs="宋体"/>
          <w:color w:val="auto"/>
          <w:spacing w:val="9"/>
          <w:sz w:val="18"/>
          <w:szCs w:val="18"/>
          <w:highlight w:val="none"/>
        </w:rPr>
        <w:t>“进粤企业和人员诚信信息登记平台</w:t>
      </w:r>
      <w:r>
        <w:rPr>
          <w:rFonts w:hint="eastAsia" w:ascii="宋体" w:hAnsi="宋体" w:eastAsia="宋体" w:cs="宋体"/>
          <w:color w:val="auto"/>
          <w:spacing w:val="-72"/>
          <w:sz w:val="18"/>
          <w:szCs w:val="18"/>
          <w:highlight w:val="none"/>
        </w:rPr>
        <w:t xml:space="preserve"> </w:t>
      </w:r>
      <w:r>
        <w:rPr>
          <w:rFonts w:hint="eastAsia" w:ascii="宋体" w:hAnsi="宋体" w:eastAsia="宋体" w:cs="宋体"/>
          <w:color w:val="auto"/>
          <w:spacing w:val="8"/>
          <w:sz w:val="18"/>
          <w:szCs w:val="18"/>
          <w:highlight w:val="none"/>
        </w:rPr>
        <w:t>”企业信息情况打印页。（适用于省外建筑企业）</w:t>
      </w:r>
    </w:p>
    <w:p w14:paraId="6F0B00EB">
      <w:pPr>
        <w:keepNext w:val="0"/>
        <w:keepLines w:val="0"/>
        <w:pageBreakBefore w:val="0"/>
        <w:widowControl/>
        <w:kinsoku w:val="0"/>
        <w:wordWrap/>
        <w:overflowPunct/>
        <w:topLinePunct w:val="0"/>
        <w:autoSpaceDE w:val="0"/>
        <w:autoSpaceDN w:val="0"/>
        <w:bidi w:val="0"/>
        <w:adjustRightInd w:val="0"/>
        <w:snapToGrid w:val="0"/>
        <w:spacing w:before="153" w:line="288" w:lineRule="auto"/>
        <w:jc w:val="both"/>
        <w:textAlignment w:val="baseline"/>
        <w:rPr>
          <w:rFonts w:hint="eastAsia" w:ascii="宋体" w:hAnsi="宋体" w:eastAsia="宋体" w:cs="宋体"/>
          <w:color w:val="auto"/>
          <w:sz w:val="18"/>
          <w:szCs w:val="18"/>
          <w:highlight w:val="none"/>
        </w:rPr>
      </w:pPr>
      <w:r>
        <w:rPr>
          <w:rFonts w:hint="eastAsia" w:ascii="宋体" w:hAnsi="宋体" w:eastAsia="宋体" w:cs="宋体"/>
          <w:color w:val="auto"/>
          <w:spacing w:val="8"/>
          <w:sz w:val="18"/>
          <w:szCs w:val="18"/>
          <w:highlight w:val="none"/>
          <w:lang w:eastAsia="zh-CN"/>
        </w:rPr>
        <w:t>（3）</w:t>
      </w:r>
      <w:r>
        <w:rPr>
          <w:rFonts w:hint="eastAsia" w:ascii="宋体" w:hAnsi="宋体" w:eastAsia="宋体" w:cs="宋体"/>
          <w:color w:val="auto"/>
          <w:spacing w:val="8"/>
          <w:sz w:val="18"/>
          <w:szCs w:val="18"/>
          <w:highlight w:val="none"/>
        </w:rPr>
        <w:t>《法人和非法人组织公共信用信息报告》（在“信用中国</w:t>
      </w:r>
      <w:r>
        <w:rPr>
          <w:rFonts w:hint="eastAsia" w:ascii="宋体" w:hAnsi="宋体" w:eastAsia="宋体" w:cs="宋体"/>
          <w:color w:val="auto"/>
          <w:spacing w:val="-70"/>
          <w:sz w:val="18"/>
          <w:szCs w:val="18"/>
          <w:highlight w:val="none"/>
        </w:rPr>
        <w:t xml:space="preserve"> </w:t>
      </w:r>
      <w:r>
        <w:rPr>
          <w:rFonts w:hint="eastAsia" w:ascii="宋体" w:hAnsi="宋体" w:eastAsia="宋体" w:cs="宋体"/>
          <w:color w:val="auto"/>
          <w:spacing w:val="8"/>
          <w:sz w:val="18"/>
          <w:szCs w:val="18"/>
          <w:highlight w:val="none"/>
        </w:rPr>
        <w:t>”网站企业查询界面</w:t>
      </w:r>
      <w:r>
        <w:rPr>
          <w:rFonts w:hint="eastAsia" w:ascii="宋体" w:hAnsi="宋体" w:eastAsia="宋体" w:cs="宋体"/>
          <w:color w:val="auto"/>
          <w:spacing w:val="7"/>
          <w:sz w:val="18"/>
          <w:szCs w:val="18"/>
          <w:highlight w:val="none"/>
        </w:rPr>
        <w:t>中下载）。</w:t>
      </w:r>
    </w:p>
    <w:p w14:paraId="57286EE5">
      <w:pPr>
        <w:keepNext w:val="0"/>
        <w:keepLines w:val="0"/>
        <w:pageBreakBefore w:val="0"/>
        <w:widowControl/>
        <w:kinsoku w:val="0"/>
        <w:wordWrap/>
        <w:overflowPunct/>
        <w:topLinePunct w:val="0"/>
        <w:autoSpaceDE w:val="0"/>
        <w:autoSpaceDN w:val="0"/>
        <w:bidi w:val="0"/>
        <w:adjustRightInd w:val="0"/>
        <w:snapToGrid w:val="0"/>
        <w:spacing w:before="81" w:line="288" w:lineRule="auto"/>
        <w:textAlignment w:val="baseline"/>
        <w:rPr>
          <w:rFonts w:hint="eastAsia" w:ascii="宋体" w:hAnsi="宋体" w:eastAsia="宋体" w:cs="宋体"/>
          <w:color w:val="auto"/>
          <w:spacing w:val="4"/>
          <w:sz w:val="20"/>
          <w:szCs w:val="20"/>
          <w:highlight w:val="none"/>
        </w:rPr>
      </w:pPr>
      <w:r>
        <w:rPr>
          <w:rFonts w:hint="eastAsia" w:ascii="宋体" w:hAnsi="宋体" w:eastAsia="宋体" w:cs="宋体"/>
          <w:color w:val="auto"/>
          <w:spacing w:val="9"/>
          <w:sz w:val="18"/>
          <w:szCs w:val="18"/>
          <w:highlight w:val="none"/>
        </w:rPr>
        <w:t>2</w:t>
      </w:r>
      <w:r>
        <w:rPr>
          <w:rFonts w:hint="eastAsia" w:ascii="宋体" w:hAnsi="宋体" w:eastAsia="宋体" w:cs="宋体"/>
          <w:color w:val="auto"/>
          <w:spacing w:val="-21"/>
          <w:sz w:val="18"/>
          <w:szCs w:val="18"/>
          <w:highlight w:val="none"/>
        </w:rPr>
        <w:t xml:space="preserve"> </w:t>
      </w:r>
      <w:r>
        <w:rPr>
          <w:rFonts w:hint="eastAsia" w:ascii="宋体" w:hAnsi="宋体" w:eastAsia="宋体" w:cs="宋体"/>
          <w:color w:val="auto"/>
          <w:spacing w:val="9"/>
          <w:sz w:val="18"/>
          <w:szCs w:val="18"/>
          <w:highlight w:val="none"/>
        </w:rPr>
        <w:t>．联合体投标的，联合体成员单位均应填写《投标人基本情况</w:t>
      </w:r>
      <w:r>
        <w:rPr>
          <w:rFonts w:hint="eastAsia" w:ascii="宋体" w:hAnsi="宋体" w:eastAsia="宋体" w:cs="宋体"/>
          <w:color w:val="auto"/>
          <w:spacing w:val="8"/>
          <w:sz w:val="18"/>
          <w:szCs w:val="18"/>
          <w:highlight w:val="none"/>
        </w:rPr>
        <w:t>表》并提供以上所需资料。</w:t>
      </w:r>
    </w:p>
    <w:p w14:paraId="451A766F">
      <w:pPr>
        <w:spacing w:before="78" w:line="220" w:lineRule="auto"/>
        <w:outlineLvl w:val="2"/>
        <w:rPr>
          <w:rFonts w:hint="eastAsia" w:ascii="宋体" w:hAnsi="宋体" w:eastAsia="宋体" w:cs="宋体"/>
          <w:b/>
          <w:bCs/>
          <w:color w:val="auto"/>
          <w:spacing w:val="-4"/>
          <w:sz w:val="24"/>
          <w:szCs w:val="24"/>
          <w:highlight w:val="none"/>
        </w:rPr>
      </w:pPr>
      <w:bookmarkStart w:id="247" w:name="_Toc19699"/>
      <w:r>
        <w:rPr>
          <w:rFonts w:hint="eastAsia" w:ascii="宋体" w:hAnsi="宋体" w:eastAsia="宋体" w:cs="宋体"/>
          <w:b/>
          <w:bCs/>
          <w:color w:val="auto"/>
          <w:spacing w:val="-4"/>
          <w:sz w:val="24"/>
          <w:szCs w:val="24"/>
          <w:highlight w:val="none"/>
        </w:rPr>
        <w:t>格式八 项目经理简历表</w:t>
      </w:r>
      <w:bookmarkEnd w:id="247"/>
    </w:p>
    <w:p w14:paraId="44DC91D3">
      <w:pPr>
        <w:pStyle w:val="6"/>
        <w:spacing w:line="444" w:lineRule="auto"/>
        <w:rPr>
          <w:rFonts w:hint="eastAsia" w:ascii="宋体" w:hAnsi="宋体" w:eastAsia="宋体" w:cs="宋体"/>
          <w:color w:val="auto"/>
          <w:highlight w:val="none"/>
        </w:rPr>
      </w:pPr>
    </w:p>
    <w:p w14:paraId="185D5FD6">
      <w:pPr>
        <w:spacing w:before="97" w:line="219" w:lineRule="auto"/>
        <w:ind w:left="3538"/>
        <w:outlineLvl w:val="9"/>
        <w:rPr>
          <w:rFonts w:hint="eastAsia" w:ascii="宋体" w:hAnsi="宋体" w:eastAsia="宋体" w:cs="宋体"/>
          <w:color w:val="auto"/>
          <w:sz w:val="30"/>
          <w:szCs w:val="30"/>
          <w:highlight w:val="none"/>
        </w:rPr>
      </w:pPr>
      <w:bookmarkStart w:id="248" w:name="bookmark156"/>
      <w:bookmarkEnd w:id="248"/>
      <w:bookmarkStart w:id="249" w:name="bookmark89"/>
      <w:bookmarkEnd w:id="249"/>
      <w:bookmarkStart w:id="250" w:name="_Toc24489"/>
      <w:bookmarkStart w:id="251" w:name="_Toc31533"/>
      <w:r>
        <w:rPr>
          <w:rFonts w:hint="eastAsia" w:ascii="宋体" w:hAnsi="宋体" w:eastAsia="宋体" w:cs="宋体"/>
          <w:b/>
          <w:bCs/>
          <w:color w:val="auto"/>
          <w:spacing w:val="-5"/>
          <w:sz w:val="30"/>
          <w:szCs w:val="30"/>
          <w:highlight w:val="none"/>
        </w:rPr>
        <w:t>项目经理简历表</w:t>
      </w:r>
      <w:bookmarkEnd w:id="250"/>
      <w:bookmarkEnd w:id="251"/>
    </w:p>
    <w:p w14:paraId="7FF3B61F">
      <w:pPr>
        <w:spacing w:line="240" w:lineRule="exact"/>
        <w:rPr>
          <w:rFonts w:hint="eastAsia" w:ascii="宋体" w:hAnsi="宋体" w:eastAsia="宋体" w:cs="宋体"/>
          <w:color w:val="auto"/>
          <w:highlight w:val="none"/>
        </w:rPr>
      </w:pPr>
    </w:p>
    <w:tbl>
      <w:tblPr>
        <w:tblStyle w:val="15"/>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49FDC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top"/>
          </w:tcPr>
          <w:p w14:paraId="6F649E7D">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94" w:type="dxa"/>
            <w:gridSpan w:val="2"/>
            <w:vAlign w:val="top"/>
          </w:tcPr>
          <w:p w14:paraId="0BE65721">
            <w:pPr>
              <w:pStyle w:val="22"/>
              <w:rPr>
                <w:rFonts w:hint="eastAsia" w:ascii="宋体" w:hAnsi="宋体" w:eastAsia="宋体" w:cs="宋体"/>
                <w:color w:val="auto"/>
                <w:sz w:val="24"/>
                <w:szCs w:val="24"/>
                <w:highlight w:val="none"/>
              </w:rPr>
            </w:pPr>
          </w:p>
        </w:tc>
        <w:tc>
          <w:tcPr>
            <w:tcW w:w="1357" w:type="dxa"/>
            <w:vAlign w:val="top"/>
          </w:tcPr>
          <w:p w14:paraId="6A7A5619">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62" w:type="dxa"/>
            <w:vAlign w:val="top"/>
          </w:tcPr>
          <w:p w14:paraId="310E25C0">
            <w:pPr>
              <w:pStyle w:val="22"/>
              <w:rPr>
                <w:rFonts w:hint="eastAsia" w:ascii="宋体" w:hAnsi="宋体" w:eastAsia="宋体" w:cs="宋体"/>
                <w:color w:val="auto"/>
                <w:sz w:val="24"/>
                <w:szCs w:val="24"/>
                <w:highlight w:val="none"/>
              </w:rPr>
            </w:pPr>
          </w:p>
        </w:tc>
        <w:tc>
          <w:tcPr>
            <w:tcW w:w="1798" w:type="dxa"/>
            <w:vAlign w:val="top"/>
          </w:tcPr>
          <w:p w14:paraId="286B13D8">
            <w:pPr>
              <w:spacing w:before="177" w:line="228" w:lineRule="auto"/>
              <w:ind w:left="48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98" w:type="dxa"/>
            <w:vAlign w:val="top"/>
          </w:tcPr>
          <w:p w14:paraId="092C4AA2">
            <w:pPr>
              <w:pStyle w:val="22"/>
              <w:rPr>
                <w:rFonts w:hint="eastAsia" w:ascii="宋体" w:hAnsi="宋体" w:eastAsia="宋体" w:cs="宋体"/>
                <w:color w:val="auto"/>
                <w:sz w:val="24"/>
                <w:szCs w:val="24"/>
                <w:highlight w:val="none"/>
              </w:rPr>
            </w:pPr>
          </w:p>
        </w:tc>
      </w:tr>
      <w:tr w14:paraId="301DB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top"/>
          </w:tcPr>
          <w:p w14:paraId="700A18F2">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94" w:type="dxa"/>
            <w:gridSpan w:val="2"/>
            <w:vAlign w:val="top"/>
          </w:tcPr>
          <w:p w14:paraId="29D98F38">
            <w:pPr>
              <w:pStyle w:val="22"/>
              <w:rPr>
                <w:rFonts w:hint="eastAsia" w:ascii="宋体" w:hAnsi="宋体" w:eastAsia="宋体" w:cs="宋体"/>
                <w:color w:val="auto"/>
                <w:sz w:val="24"/>
                <w:szCs w:val="24"/>
                <w:highlight w:val="none"/>
              </w:rPr>
            </w:pPr>
          </w:p>
        </w:tc>
        <w:tc>
          <w:tcPr>
            <w:tcW w:w="1357" w:type="dxa"/>
            <w:vAlign w:val="top"/>
          </w:tcPr>
          <w:p w14:paraId="06A23A17">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62" w:type="dxa"/>
            <w:vAlign w:val="top"/>
          </w:tcPr>
          <w:p w14:paraId="75DF90F2">
            <w:pPr>
              <w:pStyle w:val="22"/>
              <w:rPr>
                <w:rFonts w:hint="eastAsia" w:ascii="宋体" w:hAnsi="宋体" w:eastAsia="宋体" w:cs="宋体"/>
                <w:color w:val="auto"/>
                <w:sz w:val="24"/>
                <w:szCs w:val="24"/>
                <w:highlight w:val="none"/>
              </w:rPr>
            </w:pPr>
          </w:p>
        </w:tc>
        <w:tc>
          <w:tcPr>
            <w:tcW w:w="1798" w:type="dxa"/>
            <w:vAlign w:val="top"/>
          </w:tcPr>
          <w:p w14:paraId="5AA14F90">
            <w:pPr>
              <w:spacing w:before="175" w:line="230" w:lineRule="auto"/>
              <w:ind w:left="49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98" w:type="dxa"/>
            <w:vAlign w:val="top"/>
          </w:tcPr>
          <w:p w14:paraId="7644D24F">
            <w:pPr>
              <w:pStyle w:val="22"/>
              <w:rPr>
                <w:rFonts w:hint="eastAsia" w:ascii="宋体" w:hAnsi="宋体" w:eastAsia="宋体" w:cs="宋体"/>
                <w:color w:val="auto"/>
                <w:sz w:val="24"/>
                <w:szCs w:val="24"/>
                <w:highlight w:val="none"/>
              </w:rPr>
            </w:pPr>
          </w:p>
        </w:tc>
      </w:tr>
      <w:tr w14:paraId="6C391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top"/>
          </w:tcPr>
          <w:p w14:paraId="359A1F6D">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51" w:type="dxa"/>
            <w:gridSpan w:val="3"/>
            <w:vAlign w:val="top"/>
          </w:tcPr>
          <w:p w14:paraId="54FDA201">
            <w:pPr>
              <w:pStyle w:val="22"/>
              <w:rPr>
                <w:rFonts w:hint="eastAsia" w:ascii="宋体" w:hAnsi="宋体" w:eastAsia="宋体" w:cs="宋体"/>
                <w:color w:val="auto"/>
                <w:sz w:val="24"/>
                <w:szCs w:val="24"/>
                <w:highlight w:val="none"/>
              </w:rPr>
            </w:pPr>
          </w:p>
        </w:tc>
        <w:tc>
          <w:tcPr>
            <w:tcW w:w="3860" w:type="dxa"/>
            <w:gridSpan w:val="2"/>
            <w:vAlign w:val="top"/>
          </w:tcPr>
          <w:p w14:paraId="1B0D6DD8">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98" w:type="dxa"/>
            <w:vAlign w:val="top"/>
          </w:tcPr>
          <w:p w14:paraId="5D65D784">
            <w:pPr>
              <w:pStyle w:val="22"/>
              <w:rPr>
                <w:rFonts w:hint="eastAsia" w:ascii="宋体" w:hAnsi="宋体" w:eastAsia="宋体" w:cs="宋体"/>
                <w:color w:val="auto"/>
                <w:sz w:val="24"/>
                <w:szCs w:val="24"/>
                <w:highlight w:val="none"/>
              </w:rPr>
            </w:pPr>
          </w:p>
        </w:tc>
      </w:tr>
      <w:tr w14:paraId="7DF97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top"/>
          </w:tcPr>
          <w:p w14:paraId="67F9A91C">
            <w:pPr>
              <w:spacing w:before="176" w:line="228" w:lineRule="auto"/>
              <w:ind w:left="23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以项目经理身份参与过的主要业绩（已完工项目）</w:t>
            </w:r>
          </w:p>
        </w:tc>
      </w:tr>
      <w:tr w14:paraId="3895B5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top"/>
          </w:tcPr>
          <w:p w14:paraId="797BF19C">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24" w:type="dxa"/>
            <w:gridSpan w:val="2"/>
            <w:vAlign w:val="top"/>
          </w:tcPr>
          <w:p w14:paraId="4007FCA1">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37" w:type="dxa"/>
            <w:gridSpan w:val="2"/>
            <w:vAlign w:val="top"/>
          </w:tcPr>
          <w:p w14:paraId="1C4205E1">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62" w:type="dxa"/>
            <w:vAlign w:val="top"/>
          </w:tcPr>
          <w:p w14:paraId="4B953E8B">
            <w:pPr>
              <w:spacing w:before="176" w:line="228" w:lineRule="auto"/>
              <w:ind w:left="26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98" w:type="dxa"/>
            <w:vAlign w:val="top"/>
          </w:tcPr>
          <w:p w14:paraId="703D0BC4">
            <w:pPr>
              <w:spacing w:before="176" w:line="228" w:lineRule="auto"/>
              <w:ind w:left="238"/>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98" w:type="dxa"/>
            <w:vAlign w:val="top"/>
          </w:tcPr>
          <w:p w14:paraId="66F90DEB">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45236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1487F696">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24" w:type="dxa"/>
            <w:gridSpan w:val="2"/>
            <w:vAlign w:val="top"/>
          </w:tcPr>
          <w:p w14:paraId="5BB2977F">
            <w:pPr>
              <w:pStyle w:val="22"/>
              <w:rPr>
                <w:rFonts w:hint="eastAsia" w:ascii="宋体" w:hAnsi="宋体" w:eastAsia="宋体" w:cs="宋体"/>
                <w:color w:val="auto"/>
                <w:sz w:val="24"/>
                <w:szCs w:val="24"/>
                <w:highlight w:val="none"/>
              </w:rPr>
            </w:pPr>
          </w:p>
        </w:tc>
        <w:tc>
          <w:tcPr>
            <w:tcW w:w="2037" w:type="dxa"/>
            <w:gridSpan w:val="2"/>
            <w:vAlign w:val="top"/>
          </w:tcPr>
          <w:p w14:paraId="7E680E92">
            <w:pPr>
              <w:pStyle w:val="22"/>
              <w:rPr>
                <w:rFonts w:hint="eastAsia" w:ascii="宋体" w:hAnsi="宋体" w:eastAsia="宋体" w:cs="宋体"/>
                <w:color w:val="auto"/>
                <w:sz w:val="24"/>
                <w:szCs w:val="24"/>
                <w:highlight w:val="none"/>
              </w:rPr>
            </w:pPr>
          </w:p>
        </w:tc>
        <w:tc>
          <w:tcPr>
            <w:tcW w:w="2062" w:type="dxa"/>
            <w:vAlign w:val="top"/>
          </w:tcPr>
          <w:p w14:paraId="6F8C779D">
            <w:pPr>
              <w:pStyle w:val="22"/>
              <w:rPr>
                <w:rFonts w:hint="eastAsia" w:ascii="宋体" w:hAnsi="宋体" w:eastAsia="宋体" w:cs="宋体"/>
                <w:color w:val="auto"/>
                <w:sz w:val="24"/>
                <w:szCs w:val="24"/>
                <w:highlight w:val="none"/>
              </w:rPr>
            </w:pPr>
          </w:p>
        </w:tc>
        <w:tc>
          <w:tcPr>
            <w:tcW w:w="1798" w:type="dxa"/>
            <w:vAlign w:val="top"/>
          </w:tcPr>
          <w:p w14:paraId="4FB28411">
            <w:pPr>
              <w:pStyle w:val="22"/>
              <w:rPr>
                <w:rFonts w:hint="eastAsia" w:ascii="宋体" w:hAnsi="宋体" w:eastAsia="宋体" w:cs="宋体"/>
                <w:color w:val="auto"/>
                <w:sz w:val="24"/>
                <w:szCs w:val="24"/>
                <w:highlight w:val="none"/>
              </w:rPr>
            </w:pPr>
          </w:p>
        </w:tc>
        <w:tc>
          <w:tcPr>
            <w:tcW w:w="1398" w:type="dxa"/>
            <w:vAlign w:val="top"/>
          </w:tcPr>
          <w:p w14:paraId="07C9E9B4">
            <w:pPr>
              <w:pStyle w:val="22"/>
              <w:rPr>
                <w:rFonts w:hint="eastAsia" w:ascii="宋体" w:hAnsi="宋体" w:eastAsia="宋体" w:cs="宋体"/>
                <w:color w:val="auto"/>
                <w:sz w:val="24"/>
                <w:szCs w:val="24"/>
                <w:highlight w:val="none"/>
              </w:rPr>
            </w:pPr>
          </w:p>
        </w:tc>
      </w:tr>
      <w:tr w14:paraId="02905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top"/>
          </w:tcPr>
          <w:p w14:paraId="361A5764">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24" w:type="dxa"/>
            <w:gridSpan w:val="2"/>
            <w:vAlign w:val="top"/>
          </w:tcPr>
          <w:p w14:paraId="10AD9F7C">
            <w:pPr>
              <w:pStyle w:val="22"/>
              <w:rPr>
                <w:rFonts w:hint="eastAsia" w:ascii="宋体" w:hAnsi="宋体" w:eastAsia="宋体" w:cs="宋体"/>
                <w:color w:val="auto"/>
                <w:sz w:val="24"/>
                <w:szCs w:val="24"/>
                <w:highlight w:val="none"/>
              </w:rPr>
            </w:pPr>
          </w:p>
        </w:tc>
        <w:tc>
          <w:tcPr>
            <w:tcW w:w="2037" w:type="dxa"/>
            <w:gridSpan w:val="2"/>
            <w:vAlign w:val="top"/>
          </w:tcPr>
          <w:p w14:paraId="78BE4EE8">
            <w:pPr>
              <w:pStyle w:val="22"/>
              <w:rPr>
                <w:rFonts w:hint="eastAsia" w:ascii="宋体" w:hAnsi="宋体" w:eastAsia="宋体" w:cs="宋体"/>
                <w:color w:val="auto"/>
                <w:sz w:val="24"/>
                <w:szCs w:val="24"/>
                <w:highlight w:val="none"/>
              </w:rPr>
            </w:pPr>
          </w:p>
        </w:tc>
        <w:tc>
          <w:tcPr>
            <w:tcW w:w="2062" w:type="dxa"/>
            <w:vAlign w:val="top"/>
          </w:tcPr>
          <w:p w14:paraId="202E95FE">
            <w:pPr>
              <w:pStyle w:val="22"/>
              <w:rPr>
                <w:rFonts w:hint="eastAsia" w:ascii="宋体" w:hAnsi="宋体" w:eastAsia="宋体" w:cs="宋体"/>
                <w:color w:val="auto"/>
                <w:sz w:val="24"/>
                <w:szCs w:val="24"/>
                <w:highlight w:val="none"/>
              </w:rPr>
            </w:pPr>
          </w:p>
        </w:tc>
        <w:tc>
          <w:tcPr>
            <w:tcW w:w="1798" w:type="dxa"/>
            <w:vAlign w:val="top"/>
          </w:tcPr>
          <w:p w14:paraId="39BD4C0A">
            <w:pPr>
              <w:pStyle w:val="22"/>
              <w:rPr>
                <w:rFonts w:hint="eastAsia" w:ascii="宋体" w:hAnsi="宋体" w:eastAsia="宋体" w:cs="宋体"/>
                <w:color w:val="auto"/>
                <w:sz w:val="24"/>
                <w:szCs w:val="24"/>
                <w:highlight w:val="none"/>
              </w:rPr>
            </w:pPr>
          </w:p>
        </w:tc>
        <w:tc>
          <w:tcPr>
            <w:tcW w:w="1398" w:type="dxa"/>
            <w:vAlign w:val="top"/>
          </w:tcPr>
          <w:p w14:paraId="3FCA662F">
            <w:pPr>
              <w:pStyle w:val="22"/>
              <w:rPr>
                <w:rFonts w:hint="eastAsia" w:ascii="宋体" w:hAnsi="宋体" w:eastAsia="宋体" w:cs="宋体"/>
                <w:color w:val="auto"/>
                <w:sz w:val="24"/>
                <w:szCs w:val="24"/>
                <w:highlight w:val="none"/>
              </w:rPr>
            </w:pPr>
          </w:p>
        </w:tc>
      </w:tr>
      <w:tr w14:paraId="275B0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top"/>
          </w:tcPr>
          <w:p w14:paraId="3FE5B5C3">
            <w:pPr>
              <w:spacing w:before="213" w:line="195" w:lineRule="auto"/>
              <w:ind w:left="3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624" w:type="dxa"/>
            <w:gridSpan w:val="2"/>
            <w:vAlign w:val="top"/>
          </w:tcPr>
          <w:p w14:paraId="0F5BFF70">
            <w:pPr>
              <w:pStyle w:val="22"/>
              <w:rPr>
                <w:rFonts w:hint="eastAsia" w:ascii="宋体" w:hAnsi="宋体" w:eastAsia="宋体" w:cs="宋体"/>
                <w:color w:val="auto"/>
                <w:sz w:val="24"/>
                <w:szCs w:val="24"/>
                <w:highlight w:val="none"/>
              </w:rPr>
            </w:pPr>
          </w:p>
        </w:tc>
        <w:tc>
          <w:tcPr>
            <w:tcW w:w="2037" w:type="dxa"/>
            <w:gridSpan w:val="2"/>
            <w:vAlign w:val="top"/>
          </w:tcPr>
          <w:p w14:paraId="37D97746">
            <w:pPr>
              <w:pStyle w:val="22"/>
              <w:rPr>
                <w:rFonts w:hint="eastAsia" w:ascii="宋体" w:hAnsi="宋体" w:eastAsia="宋体" w:cs="宋体"/>
                <w:color w:val="auto"/>
                <w:sz w:val="24"/>
                <w:szCs w:val="24"/>
                <w:highlight w:val="none"/>
              </w:rPr>
            </w:pPr>
          </w:p>
        </w:tc>
        <w:tc>
          <w:tcPr>
            <w:tcW w:w="2062" w:type="dxa"/>
            <w:vAlign w:val="top"/>
          </w:tcPr>
          <w:p w14:paraId="4CDFAAF5">
            <w:pPr>
              <w:pStyle w:val="22"/>
              <w:rPr>
                <w:rFonts w:hint="eastAsia" w:ascii="宋体" w:hAnsi="宋体" w:eastAsia="宋体" w:cs="宋体"/>
                <w:color w:val="auto"/>
                <w:sz w:val="24"/>
                <w:szCs w:val="24"/>
                <w:highlight w:val="none"/>
              </w:rPr>
            </w:pPr>
          </w:p>
        </w:tc>
        <w:tc>
          <w:tcPr>
            <w:tcW w:w="1798" w:type="dxa"/>
            <w:vAlign w:val="top"/>
          </w:tcPr>
          <w:p w14:paraId="26C0B79B">
            <w:pPr>
              <w:pStyle w:val="22"/>
              <w:rPr>
                <w:rFonts w:hint="eastAsia" w:ascii="宋体" w:hAnsi="宋体" w:eastAsia="宋体" w:cs="宋体"/>
                <w:color w:val="auto"/>
                <w:sz w:val="24"/>
                <w:szCs w:val="24"/>
                <w:highlight w:val="none"/>
              </w:rPr>
            </w:pPr>
          </w:p>
        </w:tc>
        <w:tc>
          <w:tcPr>
            <w:tcW w:w="1398" w:type="dxa"/>
            <w:vAlign w:val="top"/>
          </w:tcPr>
          <w:p w14:paraId="2086BBE1">
            <w:pPr>
              <w:pStyle w:val="22"/>
              <w:rPr>
                <w:rFonts w:hint="eastAsia" w:ascii="宋体" w:hAnsi="宋体" w:eastAsia="宋体" w:cs="宋体"/>
                <w:color w:val="auto"/>
                <w:sz w:val="24"/>
                <w:szCs w:val="24"/>
                <w:highlight w:val="none"/>
              </w:rPr>
            </w:pPr>
          </w:p>
        </w:tc>
      </w:tr>
      <w:tr w14:paraId="6E4C8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top"/>
          </w:tcPr>
          <w:p w14:paraId="501E4DE3">
            <w:pPr>
              <w:spacing w:before="177" w:line="325"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24" w:type="dxa"/>
            <w:gridSpan w:val="2"/>
            <w:vAlign w:val="top"/>
          </w:tcPr>
          <w:p w14:paraId="370071DD">
            <w:pPr>
              <w:pStyle w:val="22"/>
              <w:rPr>
                <w:rFonts w:hint="eastAsia" w:ascii="宋体" w:hAnsi="宋体" w:eastAsia="宋体" w:cs="宋体"/>
                <w:color w:val="auto"/>
                <w:sz w:val="24"/>
                <w:szCs w:val="24"/>
                <w:highlight w:val="none"/>
              </w:rPr>
            </w:pPr>
          </w:p>
        </w:tc>
        <w:tc>
          <w:tcPr>
            <w:tcW w:w="2037" w:type="dxa"/>
            <w:gridSpan w:val="2"/>
            <w:vAlign w:val="top"/>
          </w:tcPr>
          <w:p w14:paraId="1BA39C6C">
            <w:pPr>
              <w:pStyle w:val="22"/>
              <w:rPr>
                <w:rFonts w:hint="eastAsia" w:ascii="宋体" w:hAnsi="宋体" w:eastAsia="宋体" w:cs="宋体"/>
                <w:color w:val="auto"/>
                <w:sz w:val="24"/>
                <w:szCs w:val="24"/>
                <w:highlight w:val="none"/>
              </w:rPr>
            </w:pPr>
          </w:p>
        </w:tc>
        <w:tc>
          <w:tcPr>
            <w:tcW w:w="2062" w:type="dxa"/>
            <w:vAlign w:val="top"/>
          </w:tcPr>
          <w:p w14:paraId="7040D83F">
            <w:pPr>
              <w:pStyle w:val="22"/>
              <w:rPr>
                <w:rFonts w:hint="eastAsia" w:ascii="宋体" w:hAnsi="宋体" w:eastAsia="宋体" w:cs="宋体"/>
                <w:color w:val="auto"/>
                <w:sz w:val="24"/>
                <w:szCs w:val="24"/>
                <w:highlight w:val="none"/>
              </w:rPr>
            </w:pPr>
          </w:p>
        </w:tc>
        <w:tc>
          <w:tcPr>
            <w:tcW w:w="1798" w:type="dxa"/>
            <w:vAlign w:val="top"/>
          </w:tcPr>
          <w:p w14:paraId="62989CF7">
            <w:pPr>
              <w:pStyle w:val="22"/>
              <w:rPr>
                <w:rFonts w:hint="eastAsia" w:ascii="宋体" w:hAnsi="宋体" w:eastAsia="宋体" w:cs="宋体"/>
                <w:color w:val="auto"/>
                <w:sz w:val="24"/>
                <w:szCs w:val="24"/>
                <w:highlight w:val="none"/>
              </w:rPr>
            </w:pPr>
          </w:p>
        </w:tc>
        <w:tc>
          <w:tcPr>
            <w:tcW w:w="1398" w:type="dxa"/>
            <w:vAlign w:val="top"/>
          </w:tcPr>
          <w:p w14:paraId="4044AF0E">
            <w:pPr>
              <w:pStyle w:val="22"/>
              <w:rPr>
                <w:rFonts w:hint="eastAsia" w:ascii="宋体" w:hAnsi="宋体" w:eastAsia="宋体" w:cs="宋体"/>
                <w:color w:val="auto"/>
                <w:sz w:val="24"/>
                <w:szCs w:val="24"/>
                <w:highlight w:val="none"/>
              </w:rPr>
            </w:pPr>
          </w:p>
        </w:tc>
      </w:tr>
    </w:tbl>
    <w:p w14:paraId="72E3EBBA">
      <w:pPr>
        <w:pStyle w:val="6"/>
        <w:spacing w:line="315" w:lineRule="auto"/>
        <w:rPr>
          <w:rFonts w:hint="eastAsia" w:ascii="宋体" w:hAnsi="宋体" w:eastAsia="宋体" w:cs="宋体"/>
          <w:color w:val="auto"/>
          <w:highlight w:val="none"/>
        </w:rPr>
      </w:pPr>
    </w:p>
    <w:p w14:paraId="30968C70">
      <w:pPr>
        <w:spacing w:before="78" w:line="220" w:lineRule="auto"/>
        <w:ind w:left="6965"/>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项目经理</w:t>
      </w:r>
      <w:r>
        <w:rPr>
          <w:rFonts w:hint="eastAsia" w:ascii="宋体" w:hAnsi="宋体" w:eastAsia="宋体" w:cs="宋体"/>
          <w:color w:val="auto"/>
          <w:spacing w:val="-18"/>
          <w:sz w:val="24"/>
          <w:szCs w:val="24"/>
          <w:highlight w:val="none"/>
        </w:rPr>
        <w:t>：</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u w:val="single"/>
          <w:lang w:val="en-US" w:eastAsia="zh-CN"/>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3"/>
          <w:sz w:val="24"/>
          <w:szCs w:val="24"/>
          <w:highlight w:val="none"/>
        </w:rPr>
        <w:t>签字）</w:t>
      </w:r>
    </w:p>
    <w:p w14:paraId="7918B349">
      <w:pPr>
        <w:pStyle w:val="6"/>
        <w:spacing w:line="256" w:lineRule="auto"/>
        <w:rPr>
          <w:rFonts w:hint="eastAsia" w:ascii="宋体" w:hAnsi="宋体" w:eastAsia="宋体" w:cs="宋体"/>
          <w:color w:val="auto"/>
          <w:highlight w:val="none"/>
        </w:rPr>
      </w:pPr>
    </w:p>
    <w:p w14:paraId="70170666">
      <w:pPr>
        <w:pStyle w:val="6"/>
        <w:spacing w:line="254" w:lineRule="auto"/>
        <w:jc w:val="right"/>
        <w:rPr>
          <w:rFonts w:hint="eastAsia" w:ascii="宋体" w:hAnsi="宋体" w:eastAsia="宋体" w:cs="宋体"/>
          <w:color w:val="auto"/>
          <w:highlight w:val="none"/>
        </w:rPr>
      </w:pP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0804494D">
      <w:pPr>
        <w:spacing w:before="78" w:line="220" w:lineRule="auto"/>
        <w:ind w:left="4226"/>
        <w:jc w:val="center"/>
        <w:rPr>
          <w:rFonts w:hint="eastAsia" w:ascii="宋体" w:hAnsi="宋体" w:eastAsia="宋体" w:cs="宋体"/>
          <w:color w:val="auto"/>
          <w:highlight w:val="none"/>
        </w:rPr>
      </w:pPr>
    </w:p>
    <w:p w14:paraId="29F18F2D">
      <w:pPr>
        <w:pStyle w:val="6"/>
        <w:spacing w:line="241" w:lineRule="auto"/>
        <w:rPr>
          <w:rFonts w:hint="eastAsia" w:ascii="宋体" w:hAnsi="宋体" w:eastAsia="宋体" w:cs="宋体"/>
          <w:color w:val="auto"/>
          <w:highlight w:val="none"/>
        </w:rPr>
      </w:pPr>
    </w:p>
    <w:p w14:paraId="72DD2BA3">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说明：《项目经理简历表》后应附拟派项目经理以下资料：</w:t>
      </w:r>
    </w:p>
    <w:p w14:paraId="5196B571">
      <w:pPr>
        <w:spacing w:before="152" w:line="228" w:lineRule="auto"/>
        <w:ind w:left="484"/>
        <w:outlineLvl w:val="9"/>
        <w:rPr>
          <w:rFonts w:hint="eastAsia" w:ascii="宋体" w:hAnsi="宋体" w:eastAsia="宋体" w:cs="宋体"/>
          <w:color w:val="auto"/>
          <w:sz w:val="24"/>
          <w:szCs w:val="24"/>
          <w:highlight w:val="none"/>
        </w:rPr>
      </w:pPr>
      <w:bookmarkStart w:id="252" w:name="_Toc25271"/>
      <w:bookmarkStart w:id="253" w:name="_Toc1942"/>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bookmarkEnd w:id="252"/>
      <w:bookmarkEnd w:id="253"/>
    </w:p>
    <w:p w14:paraId="23DC4C02">
      <w:pPr>
        <w:spacing w:before="153"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8"/>
          <w:sz w:val="24"/>
          <w:szCs w:val="24"/>
          <w:highlight w:val="none"/>
        </w:rPr>
        <w:t>．建造师电子注册证书（在使用有效期内的有效电子证书）彩色扫描件；</w:t>
      </w:r>
    </w:p>
    <w:p w14:paraId="0A694408">
      <w:pPr>
        <w:spacing w:before="154" w:line="298" w:lineRule="auto"/>
        <w:ind w:left="50" w:right="167" w:firstLine="41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3．B 类安全生产考核合格证书彩色扫描件或广东省建筑施工企业管理人员安全生产考核系统考</w:t>
      </w:r>
      <w:r>
        <w:rPr>
          <w:rFonts w:hint="eastAsia" w:ascii="宋体" w:hAnsi="宋体" w:eastAsia="宋体" w:cs="宋体"/>
          <w:color w:val="auto"/>
          <w:spacing w:val="7"/>
          <w:sz w:val="24"/>
          <w:szCs w:val="24"/>
          <w:highlight w:val="none"/>
        </w:rPr>
        <w:t>核合格信息彩色扫描件；</w:t>
      </w:r>
    </w:p>
    <w:p w14:paraId="3B1B02C0">
      <w:pPr>
        <w:spacing w:before="153" w:line="299" w:lineRule="auto"/>
        <w:ind w:left="49" w:right="167" w:firstLine="41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8"/>
          <w:sz w:val="24"/>
          <w:szCs w:val="24"/>
          <w:highlight w:val="none"/>
        </w:rPr>
        <w:t>．在本单位缴纳社保</w:t>
      </w:r>
      <w:r>
        <w:rPr>
          <w:rFonts w:hint="eastAsia" w:ascii="宋体" w:hAnsi="宋体" w:eastAsia="宋体" w:cs="宋体"/>
          <w:color w:val="auto"/>
          <w:sz w:val="24"/>
          <w:szCs w:val="24"/>
          <w:highlight w:val="none"/>
          <w:lang w:eastAsia="zh-CN"/>
        </w:rPr>
        <w:t>的证明（至少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个月，其</w:t>
      </w:r>
      <w:bookmarkStart w:id="254" w:name="OLE_LINK38"/>
      <w:r>
        <w:rPr>
          <w:rFonts w:hint="eastAsia" w:ascii="宋体" w:hAnsi="宋体" w:eastAsia="宋体" w:cs="宋体"/>
          <w:color w:val="auto"/>
          <w:sz w:val="24"/>
          <w:szCs w:val="24"/>
          <w:highlight w:val="none"/>
          <w:lang w:eastAsia="zh-CN"/>
        </w:rPr>
        <w:t>中必须有20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bookmarkEnd w:id="254"/>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彩色扫描件或打印件。拟</w:t>
      </w:r>
      <w:r>
        <w:rPr>
          <w:rFonts w:hint="eastAsia" w:ascii="宋体" w:hAnsi="宋体" w:eastAsia="宋体" w:cs="宋体"/>
          <w:color w:val="auto"/>
          <w:spacing w:val="9"/>
          <w:sz w:val="24"/>
          <w:szCs w:val="24"/>
          <w:highlight w:val="none"/>
        </w:rPr>
        <w:t>派项目经理为退休返聘人员无法提供社保证明的，提供退休证和劳动合同彩色扫描件。</w:t>
      </w:r>
    </w:p>
    <w:p w14:paraId="0D3E39AB">
      <w:pPr>
        <w:spacing w:before="150" w:line="300" w:lineRule="auto"/>
        <w:ind w:left="49" w:right="170" w:firstLine="420"/>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5</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7"/>
          <w:sz w:val="24"/>
          <w:szCs w:val="24"/>
          <w:highlight w:val="none"/>
        </w:rPr>
        <w:t>．“进粤企业和人员诚信信息登记平台</w:t>
      </w:r>
      <w:r>
        <w:rPr>
          <w:rFonts w:hint="eastAsia" w:ascii="宋体" w:hAnsi="宋体" w:eastAsia="宋体" w:cs="宋体"/>
          <w:color w:val="auto"/>
          <w:spacing w:val="-73"/>
          <w:sz w:val="24"/>
          <w:szCs w:val="24"/>
          <w:highlight w:val="none"/>
        </w:rPr>
        <w:t xml:space="preserve"> </w:t>
      </w:r>
      <w:r>
        <w:rPr>
          <w:rFonts w:hint="eastAsia" w:ascii="宋体" w:hAnsi="宋体" w:eastAsia="宋体" w:cs="宋体"/>
          <w:color w:val="auto"/>
          <w:spacing w:val="7"/>
          <w:sz w:val="24"/>
          <w:szCs w:val="24"/>
          <w:highlight w:val="none"/>
        </w:rPr>
        <w:t>”个人（项目经理等）信息</w:t>
      </w:r>
      <w:r>
        <w:rPr>
          <w:rFonts w:hint="eastAsia" w:ascii="宋体" w:hAnsi="宋体" w:eastAsia="宋体" w:cs="宋体"/>
          <w:color w:val="auto"/>
          <w:spacing w:val="6"/>
          <w:sz w:val="24"/>
          <w:szCs w:val="24"/>
          <w:highlight w:val="none"/>
        </w:rPr>
        <w:t>情况截图。（适用于省外建</w:t>
      </w:r>
      <w:r>
        <w:rPr>
          <w:rFonts w:hint="eastAsia" w:ascii="宋体" w:hAnsi="宋体" w:eastAsia="宋体" w:cs="宋体"/>
          <w:color w:val="auto"/>
          <w:spacing w:val="4"/>
          <w:sz w:val="24"/>
          <w:szCs w:val="24"/>
          <w:highlight w:val="none"/>
        </w:rPr>
        <w:t>筑企业）</w:t>
      </w:r>
    </w:p>
    <w:p w14:paraId="653B6D5B">
      <w:pPr>
        <w:spacing w:line="300" w:lineRule="auto"/>
        <w:rPr>
          <w:rFonts w:hint="eastAsia" w:ascii="宋体" w:hAnsi="宋体" w:eastAsia="宋体" w:cs="宋体"/>
          <w:color w:val="auto"/>
          <w:sz w:val="20"/>
          <w:szCs w:val="20"/>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3CB8FACF">
      <w:pPr>
        <w:spacing w:before="78" w:line="220" w:lineRule="auto"/>
        <w:outlineLvl w:val="2"/>
        <w:rPr>
          <w:rFonts w:hint="eastAsia" w:ascii="宋体" w:hAnsi="宋体" w:eastAsia="宋体" w:cs="宋体"/>
          <w:b/>
          <w:bCs/>
          <w:color w:val="auto"/>
          <w:spacing w:val="-4"/>
          <w:sz w:val="24"/>
          <w:szCs w:val="24"/>
          <w:highlight w:val="none"/>
        </w:rPr>
      </w:pPr>
      <w:bookmarkStart w:id="255" w:name="_Toc30661"/>
      <w:r>
        <w:rPr>
          <w:rFonts w:hint="eastAsia" w:ascii="宋体" w:hAnsi="宋体" w:eastAsia="宋体" w:cs="宋体"/>
          <w:b/>
          <w:bCs/>
          <w:color w:val="auto"/>
          <w:spacing w:val="-4"/>
          <w:sz w:val="24"/>
          <w:szCs w:val="24"/>
          <w:highlight w:val="none"/>
        </w:rPr>
        <w:t>格式九 项目经理任职声明</w:t>
      </w:r>
      <w:bookmarkEnd w:id="255"/>
    </w:p>
    <w:p w14:paraId="50763957">
      <w:pPr>
        <w:pStyle w:val="6"/>
        <w:spacing w:line="350" w:lineRule="auto"/>
        <w:rPr>
          <w:rFonts w:hint="eastAsia" w:ascii="宋体" w:hAnsi="宋体" w:eastAsia="宋体" w:cs="宋体"/>
          <w:color w:val="auto"/>
          <w:highlight w:val="none"/>
        </w:rPr>
      </w:pPr>
    </w:p>
    <w:p w14:paraId="72B47896">
      <w:pPr>
        <w:pStyle w:val="6"/>
        <w:spacing w:line="350" w:lineRule="auto"/>
        <w:rPr>
          <w:rFonts w:hint="eastAsia" w:ascii="宋体" w:hAnsi="宋体" w:eastAsia="宋体" w:cs="宋体"/>
          <w:color w:val="auto"/>
          <w:highlight w:val="none"/>
        </w:rPr>
      </w:pPr>
    </w:p>
    <w:p w14:paraId="532FA83A">
      <w:pPr>
        <w:spacing w:before="98" w:line="220" w:lineRule="auto"/>
        <w:ind w:left="3338"/>
        <w:rPr>
          <w:rFonts w:hint="eastAsia" w:ascii="宋体" w:hAnsi="宋体" w:eastAsia="宋体" w:cs="宋体"/>
          <w:color w:val="auto"/>
          <w:sz w:val="30"/>
          <w:szCs w:val="30"/>
          <w:highlight w:val="none"/>
        </w:rPr>
      </w:pPr>
      <w:bookmarkStart w:id="256" w:name="bookmark157"/>
      <w:bookmarkEnd w:id="256"/>
      <w:r>
        <w:rPr>
          <w:rFonts w:hint="eastAsia" w:ascii="宋体" w:hAnsi="宋体" w:eastAsia="宋体" w:cs="宋体"/>
          <w:b/>
          <w:bCs/>
          <w:color w:val="auto"/>
          <w:spacing w:val="-5"/>
          <w:sz w:val="30"/>
          <w:szCs w:val="30"/>
          <w:highlight w:val="none"/>
        </w:rPr>
        <w:t>项目经理任职声明</w:t>
      </w:r>
    </w:p>
    <w:p w14:paraId="3B33C0D5">
      <w:pPr>
        <w:pStyle w:val="6"/>
        <w:spacing w:line="250" w:lineRule="auto"/>
        <w:rPr>
          <w:rFonts w:hint="eastAsia" w:ascii="宋体" w:hAnsi="宋体" w:eastAsia="宋体" w:cs="宋体"/>
          <w:color w:val="auto"/>
          <w:highlight w:val="none"/>
        </w:rPr>
      </w:pPr>
    </w:p>
    <w:p w14:paraId="09BEE3C9">
      <w:pPr>
        <w:pStyle w:val="6"/>
        <w:spacing w:line="250" w:lineRule="auto"/>
        <w:rPr>
          <w:rFonts w:hint="eastAsia" w:ascii="宋体" w:hAnsi="宋体" w:eastAsia="宋体" w:cs="宋体"/>
          <w:color w:val="auto"/>
          <w:highlight w:val="none"/>
        </w:rPr>
      </w:pPr>
    </w:p>
    <w:p w14:paraId="0AA4EB6D">
      <w:pPr>
        <w:pStyle w:val="6"/>
        <w:spacing w:line="251" w:lineRule="auto"/>
        <w:rPr>
          <w:rFonts w:hint="eastAsia" w:ascii="宋体" w:hAnsi="宋体" w:eastAsia="宋体" w:cs="宋体"/>
          <w:color w:val="auto"/>
          <w:highlight w:val="none"/>
        </w:rPr>
      </w:pPr>
    </w:p>
    <w:p w14:paraId="3FE5935C">
      <w:pPr>
        <w:spacing w:before="78" w:line="221"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17"/>
          <w:sz w:val="24"/>
          <w:szCs w:val="24"/>
          <w:highlight w:val="none"/>
          <w:u w:val="single"/>
          <w:lang w:val="en-US" w:eastAsia="zh-CN"/>
        </w:rPr>
        <w:t xml:space="preserve">                </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1238383B">
      <w:pPr>
        <w:spacing w:before="155" w:line="324"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我方在此声明，我方拟派往</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（项目名称）的项目经理</w:t>
      </w:r>
      <w:r>
        <w:rPr>
          <w:rFonts w:hint="eastAsia" w:ascii="宋体" w:hAnsi="宋体" w:eastAsia="宋体" w:cs="宋体"/>
          <w:color w:val="auto"/>
          <w:spacing w:val="-2"/>
          <w:sz w:val="24"/>
          <w:szCs w:val="24"/>
          <w:highlight w:val="none"/>
          <w:u w:val="single"/>
          <w:lang w:val="en-US" w:eastAsia="zh-CN"/>
        </w:rPr>
        <w:t xml:space="preserve">        </w:t>
      </w:r>
      <w:r>
        <w:rPr>
          <w:rFonts w:hint="eastAsia" w:ascii="宋体" w:hAnsi="宋体" w:eastAsia="宋体" w:cs="宋体"/>
          <w:color w:val="auto"/>
          <w:spacing w:val="-2"/>
          <w:sz w:val="24"/>
          <w:szCs w:val="24"/>
          <w:highlight w:val="none"/>
        </w:rPr>
        <w:t>（项目经理姓名）现阶段没有</w:t>
      </w:r>
      <w:r>
        <w:rPr>
          <w:rFonts w:hint="eastAsia" w:ascii="宋体" w:hAnsi="宋体" w:eastAsia="宋体" w:cs="宋体"/>
          <w:color w:val="auto"/>
          <w:sz w:val="24"/>
          <w:szCs w:val="24"/>
          <w:highlight w:val="none"/>
        </w:rPr>
        <w:t>担任任何在施（包括已中标未开工、已开工未竣工）</w:t>
      </w:r>
      <w:r>
        <w:rPr>
          <w:rFonts w:hint="eastAsia" w:ascii="宋体" w:hAnsi="宋体" w:eastAsia="宋体" w:cs="宋体"/>
          <w:color w:val="auto"/>
          <w:spacing w:val="-1"/>
          <w:sz w:val="24"/>
          <w:szCs w:val="24"/>
          <w:highlight w:val="none"/>
        </w:rPr>
        <w:t>建设工程项目的项目经理。</w:t>
      </w:r>
    </w:p>
    <w:p w14:paraId="03E5EC4A">
      <w:pPr>
        <w:spacing w:before="35" w:line="326" w:lineRule="auto"/>
        <w:ind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我方保证上述信息的真实和准确，并愿意承担因我方就此弄虚作假所引起的一切法</w:t>
      </w:r>
      <w:r>
        <w:rPr>
          <w:rFonts w:hint="eastAsia" w:ascii="宋体" w:hAnsi="宋体" w:eastAsia="宋体" w:cs="宋体"/>
          <w:color w:val="auto"/>
          <w:spacing w:val="-3"/>
          <w:sz w:val="24"/>
          <w:szCs w:val="24"/>
          <w:highlight w:val="none"/>
        </w:rPr>
        <w:t>律后果。</w:t>
      </w:r>
    </w:p>
    <w:p w14:paraId="5CB9C3E7">
      <w:pPr>
        <w:pStyle w:val="6"/>
        <w:spacing w:line="391" w:lineRule="auto"/>
        <w:rPr>
          <w:rFonts w:hint="eastAsia" w:ascii="宋体" w:hAnsi="宋体" w:eastAsia="宋体" w:cs="宋体"/>
          <w:color w:val="auto"/>
          <w:highlight w:val="none"/>
        </w:rPr>
      </w:pPr>
    </w:p>
    <w:p w14:paraId="024308CE">
      <w:pPr>
        <w:spacing w:before="78" w:line="220" w:lineRule="auto"/>
        <w:ind w:left="480"/>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特此承诺</w:t>
      </w:r>
    </w:p>
    <w:p w14:paraId="42159746">
      <w:pPr>
        <w:pStyle w:val="6"/>
        <w:spacing w:line="316" w:lineRule="auto"/>
        <w:rPr>
          <w:rFonts w:hint="eastAsia" w:ascii="宋体" w:hAnsi="宋体" w:eastAsia="宋体" w:cs="宋体"/>
          <w:color w:val="auto"/>
          <w:highlight w:val="none"/>
        </w:rPr>
      </w:pPr>
    </w:p>
    <w:p w14:paraId="4D0D96FE">
      <w:pPr>
        <w:pStyle w:val="6"/>
        <w:spacing w:line="317" w:lineRule="auto"/>
        <w:rPr>
          <w:rFonts w:hint="eastAsia" w:ascii="宋体" w:hAnsi="宋体" w:eastAsia="宋体" w:cs="宋体"/>
          <w:color w:val="auto"/>
          <w:highlight w:val="none"/>
        </w:rPr>
      </w:pPr>
    </w:p>
    <w:p w14:paraId="3A9D0045">
      <w:pPr>
        <w:pStyle w:val="6"/>
        <w:spacing w:line="317" w:lineRule="auto"/>
        <w:rPr>
          <w:rFonts w:hint="eastAsia" w:ascii="宋体" w:hAnsi="宋体" w:eastAsia="宋体" w:cs="宋体"/>
          <w:color w:val="auto"/>
          <w:highlight w:val="none"/>
        </w:rPr>
      </w:pPr>
    </w:p>
    <w:p w14:paraId="4EFCA4D3">
      <w:pPr>
        <w:spacing w:before="79"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11473C24">
      <w:pPr>
        <w:pStyle w:val="6"/>
        <w:spacing w:line="317" w:lineRule="auto"/>
        <w:rPr>
          <w:rFonts w:hint="eastAsia" w:ascii="宋体" w:hAnsi="宋体" w:eastAsia="宋体" w:cs="宋体"/>
          <w:color w:val="auto"/>
          <w:highlight w:val="none"/>
        </w:rPr>
      </w:pPr>
    </w:p>
    <w:p w14:paraId="542278CE">
      <w:pPr>
        <w:pStyle w:val="6"/>
        <w:spacing w:line="317" w:lineRule="auto"/>
        <w:rPr>
          <w:rFonts w:hint="eastAsia" w:ascii="宋体" w:hAnsi="宋体" w:eastAsia="宋体" w:cs="宋体"/>
          <w:color w:val="auto"/>
          <w:highlight w:val="none"/>
        </w:rPr>
      </w:pPr>
    </w:p>
    <w:p w14:paraId="72A1A21F">
      <w:pPr>
        <w:pStyle w:val="6"/>
        <w:spacing w:line="317" w:lineRule="auto"/>
        <w:rPr>
          <w:rFonts w:hint="eastAsia" w:ascii="宋体" w:hAnsi="宋体" w:eastAsia="宋体" w:cs="宋体"/>
          <w:color w:val="auto"/>
          <w:highlight w:val="none"/>
        </w:rPr>
      </w:pPr>
    </w:p>
    <w:p w14:paraId="78744719">
      <w:pPr>
        <w:spacing w:before="78" w:line="219"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5D5950AE">
      <w:pPr>
        <w:pStyle w:val="6"/>
        <w:spacing w:line="257" w:lineRule="auto"/>
        <w:rPr>
          <w:rFonts w:hint="eastAsia" w:ascii="宋体" w:hAnsi="宋体" w:eastAsia="宋体" w:cs="宋体"/>
          <w:color w:val="auto"/>
          <w:highlight w:val="none"/>
        </w:rPr>
      </w:pPr>
    </w:p>
    <w:p w14:paraId="6A0A2006">
      <w:pPr>
        <w:pStyle w:val="6"/>
        <w:spacing w:line="257" w:lineRule="auto"/>
        <w:rPr>
          <w:rFonts w:hint="eastAsia" w:ascii="宋体" w:hAnsi="宋体" w:eastAsia="宋体" w:cs="宋体"/>
          <w:color w:val="auto"/>
          <w:highlight w:val="none"/>
        </w:rPr>
      </w:pPr>
    </w:p>
    <w:p w14:paraId="129D384D">
      <w:pPr>
        <w:pStyle w:val="6"/>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6DFD9D42">
      <w:pPr>
        <w:spacing w:line="220" w:lineRule="auto"/>
        <w:rPr>
          <w:rFonts w:hint="eastAsia" w:ascii="宋体" w:hAnsi="宋体" w:eastAsia="宋体" w:cs="宋体"/>
          <w:color w:val="auto"/>
          <w:sz w:val="24"/>
          <w:szCs w:val="24"/>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065BFDBC">
      <w:pPr>
        <w:spacing w:before="78" w:line="220" w:lineRule="auto"/>
        <w:outlineLvl w:val="2"/>
        <w:rPr>
          <w:rFonts w:hint="eastAsia" w:ascii="宋体" w:hAnsi="宋体" w:eastAsia="宋体" w:cs="宋体"/>
          <w:b/>
          <w:bCs/>
          <w:color w:val="auto"/>
          <w:spacing w:val="-4"/>
          <w:sz w:val="24"/>
          <w:szCs w:val="24"/>
          <w:highlight w:val="none"/>
        </w:rPr>
      </w:pPr>
      <w:bookmarkStart w:id="257" w:name="_Toc31071"/>
      <w:r>
        <w:rPr>
          <w:rFonts w:hint="eastAsia" w:ascii="宋体" w:hAnsi="宋体" w:eastAsia="宋体" w:cs="宋体"/>
          <w:b/>
          <w:bCs/>
          <w:color w:val="auto"/>
          <w:spacing w:val="-4"/>
          <w:sz w:val="24"/>
          <w:szCs w:val="24"/>
          <w:highlight w:val="none"/>
        </w:rPr>
        <w:t>格式十 项目技术负责人简历表</w:t>
      </w:r>
      <w:bookmarkEnd w:id="257"/>
    </w:p>
    <w:p w14:paraId="2B5EE9D3">
      <w:pPr>
        <w:pStyle w:val="6"/>
        <w:spacing w:line="444" w:lineRule="auto"/>
        <w:rPr>
          <w:rFonts w:hint="eastAsia" w:ascii="宋体" w:hAnsi="宋体" w:eastAsia="宋体" w:cs="宋体"/>
          <w:color w:val="auto"/>
          <w:highlight w:val="none"/>
        </w:rPr>
      </w:pPr>
    </w:p>
    <w:p w14:paraId="660126C7">
      <w:pPr>
        <w:spacing w:before="97" w:line="219" w:lineRule="auto"/>
        <w:ind w:left="3087"/>
        <w:outlineLvl w:val="9"/>
        <w:rPr>
          <w:rFonts w:hint="eastAsia" w:ascii="宋体" w:hAnsi="宋体" w:eastAsia="宋体" w:cs="宋体"/>
          <w:color w:val="auto"/>
          <w:sz w:val="30"/>
          <w:szCs w:val="30"/>
          <w:highlight w:val="none"/>
        </w:rPr>
      </w:pPr>
      <w:bookmarkStart w:id="258" w:name="_Toc1553"/>
      <w:bookmarkStart w:id="259" w:name="_Toc25712"/>
      <w:r>
        <w:rPr>
          <w:rFonts w:hint="eastAsia" w:ascii="宋体" w:hAnsi="宋体" w:eastAsia="宋体" w:cs="宋体"/>
          <w:b/>
          <w:bCs/>
          <w:color w:val="auto"/>
          <w:spacing w:val="-4"/>
          <w:sz w:val="30"/>
          <w:szCs w:val="30"/>
          <w:highlight w:val="none"/>
        </w:rPr>
        <w:t>项目技术负责人简历表</w:t>
      </w:r>
      <w:bookmarkEnd w:id="258"/>
      <w:bookmarkEnd w:id="259"/>
    </w:p>
    <w:p w14:paraId="793853DC">
      <w:pPr>
        <w:spacing w:line="240" w:lineRule="exact"/>
        <w:rPr>
          <w:rFonts w:hint="eastAsia" w:ascii="宋体" w:hAnsi="宋体" w:eastAsia="宋体" w:cs="宋体"/>
          <w:color w:val="auto"/>
          <w:highlight w:val="none"/>
        </w:rPr>
      </w:pPr>
    </w:p>
    <w:tbl>
      <w:tblPr>
        <w:tblStyle w:val="15"/>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16095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top"/>
          </w:tcPr>
          <w:p w14:paraId="1A29E8E9">
            <w:pPr>
              <w:spacing w:before="177" w:line="228" w:lineRule="auto"/>
              <w:ind w:left="50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名</w:t>
            </w:r>
          </w:p>
        </w:tc>
        <w:tc>
          <w:tcPr>
            <w:tcW w:w="1282" w:type="dxa"/>
            <w:gridSpan w:val="2"/>
            <w:vAlign w:val="top"/>
          </w:tcPr>
          <w:p w14:paraId="61E80740">
            <w:pPr>
              <w:pStyle w:val="22"/>
              <w:rPr>
                <w:rFonts w:hint="eastAsia" w:ascii="宋体" w:hAnsi="宋体" w:eastAsia="宋体" w:cs="宋体"/>
                <w:color w:val="auto"/>
                <w:sz w:val="24"/>
                <w:szCs w:val="24"/>
                <w:highlight w:val="none"/>
              </w:rPr>
            </w:pPr>
          </w:p>
        </w:tc>
        <w:tc>
          <w:tcPr>
            <w:tcW w:w="1346" w:type="dxa"/>
            <w:vAlign w:val="top"/>
          </w:tcPr>
          <w:p w14:paraId="31353E9D">
            <w:pPr>
              <w:spacing w:before="177" w:line="229" w:lineRule="auto"/>
              <w:ind w:left="33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z w:val="24"/>
                <w:szCs w:val="24"/>
                <w:highlight w:val="none"/>
              </w:rPr>
              <w:t>别</w:t>
            </w:r>
          </w:p>
        </w:tc>
        <w:tc>
          <w:tcPr>
            <w:tcW w:w="2047" w:type="dxa"/>
            <w:vAlign w:val="top"/>
          </w:tcPr>
          <w:p w14:paraId="7598C3B0">
            <w:pPr>
              <w:pStyle w:val="22"/>
              <w:rPr>
                <w:rFonts w:hint="eastAsia" w:ascii="宋体" w:hAnsi="宋体" w:eastAsia="宋体" w:cs="宋体"/>
                <w:color w:val="auto"/>
                <w:sz w:val="24"/>
                <w:szCs w:val="24"/>
                <w:highlight w:val="none"/>
              </w:rPr>
            </w:pPr>
          </w:p>
        </w:tc>
        <w:tc>
          <w:tcPr>
            <w:tcW w:w="1783" w:type="dxa"/>
            <w:vAlign w:val="top"/>
          </w:tcPr>
          <w:p w14:paraId="079602E5">
            <w:pPr>
              <w:spacing w:before="177" w:line="228" w:lineRule="auto"/>
              <w:ind w:left="48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龄</w:t>
            </w:r>
          </w:p>
        </w:tc>
        <w:tc>
          <w:tcPr>
            <w:tcW w:w="1386" w:type="dxa"/>
            <w:vAlign w:val="top"/>
          </w:tcPr>
          <w:p w14:paraId="5C37597F">
            <w:pPr>
              <w:pStyle w:val="22"/>
              <w:rPr>
                <w:rFonts w:hint="eastAsia" w:ascii="宋体" w:hAnsi="宋体" w:eastAsia="宋体" w:cs="宋体"/>
                <w:color w:val="auto"/>
                <w:sz w:val="24"/>
                <w:szCs w:val="24"/>
                <w:highlight w:val="none"/>
              </w:rPr>
            </w:pPr>
          </w:p>
        </w:tc>
      </w:tr>
      <w:tr w14:paraId="09A41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top"/>
          </w:tcPr>
          <w:p w14:paraId="236887D3">
            <w:pPr>
              <w:spacing w:before="175" w:line="228" w:lineRule="auto"/>
              <w:ind w:left="50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8"/>
                <w:sz w:val="24"/>
                <w:szCs w:val="24"/>
                <w:highlight w:val="none"/>
              </w:rPr>
              <w:t xml:space="preserve">   </w:t>
            </w:r>
            <w:r>
              <w:rPr>
                <w:rFonts w:hint="eastAsia" w:ascii="宋体" w:hAnsi="宋体" w:eastAsia="宋体" w:cs="宋体"/>
                <w:color w:val="auto"/>
                <w:sz w:val="24"/>
                <w:szCs w:val="24"/>
                <w:highlight w:val="none"/>
              </w:rPr>
              <w:t>务</w:t>
            </w:r>
          </w:p>
        </w:tc>
        <w:tc>
          <w:tcPr>
            <w:tcW w:w="1282" w:type="dxa"/>
            <w:gridSpan w:val="2"/>
            <w:vAlign w:val="top"/>
          </w:tcPr>
          <w:p w14:paraId="5FED17BA">
            <w:pPr>
              <w:pStyle w:val="22"/>
              <w:rPr>
                <w:rFonts w:hint="eastAsia" w:ascii="宋体" w:hAnsi="宋体" w:eastAsia="宋体" w:cs="宋体"/>
                <w:color w:val="auto"/>
                <w:sz w:val="24"/>
                <w:szCs w:val="24"/>
                <w:highlight w:val="none"/>
              </w:rPr>
            </w:pPr>
          </w:p>
        </w:tc>
        <w:tc>
          <w:tcPr>
            <w:tcW w:w="1346" w:type="dxa"/>
            <w:vAlign w:val="top"/>
          </w:tcPr>
          <w:p w14:paraId="15CBDD7D">
            <w:pPr>
              <w:spacing w:before="174" w:line="231" w:lineRule="auto"/>
              <w:ind w:left="33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z w:val="24"/>
                <w:szCs w:val="24"/>
                <w:highlight w:val="none"/>
              </w:rPr>
              <w:t>称</w:t>
            </w:r>
          </w:p>
        </w:tc>
        <w:tc>
          <w:tcPr>
            <w:tcW w:w="2047" w:type="dxa"/>
            <w:vAlign w:val="top"/>
          </w:tcPr>
          <w:p w14:paraId="5CCBF957">
            <w:pPr>
              <w:pStyle w:val="22"/>
              <w:rPr>
                <w:rFonts w:hint="eastAsia" w:ascii="宋体" w:hAnsi="宋体" w:eastAsia="宋体" w:cs="宋体"/>
                <w:color w:val="auto"/>
                <w:sz w:val="24"/>
                <w:szCs w:val="24"/>
                <w:highlight w:val="none"/>
              </w:rPr>
            </w:pPr>
          </w:p>
        </w:tc>
        <w:tc>
          <w:tcPr>
            <w:tcW w:w="1783" w:type="dxa"/>
            <w:vAlign w:val="top"/>
          </w:tcPr>
          <w:p w14:paraId="01085AC3">
            <w:pPr>
              <w:spacing w:before="175" w:line="230" w:lineRule="auto"/>
              <w:ind w:left="49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学</w:t>
            </w:r>
            <w:r>
              <w:rPr>
                <w:rFonts w:hint="eastAsia" w:ascii="宋体" w:hAnsi="宋体" w:eastAsia="宋体" w:cs="宋体"/>
                <w:color w:val="auto"/>
                <w:spacing w:val="9"/>
                <w:sz w:val="24"/>
                <w:szCs w:val="24"/>
                <w:highlight w:val="none"/>
              </w:rPr>
              <w:t xml:space="preserve">   </w:t>
            </w:r>
            <w:r>
              <w:rPr>
                <w:rFonts w:hint="eastAsia" w:ascii="宋体" w:hAnsi="宋体" w:eastAsia="宋体" w:cs="宋体"/>
                <w:color w:val="auto"/>
                <w:spacing w:val="-2"/>
                <w:sz w:val="24"/>
                <w:szCs w:val="24"/>
                <w:highlight w:val="none"/>
              </w:rPr>
              <w:t>历</w:t>
            </w:r>
          </w:p>
        </w:tc>
        <w:tc>
          <w:tcPr>
            <w:tcW w:w="1386" w:type="dxa"/>
            <w:vAlign w:val="top"/>
          </w:tcPr>
          <w:p w14:paraId="5F864FCF">
            <w:pPr>
              <w:pStyle w:val="22"/>
              <w:rPr>
                <w:rFonts w:hint="eastAsia" w:ascii="宋体" w:hAnsi="宋体" w:eastAsia="宋体" w:cs="宋体"/>
                <w:color w:val="auto"/>
                <w:sz w:val="24"/>
                <w:szCs w:val="24"/>
                <w:highlight w:val="none"/>
              </w:rPr>
            </w:pPr>
          </w:p>
        </w:tc>
      </w:tr>
      <w:tr w14:paraId="7CDBF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top"/>
          </w:tcPr>
          <w:p w14:paraId="14018382">
            <w:pPr>
              <w:spacing w:before="175" w:line="229" w:lineRule="auto"/>
              <w:ind w:left="24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参加工作时间</w:t>
            </w:r>
          </w:p>
        </w:tc>
        <w:tc>
          <w:tcPr>
            <w:tcW w:w="2628" w:type="dxa"/>
            <w:gridSpan w:val="3"/>
            <w:vAlign w:val="top"/>
          </w:tcPr>
          <w:p w14:paraId="2F2884CD">
            <w:pPr>
              <w:pStyle w:val="22"/>
              <w:rPr>
                <w:rFonts w:hint="eastAsia" w:ascii="宋体" w:hAnsi="宋体" w:eastAsia="宋体" w:cs="宋体"/>
                <w:color w:val="auto"/>
                <w:sz w:val="24"/>
                <w:szCs w:val="24"/>
                <w:highlight w:val="none"/>
              </w:rPr>
            </w:pPr>
          </w:p>
        </w:tc>
        <w:tc>
          <w:tcPr>
            <w:tcW w:w="3830" w:type="dxa"/>
            <w:gridSpan w:val="2"/>
            <w:vAlign w:val="top"/>
          </w:tcPr>
          <w:p w14:paraId="1475BD90">
            <w:pPr>
              <w:spacing w:before="176" w:line="228"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从事工程建设项目管理工作年限</w:t>
            </w:r>
          </w:p>
        </w:tc>
        <w:tc>
          <w:tcPr>
            <w:tcW w:w="1386" w:type="dxa"/>
            <w:vAlign w:val="top"/>
          </w:tcPr>
          <w:p w14:paraId="6C32E237">
            <w:pPr>
              <w:pStyle w:val="22"/>
              <w:rPr>
                <w:rFonts w:hint="eastAsia" w:ascii="宋体" w:hAnsi="宋体" w:eastAsia="宋体" w:cs="宋体"/>
                <w:color w:val="auto"/>
                <w:sz w:val="24"/>
                <w:szCs w:val="24"/>
                <w:highlight w:val="none"/>
              </w:rPr>
            </w:pPr>
          </w:p>
        </w:tc>
      </w:tr>
      <w:tr w14:paraId="488B9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top"/>
          </w:tcPr>
          <w:p w14:paraId="5F95069B">
            <w:pPr>
              <w:spacing w:before="176" w:line="228" w:lineRule="auto"/>
              <w:ind w:left="204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以项目技术负责人身份参与过的主要业绩（已完工项目）</w:t>
            </w:r>
          </w:p>
        </w:tc>
      </w:tr>
      <w:tr w14:paraId="1766D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top"/>
          </w:tcPr>
          <w:p w14:paraId="1091015C">
            <w:pPr>
              <w:spacing w:before="176" w:line="230" w:lineRule="auto"/>
              <w:ind w:left="183"/>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610" w:type="dxa"/>
            <w:gridSpan w:val="2"/>
            <w:vAlign w:val="top"/>
          </w:tcPr>
          <w:p w14:paraId="5142899E">
            <w:pPr>
              <w:spacing w:before="176" w:line="229" w:lineRule="auto"/>
              <w:ind w:left="35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项目名称</w:t>
            </w:r>
          </w:p>
        </w:tc>
        <w:tc>
          <w:tcPr>
            <w:tcW w:w="2021" w:type="dxa"/>
            <w:gridSpan w:val="2"/>
            <w:vAlign w:val="top"/>
          </w:tcPr>
          <w:p w14:paraId="4A3183BC">
            <w:pPr>
              <w:spacing w:before="176" w:line="229" w:lineRule="auto"/>
              <w:ind w:left="55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建设单位</w:t>
            </w:r>
          </w:p>
        </w:tc>
        <w:tc>
          <w:tcPr>
            <w:tcW w:w="2047" w:type="dxa"/>
            <w:vAlign w:val="top"/>
          </w:tcPr>
          <w:p w14:paraId="67784B04">
            <w:pPr>
              <w:spacing w:before="176"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建设内容和规模</w:t>
            </w:r>
          </w:p>
        </w:tc>
        <w:tc>
          <w:tcPr>
            <w:tcW w:w="1783" w:type="dxa"/>
            <w:vAlign w:val="top"/>
          </w:tcPr>
          <w:p w14:paraId="25EE5667">
            <w:pPr>
              <w:spacing w:before="176" w:line="228" w:lineRule="auto"/>
              <w:ind w:left="237"/>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开、竣工日期</w:t>
            </w:r>
          </w:p>
        </w:tc>
        <w:tc>
          <w:tcPr>
            <w:tcW w:w="1386" w:type="dxa"/>
            <w:vAlign w:val="top"/>
          </w:tcPr>
          <w:p w14:paraId="447C6AB8">
            <w:pPr>
              <w:spacing w:before="176" w:line="228" w:lineRule="auto"/>
              <w:ind w:left="251"/>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质量等级</w:t>
            </w:r>
          </w:p>
        </w:tc>
      </w:tr>
      <w:tr w14:paraId="53E32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472189AA">
            <w:pPr>
              <w:spacing w:before="214" w:line="195" w:lineRule="auto"/>
              <w:ind w:left="3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610" w:type="dxa"/>
            <w:gridSpan w:val="2"/>
            <w:vAlign w:val="top"/>
          </w:tcPr>
          <w:p w14:paraId="62B22E63">
            <w:pPr>
              <w:pStyle w:val="22"/>
              <w:rPr>
                <w:rFonts w:hint="eastAsia" w:ascii="宋体" w:hAnsi="宋体" w:eastAsia="宋体" w:cs="宋体"/>
                <w:color w:val="auto"/>
                <w:sz w:val="24"/>
                <w:szCs w:val="24"/>
                <w:highlight w:val="none"/>
              </w:rPr>
            </w:pPr>
          </w:p>
        </w:tc>
        <w:tc>
          <w:tcPr>
            <w:tcW w:w="2021" w:type="dxa"/>
            <w:gridSpan w:val="2"/>
            <w:vAlign w:val="top"/>
          </w:tcPr>
          <w:p w14:paraId="3F5ED66B">
            <w:pPr>
              <w:pStyle w:val="22"/>
              <w:rPr>
                <w:rFonts w:hint="eastAsia" w:ascii="宋体" w:hAnsi="宋体" w:eastAsia="宋体" w:cs="宋体"/>
                <w:color w:val="auto"/>
                <w:sz w:val="24"/>
                <w:szCs w:val="24"/>
                <w:highlight w:val="none"/>
              </w:rPr>
            </w:pPr>
          </w:p>
        </w:tc>
        <w:tc>
          <w:tcPr>
            <w:tcW w:w="2047" w:type="dxa"/>
            <w:vAlign w:val="top"/>
          </w:tcPr>
          <w:p w14:paraId="75504A0F">
            <w:pPr>
              <w:pStyle w:val="22"/>
              <w:rPr>
                <w:rFonts w:hint="eastAsia" w:ascii="宋体" w:hAnsi="宋体" w:eastAsia="宋体" w:cs="宋体"/>
                <w:color w:val="auto"/>
                <w:sz w:val="24"/>
                <w:szCs w:val="24"/>
                <w:highlight w:val="none"/>
              </w:rPr>
            </w:pPr>
          </w:p>
        </w:tc>
        <w:tc>
          <w:tcPr>
            <w:tcW w:w="1783" w:type="dxa"/>
            <w:vAlign w:val="top"/>
          </w:tcPr>
          <w:p w14:paraId="647437AC">
            <w:pPr>
              <w:pStyle w:val="22"/>
              <w:rPr>
                <w:rFonts w:hint="eastAsia" w:ascii="宋体" w:hAnsi="宋体" w:eastAsia="宋体" w:cs="宋体"/>
                <w:color w:val="auto"/>
                <w:sz w:val="24"/>
                <w:szCs w:val="24"/>
                <w:highlight w:val="none"/>
              </w:rPr>
            </w:pPr>
          </w:p>
        </w:tc>
        <w:tc>
          <w:tcPr>
            <w:tcW w:w="1386" w:type="dxa"/>
            <w:vAlign w:val="top"/>
          </w:tcPr>
          <w:p w14:paraId="5B367338">
            <w:pPr>
              <w:pStyle w:val="22"/>
              <w:rPr>
                <w:rFonts w:hint="eastAsia" w:ascii="宋体" w:hAnsi="宋体" w:eastAsia="宋体" w:cs="宋体"/>
                <w:color w:val="auto"/>
                <w:sz w:val="24"/>
                <w:szCs w:val="24"/>
                <w:highlight w:val="none"/>
              </w:rPr>
            </w:pPr>
          </w:p>
        </w:tc>
      </w:tr>
      <w:tr w14:paraId="1156F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top"/>
          </w:tcPr>
          <w:p w14:paraId="2909C01B">
            <w:pPr>
              <w:spacing w:before="213" w:line="195" w:lineRule="auto"/>
              <w:ind w:left="33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610" w:type="dxa"/>
            <w:gridSpan w:val="2"/>
            <w:vAlign w:val="top"/>
          </w:tcPr>
          <w:p w14:paraId="51422255">
            <w:pPr>
              <w:pStyle w:val="22"/>
              <w:rPr>
                <w:rFonts w:hint="eastAsia" w:ascii="宋体" w:hAnsi="宋体" w:eastAsia="宋体" w:cs="宋体"/>
                <w:color w:val="auto"/>
                <w:sz w:val="24"/>
                <w:szCs w:val="24"/>
                <w:highlight w:val="none"/>
              </w:rPr>
            </w:pPr>
          </w:p>
        </w:tc>
        <w:tc>
          <w:tcPr>
            <w:tcW w:w="2021" w:type="dxa"/>
            <w:gridSpan w:val="2"/>
            <w:vAlign w:val="top"/>
          </w:tcPr>
          <w:p w14:paraId="4273DA5B">
            <w:pPr>
              <w:pStyle w:val="22"/>
              <w:rPr>
                <w:rFonts w:hint="eastAsia" w:ascii="宋体" w:hAnsi="宋体" w:eastAsia="宋体" w:cs="宋体"/>
                <w:color w:val="auto"/>
                <w:sz w:val="24"/>
                <w:szCs w:val="24"/>
                <w:highlight w:val="none"/>
              </w:rPr>
            </w:pPr>
          </w:p>
        </w:tc>
        <w:tc>
          <w:tcPr>
            <w:tcW w:w="2047" w:type="dxa"/>
            <w:vAlign w:val="top"/>
          </w:tcPr>
          <w:p w14:paraId="1AAF2D51">
            <w:pPr>
              <w:pStyle w:val="22"/>
              <w:rPr>
                <w:rFonts w:hint="eastAsia" w:ascii="宋体" w:hAnsi="宋体" w:eastAsia="宋体" w:cs="宋体"/>
                <w:color w:val="auto"/>
                <w:sz w:val="24"/>
                <w:szCs w:val="24"/>
                <w:highlight w:val="none"/>
              </w:rPr>
            </w:pPr>
          </w:p>
        </w:tc>
        <w:tc>
          <w:tcPr>
            <w:tcW w:w="1783" w:type="dxa"/>
            <w:vAlign w:val="top"/>
          </w:tcPr>
          <w:p w14:paraId="051D15DF">
            <w:pPr>
              <w:pStyle w:val="22"/>
              <w:rPr>
                <w:rFonts w:hint="eastAsia" w:ascii="宋体" w:hAnsi="宋体" w:eastAsia="宋体" w:cs="宋体"/>
                <w:color w:val="auto"/>
                <w:sz w:val="24"/>
                <w:szCs w:val="24"/>
                <w:highlight w:val="none"/>
              </w:rPr>
            </w:pPr>
          </w:p>
        </w:tc>
        <w:tc>
          <w:tcPr>
            <w:tcW w:w="1386" w:type="dxa"/>
            <w:vAlign w:val="top"/>
          </w:tcPr>
          <w:p w14:paraId="4200AD4E">
            <w:pPr>
              <w:pStyle w:val="22"/>
              <w:rPr>
                <w:rFonts w:hint="eastAsia" w:ascii="宋体" w:hAnsi="宋体" w:eastAsia="宋体" w:cs="宋体"/>
                <w:color w:val="auto"/>
                <w:sz w:val="24"/>
                <w:szCs w:val="24"/>
                <w:highlight w:val="none"/>
              </w:rPr>
            </w:pPr>
          </w:p>
        </w:tc>
      </w:tr>
      <w:tr w14:paraId="75E63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6AE3C341">
            <w:pPr>
              <w:spacing w:before="178" w:line="324" w:lineRule="exact"/>
              <w:ind w:left="197"/>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610" w:type="dxa"/>
            <w:gridSpan w:val="2"/>
            <w:vAlign w:val="top"/>
          </w:tcPr>
          <w:p w14:paraId="5754BBC6">
            <w:pPr>
              <w:pStyle w:val="22"/>
              <w:rPr>
                <w:rFonts w:hint="eastAsia" w:ascii="宋体" w:hAnsi="宋体" w:eastAsia="宋体" w:cs="宋体"/>
                <w:color w:val="auto"/>
                <w:sz w:val="24"/>
                <w:szCs w:val="24"/>
                <w:highlight w:val="none"/>
              </w:rPr>
            </w:pPr>
          </w:p>
        </w:tc>
        <w:tc>
          <w:tcPr>
            <w:tcW w:w="2021" w:type="dxa"/>
            <w:gridSpan w:val="2"/>
            <w:vAlign w:val="top"/>
          </w:tcPr>
          <w:p w14:paraId="72F4C53F">
            <w:pPr>
              <w:pStyle w:val="22"/>
              <w:rPr>
                <w:rFonts w:hint="eastAsia" w:ascii="宋体" w:hAnsi="宋体" w:eastAsia="宋体" w:cs="宋体"/>
                <w:color w:val="auto"/>
                <w:sz w:val="24"/>
                <w:szCs w:val="24"/>
                <w:highlight w:val="none"/>
              </w:rPr>
            </w:pPr>
          </w:p>
        </w:tc>
        <w:tc>
          <w:tcPr>
            <w:tcW w:w="2047" w:type="dxa"/>
            <w:vAlign w:val="top"/>
          </w:tcPr>
          <w:p w14:paraId="0E072B1F">
            <w:pPr>
              <w:pStyle w:val="22"/>
              <w:rPr>
                <w:rFonts w:hint="eastAsia" w:ascii="宋体" w:hAnsi="宋体" w:eastAsia="宋体" w:cs="宋体"/>
                <w:color w:val="auto"/>
                <w:sz w:val="24"/>
                <w:szCs w:val="24"/>
                <w:highlight w:val="none"/>
              </w:rPr>
            </w:pPr>
          </w:p>
        </w:tc>
        <w:tc>
          <w:tcPr>
            <w:tcW w:w="1783" w:type="dxa"/>
            <w:vAlign w:val="top"/>
          </w:tcPr>
          <w:p w14:paraId="2FEEBEC8">
            <w:pPr>
              <w:pStyle w:val="22"/>
              <w:rPr>
                <w:rFonts w:hint="eastAsia" w:ascii="宋体" w:hAnsi="宋体" w:eastAsia="宋体" w:cs="宋体"/>
                <w:color w:val="auto"/>
                <w:sz w:val="24"/>
                <w:szCs w:val="24"/>
                <w:highlight w:val="none"/>
              </w:rPr>
            </w:pPr>
          </w:p>
        </w:tc>
        <w:tc>
          <w:tcPr>
            <w:tcW w:w="1386" w:type="dxa"/>
            <w:vAlign w:val="top"/>
          </w:tcPr>
          <w:p w14:paraId="45AD2BC7">
            <w:pPr>
              <w:pStyle w:val="22"/>
              <w:rPr>
                <w:rFonts w:hint="eastAsia" w:ascii="宋体" w:hAnsi="宋体" w:eastAsia="宋体" w:cs="宋体"/>
                <w:color w:val="auto"/>
                <w:sz w:val="24"/>
                <w:szCs w:val="24"/>
                <w:highlight w:val="none"/>
              </w:rPr>
            </w:pPr>
          </w:p>
        </w:tc>
      </w:tr>
      <w:tr w14:paraId="0E691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top"/>
          </w:tcPr>
          <w:p w14:paraId="100AE66B">
            <w:pPr>
              <w:pStyle w:val="22"/>
              <w:rPr>
                <w:rFonts w:hint="eastAsia" w:ascii="宋体" w:hAnsi="宋体" w:eastAsia="宋体" w:cs="宋体"/>
                <w:color w:val="auto"/>
                <w:sz w:val="24"/>
                <w:szCs w:val="24"/>
                <w:highlight w:val="none"/>
              </w:rPr>
            </w:pPr>
          </w:p>
        </w:tc>
        <w:tc>
          <w:tcPr>
            <w:tcW w:w="1610" w:type="dxa"/>
            <w:gridSpan w:val="2"/>
            <w:vAlign w:val="top"/>
          </w:tcPr>
          <w:p w14:paraId="3D172603">
            <w:pPr>
              <w:pStyle w:val="22"/>
              <w:rPr>
                <w:rFonts w:hint="eastAsia" w:ascii="宋体" w:hAnsi="宋体" w:eastAsia="宋体" w:cs="宋体"/>
                <w:color w:val="auto"/>
                <w:sz w:val="24"/>
                <w:szCs w:val="24"/>
                <w:highlight w:val="none"/>
              </w:rPr>
            </w:pPr>
          </w:p>
        </w:tc>
        <w:tc>
          <w:tcPr>
            <w:tcW w:w="2021" w:type="dxa"/>
            <w:gridSpan w:val="2"/>
            <w:vAlign w:val="top"/>
          </w:tcPr>
          <w:p w14:paraId="6088B8A2">
            <w:pPr>
              <w:pStyle w:val="22"/>
              <w:rPr>
                <w:rFonts w:hint="eastAsia" w:ascii="宋体" w:hAnsi="宋体" w:eastAsia="宋体" w:cs="宋体"/>
                <w:color w:val="auto"/>
                <w:sz w:val="24"/>
                <w:szCs w:val="24"/>
                <w:highlight w:val="none"/>
              </w:rPr>
            </w:pPr>
          </w:p>
        </w:tc>
        <w:tc>
          <w:tcPr>
            <w:tcW w:w="2047" w:type="dxa"/>
            <w:vAlign w:val="top"/>
          </w:tcPr>
          <w:p w14:paraId="71FA95CE">
            <w:pPr>
              <w:pStyle w:val="22"/>
              <w:rPr>
                <w:rFonts w:hint="eastAsia" w:ascii="宋体" w:hAnsi="宋体" w:eastAsia="宋体" w:cs="宋体"/>
                <w:color w:val="auto"/>
                <w:sz w:val="24"/>
                <w:szCs w:val="24"/>
                <w:highlight w:val="none"/>
              </w:rPr>
            </w:pPr>
          </w:p>
        </w:tc>
        <w:tc>
          <w:tcPr>
            <w:tcW w:w="1783" w:type="dxa"/>
            <w:vAlign w:val="top"/>
          </w:tcPr>
          <w:p w14:paraId="63618EC9">
            <w:pPr>
              <w:pStyle w:val="22"/>
              <w:rPr>
                <w:rFonts w:hint="eastAsia" w:ascii="宋体" w:hAnsi="宋体" w:eastAsia="宋体" w:cs="宋体"/>
                <w:color w:val="auto"/>
                <w:sz w:val="24"/>
                <w:szCs w:val="24"/>
                <w:highlight w:val="none"/>
              </w:rPr>
            </w:pPr>
          </w:p>
        </w:tc>
        <w:tc>
          <w:tcPr>
            <w:tcW w:w="1386" w:type="dxa"/>
            <w:vAlign w:val="top"/>
          </w:tcPr>
          <w:p w14:paraId="5F9677E7">
            <w:pPr>
              <w:pStyle w:val="22"/>
              <w:rPr>
                <w:rFonts w:hint="eastAsia" w:ascii="宋体" w:hAnsi="宋体" w:eastAsia="宋体" w:cs="宋体"/>
                <w:color w:val="auto"/>
                <w:sz w:val="24"/>
                <w:szCs w:val="24"/>
                <w:highlight w:val="none"/>
              </w:rPr>
            </w:pPr>
          </w:p>
        </w:tc>
      </w:tr>
      <w:tr w14:paraId="492D5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top"/>
          </w:tcPr>
          <w:p w14:paraId="7A0A0F26">
            <w:pPr>
              <w:pStyle w:val="22"/>
              <w:rPr>
                <w:rFonts w:hint="eastAsia" w:ascii="宋体" w:hAnsi="宋体" w:eastAsia="宋体" w:cs="宋体"/>
                <w:color w:val="auto"/>
                <w:sz w:val="24"/>
                <w:szCs w:val="24"/>
                <w:highlight w:val="none"/>
              </w:rPr>
            </w:pPr>
          </w:p>
        </w:tc>
        <w:tc>
          <w:tcPr>
            <w:tcW w:w="1610" w:type="dxa"/>
            <w:gridSpan w:val="2"/>
            <w:vAlign w:val="top"/>
          </w:tcPr>
          <w:p w14:paraId="2EA095B3">
            <w:pPr>
              <w:pStyle w:val="22"/>
              <w:rPr>
                <w:rFonts w:hint="eastAsia" w:ascii="宋体" w:hAnsi="宋体" w:eastAsia="宋体" w:cs="宋体"/>
                <w:color w:val="auto"/>
                <w:sz w:val="24"/>
                <w:szCs w:val="24"/>
                <w:highlight w:val="none"/>
              </w:rPr>
            </w:pPr>
          </w:p>
        </w:tc>
        <w:tc>
          <w:tcPr>
            <w:tcW w:w="2021" w:type="dxa"/>
            <w:gridSpan w:val="2"/>
            <w:vAlign w:val="top"/>
          </w:tcPr>
          <w:p w14:paraId="783DB79D">
            <w:pPr>
              <w:pStyle w:val="22"/>
              <w:rPr>
                <w:rFonts w:hint="eastAsia" w:ascii="宋体" w:hAnsi="宋体" w:eastAsia="宋体" w:cs="宋体"/>
                <w:color w:val="auto"/>
                <w:sz w:val="24"/>
                <w:szCs w:val="24"/>
                <w:highlight w:val="none"/>
              </w:rPr>
            </w:pPr>
          </w:p>
        </w:tc>
        <w:tc>
          <w:tcPr>
            <w:tcW w:w="2047" w:type="dxa"/>
            <w:vAlign w:val="top"/>
          </w:tcPr>
          <w:p w14:paraId="707CEA4B">
            <w:pPr>
              <w:pStyle w:val="22"/>
              <w:rPr>
                <w:rFonts w:hint="eastAsia" w:ascii="宋体" w:hAnsi="宋体" w:eastAsia="宋体" w:cs="宋体"/>
                <w:color w:val="auto"/>
                <w:sz w:val="24"/>
                <w:szCs w:val="24"/>
                <w:highlight w:val="none"/>
              </w:rPr>
            </w:pPr>
          </w:p>
        </w:tc>
        <w:tc>
          <w:tcPr>
            <w:tcW w:w="1783" w:type="dxa"/>
            <w:vAlign w:val="top"/>
          </w:tcPr>
          <w:p w14:paraId="6634F4F2">
            <w:pPr>
              <w:pStyle w:val="22"/>
              <w:rPr>
                <w:rFonts w:hint="eastAsia" w:ascii="宋体" w:hAnsi="宋体" w:eastAsia="宋体" w:cs="宋体"/>
                <w:color w:val="auto"/>
                <w:sz w:val="24"/>
                <w:szCs w:val="24"/>
                <w:highlight w:val="none"/>
              </w:rPr>
            </w:pPr>
          </w:p>
        </w:tc>
        <w:tc>
          <w:tcPr>
            <w:tcW w:w="1386" w:type="dxa"/>
            <w:vAlign w:val="top"/>
          </w:tcPr>
          <w:p w14:paraId="79AF8F10">
            <w:pPr>
              <w:pStyle w:val="22"/>
              <w:rPr>
                <w:rFonts w:hint="eastAsia" w:ascii="宋体" w:hAnsi="宋体" w:eastAsia="宋体" w:cs="宋体"/>
                <w:color w:val="auto"/>
                <w:sz w:val="24"/>
                <w:szCs w:val="24"/>
                <w:highlight w:val="none"/>
              </w:rPr>
            </w:pPr>
          </w:p>
        </w:tc>
      </w:tr>
    </w:tbl>
    <w:p w14:paraId="79842BF8">
      <w:pPr>
        <w:pStyle w:val="6"/>
        <w:spacing w:line="314" w:lineRule="auto"/>
        <w:rPr>
          <w:rFonts w:hint="eastAsia" w:ascii="宋体" w:hAnsi="宋体" w:eastAsia="宋体" w:cs="宋体"/>
          <w:color w:val="auto"/>
          <w:sz w:val="24"/>
          <w:szCs w:val="24"/>
          <w:highlight w:val="none"/>
        </w:rPr>
      </w:pPr>
    </w:p>
    <w:p w14:paraId="7F27F6D4">
      <w:pPr>
        <w:pStyle w:val="6"/>
        <w:spacing w:line="315" w:lineRule="auto"/>
        <w:rPr>
          <w:rFonts w:hint="eastAsia" w:ascii="宋体" w:hAnsi="宋体" w:eastAsia="宋体" w:cs="宋体"/>
          <w:color w:val="auto"/>
          <w:sz w:val="24"/>
          <w:szCs w:val="24"/>
          <w:highlight w:val="none"/>
        </w:rPr>
      </w:pPr>
    </w:p>
    <w:p w14:paraId="4C0BB797">
      <w:pPr>
        <w:pStyle w:val="6"/>
        <w:spacing w:line="315" w:lineRule="auto"/>
        <w:rPr>
          <w:rFonts w:hint="eastAsia" w:ascii="宋体" w:hAnsi="宋体" w:eastAsia="宋体" w:cs="宋体"/>
          <w:color w:val="auto"/>
          <w:sz w:val="24"/>
          <w:szCs w:val="24"/>
          <w:highlight w:val="none"/>
        </w:rPr>
      </w:pPr>
    </w:p>
    <w:p w14:paraId="502CE3BE">
      <w:pPr>
        <w:spacing w:before="78" w:line="220" w:lineRule="auto"/>
        <w:ind w:left="5165"/>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项目技术负责人</w:t>
      </w:r>
      <w:r>
        <w:rPr>
          <w:rFonts w:hint="eastAsia" w:ascii="宋体" w:hAnsi="宋体" w:eastAsia="宋体" w:cs="宋体"/>
          <w:color w:val="auto"/>
          <w:spacing w:val="-18"/>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2"/>
          <w:sz w:val="24"/>
          <w:szCs w:val="24"/>
          <w:highlight w:val="none"/>
        </w:rPr>
        <w:t>签字）</w:t>
      </w:r>
    </w:p>
    <w:p w14:paraId="4A98DCFD">
      <w:pPr>
        <w:pStyle w:val="6"/>
        <w:spacing w:line="256" w:lineRule="auto"/>
        <w:jc w:val="right"/>
        <w:rPr>
          <w:rFonts w:hint="eastAsia" w:ascii="宋体" w:hAnsi="宋体" w:eastAsia="宋体" w:cs="宋体"/>
          <w:color w:val="auto"/>
          <w:sz w:val="24"/>
          <w:szCs w:val="24"/>
          <w:highlight w:val="none"/>
        </w:rPr>
      </w:pPr>
    </w:p>
    <w:p w14:paraId="5D66CCAB">
      <w:pPr>
        <w:pStyle w:val="6"/>
        <w:spacing w:line="257" w:lineRule="auto"/>
        <w:jc w:val="right"/>
        <w:rPr>
          <w:rFonts w:hint="eastAsia" w:ascii="宋体" w:hAnsi="宋体" w:eastAsia="宋体" w:cs="宋体"/>
          <w:color w:val="auto"/>
          <w:sz w:val="24"/>
          <w:szCs w:val="24"/>
          <w:highlight w:val="none"/>
        </w:rPr>
      </w:pPr>
    </w:p>
    <w:p w14:paraId="774C3229">
      <w:pPr>
        <w:pStyle w:val="6"/>
        <w:spacing w:line="254" w:lineRule="auto"/>
        <w:jc w:val="right"/>
        <w:rPr>
          <w:rFonts w:hint="eastAsia" w:ascii="宋体" w:hAnsi="宋体" w:eastAsia="宋体" w:cs="宋体"/>
          <w:color w:val="auto"/>
          <w:highlight w:val="none"/>
        </w:rPr>
      </w:pP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74D04C94">
      <w:pPr>
        <w:spacing w:before="65" w:line="228" w:lineRule="auto"/>
        <w:ind w:left="47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说明：《项目技术负责人简历表》后应附拟派项目技术负责人以下资料：</w:t>
      </w:r>
    </w:p>
    <w:p w14:paraId="00FF6588">
      <w:pPr>
        <w:spacing w:before="155" w:line="228" w:lineRule="auto"/>
        <w:ind w:left="484"/>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3"/>
          <w:sz w:val="24"/>
          <w:szCs w:val="24"/>
          <w:highlight w:val="none"/>
        </w:rPr>
        <w:t>．身份证彩色扫描件；</w:t>
      </w:r>
    </w:p>
    <w:p w14:paraId="06698B75">
      <w:pPr>
        <w:spacing w:before="151" w:line="228" w:lineRule="auto"/>
        <w:ind w:left="464"/>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2</w:t>
      </w:r>
      <w:r>
        <w:rPr>
          <w:rFonts w:hint="eastAsia" w:ascii="宋体" w:hAnsi="宋体" w:eastAsia="宋体" w:cs="宋体"/>
          <w:color w:val="auto"/>
          <w:spacing w:val="-16"/>
          <w:sz w:val="24"/>
          <w:szCs w:val="24"/>
          <w:highlight w:val="none"/>
        </w:rPr>
        <w:t xml:space="preserve"> </w:t>
      </w:r>
      <w:r>
        <w:rPr>
          <w:rFonts w:hint="eastAsia" w:ascii="宋体" w:hAnsi="宋体" w:eastAsia="宋体" w:cs="宋体"/>
          <w:color w:val="auto"/>
          <w:spacing w:val="5"/>
          <w:sz w:val="24"/>
          <w:szCs w:val="24"/>
          <w:highlight w:val="none"/>
        </w:rPr>
        <w:t>．职称证彩色扫描件；</w:t>
      </w:r>
    </w:p>
    <w:p w14:paraId="193BA85D">
      <w:pPr>
        <w:spacing w:before="153" w:line="299" w:lineRule="auto"/>
        <w:ind w:left="47" w:right="95" w:firstLine="42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3</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8"/>
          <w:sz w:val="24"/>
          <w:szCs w:val="24"/>
          <w:highlight w:val="none"/>
        </w:rPr>
        <w:t>．在本单位缴纳社保的证明（</w:t>
      </w:r>
      <w:r>
        <w:rPr>
          <w:rFonts w:hint="eastAsia" w:ascii="宋体" w:hAnsi="宋体" w:eastAsia="宋体" w:cs="宋体"/>
          <w:color w:val="auto"/>
          <w:sz w:val="24"/>
          <w:szCs w:val="24"/>
          <w:highlight w:val="none"/>
          <w:lang w:eastAsia="zh-CN"/>
        </w:rPr>
        <w:t>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w:t>
      </w:r>
      <w:r>
        <w:rPr>
          <w:rFonts w:hint="eastAsia" w:ascii="宋体" w:hAnsi="宋体" w:eastAsia="宋体" w:cs="宋体"/>
          <w:color w:val="auto"/>
          <w:spacing w:val="8"/>
          <w:sz w:val="24"/>
          <w:szCs w:val="24"/>
          <w:highlight w:val="none"/>
        </w:rPr>
        <w:t>，其中必须有</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z w:val="24"/>
          <w:szCs w:val="24"/>
          <w:highlight w:val="none"/>
          <w:lang w:eastAsia="zh-CN"/>
        </w:rPr>
        <w:t>20</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pacing w:val="8"/>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pacing w:val="8"/>
          <w:sz w:val="24"/>
          <w:szCs w:val="24"/>
          <w:highlight w:val="none"/>
        </w:rPr>
        <w:t>）彩色扫描件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00EC7063">
      <w:pPr>
        <w:spacing w:before="153" w:line="228" w:lineRule="auto"/>
        <w:ind w:left="463"/>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22"/>
          <w:sz w:val="24"/>
          <w:szCs w:val="24"/>
          <w:highlight w:val="none"/>
        </w:rPr>
        <w:t xml:space="preserve"> </w:t>
      </w:r>
      <w:r>
        <w:rPr>
          <w:rFonts w:hint="eastAsia" w:ascii="宋体" w:hAnsi="宋体" w:eastAsia="宋体" w:cs="宋体"/>
          <w:color w:val="auto"/>
          <w:spacing w:val="8"/>
          <w:sz w:val="24"/>
          <w:szCs w:val="24"/>
          <w:highlight w:val="none"/>
        </w:rPr>
        <w:t>．“进粤企业和人员诚信信息登记平台</w:t>
      </w:r>
      <w:r>
        <w:rPr>
          <w:rFonts w:hint="eastAsia" w:ascii="宋体" w:hAnsi="宋体" w:eastAsia="宋体" w:cs="宋体"/>
          <w:color w:val="auto"/>
          <w:spacing w:val="-70"/>
          <w:sz w:val="24"/>
          <w:szCs w:val="24"/>
          <w:highlight w:val="none"/>
        </w:rPr>
        <w:t xml:space="preserve"> </w:t>
      </w:r>
      <w:r>
        <w:rPr>
          <w:rFonts w:hint="eastAsia" w:ascii="宋体" w:hAnsi="宋体" w:eastAsia="宋体" w:cs="宋体"/>
          <w:color w:val="auto"/>
          <w:spacing w:val="8"/>
          <w:sz w:val="24"/>
          <w:szCs w:val="24"/>
          <w:highlight w:val="none"/>
        </w:rPr>
        <w:t>”个人信息情况截图。（适用于省外建筑企业）</w:t>
      </w:r>
    </w:p>
    <w:p w14:paraId="7A6F11C1">
      <w:pPr>
        <w:spacing w:line="228" w:lineRule="auto"/>
        <w:rPr>
          <w:rFonts w:hint="eastAsia" w:ascii="宋体" w:hAnsi="宋体" w:eastAsia="宋体" w:cs="宋体"/>
          <w:color w:val="auto"/>
          <w:sz w:val="20"/>
          <w:szCs w:val="20"/>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30E6C25C">
      <w:pPr>
        <w:spacing w:before="78" w:line="220" w:lineRule="auto"/>
        <w:outlineLvl w:val="2"/>
        <w:rPr>
          <w:rFonts w:hint="eastAsia" w:ascii="宋体" w:hAnsi="宋体" w:eastAsia="宋体" w:cs="宋体"/>
          <w:b/>
          <w:bCs/>
          <w:color w:val="auto"/>
          <w:spacing w:val="-4"/>
          <w:sz w:val="24"/>
          <w:szCs w:val="24"/>
          <w:highlight w:val="none"/>
        </w:rPr>
      </w:pPr>
      <w:bookmarkStart w:id="260" w:name="_Toc25235"/>
      <w:r>
        <w:rPr>
          <w:rFonts w:hint="eastAsia" w:ascii="宋体" w:hAnsi="宋体" w:eastAsia="宋体" w:cs="宋体"/>
          <w:b/>
          <w:bCs/>
          <w:color w:val="auto"/>
          <w:spacing w:val="-4"/>
          <w:sz w:val="24"/>
          <w:szCs w:val="24"/>
          <w:highlight w:val="none"/>
        </w:rPr>
        <w:t>格式十一 项目管理机构组成表</w:t>
      </w:r>
      <w:bookmarkEnd w:id="260"/>
    </w:p>
    <w:p w14:paraId="2EC5C59E">
      <w:pPr>
        <w:pStyle w:val="6"/>
        <w:spacing w:line="351" w:lineRule="auto"/>
        <w:rPr>
          <w:rFonts w:hint="eastAsia" w:ascii="宋体" w:hAnsi="宋体" w:eastAsia="宋体" w:cs="宋体"/>
          <w:color w:val="auto"/>
          <w:highlight w:val="none"/>
        </w:rPr>
      </w:pPr>
    </w:p>
    <w:p w14:paraId="0156357D">
      <w:pPr>
        <w:pStyle w:val="6"/>
        <w:spacing w:line="351" w:lineRule="auto"/>
        <w:rPr>
          <w:rFonts w:hint="eastAsia" w:ascii="宋体" w:hAnsi="宋体" w:eastAsia="宋体" w:cs="宋体"/>
          <w:color w:val="auto"/>
          <w:highlight w:val="none"/>
        </w:rPr>
      </w:pPr>
    </w:p>
    <w:p w14:paraId="7B0876F5">
      <w:pPr>
        <w:spacing w:before="97" w:line="219" w:lineRule="auto"/>
        <w:ind w:left="3200"/>
        <w:outlineLvl w:val="9"/>
        <w:rPr>
          <w:rFonts w:hint="eastAsia" w:ascii="宋体" w:hAnsi="宋体" w:eastAsia="宋体" w:cs="宋体"/>
          <w:color w:val="auto"/>
          <w:sz w:val="30"/>
          <w:szCs w:val="30"/>
          <w:highlight w:val="none"/>
        </w:rPr>
      </w:pPr>
      <w:bookmarkStart w:id="261" w:name="bookmark158"/>
      <w:bookmarkEnd w:id="261"/>
      <w:bookmarkStart w:id="262" w:name="_Toc19973"/>
      <w:bookmarkStart w:id="263" w:name="_Toc28765"/>
      <w:r>
        <w:rPr>
          <w:rFonts w:hint="eastAsia" w:ascii="宋体" w:hAnsi="宋体" w:eastAsia="宋体" w:cs="宋体"/>
          <w:b/>
          <w:bCs/>
          <w:color w:val="auto"/>
          <w:spacing w:val="-4"/>
          <w:sz w:val="30"/>
          <w:szCs w:val="30"/>
          <w:highlight w:val="none"/>
        </w:rPr>
        <w:t>项目管理机构组成表</w:t>
      </w:r>
      <w:bookmarkEnd w:id="262"/>
      <w:bookmarkEnd w:id="263"/>
    </w:p>
    <w:p w14:paraId="639C8DF8">
      <w:pPr>
        <w:spacing w:before="7"/>
        <w:rPr>
          <w:rFonts w:hint="eastAsia" w:ascii="宋体" w:hAnsi="宋体" w:eastAsia="宋体" w:cs="宋体"/>
          <w:color w:val="auto"/>
          <w:highlight w:val="none"/>
        </w:rPr>
      </w:pPr>
    </w:p>
    <w:tbl>
      <w:tblPr>
        <w:tblStyle w:val="15"/>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73D8C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top"/>
          </w:tcPr>
          <w:p w14:paraId="583861F6">
            <w:pPr>
              <w:spacing w:before="229" w:line="231" w:lineRule="auto"/>
              <w:ind w:left="90"/>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序号</w:t>
            </w:r>
          </w:p>
        </w:tc>
        <w:tc>
          <w:tcPr>
            <w:tcW w:w="1939" w:type="dxa"/>
            <w:vAlign w:val="top"/>
          </w:tcPr>
          <w:p w14:paraId="2BF4C40B">
            <w:pPr>
              <w:spacing w:before="228" w:line="231" w:lineRule="auto"/>
              <w:ind w:left="707"/>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岗位</w:t>
            </w:r>
          </w:p>
        </w:tc>
        <w:tc>
          <w:tcPr>
            <w:tcW w:w="1567" w:type="dxa"/>
            <w:vAlign w:val="top"/>
          </w:tcPr>
          <w:p w14:paraId="587B57EE">
            <w:pPr>
              <w:spacing w:before="228" w:line="231" w:lineRule="auto"/>
              <w:ind w:left="52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姓名</w:t>
            </w:r>
          </w:p>
        </w:tc>
        <w:tc>
          <w:tcPr>
            <w:tcW w:w="1017" w:type="dxa"/>
            <w:vAlign w:val="top"/>
          </w:tcPr>
          <w:p w14:paraId="77114614">
            <w:pPr>
              <w:spacing w:before="228" w:line="230" w:lineRule="auto"/>
              <w:ind w:left="268"/>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性别</w:t>
            </w:r>
          </w:p>
        </w:tc>
        <w:tc>
          <w:tcPr>
            <w:tcW w:w="1002" w:type="dxa"/>
            <w:vAlign w:val="top"/>
          </w:tcPr>
          <w:p w14:paraId="780575A7">
            <w:pPr>
              <w:spacing w:before="229" w:line="231" w:lineRule="auto"/>
              <w:ind w:left="261"/>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年龄</w:t>
            </w:r>
          </w:p>
        </w:tc>
        <w:tc>
          <w:tcPr>
            <w:tcW w:w="1551" w:type="dxa"/>
            <w:vAlign w:val="top"/>
          </w:tcPr>
          <w:p w14:paraId="53F5271E">
            <w:pPr>
              <w:spacing w:before="228" w:line="230" w:lineRule="auto"/>
              <w:ind w:left="516"/>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职称</w:t>
            </w:r>
          </w:p>
        </w:tc>
        <w:tc>
          <w:tcPr>
            <w:tcW w:w="1926" w:type="dxa"/>
            <w:vAlign w:val="top"/>
          </w:tcPr>
          <w:p w14:paraId="21D55D65">
            <w:pPr>
              <w:spacing w:before="228" w:line="230" w:lineRule="auto"/>
              <w:ind w:left="687"/>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备注</w:t>
            </w:r>
          </w:p>
        </w:tc>
      </w:tr>
      <w:tr w14:paraId="3CBB8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3B6E77B8">
            <w:pPr>
              <w:spacing w:before="185" w:line="195" w:lineRule="auto"/>
              <w:ind w:left="26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39" w:type="dxa"/>
            <w:vAlign w:val="top"/>
          </w:tcPr>
          <w:p w14:paraId="13CFEC27">
            <w:pPr>
              <w:spacing w:before="150" w:line="229" w:lineRule="auto"/>
              <w:ind w:left="486"/>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项目经理</w:t>
            </w:r>
          </w:p>
        </w:tc>
        <w:tc>
          <w:tcPr>
            <w:tcW w:w="1567" w:type="dxa"/>
            <w:vAlign w:val="top"/>
          </w:tcPr>
          <w:p w14:paraId="6337F935">
            <w:pPr>
              <w:pStyle w:val="22"/>
              <w:rPr>
                <w:rFonts w:hint="eastAsia" w:ascii="宋体" w:hAnsi="宋体" w:eastAsia="宋体" w:cs="宋体"/>
                <w:color w:val="auto"/>
                <w:sz w:val="24"/>
                <w:szCs w:val="24"/>
                <w:highlight w:val="none"/>
              </w:rPr>
            </w:pPr>
          </w:p>
        </w:tc>
        <w:tc>
          <w:tcPr>
            <w:tcW w:w="1017" w:type="dxa"/>
            <w:vAlign w:val="top"/>
          </w:tcPr>
          <w:p w14:paraId="215B5DE9">
            <w:pPr>
              <w:pStyle w:val="22"/>
              <w:rPr>
                <w:rFonts w:hint="eastAsia" w:ascii="宋体" w:hAnsi="宋体" w:eastAsia="宋体" w:cs="宋体"/>
                <w:color w:val="auto"/>
                <w:sz w:val="24"/>
                <w:szCs w:val="24"/>
                <w:highlight w:val="none"/>
              </w:rPr>
            </w:pPr>
          </w:p>
        </w:tc>
        <w:tc>
          <w:tcPr>
            <w:tcW w:w="1002" w:type="dxa"/>
            <w:vAlign w:val="top"/>
          </w:tcPr>
          <w:p w14:paraId="386DD35A">
            <w:pPr>
              <w:pStyle w:val="22"/>
              <w:rPr>
                <w:rFonts w:hint="eastAsia" w:ascii="宋体" w:hAnsi="宋体" w:eastAsia="宋体" w:cs="宋体"/>
                <w:color w:val="auto"/>
                <w:sz w:val="24"/>
                <w:szCs w:val="24"/>
                <w:highlight w:val="none"/>
              </w:rPr>
            </w:pPr>
          </w:p>
        </w:tc>
        <w:tc>
          <w:tcPr>
            <w:tcW w:w="1551" w:type="dxa"/>
            <w:vAlign w:val="top"/>
          </w:tcPr>
          <w:p w14:paraId="4C5E1A1C">
            <w:pPr>
              <w:pStyle w:val="22"/>
              <w:rPr>
                <w:rFonts w:hint="eastAsia" w:ascii="宋体" w:hAnsi="宋体" w:eastAsia="宋体" w:cs="宋体"/>
                <w:color w:val="auto"/>
                <w:sz w:val="24"/>
                <w:szCs w:val="24"/>
                <w:highlight w:val="none"/>
              </w:rPr>
            </w:pPr>
          </w:p>
        </w:tc>
        <w:tc>
          <w:tcPr>
            <w:tcW w:w="1926" w:type="dxa"/>
            <w:vAlign w:val="top"/>
          </w:tcPr>
          <w:p w14:paraId="16BC8A53">
            <w:pPr>
              <w:pStyle w:val="22"/>
              <w:rPr>
                <w:rFonts w:hint="eastAsia" w:ascii="宋体" w:hAnsi="宋体" w:eastAsia="宋体" w:cs="宋体"/>
                <w:color w:val="auto"/>
                <w:sz w:val="24"/>
                <w:szCs w:val="24"/>
                <w:highlight w:val="none"/>
              </w:rPr>
            </w:pPr>
          </w:p>
        </w:tc>
      </w:tr>
      <w:tr w14:paraId="3A605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top"/>
          </w:tcPr>
          <w:p w14:paraId="3820C0AB">
            <w:pPr>
              <w:spacing w:before="187" w:line="195" w:lineRule="auto"/>
              <w:ind w:left="24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39" w:type="dxa"/>
            <w:vAlign w:val="top"/>
          </w:tcPr>
          <w:p w14:paraId="3D7EFEAE">
            <w:pPr>
              <w:spacing w:before="152" w:line="22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项目技术负责人</w:t>
            </w:r>
          </w:p>
        </w:tc>
        <w:tc>
          <w:tcPr>
            <w:tcW w:w="1567" w:type="dxa"/>
            <w:vAlign w:val="top"/>
          </w:tcPr>
          <w:p w14:paraId="3E2C0AAF">
            <w:pPr>
              <w:pStyle w:val="22"/>
              <w:rPr>
                <w:rFonts w:hint="eastAsia" w:ascii="宋体" w:hAnsi="宋体" w:eastAsia="宋体" w:cs="宋体"/>
                <w:color w:val="auto"/>
                <w:sz w:val="24"/>
                <w:szCs w:val="24"/>
                <w:highlight w:val="none"/>
              </w:rPr>
            </w:pPr>
          </w:p>
        </w:tc>
        <w:tc>
          <w:tcPr>
            <w:tcW w:w="1017" w:type="dxa"/>
            <w:vAlign w:val="top"/>
          </w:tcPr>
          <w:p w14:paraId="1E67812B">
            <w:pPr>
              <w:pStyle w:val="22"/>
              <w:rPr>
                <w:rFonts w:hint="eastAsia" w:ascii="宋体" w:hAnsi="宋体" w:eastAsia="宋体" w:cs="宋体"/>
                <w:color w:val="auto"/>
                <w:sz w:val="24"/>
                <w:szCs w:val="24"/>
                <w:highlight w:val="none"/>
              </w:rPr>
            </w:pPr>
          </w:p>
        </w:tc>
        <w:tc>
          <w:tcPr>
            <w:tcW w:w="1002" w:type="dxa"/>
            <w:vAlign w:val="top"/>
          </w:tcPr>
          <w:p w14:paraId="26A91E61">
            <w:pPr>
              <w:pStyle w:val="22"/>
              <w:rPr>
                <w:rFonts w:hint="eastAsia" w:ascii="宋体" w:hAnsi="宋体" w:eastAsia="宋体" w:cs="宋体"/>
                <w:color w:val="auto"/>
                <w:sz w:val="24"/>
                <w:szCs w:val="24"/>
                <w:highlight w:val="none"/>
              </w:rPr>
            </w:pPr>
          </w:p>
        </w:tc>
        <w:tc>
          <w:tcPr>
            <w:tcW w:w="1551" w:type="dxa"/>
            <w:vAlign w:val="top"/>
          </w:tcPr>
          <w:p w14:paraId="6BEE9151">
            <w:pPr>
              <w:pStyle w:val="22"/>
              <w:rPr>
                <w:rFonts w:hint="eastAsia" w:ascii="宋体" w:hAnsi="宋体" w:eastAsia="宋体" w:cs="宋体"/>
                <w:color w:val="auto"/>
                <w:sz w:val="24"/>
                <w:szCs w:val="24"/>
                <w:highlight w:val="none"/>
              </w:rPr>
            </w:pPr>
          </w:p>
        </w:tc>
        <w:tc>
          <w:tcPr>
            <w:tcW w:w="1926" w:type="dxa"/>
            <w:vAlign w:val="top"/>
          </w:tcPr>
          <w:p w14:paraId="5EE9AF99">
            <w:pPr>
              <w:pStyle w:val="22"/>
              <w:rPr>
                <w:rFonts w:hint="eastAsia" w:ascii="宋体" w:hAnsi="宋体" w:eastAsia="宋体" w:cs="宋体"/>
                <w:color w:val="auto"/>
                <w:sz w:val="24"/>
                <w:szCs w:val="24"/>
                <w:highlight w:val="none"/>
              </w:rPr>
            </w:pPr>
          </w:p>
        </w:tc>
      </w:tr>
      <w:tr w14:paraId="7376C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5F91FDBD">
            <w:pPr>
              <w:spacing w:before="189" w:line="195" w:lineRule="auto"/>
              <w:ind w:left="24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939" w:type="dxa"/>
            <w:vAlign w:val="center"/>
          </w:tcPr>
          <w:p w14:paraId="2D2019FB">
            <w:pPr>
              <w:spacing w:before="153" w:line="229" w:lineRule="auto"/>
              <w:ind w:left="378"/>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专职安全员</w:t>
            </w:r>
          </w:p>
        </w:tc>
        <w:tc>
          <w:tcPr>
            <w:tcW w:w="1567" w:type="dxa"/>
            <w:vAlign w:val="top"/>
          </w:tcPr>
          <w:p w14:paraId="54F777D2">
            <w:pPr>
              <w:pStyle w:val="22"/>
              <w:rPr>
                <w:rFonts w:hint="eastAsia" w:ascii="宋体" w:hAnsi="宋体" w:eastAsia="宋体" w:cs="宋体"/>
                <w:color w:val="auto"/>
                <w:sz w:val="24"/>
                <w:szCs w:val="24"/>
                <w:highlight w:val="none"/>
              </w:rPr>
            </w:pPr>
          </w:p>
        </w:tc>
        <w:tc>
          <w:tcPr>
            <w:tcW w:w="1017" w:type="dxa"/>
            <w:vAlign w:val="top"/>
          </w:tcPr>
          <w:p w14:paraId="1030E0E6">
            <w:pPr>
              <w:pStyle w:val="22"/>
              <w:rPr>
                <w:rFonts w:hint="eastAsia" w:ascii="宋体" w:hAnsi="宋体" w:eastAsia="宋体" w:cs="宋体"/>
                <w:color w:val="auto"/>
                <w:sz w:val="24"/>
                <w:szCs w:val="24"/>
                <w:highlight w:val="none"/>
              </w:rPr>
            </w:pPr>
          </w:p>
        </w:tc>
        <w:tc>
          <w:tcPr>
            <w:tcW w:w="1002" w:type="dxa"/>
            <w:vAlign w:val="top"/>
          </w:tcPr>
          <w:p w14:paraId="3463FE6D">
            <w:pPr>
              <w:pStyle w:val="22"/>
              <w:rPr>
                <w:rFonts w:hint="eastAsia" w:ascii="宋体" w:hAnsi="宋体" w:eastAsia="宋体" w:cs="宋体"/>
                <w:color w:val="auto"/>
                <w:sz w:val="24"/>
                <w:szCs w:val="24"/>
                <w:highlight w:val="none"/>
              </w:rPr>
            </w:pPr>
          </w:p>
        </w:tc>
        <w:tc>
          <w:tcPr>
            <w:tcW w:w="1551" w:type="dxa"/>
            <w:vAlign w:val="top"/>
          </w:tcPr>
          <w:p w14:paraId="521B8CC1">
            <w:pPr>
              <w:pStyle w:val="22"/>
              <w:rPr>
                <w:rFonts w:hint="eastAsia" w:ascii="宋体" w:hAnsi="宋体" w:eastAsia="宋体" w:cs="宋体"/>
                <w:color w:val="auto"/>
                <w:sz w:val="24"/>
                <w:szCs w:val="24"/>
                <w:highlight w:val="none"/>
              </w:rPr>
            </w:pPr>
          </w:p>
        </w:tc>
        <w:tc>
          <w:tcPr>
            <w:tcW w:w="1926" w:type="dxa"/>
            <w:vAlign w:val="top"/>
          </w:tcPr>
          <w:p w14:paraId="2FCE3AF2">
            <w:pPr>
              <w:pStyle w:val="22"/>
              <w:rPr>
                <w:rFonts w:hint="eastAsia" w:ascii="宋体" w:hAnsi="宋体" w:eastAsia="宋体" w:cs="宋体"/>
                <w:color w:val="auto"/>
                <w:sz w:val="24"/>
                <w:szCs w:val="24"/>
                <w:highlight w:val="none"/>
              </w:rPr>
            </w:pPr>
          </w:p>
        </w:tc>
      </w:tr>
      <w:tr w14:paraId="41584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top"/>
          </w:tcPr>
          <w:p w14:paraId="44F56C77">
            <w:pPr>
              <w:spacing w:before="188" w:line="195" w:lineRule="auto"/>
              <w:ind w:left="24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4</w:t>
            </w:r>
          </w:p>
        </w:tc>
        <w:tc>
          <w:tcPr>
            <w:tcW w:w="1939" w:type="dxa"/>
            <w:vAlign w:val="top"/>
          </w:tcPr>
          <w:p w14:paraId="325320BA">
            <w:pPr>
              <w:spacing w:before="152" w:line="230" w:lineRule="auto"/>
              <w:ind w:left="588"/>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施工员</w:t>
            </w:r>
          </w:p>
        </w:tc>
        <w:tc>
          <w:tcPr>
            <w:tcW w:w="1567" w:type="dxa"/>
            <w:vAlign w:val="top"/>
          </w:tcPr>
          <w:p w14:paraId="5002FEB2">
            <w:pPr>
              <w:pStyle w:val="22"/>
              <w:rPr>
                <w:rFonts w:hint="eastAsia" w:ascii="宋体" w:hAnsi="宋体" w:eastAsia="宋体" w:cs="宋体"/>
                <w:color w:val="auto"/>
                <w:sz w:val="24"/>
                <w:szCs w:val="24"/>
                <w:highlight w:val="none"/>
              </w:rPr>
            </w:pPr>
          </w:p>
        </w:tc>
        <w:tc>
          <w:tcPr>
            <w:tcW w:w="1017" w:type="dxa"/>
            <w:vAlign w:val="top"/>
          </w:tcPr>
          <w:p w14:paraId="4508121F">
            <w:pPr>
              <w:pStyle w:val="22"/>
              <w:rPr>
                <w:rFonts w:hint="eastAsia" w:ascii="宋体" w:hAnsi="宋体" w:eastAsia="宋体" w:cs="宋体"/>
                <w:color w:val="auto"/>
                <w:sz w:val="24"/>
                <w:szCs w:val="24"/>
                <w:highlight w:val="none"/>
              </w:rPr>
            </w:pPr>
          </w:p>
        </w:tc>
        <w:tc>
          <w:tcPr>
            <w:tcW w:w="1002" w:type="dxa"/>
            <w:vAlign w:val="top"/>
          </w:tcPr>
          <w:p w14:paraId="2DC0E2D3">
            <w:pPr>
              <w:pStyle w:val="22"/>
              <w:rPr>
                <w:rFonts w:hint="eastAsia" w:ascii="宋体" w:hAnsi="宋体" w:eastAsia="宋体" w:cs="宋体"/>
                <w:color w:val="auto"/>
                <w:sz w:val="24"/>
                <w:szCs w:val="24"/>
                <w:highlight w:val="none"/>
              </w:rPr>
            </w:pPr>
          </w:p>
        </w:tc>
        <w:tc>
          <w:tcPr>
            <w:tcW w:w="1551" w:type="dxa"/>
            <w:vAlign w:val="top"/>
          </w:tcPr>
          <w:p w14:paraId="2D99A1F3">
            <w:pPr>
              <w:pStyle w:val="22"/>
              <w:rPr>
                <w:rFonts w:hint="eastAsia" w:ascii="宋体" w:hAnsi="宋体" w:eastAsia="宋体" w:cs="宋体"/>
                <w:color w:val="auto"/>
                <w:sz w:val="24"/>
                <w:szCs w:val="24"/>
                <w:highlight w:val="none"/>
              </w:rPr>
            </w:pPr>
          </w:p>
        </w:tc>
        <w:tc>
          <w:tcPr>
            <w:tcW w:w="1926" w:type="dxa"/>
            <w:vAlign w:val="top"/>
          </w:tcPr>
          <w:p w14:paraId="71DCF47A">
            <w:pPr>
              <w:pStyle w:val="22"/>
              <w:rPr>
                <w:rFonts w:hint="eastAsia" w:ascii="宋体" w:hAnsi="宋体" w:eastAsia="宋体" w:cs="宋体"/>
                <w:color w:val="auto"/>
                <w:sz w:val="24"/>
                <w:szCs w:val="24"/>
                <w:highlight w:val="none"/>
              </w:rPr>
            </w:pPr>
          </w:p>
        </w:tc>
      </w:tr>
      <w:tr w14:paraId="0D539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257C7341">
            <w:pPr>
              <w:spacing w:before="193" w:line="192" w:lineRule="auto"/>
              <w:ind w:left="24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39" w:type="dxa"/>
            <w:vAlign w:val="top"/>
          </w:tcPr>
          <w:p w14:paraId="2D145259">
            <w:pPr>
              <w:spacing w:before="154" w:line="229"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质量员</w:t>
            </w:r>
          </w:p>
        </w:tc>
        <w:tc>
          <w:tcPr>
            <w:tcW w:w="1567" w:type="dxa"/>
            <w:vAlign w:val="top"/>
          </w:tcPr>
          <w:p w14:paraId="7C414A00">
            <w:pPr>
              <w:pStyle w:val="22"/>
              <w:rPr>
                <w:rFonts w:hint="eastAsia" w:ascii="宋体" w:hAnsi="宋体" w:eastAsia="宋体" w:cs="宋体"/>
                <w:color w:val="auto"/>
                <w:sz w:val="24"/>
                <w:szCs w:val="24"/>
                <w:highlight w:val="none"/>
              </w:rPr>
            </w:pPr>
          </w:p>
        </w:tc>
        <w:tc>
          <w:tcPr>
            <w:tcW w:w="1017" w:type="dxa"/>
            <w:vAlign w:val="top"/>
          </w:tcPr>
          <w:p w14:paraId="0A047E98">
            <w:pPr>
              <w:pStyle w:val="22"/>
              <w:rPr>
                <w:rFonts w:hint="eastAsia" w:ascii="宋体" w:hAnsi="宋体" w:eastAsia="宋体" w:cs="宋体"/>
                <w:color w:val="auto"/>
                <w:sz w:val="24"/>
                <w:szCs w:val="24"/>
                <w:highlight w:val="none"/>
              </w:rPr>
            </w:pPr>
          </w:p>
        </w:tc>
        <w:tc>
          <w:tcPr>
            <w:tcW w:w="1002" w:type="dxa"/>
            <w:vAlign w:val="top"/>
          </w:tcPr>
          <w:p w14:paraId="01946ADC">
            <w:pPr>
              <w:pStyle w:val="22"/>
              <w:rPr>
                <w:rFonts w:hint="eastAsia" w:ascii="宋体" w:hAnsi="宋体" w:eastAsia="宋体" w:cs="宋体"/>
                <w:color w:val="auto"/>
                <w:sz w:val="24"/>
                <w:szCs w:val="24"/>
                <w:highlight w:val="none"/>
              </w:rPr>
            </w:pPr>
          </w:p>
        </w:tc>
        <w:tc>
          <w:tcPr>
            <w:tcW w:w="1551" w:type="dxa"/>
            <w:vAlign w:val="top"/>
          </w:tcPr>
          <w:p w14:paraId="10FAFF09">
            <w:pPr>
              <w:pStyle w:val="22"/>
              <w:rPr>
                <w:rFonts w:hint="eastAsia" w:ascii="宋体" w:hAnsi="宋体" w:eastAsia="宋体" w:cs="宋体"/>
                <w:color w:val="auto"/>
                <w:sz w:val="24"/>
                <w:szCs w:val="24"/>
                <w:highlight w:val="none"/>
              </w:rPr>
            </w:pPr>
          </w:p>
        </w:tc>
        <w:tc>
          <w:tcPr>
            <w:tcW w:w="1926" w:type="dxa"/>
            <w:vAlign w:val="top"/>
          </w:tcPr>
          <w:p w14:paraId="2CAFD4ED">
            <w:pPr>
              <w:pStyle w:val="22"/>
              <w:rPr>
                <w:rFonts w:hint="eastAsia" w:ascii="宋体" w:hAnsi="宋体" w:eastAsia="宋体" w:cs="宋体"/>
                <w:color w:val="auto"/>
                <w:sz w:val="24"/>
                <w:szCs w:val="24"/>
                <w:highlight w:val="none"/>
              </w:rPr>
            </w:pPr>
          </w:p>
        </w:tc>
      </w:tr>
      <w:tr w14:paraId="0B0E1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60C985D6">
            <w:pPr>
              <w:spacing w:before="191" w:line="195" w:lineRule="auto"/>
              <w:ind w:left="2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39" w:type="dxa"/>
            <w:vAlign w:val="top"/>
          </w:tcPr>
          <w:p w14:paraId="2B0AD8AD">
            <w:pPr>
              <w:spacing w:before="155" w:line="228" w:lineRule="auto"/>
              <w:ind w:left="589"/>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材料员</w:t>
            </w:r>
          </w:p>
        </w:tc>
        <w:tc>
          <w:tcPr>
            <w:tcW w:w="1567" w:type="dxa"/>
            <w:vAlign w:val="top"/>
          </w:tcPr>
          <w:p w14:paraId="30FD5B99">
            <w:pPr>
              <w:pStyle w:val="22"/>
              <w:rPr>
                <w:rFonts w:hint="eastAsia" w:ascii="宋体" w:hAnsi="宋体" w:eastAsia="宋体" w:cs="宋体"/>
                <w:color w:val="auto"/>
                <w:sz w:val="24"/>
                <w:szCs w:val="24"/>
                <w:highlight w:val="none"/>
              </w:rPr>
            </w:pPr>
          </w:p>
        </w:tc>
        <w:tc>
          <w:tcPr>
            <w:tcW w:w="1017" w:type="dxa"/>
            <w:vAlign w:val="top"/>
          </w:tcPr>
          <w:p w14:paraId="24920843">
            <w:pPr>
              <w:pStyle w:val="22"/>
              <w:rPr>
                <w:rFonts w:hint="eastAsia" w:ascii="宋体" w:hAnsi="宋体" w:eastAsia="宋体" w:cs="宋体"/>
                <w:color w:val="auto"/>
                <w:sz w:val="24"/>
                <w:szCs w:val="24"/>
                <w:highlight w:val="none"/>
              </w:rPr>
            </w:pPr>
          </w:p>
        </w:tc>
        <w:tc>
          <w:tcPr>
            <w:tcW w:w="1002" w:type="dxa"/>
            <w:vAlign w:val="top"/>
          </w:tcPr>
          <w:p w14:paraId="596EC4C2">
            <w:pPr>
              <w:pStyle w:val="22"/>
              <w:rPr>
                <w:rFonts w:hint="eastAsia" w:ascii="宋体" w:hAnsi="宋体" w:eastAsia="宋体" w:cs="宋体"/>
                <w:color w:val="auto"/>
                <w:sz w:val="24"/>
                <w:szCs w:val="24"/>
                <w:highlight w:val="none"/>
              </w:rPr>
            </w:pPr>
          </w:p>
        </w:tc>
        <w:tc>
          <w:tcPr>
            <w:tcW w:w="1551" w:type="dxa"/>
            <w:vAlign w:val="top"/>
          </w:tcPr>
          <w:p w14:paraId="14255466">
            <w:pPr>
              <w:pStyle w:val="22"/>
              <w:rPr>
                <w:rFonts w:hint="eastAsia" w:ascii="宋体" w:hAnsi="宋体" w:eastAsia="宋体" w:cs="宋体"/>
                <w:color w:val="auto"/>
                <w:sz w:val="24"/>
                <w:szCs w:val="24"/>
                <w:highlight w:val="none"/>
              </w:rPr>
            </w:pPr>
          </w:p>
        </w:tc>
        <w:tc>
          <w:tcPr>
            <w:tcW w:w="1926" w:type="dxa"/>
            <w:vAlign w:val="top"/>
          </w:tcPr>
          <w:p w14:paraId="39BF5C26">
            <w:pPr>
              <w:pStyle w:val="22"/>
              <w:rPr>
                <w:rFonts w:hint="eastAsia" w:ascii="宋体" w:hAnsi="宋体" w:eastAsia="宋体" w:cs="宋体"/>
                <w:color w:val="auto"/>
                <w:sz w:val="24"/>
                <w:szCs w:val="24"/>
                <w:highlight w:val="none"/>
              </w:rPr>
            </w:pPr>
          </w:p>
        </w:tc>
      </w:tr>
      <w:tr w14:paraId="3AB32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top"/>
          </w:tcPr>
          <w:p w14:paraId="261E16D5">
            <w:pPr>
              <w:spacing w:before="192" w:line="192" w:lineRule="auto"/>
              <w:ind w:left="24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39" w:type="dxa"/>
            <w:vAlign w:val="top"/>
          </w:tcPr>
          <w:p w14:paraId="5ABFE278">
            <w:pPr>
              <w:spacing w:before="154" w:line="229" w:lineRule="auto"/>
              <w:ind w:left="59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资料员</w:t>
            </w:r>
          </w:p>
        </w:tc>
        <w:tc>
          <w:tcPr>
            <w:tcW w:w="1567" w:type="dxa"/>
            <w:vAlign w:val="top"/>
          </w:tcPr>
          <w:p w14:paraId="221D5657">
            <w:pPr>
              <w:pStyle w:val="22"/>
              <w:rPr>
                <w:rFonts w:hint="eastAsia" w:ascii="宋体" w:hAnsi="宋体" w:eastAsia="宋体" w:cs="宋体"/>
                <w:color w:val="auto"/>
                <w:sz w:val="24"/>
                <w:szCs w:val="24"/>
                <w:highlight w:val="none"/>
              </w:rPr>
            </w:pPr>
          </w:p>
        </w:tc>
        <w:tc>
          <w:tcPr>
            <w:tcW w:w="1017" w:type="dxa"/>
            <w:vAlign w:val="top"/>
          </w:tcPr>
          <w:p w14:paraId="731B0BB4">
            <w:pPr>
              <w:pStyle w:val="22"/>
              <w:rPr>
                <w:rFonts w:hint="eastAsia" w:ascii="宋体" w:hAnsi="宋体" w:eastAsia="宋体" w:cs="宋体"/>
                <w:color w:val="auto"/>
                <w:sz w:val="24"/>
                <w:szCs w:val="24"/>
                <w:highlight w:val="none"/>
              </w:rPr>
            </w:pPr>
          </w:p>
        </w:tc>
        <w:tc>
          <w:tcPr>
            <w:tcW w:w="1002" w:type="dxa"/>
            <w:vAlign w:val="top"/>
          </w:tcPr>
          <w:p w14:paraId="1CB4F26F">
            <w:pPr>
              <w:pStyle w:val="22"/>
              <w:rPr>
                <w:rFonts w:hint="eastAsia" w:ascii="宋体" w:hAnsi="宋体" w:eastAsia="宋体" w:cs="宋体"/>
                <w:color w:val="auto"/>
                <w:sz w:val="24"/>
                <w:szCs w:val="24"/>
                <w:highlight w:val="none"/>
              </w:rPr>
            </w:pPr>
          </w:p>
        </w:tc>
        <w:tc>
          <w:tcPr>
            <w:tcW w:w="1551" w:type="dxa"/>
            <w:vAlign w:val="top"/>
          </w:tcPr>
          <w:p w14:paraId="62B9287E">
            <w:pPr>
              <w:pStyle w:val="22"/>
              <w:rPr>
                <w:rFonts w:hint="eastAsia" w:ascii="宋体" w:hAnsi="宋体" w:eastAsia="宋体" w:cs="宋体"/>
                <w:color w:val="auto"/>
                <w:sz w:val="24"/>
                <w:szCs w:val="24"/>
                <w:highlight w:val="none"/>
              </w:rPr>
            </w:pPr>
          </w:p>
        </w:tc>
        <w:tc>
          <w:tcPr>
            <w:tcW w:w="1926" w:type="dxa"/>
            <w:vAlign w:val="top"/>
          </w:tcPr>
          <w:p w14:paraId="22A6499B">
            <w:pPr>
              <w:pStyle w:val="22"/>
              <w:rPr>
                <w:rFonts w:hint="eastAsia" w:ascii="宋体" w:hAnsi="宋体" w:eastAsia="宋体" w:cs="宋体"/>
                <w:color w:val="auto"/>
                <w:sz w:val="24"/>
                <w:szCs w:val="24"/>
                <w:highlight w:val="none"/>
              </w:rPr>
            </w:pPr>
          </w:p>
        </w:tc>
      </w:tr>
      <w:tr w14:paraId="4B6AD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top"/>
          </w:tcPr>
          <w:p w14:paraId="1F9DE00F">
            <w:pPr>
              <w:spacing w:before="154" w:line="325" w:lineRule="exact"/>
              <w:ind w:left="104"/>
              <w:rPr>
                <w:rFonts w:hint="eastAsia" w:ascii="宋体" w:hAnsi="宋体" w:eastAsia="宋体" w:cs="宋体"/>
                <w:color w:val="auto"/>
                <w:sz w:val="24"/>
                <w:szCs w:val="24"/>
                <w:highlight w:val="none"/>
              </w:rPr>
            </w:pPr>
            <w:r>
              <w:rPr>
                <w:rFonts w:hint="eastAsia" w:ascii="宋体" w:hAnsi="宋体" w:eastAsia="宋体" w:cs="宋体"/>
                <w:color w:val="auto"/>
                <w:spacing w:val="-2"/>
                <w:position w:val="3"/>
                <w:sz w:val="24"/>
                <w:szCs w:val="24"/>
                <w:highlight w:val="none"/>
              </w:rPr>
              <w:t>……</w:t>
            </w:r>
          </w:p>
        </w:tc>
        <w:tc>
          <w:tcPr>
            <w:tcW w:w="1939" w:type="dxa"/>
            <w:vAlign w:val="top"/>
          </w:tcPr>
          <w:p w14:paraId="75B37302">
            <w:pPr>
              <w:pStyle w:val="22"/>
              <w:rPr>
                <w:rFonts w:hint="eastAsia" w:ascii="宋体" w:hAnsi="宋体" w:eastAsia="宋体" w:cs="宋体"/>
                <w:color w:val="auto"/>
                <w:sz w:val="24"/>
                <w:szCs w:val="24"/>
                <w:highlight w:val="none"/>
              </w:rPr>
            </w:pPr>
          </w:p>
        </w:tc>
        <w:tc>
          <w:tcPr>
            <w:tcW w:w="1567" w:type="dxa"/>
            <w:vAlign w:val="top"/>
          </w:tcPr>
          <w:p w14:paraId="74287E00">
            <w:pPr>
              <w:pStyle w:val="22"/>
              <w:rPr>
                <w:rFonts w:hint="eastAsia" w:ascii="宋体" w:hAnsi="宋体" w:eastAsia="宋体" w:cs="宋体"/>
                <w:color w:val="auto"/>
                <w:sz w:val="24"/>
                <w:szCs w:val="24"/>
                <w:highlight w:val="none"/>
              </w:rPr>
            </w:pPr>
          </w:p>
        </w:tc>
        <w:tc>
          <w:tcPr>
            <w:tcW w:w="1017" w:type="dxa"/>
            <w:vAlign w:val="top"/>
          </w:tcPr>
          <w:p w14:paraId="5804450C">
            <w:pPr>
              <w:pStyle w:val="22"/>
              <w:rPr>
                <w:rFonts w:hint="eastAsia" w:ascii="宋体" w:hAnsi="宋体" w:eastAsia="宋体" w:cs="宋体"/>
                <w:color w:val="auto"/>
                <w:sz w:val="24"/>
                <w:szCs w:val="24"/>
                <w:highlight w:val="none"/>
              </w:rPr>
            </w:pPr>
          </w:p>
        </w:tc>
        <w:tc>
          <w:tcPr>
            <w:tcW w:w="1002" w:type="dxa"/>
            <w:vAlign w:val="top"/>
          </w:tcPr>
          <w:p w14:paraId="7C125147">
            <w:pPr>
              <w:pStyle w:val="22"/>
              <w:rPr>
                <w:rFonts w:hint="eastAsia" w:ascii="宋体" w:hAnsi="宋体" w:eastAsia="宋体" w:cs="宋体"/>
                <w:color w:val="auto"/>
                <w:sz w:val="24"/>
                <w:szCs w:val="24"/>
                <w:highlight w:val="none"/>
              </w:rPr>
            </w:pPr>
          </w:p>
        </w:tc>
        <w:tc>
          <w:tcPr>
            <w:tcW w:w="1551" w:type="dxa"/>
            <w:vAlign w:val="top"/>
          </w:tcPr>
          <w:p w14:paraId="4F54B0AF">
            <w:pPr>
              <w:pStyle w:val="22"/>
              <w:rPr>
                <w:rFonts w:hint="eastAsia" w:ascii="宋体" w:hAnsi="宋体" w:eastAsia="宋体" w:cs="宋体"/>
                <w:color w:val="auto"/>
                <w:sz w:val="24"/>
                <w:szCs w:val="24"/>
                <w:highlight w:val="none"/>
              </w:rPr>
            </w:pPr>
          </w:p>
        </w:tc>
        <w:tc>
          <w:tcPr>
            <w:tcW w:w="1926" w:type="dxa"/>
            <w:vAlign w:val="top"/>
          </w:tcPr>
          <w:p w14:paraId="4FFC9BC0">
            <w:pPr>
              <w:pStyle w:val="22"/>
              <w:rPr>
                <w:rFonts w:hint="eastAsia" w:ascii="宋体" w:hAnsi="宋体" w:eastAsia="宋体" w:cs="宋体"/>
                <w:color w:val="auto"/>
                <w:sz w:val="24"/>
                <w:szCs w:val="24"/>
                <w:highlight w:val="none"/>
              </w:rPr>
            </w:pPr>
          </w:p>
        </w:tc>
      </w:tr>
    </w:tbl>
    <w:p w14:paraId="7732D9E9">
      <w:pPr>
        <w:pStyle w:val="6"/>
        <w:spacing w:line="395" w:lineRule="auto"/>
        <w:rPr>
          <w:rFonts w:hint="eastAsia" w:ascii="宋体" w:hAnsi="宋体" w:eastAsia="宋体" w:cs="宋体"/>
          <w:color w:val="auto"/>
          <w:sz w:val="24"/>
          <w:szCs w:val="24"/>
          <w:highlight w:val="none"/>
        </w:rPr>
      </w:pPr>
    </w:p>
    <w:p w14:paraId="3B1E59B3">
      <w:pPr>
        <w:spacing w:before="65" w:line="228" w:lineRule="auto"/>
        <w:ind w:left="434"/>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说明：</w:t>
      </w:r>
    </w:p>
    <w:p w14:paraId="6AA20B55">
      <w:pPr>
        <w:spacing w:before="153" w:line="228" w:lineRule="auto"/>
        <w:ind w:firstLine="496"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4"/>
          <w:sz w:val="24"/>
          <w:szCs w:val="24"/>
          <w:highlight w:val="none"/>
        </w:rPr>
        <w:t>．《项目管理机构组成表》后应附表中拟派人</w:t>
      </w:r>
      <w:r>
        <w:rPr>
          <w:rFonts w:hint="eastAsia" w:ascii="宋体" w:hAnsi="宋体" w:eastAsia="宋体" w:cs="宋体"/>
          <w:color w:val="auto"/>
          <w:spacing w:val="3"/>
          <w:sz w:val="24"/>
          <w:szCs w:val="24"/>
          <w:highlight w:val="none"/>
        </w:rPr>
        <w:t>员（项目经理、项目技术负责人除外）以下资料：</w:t>
      </w:r>
    </w:p>
    <w:p w14:paraId="4B601F95">
      <w:pPr>
        <w:spacing w:before="154" w:line="228" w:lineRule="auto"/>
        <w:ind w:left="448"/>
        <w:jc w:val="left"/>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lang w:val="en-US" w:eastAsia="zh-CN"/>
        </w:rPr>
        <w:t>1</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身份证彩色扫描件；</w:t>
      </w:r>
    </w:p>
    <w:p w14:paraId="133F901E">
      <w:pPr>
        <w:spacing w:before="152" w:line="228" w:lineRule="auto"/>
        <w:ind w:left="428"/>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2</w:t>
      </w: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9"/>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43B3A6E0">
      <w:pPr>
        <w:spacing w:before="153" w:line="299" w:lineRule="auto"/>
        <w:ind w:left="11" w:right="89" w:firstLine="42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lang w:val="en-US" w:eastAsia="zh-CN"/>
        </w:rPr>
        <w:t>3</w:t>
      </w:r>
      <w:r>
        <w:rPr>
          <w:rFonts w:hint="eastAsia" w:ascii="宋体" w:hAnsi="宋体" w:eastAsia="宋体" w:cs="宋体"/>
          <w:color w:val="auto"/>
          <w:spacing w:val="9"/>
          <w:sz w:val="24"/>
          <w:szCs w:val="24"/>
          <w:highlight w:val="none"/>
          <w:lang w:eastAsia="zh-CN"/>
        </w:rPr>
        <w:t>）</w:t>
      </w:r>
      <w:r>
        <w:rPr>
          <w:rFonts w:hint="eastAsia" w:ascii="宋体" w:hAnsi="宋体" w:eastAsia="宋体" w:cs="宋体"/>
          <w:color w:val="auto"/>
          <w:spacing w:val="9"/>
          <w:sz w:val="24"/>
          <w:szCs w:val="24"/>
          <w:highlight w:val="none"/>
        </w:rPr>
        <w:t>在本单位缴纳社保的证明（</w:t>
      </w:r>
      <w:r>
        <w:rPr>
          <w:rFonts w:hint="eastAsia" w:ascii="宋体" w:hAnsi="宋体" w:eastAsia="宋体" w:cs="宋体"/>
          <w:color w:val="auto"/>
          <w:sz w:val="24"/>
          <w:szCs w:val="24"/>
          <w:highlight w:val="none"/>
          <w:lang w:eastAsia="zh-CN"/>
        </w:rPr>
        <w:t>至少</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个月</w:t>
      </w:r>
      <w:r>
        <w:rPr>
          <w:rFonts w:hint="eastAsia" w:ascii="宋体" w:hAnsi="宋体" w:eastAsia="宋体" w:cs="宋体"/>
          <w:color w:val="auto"/>
          <w:spacing w:val="9"/>
          <w:sz w:val="24"/>
          <w:szCs w:val="24"/>
          <w:highlight w:val="none"/>
        </w:rPr>
        <w:t>，其中必</w:t>
      </w:r>
      <w:r>
        <w:rPr>
          <w:rFonts w:hint="eastAsia" w:ascii="宋体" w:hAnsi="宋体" w:eastAsia="宋体" w:cs="宋体"/>
          <w:color w:val="auto"/>
          <w:spacing w:val="8"/>
          <w:sz w:val="24"/>
          <w:szCs w:val="24"/>
          <w:highlight w:val="none"/>
        </w:rPr>
        <w:t>须有</w:t>
      </w:r>
      <w:r>
        <w:rPr>
          <w:rFonts w:hint="eastAsia" w:ascii="宋体" w:hAnsi="宋体" w:eastAsia="宋体" w:cs="宋体"/>
          <w:color w:val="auto"/>
          <w:spacing w:val="8"/>
          <w:sz w:val="24"/>
          <w:szCs w:val="24"/>
          <w:highlight w:val="none"/>
          <w:lang w:eastAsia="zh-CN"/>
        </w:rPr>
        <w:t>20</w:t>
      </w:r>
      <w:r>
        <w:rPr>
          <w:rFonts w:hint="eastAsia" w:ascii="宋体" w:hAnsi="宋体" w:eastAsia="宋体" w:cs="宋体"/>
          <w:color w:val="auto"/>
          <w:spacing w:val="8"/>
          <w:sz w:val="24"/>
          <w:szCs w:val="24"/>
          <w:highlight w:val="none"/>
          <w:lang w:val="en-US" w:eastAsia="zh-CN"/>
        </w:rPr>
        <w:t>26</w:t>
      </w:r>
      <w:r>
        <w:rPr>
          <w:rFonts w:hint="eastAsia" w:ascii="宋体" w:hAnsi="宋体" w:eastAsia="宋体" w:cs="宋体"/>
          <w:color w:val="auto"/>
          <w:spacing w:val="8"/>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pacing w:val="8"/>
          <w:sz w:val="24"/>
          <w:szCs w:val="24"/>
          <w:highlight w:val="none"/>
        </w:rPr>
        <w:t>）彩色扫描件</w:t>
      </w:r>
      <w:r>
        <w:rPr>
          <w:rFonts w:hint="eastAsia" w:ascii="宋体" w:hAnsi="宋体" w:eastAsia="宋体" w:cs="宋体"/>
          <w:color w:val="auto"/>
          <w:spacing w:val="8"/>
          <w:sz w:val="24"/>
          <w:szCs w:val="24"/>
          <w:highlight w:val="none"/>
          <w:lang w:val="en-US" w:eastAsia="zh-CN"/>
        </w:rPr>
        <w:t>或打印件</w:t>
      </w:r>
      <w:r>
        <w:rPr>
          <w:rFonts w:hint="eastAsia" w:ascii="宋体" w:hAnsi="宋体" w:eastAsia="宋体" w:cs="宋体"/>
          <w:color w:val="auto"/>
          <w:spacing w:val="8"/>
          <w:sz w:val="24"/>
          <w:szCs w:val="24"/>
          <w:highlight w:val="none"/>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10"/>
          <w:sz w:val="24"/>
          <w:szCs w:val="24"/>
          <w:highlight w:val="none"/>
        </w:rPr>
        <w:t>拟派项目技术负责人为退休返聘人员无法提供社</w:t>
      </w:r>
      <w:r>
        <w:rPr>
          <w:rFonts w:hint="eastAsia" w:ascii="宋体" w:hAnsi="宋体" w:eastAsia="宋体" w:cs="宋体"/>
          <w:color w:val="auto"/>
          <w:spacing w:val="9"/>
          <w:sz w:val="24"/>
          <w:szCs w:val="24"/>
          <w:highlight w:val="none"/>
        </w:rPr>
        <w:t>保证明的，提供退休证和劳动合同彩色扫描件。</w:t>
      </w:r>
    </w:p>
    <w:p w14:paraId="50403043">
      <w:pPr>
        <w:spacing w:before="152" w:line="228" w:lineRule="auto"/>
        <w:ind w:left="0" w:leftChars="0" w:firstLine="419" w:firstLineChars="164"/>
        <w:rPr>
          <w:rFonts w:hint="eastAsia" w:ascii="宋体" w:hAnsi="宋体" w:eastAsia="宋体" w:cs="宋体"/>
          <w:color w:val="auto"/>
          <w:spacing w:val="9"/>
          <w:sz w:val="24"/>
          <w:szCs w:val="24"/>
          <w:highlight w:val="none"/>
        </w:rPr>
      </w:pPr>
      <w:r>
        <w:rPr>
          <w:rFonts w:hint="eastAsia" w:ascii="宋体" w:hAnsi="宋体" w:eastAsia="宋体" w:cs="宋体"/>
          <w:color w:val="auto"/>
          <w:spacing w:val="8"/>
          <w:sz w:val="24"/>
          <w:szCs w:val="24"/>
          <w:highlight w:val="none"/>
        </w:rPr>
        <w:t>（4）</w:t>
      </w:r>
      <w:r>
        <w:rPr>
          <w:rFonts w:hint="eastAsia" w:ascii="宋体" w:hAnsi="宋体" w:eastAsia="宋体" w:cs="宋体"/>
          <w:color w:val="auto"/>
          <w:spacing w:val="9"/>
          <w:sz w:val="24"/>
          <w:szCs w:val="24"/>
          <w:highlight w:val="none"/>
        </w:rPr>
        <w:t>“进粤企业和人员诚信信息登记平台 ”个人信息情况截图。（适用于省外建筑企业）</w:t>
      </w:r>
    </w:p>
    <w:p w14:paraId="2829D625">
      <w:pPr>
        <w:spacing w:before="153" w:line="299" w:lineRule="auto"/>
        <w:ind w:left="16" w:right="40" w:firstLine="41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val="en-US" w:eastAsia="zh-CN"/>
        </w:rPr>
        <w:t>2.</w:t>
      </w:r>
      <w:r>
        <w:rPr>
          <w:rFonts w:hint="eastAsia" w:ascii="宋体" w:hAnsi="宋体" w:eastAsia="宋体" w:cs="宋体"/>
          <w:color w:val="auto"/>
          <w:spacing w:val="8"/>
          <w:sz w:val="24"/>
          <w:szCs w:val="24"/>
          <w:highlight w:val="none"/>
        </w:rPr>
        <w:t>联合体投标的，《项目管理机构组成表》应包括联合体成员单位参与项目管理</w:t>
      </w:r>
      <w:r>
        <w:rPr>
          <w:rFonts w:hint="eastAsia" w:ascii="宋体" w:hAnsi="宋体" w:eastAsia="宋体" w:cs="宋体"/>
          <w:color w:val="auto"/>
          <w:spacing w:val="7"/>
          <w:sz w:val="24"/>
          <w:szCs w:val="24"/>
          <w:highlight w:val="none"/>
        </w:rPr>
        <w:t>机构的人员，并提供以上所需资料。</w:t>
      </w:r>
    </w:p>
    <w:p w14:paraId="5069CF15">
      <w:pPr>
        <w:pStyle w:val="6"/>
        <w:spacing w:line="248" w:lineRule="auto"/>
        <w:rPr>
          <w:rFonts w:hint="eastAsia" w:ascii="宋体" w:hAnsi="宋体" w:eastAsia="宋体" w:cs="宋体"/>
          <w:color w:val="auto"/>
          <w:sz w:val="24"/>
          <w:szCs w:val="24"/>
          <w:highlight w:val="none"/>
        </w:rPr>
      </w:pPr>
    </w:p>
    <w:p w14:paraId="6BC18C6E">
      <w:pPr>
        <w:pStyle w:val="6"/>
        <w:spacing w:line="248" w:lineRule="auto"/>
        <w:rPr>
          <w:rFonts w:hint="eastAsia" w:ascii="宋体" w:hAnsi="宋体" w:eastAsia="宋体" w:cs="宋体"/>
          <w:color w:val="auto"/>
          <w:sz w:val="24"/>
          <w:szCs w:val="24"/>
          <w:highlight w:val="none"/>
        </w:rPr>
      </w:pPr>
    </w:p>
    <w:p w14:paraId="176F2752">
      <w:pPr>
        <w:pStyle w:val="6"/>
        <w:spacing w:line="248" w:lineRule="auto"/>
        <w:rPr>
          <w:rFonts w:hint="eastAsia" w:ascii="宋体" w:hAnsi="宋体" w:eastAsia="宋体" w:cs="宋体"/>
          <w:color w:val="auto"/>
          <w:highlight w:val="none"/>
        </w:rPr>
      </w:pPr>
    </w:p>
    <w:p w14:paraId="5D072C9A">
      <w:pPr>
        <w:pStyle w:val="6"/>
        <w:spacing w:line="248" w:lineRule="auto"/>
        <w:rPr>
          <w:rFonts w:hint="eastAsia" w:ascii="宋体" w:hAnsi="宋体" w:eastAsia="宋体" w:cs="宋体"/>
          <w:color w:val="auto"/>
          <w:highlight w:val="none"/>
        </w:rPr>
      </w:pPr>
    </w:p>
    <w:p w14:paraId="3AE49CA0">
      <w:pPr>
        <w:spacing w:before="79" w:line="220" w:lineRule="auto"/>
        <w:rPr>
          <w:rFonts w:hint="eastAsia" w:ascii="宋体" w:hAnsi="宋体" w:eastAsia="宋体" w:cs="宋体"/>
          <w:b/>
          <w:bCs/>
          <w:color w:val="auto"/>
          <w:spacing w:val="-2"/>
          <w:sz w:val="24"/>
          <w:szCs w:val="24"/>
          <w:highlight w:val="none"/>
        </w:rPr>
      </w:pPr>
    </w:p>
    <w:p w14:paraId="64B5E5D2">
      <w:pPr>
        <w:spacing w:before="78" w:line="220" w:lineRule="auto"/>
        <w:outlineLvl w:val="2"/>
        <w:rPr>
          <w:rFonts w:hint="eastAsia" w:ascii="宋体" w:hAnsi="宋体" w:eastAsia="宋体" w:cs="宋体"/>
          <w:b/>
          <w:bCs/>
          <w:color w:val="auto"/>
          <w:spacing w:val="-4"/>
          <w:sz w:val="24"/>
          <w:szCs w:val="24"/>
          <w:highlight w:val="none"/>
        </w:rPr>
      </w:pPr>
      <w:bookmarkStart w:id="264" w:name="_Toc16480"/>
      <w:r>
        <w:rPr>
          <w:rFonts w:hint="eastAsia" w:ascii="宋体" w:hAnsi="宋体" w:eastAsia="宋体" w:cs="宋体"/>
          <w:b/>
          <w:bCs/>
          <w:color w:val="auto"/>
          <w:spacing w:val="-4"/>
          <w:sz w:val="24"/>
          <w:szCs w:val="24"/>
          <w:highlight w:val="none"/>
        </w:rPr>
        <w:t>格式十二 建造师查询页（有效期+建造师签字）</w:t>
      </w:r>
      <w:bookmarkEnd w:id="264"/>
    </w:p>
    <w:p w14:paraId="450E46D9">
      <w:pPr>
        <w:outlineLvl w:val="9"/>
        <w:rPr>
          <w:rFonts w:hint="eastAsia" w:ascii="宋体" w:hAnsi="宋体" w:eastAsia="宋体" w:cs="宋体"/>
          <w:color w:val="auto"/>
          <w:highlight w:val="none"/>
        </w:rPr>
      </w:pPr>
      <w:r>
        <w:rPr>
          <w:rFonts w:hint="eastAsia" w:ascii="宋体" w:hAnsi="宋体" w:eastAsia="宋体" w:cs="宋体"/>
          <w:color w:val="auto"/>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5"/>
                    <a:stretch>
                      <a:fillRect/>
                    </a:stretch>
                  </pic:blipFill>
                  <pic:spPr>
                    <a:xfrm>
                      <a:off x="0" y="0"/>
                      <a:ext cx="6239510" cy="8013700"/>
                    </a:xfrm>
                    <a:prstGeom prst="rect">
                      <a:avLst/>
                    </a:prstGeom>
                    <a:noFill/>
                    <a:ln>
                      <a:noFill/>
                    </a:ln>
                  </pic:spPr>
                </pic:pic>
              </a:graphicData>
            </a:graphic>
          </wp:inline>
        </w:drawing>
      </w:r>
    </w:p>
    <w:p w14:paraId="1386CCA3">
      <w:pPr>
        <w:spacing w:line="220" w:lineRule="auto"/>
        <w:rPr>
          <w:rFonts w:hint="eastAsia" w:ascii="宋体" w:hAnsi="宋体" w:eastAsia="宋体" w:cs="宋体"/>
          <w:color w:val="auto"/>
          <w:sz w:val="24"/>
          <w:szCs w:val="24"/>
          <w:highlight w:val="none"/>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6CEE8513">
      <w:pPr>
        <w:spacing w:line="10744" w:lineRule="exact"/>
        <w:rPr>
          <w:rFonts w:hint="eastAsia" w:ascii="宋体" w:hAnsi="宋体" w:eastAsia="宋体" w:cs="宋体"/>
          <w:color w:val="auto"/>
          <w:highlight w:val="none"/>
        </w:rPr>
      </w:pPr>
      <w:r>
        <w:rPr>
          <w:rFonts w:hint="eastAsia" w:ascii="宋体" w:hAnsi="宋体" w:eastAsia="宋体" w:cs="宋体"/>
          <w:color w:val="auto"/>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6"/>
                    <a:stretch>
                      <a:fillRect/>
                    </a:stretch>
                  </pic:blipFill>
                  <pic:spPr>
                    <a:xfrm>
                      <a:off x="0" y="0"/>
                      <a:ext cx="6285865" cy="6925310"/>
                    </a:xfrm>
                    <a:prstGeom prst="rect">
                      <a:avLst/>
                    </a:prstGeom>
                    <a:noFill/>
                    <a:ln>
                      <a:noFill/>
                    </a:ln>
                  </pic:spPr>
                </pic:pic>
              </a:graphicData>
            </a:graphic>
          </wp:inline>
        </w:drawing>
      </w:r>
    </w:p>
    <w:p w14:paraId="7813AADB">
      <w:pPr>
        <w:spacing w:line="10744" w:lineRule="exact"/>
        <w:rPr>
          <w:rFonts w:hint="eastAsia" w:ascii="宋体" w:hAnsi="宋体" w:eastAsia="宋体" w:cs="宋体"/>
          <w:color w:val="auto"/>
          <w:highlight w:val="none"/>
        </w:rPr>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5D36A69A">
      <w:pPr>
        <w:spacing w:before="78" w:line="220" w:lineRule="auto"/>
        <w:outlineLvl w:val="2"/>
        <w:rPr>
          <w:rFonts w:hint="eastAsia" w:ascii="宋体" w:hAnsi="宋体" w:eastAsia="宋体" w:cs="宋体"/>
          <w:b/>
          <w:bCs/>
          <w:color w:val="auto"/>
          <w:spacing w:val="-4"/>
          <w:sz w:val="24"/>
          <w:szCs w:val="24"/>
          <w:highlight w:val="none"/>
        </w:rPr>
      </w:pPr>
      <w:bookmarkStart w:id="265" w:name="_Toc28779"/>
      <w:r>
        <w:rPr>
          <w:rFonts w:hint="eastAsia" w:ascii="宋体" w:hAnsi="宋体" w:eastAsia="宋体" w:cs="宋体"/>
          <w:b/>
          <w:bCs/>
          <w:color w:val="auto"/>
          <w:spacing w:val="-4"/>
          <w:sz w:val="24"/>
          <w:szCs w:val="24"/>
          <w:highlight w:val="none"/>
        </w:rPr>
        <w:t>格式十三：</w:t>
      </w:r>
      <w:r>
        <w:rPr>
          <w:rFonts w:hint="eastAsia" w:ascii="宋体" w:hAnsi="宋体" w:eastAsia="宋体" w:cs="宋体"/>
          <w:b/>
          <w:bCs/>
          <w:color w:val="auto"/>
          <w:spacing w:val="7"/>
          <w:sz w:val="22"/>
          <w:szCs w:val="22"/>
          <w:highlight w:val="none"/>
        </w:rPr>
        <w:t>危险性较大的分部分项工程清单及超过一定规模的危险性较大的</w:t>
      </w:r>
      <w:r>
        <w:rPr>
          <w:rFonts w:hint="eastAsia" w:ascii="宋体" w:hAnsi="宋体" w:eastAsia="宋体" w:cs="宋体"/>
          <w:b/>
          <w:bCs/>
          <w:color w:val="auto"/>
          <w:spacing w:val="5"/>
          <w:sz w:val="22"/>
          <w:szCs w:val="22"/>
          <w:highlight w:val="none"/>
        </w:rPr>
        <w:t>分部分项工程清单</w:t>
      </w:r>
      <w:bookmarkEnd w:id="265"/>
    </w:p>
    <w:p w14:paraId="233B3372">
      <w:pPr>
        <w:pStyle w:val="6"/>
        <w:spacing w:line="269" w:lineRule="auto"/>
        <w:rPr>
          <w:rFonts w:hint="eastAsia" w:ascii="宋体" w:hAnsi="宋体" w:eastAsia="宋体" w:cs="宋体"/>
          <w:color w:val="auto"/>
          <w:highlight w:val="none"/>
        </w:rPr>
      </w:pPr>
    </w:p>
    <w:p w14:paraId="73CEABAE">
      <w:pPr>
        <w:tabs>
          <w:tab w:val="left" w:pos="2940"/>
        </w:tabs>
        <w:spacing w:before="101" w:line="377" w:lineRule="auto"/>
        <w:ind w:left="3179" w:leftChars="0" w:right="41" w:hanging="3133" w:firstLineChars="0"/>
        <w:rPr>
          <w:rFonts w:hint="eastAsia" w:ascii="宋体" w:hAnsi="宋体" w:eastAsia="宋体" w:cs="宋体"/>
          <w:color w:val="auto"/>
          <w:sz w:val="31"/>
          <w:szCs w:val="31"/>
          <w:highlight w:val="none"/>
        </w:rPr>
      </w:pPr>
      <w:bookmarkStart w:id="266" w:name="bookmark160"/>
      <w:bookmarkEnd w:id="266"/>
      <w:bookmarkStart w:id="267" w:name="OLE_LINK41"/>
      <w:r>
        <w:rPr>
          <w:rFonts w:hint="eastAsia" w:ascii="宋体" w:hAnsi="宋体" w:eastAsia="宋体" w:cs="宋体"/>
          <w:b/>
          <w:bCs/>
          <w:color w:val="auto"/>
          <w:spacing w:val="7"/>
          <w:sz w:val="31"/>
          <w:szCs w:val="31"/>
          <w:highlight w:val="none"/>
        </w:rPr>
        <w:t>危险性较大的分部分项工程清单及超过一定规模的危险性较大的</w:t>
      </w:r>
      <w:r>
        <w:rPr>
          <w:rFonts w:hint="eastAsia" w:ascii="宋体" w:hAnsi="宋体" w:eastAsia="宋体" w:cs="宋体"/>
          <w:b/>
          <w:bCs/>
          <w:color w:val="auto"/>
          <w:spacing w:val="5"/>
          <w:sz w:val="31"/>
          <w:szCs w:val="31"/>
          <w:highlight w:val="none"/>
        </w:rPr>
        <w:t>分部分项工程清单</w:t>
      </w:r>
    </w:p>
    <w:bookmarkEnd w:id="267"/>
    <w:p w14:paraId="5733B35F">
      <w:pPr>
        <w:spacing w:before="6" w:line="326" w:lineRule="auto"/>
        <w:ind w:left="5" w:firstLine="492"/>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1、根据中华人民共和国住房和城乡建设部令第37号《危险性较大的分部分项工程</w:t>
      </w:r>
      <w:r>
        <w:rPr>
          <w:rFonts w:hint="eastAsia" w:ascii="宋体" w:hAnsi="宋体" w:eastAsia="宋体" w:cs="宋体"/>
          <w:color w:val="auto"/>
          <w:spacing w:val="-2"/>
          <w:sz w:val="24"/>
          <w:szCs w:val="24"/>
          <w:highlight w:val="none"/>
        </w:rPr>
        <w:t>安全管理规定》（以下简称“37号文</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2"/>
          <w:sz w:val="24"/>
          <w:szCs w:val="24"/>
          <w:highlight w:val="none"/>
        </w:rPr>
        <w:t>”</w:t>
      </w:r>
      <w:r>
        <w:rPr>
          <w:rFonts w:hint="eastAsia" w:ascii="宋体" w:hAnsi="宋体" w:eastAsia="宋体" w:cs="宋体"/>
          <w:color w:val="auto"/>
          <w:spacing w:val="-11"/>
          <w:sz w:val="24"/>
          <w:szCs w:val="24"/>
          <w:highlight w:val="none"/>
        </w:rPr>
        <w:t>），</w:t>
      </w:r>
      <w:r>
        <w:rPr>
          <w:rFonts w:hint="eastAsia" w:ascii="宋体" w:hAnsi="宋体" w:eastAsia="宋体" w:cs="宋体"/>
          <w:color w:val="auto"/>
          <w:spacing w:val="-2"/>
          <w:sz w:val="24"/>
          <w:szCs w:val="24"/>
          <w:highlight w:val="none"/>
        </w:rPr>
        <w:t>投标人在投标时须补充完善危大工程清单并</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2"/>
          <w:sz w:val="24"/>
          <w:szCs w:val="24"/>
          <w:highlight w:val="none"/>
        </w:rPr>
        <w:t>明确相应的安全管理措施。</w:t>
      </w:r>
    </w:p>
    <w:p w14:paraId="1BA34EDA">
      <w:pPr>
        <w:spacing w:before="208" w:line="326" w:lineRule="auto"/>
        <w:ind w:left="1"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2、招标人根据设计文件的要求及37号文、粤建规范〔2019〕2号文的规定列出“危险性较大的分部分项工程清单及超过一定规模的危</w:t>
      </w:r>
      <w:r>
        <w:rPr>
          <w:rFonts w:hint="eastAsia" w:ascii="宋体" w:hAnsi="宋体" w:eastAsia="宋体" w:cs="宋体"/>
          <w:color w:val="auto"/>
          <w:spacing w:val="-3"/>
          <w:sz w:val="24"/>
          <w:szCs w:val="24"/>
          <w:highlight w:val="none"/>
        </w:rPr>
        <w:t>险性较大的分部分项工程清单</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”中与</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5"/>
          <w:sz w:val="24"/>
          <w:szCs w:val="24"/>
          <w:highlight w:val="none"/>
        </w:rPr>
        <w:t>本招标项目相关的清单项，具体详见第5点“打</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5"/>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5"/>
          <w:sz w:val="24"/>
          <w:szCs w:val="24"/>
          <w:highlight w:val="none"/>
        </w:rPr>
        <w:t>”标识。</w:t>
      </w:r>
    </w:p>
    <w:p w14:paraId="1F8B397A">
      <w:pPr>
        <w:spacing w:before="209" w:line="299" w:lineRule="auto"/>
        <w:ind w:left="3" w:right="72" w:firstLine="488"/>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（1）投标单位同意建设单位在清单中标识的该</w:t>
      </w:r>
      <w:r>
        <w:rPr>
          <w:rFonts w:hint="eastAsia" w:ascii="宋体" w:hAnsi="宋体" w:eastAsia="宋体" w:cs="宋体"/>
          <w:color w:val="auto"/>
          <w:spacing w:val="-4"/>
          <w:sz w:val="24"/>
          <w:szCs w:val="24"/>
          <w:highlight w:val="none"/>
        </w:rPr>
        <w:t>项请在对应项打“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w:t>
      </w:r>
      <w:r>
        <w:rPr>
          <w:rFonts w:hint="eastAsia" w:ascii="宋体" w:hAnsi="宋体" w:eastAsia="宋体" w:cs="宋体"/>
          <w:color w:val="auto"/>
          <w:spacing w:val="-1"/>
          <w:sz w:val="24"/>
          <w:szCs w:val="24"/>
          <w:highlight w:val="none"/>
        </w:rPr>
        <w:t>投标文件中提供相应的安全管理措施。</w:t>
      </w:r>
    </w:p>
    <w:p w14:paraId="7869C183">
      <w:pPr>
        <w:spacing w:before="208" w:line="299" w:lineRule="auto"/>
        <w:ind w:left="2" w:right="72" w:firstLine="48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（2）投标单位对清单中认为需要补充的该项请</w:t>
      </w:r>
      <w:r>
        <w:rPr>
          <w:rFonts w:hint="eastAsia" w:ascii="宋体" w:hAnsi="宋体" w:eastAsia="宋体" w:cs="宋体"/>
          <w:color w:val="auto"/>
          <w:spacing w:val="-4"/>
          <w:sz w:val="24"/>
          <w:szCs w:val="24"/>
          <w:highlight w:val="none"/>
        </w:rPr>
        <w:t>在对应项打“</w:t>
      </w:r>
      <w:r>
        <w:rPr>
          <w:rFonts w:hint="eastAsia" w:ascii="宋体" w:hAnsi="宋体" w:eastAsia="宋体" w:cs="宋体"/>
          <w:color w:val="auto"/>
          <w:spacing w:val="-51"/>
          <w:sz w:val="24"/>
          <w:szCs w:val="24"/>
          <w:highlight w:val="none"/>
        </w:rPr>
        <w:t xml:space="preserve"> </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4"/>
          <w:sz w:val="24"/>
          <w:szCs w:val="24"/>
          <w:highlight w:val="none"/>
        </w:rPr>
        <w:t>”标识，并与投标</w:t>
      </w:r>
      <w:r>
        <w:rPr>
          <w:rFonts w:hint="eastAsia" w:ascii="宋体" w:hAnsi="宋体" w:eastAsia="宋体" w:cs="宋体"/>
          <w:color w:val="auto"/>
          <w:spacing w:val="-1"/>
          <w:sz w:val="24"/>
          <w:szCs w:val="24"/>
          <w:highlight w:val="none"/>
        </w:rPr>
        <w:t>文件中提供相应的安全管理措施。</w:t>
      </w:r>
    </w:p>
    <w:p w14:paraId="5AF6072E">
      <w:pPr>
        <w:spacing w:before="210" w:line="300" w:lineRule="auto"/>
        <w:ind w:right="72" w:firstLine="492"/>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（3）投标单位不同意建设单位在清单中标识的该项请在对应项打“</w:t>
      </w:r>
      <w:r>
        <w:rPr>
          <w:rFonts w:hint="eastAsia" w:ascii="宋体" w:hAnsi="宋体" w:eastAsia="宋体" w:cs="宋体"/>
          <w:color w:val="auto"/>
          <w:spacing w:val="-66"/>
          <w:sz w:val="24"/>
          <w:szCs w:val="24"/>
          <w:highlight w:val="none"/>
        </w:rPr>
        <w:t xml:space="preserve"> </w:t>
      </w:r>
      <w:r>
        <w:rPr>
          <w:rFonts w:hint="eastAsia" w:ascii="宋体" w:hAnsi="宋体" w:eastAsia="宋体" w:cs="宋体"/>
          <w:color w:val="auto"/>
          <w:spacing w:val="-3"/>
          <w:sz w:val="24"/>
          <w:szCs w:val="24"/>
          <w:highlight w:val="none"/>
        </w:rPr>
        <w:t>×</w:t>
      </w:r>
      <w:r>
        <w:rPr>
          <w:rFonts w:hint="eastAsia" w:ascii="宋体" w:hAnsi="宋体" w:eastAsia="宋体" w:cs="宋体"/>
          <w:color w:val="auto"/>
          <w:spacing w:val="-88"/>
          <w:sz w:val="24"/>
          <w:szCs w:val="24"/>
          <w:highlight w:val="none"/>
        </w:rPr>
        <w:t xml:space="preserve"> </w:t>
      </w:r>
      <w:r>
        <w:rPr>
          <w:rFonts w:hint="eastAsia" w:ascii="宋体" w:hAnsi="宋体" w:eastAsia="宋体" w:cs="宋体"/>
          <w:color w:val="auto"/>
          <w:spacing w:val="-3"/>
          <w:sz w:val="24"/>
          <w:szCs w:val="24"/>
          <w:highlight w:val="none"/>
        </w:rPr>
        <w:t>”标识，并</w:t>
      </w:r>
      <w:r>
        <w:rPr>
          <w:rFonts w:hint="eastAsia" w:ascii="宋体" w:hAnsi="宋体" w:eastAsia="宋体" w:cs="宋体"/>
          <w:color w:val="auto"/>
          <w:spacing w:val="-1"/>
          <w:sz w:val="24"/>
          <w:szCs w:val="24"/>
          <w:highlight w:val="none"/>
        </w:rPr>
        <w:t>在备注栏填上相关说明。</w:t>
      </w:r>
    </w:p>
    <w:p w14:paraId="1CD3BDFD">
      <w:pPr>
        <w:spacing w:before="207" w:line="371" w:lineRule="auto"/>
        <w:ind w:firstLine="484"/>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u w:val="single"/>
        </w:rPr>
        <w:t>3、投标单位应当在投标时根据招标人提供的下述第5点清单，</w:t>
      </w:r>
      <w:r>
        <w:rPr>
          <w:rFonts w:hint="eastAsia" w:ascii="宋体" w:hAnsi="宋体" w:eastAsia="宋体" w:cs="宋体"/>
          <w:b/>
          <w:bCs/>
          <w:color w:val="auto"/>
          <w:spacing w:val="-5"/>
          <w:sz w:val="24"/>
          <w:szCs w:val="24"/>
          <w:highlight w:val="none"/>
          <w:u w:val="single"/>
        </w:rPr>
        <w:t>在投标施工组织中回</w:t>
      </w:r>
      <w:r>
        <w:rPr>
          <w:rFonts w:hint="eastAsia" w:ascii="宋体" w:hAnsi="宋体" w:eastAsia="宋体" w:cs="宋体"/>
          <w:b/>
          <w:bCs/>
          <w:color w:val="auto"/>
          <w:spacing w:val="-4"/>
          <w:sz w:val="24"/>
          <w:szCs w:val="24"/>
          <w:highlight w:val="none"/>
          <w:u w:val="single"/>
        </w:rPr>
        <w:t>应建设单位提供的危大工程清单，补充相应的安全管理措施。（为减轻标书编制</w:t>
      </w:r>
      <w:r>
        <w:rPr>
          <w:rFonts w:hint="eastAsia" w:ascii="宋体" w:hAnsi="宋体" w:eastAsia="宋体" w:cs="宋体"/>
          <w:b/>
          <w:bCs/>
          <w:color w:val="auto"/>
          <w:spacing w:val="-5"/>
          <w:sz w:val="24"/>
          <w:szCs w:val="24"/>
          <w:highlight w:val="none"/>
          <w:u w:val="single"/>
        </w:rPr>
        <w:t>的工作</w:t>
      </w:r>
      <w:r>
        <w:rPr>
          <w:rFonts w:hint="eastAsia" w:ascii="宋体" w:hAnsi="宋体" w:eastAsia="宋体" w:cs="宋体"/>
          <w:b/>
          <w:bCs/>
          <w:color w:val="auto"/>
          <w:spacing w:val="-2"/>
          <w:sz w:val="24"/>
          <w:szCs w:val="24"/>
          <w:highlight w:val="none"/>
          <w:u w:val="single"/>
        </w:rPr>
        <w:t>量，投标单位回应的危大工程清单该部分的页数应控制在3页内）</w:t>
      </w:r>
    </w:p>
    <w:p w14:paraId="6A389843">
      <w:pPr>
        <w:spacing w:before="33" w:line="326" w:lineRule="auto"/>
        <w:ind w:left="1" w:firstLine="47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4、对于超过一定规模的危大工程，中标单位应当组织召开</w:t>
      </w:r>
      <w:r>
        <w:rPr>
          <w:rFonts w:hint="eastAsia" w:ascii="宋体" w:hAnsi="宋体" w:eastAsia="宋体" w:cs="宋体"/>
          <w:color w:val="auto"/>
          <w:spacing w:val="-1"/>
          <w:sz w:val="24"/>
          <w:szCs w:val="24"/>
          <w:highlight w:val="none"/>
        </w:rPr>
        <w:t>专家论证会对专项施工</w:t>
      </w:r>
      <w:r>
        <w:rPr>
          <w:rFonts w:hint="eastAsia" w:ascii="宋体" w:hAnsi="宋体" w:eastAsia="宋体" w:cs="宋体"/>
          <w:color w:val="auto"/>
          <w:spacing w:val="-2"/>
          <w:sz w:val="24"/>
          <w:szCs w:val="24"/>
          <w:highlight w:val="none"/>
        </w:rPr>
        <w:t>方案进行论证。实行施工总承包的，由施工总承包单位组织召开专家论证会。专家论证</w:t>
      </w:r>
      <w:r>
        <w:rPr>
          <w:rFonts w:hint="eastAsia" w:ascii="宋体" w:hAnsi="宋体" w:eastAsia="宋体" w:cs="宋体"/>
          <w:color w:val="auto"/>
          <w:spacing w:val="-1"/>
          <w:sz w:val="24"/>
          <w:szCs w:val="24"/>
          <w:highlight w:val="none"/>
        </w:rPr>
        <w:t>前专项施工方案应当通过施工总承包单位审核和总监理工程师审查。</w:t>
      </w:r>
    </w:p>
    <w:p w14:paraId="60957CC1">
      <w:pPr>
        <w:spacing w:before="208" w:line="301" w:lineRule="auto"/>
        <w:ind w:firstLine="484"/>
        <w:rPr>
          <w:rFonts w:hint="eastAsia" w:ascii="宋体" w:hAnsi="宋体" w:eastAsia="宋体" w:cs="宋体"/>
          <w:color w:val="auto"/>
          <w:highlight w:val="none"/>
        </w:rPr>
      </w:pPr>
      <w:r>
        <w:rPr>
          <w:rFonts w:hint="eastAsia" w:ascii="宋体" w:hAnsi="宋体" w:eastAsia="宋体" w:cs="宋体"/>
          <w:color w:val="auto"/>
          <w:spacing w:val="2"/>
          <w:sz w:val="24"/>
          <w:szCs w:val="24"/>
          <w:highlight w:val="none"/>
        </w:rPr>
        <w:t>5、危险性较大的分部分项工程清单及超过一</w:t>
      </w:r>
      <w:r>
        <w:rPr>
          <w:rFonts w:hint="eastAsia" w:ascii="宋体" w:hAnsi="宋体" w:eastAsia="宋体" w:cs="宋体"/>
          <w:color w:val="auto"/>
          <w:spacing w:val="1"/>
          <w:sz w:val="24"/>
          <w:szCs w:val="24"/>
          <w:highlight w:val="none"/>
        </w:rPr>
        <w:t>定规模的危险性较大的分部分项工程</w:t>
      </w:r>
      <w:r>
        <w:rPr>
          <w:rFonts w:hint="eastAsia" w:ascii="宋体" w:hAnsi="宋体" w:eastAsia="宋体" w:cs="宋体"/>
          <w:color w:val="auto"/>
          <w:spacing w:val="-4"/>
          <w:sz w:val="24"/>
          <w:szCs w:val="24"/>
          <w:highlight w:val="none"/>
        </w:rPr>
        <w:t>清单</w:t>
      </w:r>
    </w:p>
    <w:p w14:paraId="59A3F64C">
      <w:pPr>
        <w:spacing w:before="40"/>
        <w:rPr>
          <w:rFonts w:hint="eastAsia" w:ascii="宋体" w:hAnsi="宋体" w:eastAsia="宋体" w:cs="宋体"/>
          <w:color w:val="auto"/>
          <w:highlight w:val="none"/>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78"/>
        <w:gridCol w:w="1353"/>
        <w:gridCol w:w="1353"/>
        <w:gridCol w:w="1057"/>
      </w:tblGrid>
      <w:tr w14:paraId="24A22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center"/>
          </w:tcPr>
          <w:p w14:paraId="52064E2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b/>
                <w:bCs w:val="0"/>
                <w:color w:val="auto"/>
                <w:kern w:val="2"/>
                <w:sz w:val="24"/>
                <w:szCs w:val="24"/>
                <w:highlight w:val="none"/>
                <w:lang w:val="en-US" w:eastAsia="zh-CN" w:bidi="ar"/>
              </w:rPr>
              <w:t>一、危险性较大的分部分项工程清单</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CA0593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r>
              <w:rPr>
                <w:rFonts w:hint="eastAsia" w:ascii="宋体" w:hAnsi="宋体" w:eastAsia="宋体" w:cs="宋体"/>
                <w:color w:val="auto"/>
                <w:kern w:val="2"/>
                <w:sz w:val="24"/>
                <w:szCs w:val="24"/>
                <w:highlight w:val="none"/>
                <w:lang w:val="en-US" w:eastAsia="zh-CN" w:bidi="ar"/>
              </w:rPr>
              <w:t>建设单位</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14C33E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b/>
                <w:bCs w:val="0"/>
                <w:color w:val="auto"/>
                <w:kern w:val="2"/>
                <w:sz w:val="24"/>
                <w:szCs w:val="24"/>
                <w:highlight w:val="none"/>
                <w:lang w:val="en-US" w:eastAsia="zh-CN" w:bidi="ar"/>
              </w:rPr>
              <w:t>投标单位</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9B85025">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color w:val="auto"/>
                <w:highlight w:val="none"/>
              </w:rPr>
            </w:pPr>
            <w:r>
              <w:rPr>
                <w:rFonts w:hint="eastAsia" w:ascii="宋体" w:hAnsi="宋体" w:eastAsia="宋体" w:cs="宋体"/>
                <w:color w:val="auto"/>
                <w:kern w:val="2"/>
                <w:sz w:val="24"/>
                <w:szCs w:val="24"/>
                <w:highlight w:val="none"/>
                <w:lang w:val="en-US" w:eastAsia="zh-CN" w:bidi="ar"/>
              </w:rPr>
              <w:t>备注</w:t>
            </w:r>
          </w:p>
        </w:tc>
      </w:tr>
      <w:tr w14:paraId="2C6FF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EF3134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一、基坑支护</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096555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69213A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CE1449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82BA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3CDA00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（一）开挖深度超过3m（含3m）的基坑（槽）的土方开挖、支护、降水工程。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D8559E1">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3B99E6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811240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D671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A2CD7F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（二）开挖深度虽未超过3m，但地质条件、周围环境和地下管线复杂，或影响毗邻建、构筑物安全的基坑（槽）的土方开挖、支护、降水工程。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C9058C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044CCB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30516D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4AAC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D071E7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二、模板工程及支撑体系</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D7605F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0AF1A4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139E55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FE6A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40F8FD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（一）各类工具式模板工程：包括滑模、爬模、飞模、隧道模等工程。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D80C73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199B7E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42CA43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F568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93810F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混凝土模板支撑工程：搭设高度5m及以上，或搭设跨度10m及以上，或施工总荷载（荷载效应基本组合的设计值，以下简称设计值）10kN/m2及以上，或集中线荷载（设计值）15kN/m及以上，或高度大于支撑水平投影宽度且相对独立无联系构件的混凝土模板支撑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0102F4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88DCB2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050A98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3BE2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1BD1078">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（三）承重支撑体系：用于钢结构安装等满堂支撑体系。</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A169E5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CFFDFD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404881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F81B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93709AF">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三、起重吊装及起重机械安装拆卸工程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60771B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B75E30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71CC0F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2578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8F35B6F">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（一）采用非常规起重设备、方法，且单件起吊重量在10kN及以上的起重吊装工程。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78A9E1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DF5B2D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4EB40F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142C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6D2980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（二）采用起重机械进行安装的工程。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91DD57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F94659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DD935E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6961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7E028D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（三）起重机械安装和拆卸工程。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F8F1E4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454DF7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65F51C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81F1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64B920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28177C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B70566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107F32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7E4D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A7D49D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（一）搭设高度24m及以上的落地式钢管脚手架工程（包括采光井、电梯井脚手架）。</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432575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7ACD29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19199F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EA78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71C562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（二）附着式升降脚手架工程。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56D2EA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71FBFB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14DFB9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C934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7C480C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（三）悬挑式脚手架工程。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7BDEEA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5CF3CF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87A4D2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0FEF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193155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（四）高处作业吊篮。</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305C47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3CB783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A767E6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504D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43FC8C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（五）卸料平台、操作平台工程。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339DB6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695BC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136DCE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2EBC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8DB6A5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（六）异型脚手架工程。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C15A8C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FBEE47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2828E8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8856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02C9D7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E4B82F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F7EDD3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B615F2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69A2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A8E4CC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可能影响行人、交通、电力设施、通讯设施或其他建、构筑物安全的拆除工程。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25C276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D74563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ED7C75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6745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37ED46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六、暗挖工程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733DCE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769F67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54CF4C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E8E9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340CF7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采用矿山法、盾构法、顶管法施工的隧道、洞室工程。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09830C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96497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4BCD2E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A70D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D8FA98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七、其他</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BE8B96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58C4E2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B671EB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C3F5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5933CC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（一）建筑幕墙安装工程。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A1D054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B513EA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80525C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CF92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CDD636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（二）钢结构、网架和索膜结构安装工程。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E902F9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3BD9F6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41060D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132F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EC45BD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（三）人工挖孔桩工程。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48F710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1E8C12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B831DF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CFCE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4DF3A3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（四）水下作业工程。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58D976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9F7E50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4EF11F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6BC8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13B6C2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（五）装配式建筑混凝土预制构件安装工程。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71883F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50BB9C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E8FEB4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C050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429FBF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（六）采用新技术、新工艺、新材料、新设备可能影响工程施工安全，尚无国家、行业及地方技术标准的分部分项工程。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07C95D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8029A8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EECAAF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36E3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center"/>
          </w:tcPr>
          <w:p w14:paraId="1024276D">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b/>
                <w:bCs w:val="0"/>
                <w:color w:val="auto"/>
                <w:highlight w:val="none"/>
                <w:lang w:val="en-US"/>
              </w:rPr>
            </w:pPr>
            <w:r>
              <w:rPr>
                <w:rFonts w:hint="eastAsia" w:ascii="宋体" w:hAnsi="宋体" w:eastAsia="宋体" w:cs="宋体"/>
                <w:b/>
                <w:bCs/>
                <w:color w:val="auto"/>
                <w:kern w:val="2"/>
                <w:sz w:val="24"/>
                <w:szCs w:val="24"/>
                <w:highlight w:val="none"/>
                <w:lang w:val="en-US" w:eastAsia="zh-CN" w:bidi="ar"/>
              </w:rPr>
              <w:t>二、超过一定规模的危险性较大的分部分项工程清单</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0F564B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color w:val="auto"/>
                <w:kern w:val="2"/>
                <w:sz w:val="24"/>
                <w:szCs w:val="24"/>
                <w:highlight w:val="none"/>
                <w:lang w:val="en-US" w:eastAsia="zh-CN" w:bidi="ar"/>
              </w:rPr>
              <w:t>建设单位</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A50B2A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color w:val="auto"/>
                <w:highlight w:val="none"/>
                <w:lang w:val="en-US"/>
              </w:rPr>
            </w:pPr>
            <w:r>
              <w:rPr>
                <w:rFonts w:hint="eastAsia" w:ascii="宋体" w:hAnsi="宋体" w:eastAsia="宋体" w:cs="宋体"/>
                <w:b/>
                <w:bCs w:val="0"/>
                <w:color w:val="auto"/>
                <w:kern w:val="2"/>
                <w:sz w:val="24"/>
                <w:szCs w:val="24"/>
                <w:highlight w:val="none"/>
                <w:lang w:val="en-US" w:eastAsia="zh-CN" w:bidi="ar"/>
              </w:rPr>
              <w:t>投标单位</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9CC200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color w:val="auto"/>
                <w:kern w:val="2"/>
                <w:sz w:val="24"/>
                <w:szCs w:val="24"/>
                <w:highlight w:val="none"/>
                <w:lang w:val="en-US" w:eastAsia="zh-CN" w:bidi="ar"/>
              </w:rPr>
              <w:t>备注</w:t>
            </w:r>
          </w:p>
        </w:tc>
      </w:tr>
      <w:tr w14:paraId="51DD2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12A6E0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一、深基坑工程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7D8783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C019B0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CF2B37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E6CA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27257F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开挖深度超过5m（含5m）的基坑（槽）的土方开挖、支护、降水工程。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323B92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1E4E2C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CC60A7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59F2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019CCA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二、模板工程及支撑体系</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10B7C5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1F3C23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09BD54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8E41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BBE85D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（一）各类工具式模板工程：包括滑模、爬模、飞模、隧道模等工程。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4D5D1C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32AD2D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8BF00A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14C3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AEF522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（二）混凝土模板支撑工程：搭设高度8m及以上，或搭设跨度18m及以上，或施工总荷载（设计值）15kN/m2及以上，或集中线荷载（设计值）20kN/m及以上。</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1D6246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F6F955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0C1E73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29DE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D61405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（三）承重支撑体系：用于钢结构安装等满堂支撑体系，承受单点集中荷载7kN及以上。</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2A01EB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B25E89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123000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170C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1597B3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三、起重吊装及起重机械安装拆卸工程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C91CE5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A3E22E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71267F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BD14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3C5DFB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（一）采用非常规起重设备、方法，且单件起吊重量在100kN及以上的起重吊装工程。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A009B7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134508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A4CEFA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94F2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0CAAE0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（二）起重量300kN及以上，或搭设总高度200m及以上，或搭设基础标高在200m及以上的起重机械安装和拆卸工程。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A727C5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2DD421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76BD93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DBF3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5289F0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281E53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38C0CD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519F2E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661A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FA31E7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（一）搭设高度50m及以上的落地式钢管脚手架工程。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C7B51B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CBB0D8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A8A51B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D0A5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20E80E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（二）提升高度在150m及以上的附着式升降脚手架工程或附着式升降操作平台工程。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0ED336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7F0FAF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7DEE5E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2CC9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EFA1A8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（三）分段架体搭设高度20m及以上的悬挑式脚手架工程。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63CECA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86AEC3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B0412C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2B4B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AACBE0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CAC399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4094B3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E5BF9B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2EC9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F8FE36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（一）码头、桥梁、高架、烟囱、水塔或拆除中容易引起有毒有害气（液）体或粉尘扩散、易燃易爆事故发生的特殊建、构筑物的拆除工程。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6BED96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EF6E8B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406241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A65C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BA8701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（二）文物保护建筑、优秀历史建筑或历史文化风貌区影响范围内的拆除工程。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78597E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D6C54A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04FBB8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0DF3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3" w:hRule="atLeast"/>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1A39E6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六、暗挖工程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74E55E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DD9E6C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C4A758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82A8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097A60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采用矿山法、盾构法、顶管法施工的隧道、洞室工程。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CB6F39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C050BF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6C64A1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9471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322D26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七、其他</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2CA7C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F693AD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67D9A0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99F4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1F20E6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（一）施工高度50m及以上的建筑幕墙安装工程。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E651EA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8FF624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87A948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E4EF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229F0B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（二）跨度36m及以上的钢结构安装工程，或跨度60m及以上的网架和索膜结构安装工程。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D83554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19DCB5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2409F5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432A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D12BFE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（三）开挖深度16m及以上的人工挖孔桩工程。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756CE9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21B977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5C1309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7F86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E3C5FB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（四）水下作业工程。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076D45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3ABBCE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E3ED7D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9852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1C7F3F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（五）重量1000kN及以上的大型结构整体顶升、平移、转体等施工工艺。</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090987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405D47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59CBF7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1A55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179E25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（六）采用新技术、新工艺、新材料、新设备可能影响工程施工安全，尚无国家、行业及地方技术标准的分部分项工程。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E5D788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DF8922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A544AB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bl>
    <w:p w14:paraId="00A9CD31">
      <w:pPr>
        <w:pStyle w:val="6"/>
        <w:spacing w:line="288" w:lineRule="auto"/>
        <w:rPr>
          <w:rFonts w:hint="eastAsia" w:ascii="宋体" w:hAnsi="宋体" w:eastAsia="宋体" w:cs="宋体"/>
          <w:color w:val="auto"/>
          <w:highlight w:val="none"/>
        </w:rPr>
      </w:pPr>
    </w:p>
    <w:p w14:paraId="44E6AB1E">
      <w:pPr>
        <w:pStyle w:val="6"/>
        <w:spacing w:line="288" w:lineRule="auto"/>
        <w:rPr>
          <w:rFonts w:hint="eastAsia" w:ascii="宋体" w:hAnsi="宋体" w:eastAsia="宋体" w:cs="宋体"/>
          <w:color w:val="auto"/>
          <w:highlight w:val="none"/>
        </w:rPr>
      </w:pPr>
    </w:p>
    <w:p w14:paraId="53809DE3">
      <w:pPr>
        <w:spacing w:before="21" w:line="376" w:lineRule="exact"/>
        <w:ind w:firstLine="520" w:firstLineChars="200"/>
        <w:rPr>
          <w:rFonts w:hint="eastAsia" w:ascii="宋体" w:hAnsi="宋体" w:eastAsia="宋体" w:cs="宋体"/>
          <w:color w:val="auto"/>
          <w:spacing w:val="9"/>
          <w:sz w:val="24"/>
          <w:szCs w:val="24"/>
          <w:highlight w:val="none"/>
          <w:lang w:eastAsia="zh-CN"/>
        </w:rPr>
      </w:pPr>
      <w:r>
        <w:rPr>
          <w:rFonts w:hint="eastAsia" w:ascii="宋体" w:hAnsi="宋体" w:eastAsia="宋体" w:cs="宋体"/>
          <w:color w:val="auto"/>
          <w:spacing w:val="10"/>
          <w:sz w:val="24"/>
          <w:szCs w:val="24"/>
          <w:highlight w:val="none"/>
        </w:rPr>
        <w:t>备注：1.根据《危险性较大的分部分项工程安全管理</w:t>
      </w:r>
      <w:r>
        <w:rPr>
          <w:rFonts w:hint="eastAsia" w:ascii="宋体" w:hAnsi="宋体" w:eastAsia="宋体" w:cs="宋体"/>
          <w:color w:val="auto"/>
          <w:spacing w:val="9"/>
          <w:sz w:val="24"/>
          <w:szCs w:val="24"/>
          <w:highlight w:val="none"/>
        </w:rPr>
        <w:t>规定》，该《危险性较大的分部分项工程清单及超</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过一定规模的危险性较大的分部分项工程清单》</w:t>
      </w:r>
      <w:r>
        <w:rPr>
          <w:rFonts w:hint="eastAsia" w:ascii="宋体" w:hAnsi="宋体" w:eastAsia="宋体" w:cs="宋体"/>
          <w:color w:val="auto"/>
          <w:spacing w:val="9"/>
          <w:sz w:val="24"/>
          <w:szCs w:val="24"/>
          <w:highlight w:val="none"/>
          <w:lang w:eastAsia="zh-CN"/>
        </w:rPr>
        <w:t>应由建设单位组织勘察、设计等单位在招标文件中“勾选（对应项打“√”标识”危险性较大的分部分项工程。</w:t>
      </w:r>
    </w:p>
    <w:p w14:paraId="5CF1F685">
      <w:pPr>
        <w:spacing w:before="21" w:line="376" w:lineRule="exact"/>
        <w:ind w:firstLine="512"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2.该《危险性较大的分部分项工程清单及超过一定规模的危险性较</w:t>
      </w:r>
      <w:r>
        <w:rPr>
          <w:rFonts w:hint="eastAsia" w:ascii="宋体" w:hAnsi="宋体" w:eastAsia="宋体" w:cs="宋体"/>
          <w:color w:val="auto"/>
          <w:spacing w:val="7"/>
          <w:sz w:val="24"/>
          <w:szCs w:val="24"/>
          <w:highlight w:val="none"/>
        </w:rPr>
        <w:t>大的分部分项工程清单》在办理</w:t>
      </w:r>
      <w:r>
        <w:rPr>
          <w:rFonts w:hint="eastAsia" w:ascii="宋体" w:hAnsi="宋体" w:eastAsia="宋体" w:cs="宋体"/>
          <w:color w:val="auto"/>
          <w:spacing w:val="10"/>
          <w:sz w:val="24"/>
          <w:szCs w:val="24"/>
          <w:highlight w:val="none"/>
        </w:rPr>
        <w:t>建设项目施工许可时必须提供，且各地建设行政主管部门可按照《广东省建设工</w:t>
      </w:r>
      <w:r>
        <w:rPr>
          <w:rFonts w:hint="eastAsia" w:ascii="宋体" w:hAnsi="宋体" w:eastAsia="宋体" w:cs="宋体"/>
          <w:color w:val="auto"/>
          <w:spacing w:val="9"/>
          <w:sz w:val="24"/>
          <w:szCs w:val="24"/>
          <w:highlight w:val="none"/>
        </w:rPr>
        <w:t>程项目招标中标后监督</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检查办法》相关规定开展检查。</w:t>
      </w:r>
    </w:p>
    <w:p w14:paraId="2407D028">
      <w:pPr>
        <w:spacing w:before="28" w:line="228" w:lineRule="auto"/>
        <w:ind w:left="553" w:leftChars="244" w:hanging="41" w:hangingChars="16"/>
        <w:rPr>
          <w:rFonts w:hint="eastAsia" w:ascii="宋体" w:hAnsi="宋体" w:eastAsia="宋体" w:cs="宋体"/>
          <w:color w:val="auto"/>
          <w:spacing w:val="8"/>
          <w:sz w:val="24"/>
          <w:szCs w:val="24"/>
          <w:highlight w:val="none"/>
          <w:lang w:eastAsia="zh-CN"/>
        </w:rPr>
      </w:pPr>
      <w:r>
        <w:rPr>
          <w:rFonts w:hint="eastAsia" w:ascii="宋体" w:hAnsi="宋体" w:eastAsia="宋体" w:cs="宋体"/>
          <w:color w:val="auto"/>
          <w:spacing w:val="9"/>
          <w:sz w:val="24"/>
          <w:szCs w:val="24"/>
          <w:highlight w:val="none"/>
        </w:rPr>
        <w:t>3.如果需要（如需要通过计算编制专项方案，或者需要专家论证</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9"/>
          <w:sz w:val="24"/>
          <w:szCs w:val="24"/>
          <w:highlight w:val="none"/>
        </w:rPr>
        <w:t>可中</w:t>
      </w:r>
      <w:r>
        <w:rPr>
          <w:rFonts w:hint="eastAsia" w:ascii="宋体" w:hAnsi="宋体" w:eastAsia="宋体" w:cs="宋体"/>
          <w:color w:val="auto"/>
          <w:spacing w:val="8"/>
          <w:sz w:val="24"/>
          <w:szCs w:val="24"/>
          <w:highlight w:val="none"/>
        </w:rPr>
        <w:t>标后提供</w:t>
      </w:r>
      <w:r>
        <w:rPr>
          <w:rFonts w:hint="eastAsia" w:ascii="宋体" w:hAnsi="宋体" w:eastAsia="宋体" w:cs="宋体"/>
          <w:color w:val="auto"/>
          <w:spacing w:val="8"/>
          <w:sz w:val="24"/>
          <w:szCs w:val="24"/>
          <w:highlight w:val="none"/>
          <w:lang w:eastAsia="zh-CN"/>
        </w:rPr>
        <w:t>详细版。</w:t>
      </w:r>
    </w:p>
    <w:p w14:paraId="52D3F718">
      <w:pPr>
        <w:rPr>
          <w:color w:val="auto"/>
          <w:highlight w:val="none"/>
        </w:rPr>
      </w:pPr>
    </w:p>
    <w:p w14:paraId="77B667EE">
      <w:pPr>
        <w:pStyle w:val="14"/>
        <w:rPr>
          <w:rFonts w:hint="eastAsia" w:ascii="宋体" w:hAnsi="宋体" w:eastAsia="宋体" w:cs="宋体"/>
          <w:b/>
          <w:bCs/>
          <w:color w:val="auto"/>
          <w:spacing w:val="-4"/>
          <w:sz w:val="24"/>
          <w:szCs w:val="24"/>
          <w:highlight w:val="none"/>
        </w:rPr>
      </w:pPr>
    </w:p>
    <w:p w14:paraId="7353CEAB">
      <w:pPr>
        <w:pStyle w:val="14"/>
        <w:rPr>
          <w:rFonts w:hint="eastAsia" w:ascii="宋体" w:hAnsi="宋体" w:eastAsia="宋体" w:cs="宋体"/>
          <w:b/>
          <w:bCs/>
          <w:color w:val="auto"/>
          <w:spacing w:val="-4"/>
          <w:sz w:val="24"/>
          <w:szCs w:val="24"/>
          <w:highlight w:val="none"/>
        </w:rPr>
      </w:pPr>
    </w:p>
    <w:p w14:paraId="7BC0F757">
      <w:pPr>
        <w:pStyle w:val="14"/>
        <w:rPr>
          <w:rFonts w:hint="eastAsia" w:ascii="宋体" w:hAnsi="宋体" w:eastAsia="宋体" w:cs="宋体"/>
          <w:b/>
          <w:bCs/>
          <w:color w:val="auto"/>
          <w:spacing w:val="-4"/>
          <w:sz w:val="24"/>
          <w:szCs w:val="24"/>
          <w:highlight w:val="none"/>
        </w:rPr>
      </w:pPr>
    </w:p>
    <w:p w14:paraId="25244F8F">
      <w:pPr>
        <w:pStyle w:val="14"/>
        <w:rPr>
          <w:rFonts w:hint="eastAsia" w:ascii="宋体" w:hAnsi="宋体" w:eastAsia="宋体" w:cs="宋体"/>
          <w:b/>
          <w:bCs/>
          <w:color w:val="auto"/>
          <w:spacing w:val="-4"/>
          <w:sz w:val="24"/>
          <w:szCs w:val="24"/>
          <w:highlight w:val="none"/>
        </w:rPr>
      </w:pPr>
    </w:p>
    <w:p w14:paraId="2099144E">
      <w:pPr>
        <w:pStyle w:val="14"/>
        <w:rPr>
          <w:rFonts w:hint="eastAsia" w:ascii="宋体" w:hAnsi="宋体" w:eastAsia="宋体" w:cs="宋体"/>
          <w:b/>
          <w:bCs/>
          <w:color w:val="auto"/>
          <w:spacing w:val="-4"/>
          <w:sz w:val="24"/>
          <w:szCs w:val="24"/>
          <w:highlight w:val="none"/>
        </w:rPr>
      </w:pPr>
    </w:p>
    <w:p w14:paraId="3EA8987A">
      <w:pPr>
        <w:pStyle w:val="14"/>
        <w:ind w:left="0" w:leftChars="0" w:firstLine="0" w:firstLineChars="0"/>
        <w:rPr>
          <w:rFonts w:hint="eastAsia" w:ascii="宋体" w:hAnsi="宋体" w:eastAsia="宋体" w:cs="宋体"/>
          <w:b/>
          <w:bCs/>
          <w:color w:val="auto"/>
          <w:spacing w:val="-4"/>
          <w:sz w:val="24"/>
          <w:szCs w:val="24"/>
          <w:highlight w:val="none"/>
        </w:rPr>
      </w:pPr>
    </w:p>
    <w:p w14:paraId="103650DD">
      <w:pPr>
        <w:spacing w:before="78" w:line="220" w:lineRule="auto"/>
        <w:jc w:val="left"/>
        <w:outlineLvl w:val="9"/>
        <w:rPr>
          <w:rFonts w:hint="eastAsia" w:ascii="宋体" w:hAnsi="宋体" w:eastAsia="宋体" w:cs="宋体"/>
          <w:b/>
          <w:bCs/>
          <w:color w:val="auto"/>
          <w:spacing w:val="-4"/>
          <w:sz w:val="24"/>
          <w:szCs w:val="24"/>
          <w:highlight w:val="none"/>
        </w:rPr>
      </w:pPr>
    </w:p>
    <w:p w14:paraId="6C9A6F64">
      <w:pPr>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rPr>
        <w:br w:type="page"/>
      </w:r>
    </w:p>
    <w:p w14:paraId="4E112B74">
      <w:pPr>
        <w:spacing w:before="78" w:line="220" w:lineRule="auto"/>
        <w:jc w:val="both"/>
        <w:outlineLvl w:val="2"/>
        <w:rPr>
          <w:rFonts w:hint="default" w:ascii="宋体" w:hAnsi="宋体" w:eastAsia="宋体" w:cs="宋体"/>
          <w:b/>
          <w:bCs/>
          <w:color w:val="auto"/>
          <w:spacing w:val="-4"/>
          <w:sz w:val="24"/>
          <w:szCs w:val="24"/>
          <w:highlight w:val="none"/>
          <w:lang w:val="en-US" w:eastAsia="zh-CN"/>
        </w:rPr>
      </w:pPr>
      <w:bookmarkStart w:id="268" w:name="_Toc738"/>
      <w:r>
        <w:rPr>
          <w:rFonts w:hint="eastAsia" w:ascii="宋体" w:hAnsi="宋体" w:eastAsia="宋体" w:cs="宋体"/>
          <w:b/>
          <w:bCs/>
          <w:color w:val="auto"/>
          <w:spacing w:val="-4"/>
          <w:sz w:val="24"/>
          <w:szCs w:val="24"/>
          <w:highlight w:val="none"/>
        </w:rPr>
        <w:t>格式十四</w:t>
      </w:r>
      <w:r>
        <w:rPr>
          <w:rFonts w:hint="eastAsia" w:ascii="宋体" w:hAnsi="宋体" w:eastAsia="宋体" w:cs="宋体"/>
          <w:b/>
          <w:bCs/>
          <w:color w:val="auto"/>
          <w:spacing w:val="-4"/>
          <w:sz w:val="24"/>
          <w:szCs w:val="24"/>
          <w:highlight w:val="none"/>
          <w:lang w:val="en-US" w:eastAsia="zh-CN"/>
        </w:rPr>
        <w:t xml:space="preserve">  </w:t>
      </w:r>
      <w:r>
        <w:rPr>
          <w:rFonts w:hint="eastAsia" w:ascii="宋体" w:hAnsi="宋体" w:eastAsia="宋体" w:cs="宋体"/>
          <w:b/>
          <w:bCs/>
          <w:color w:val="auto"/>
          <w:spacing w:val="4"/>
          <w:position w:val="3"/>
          <w:sz w:val="21"/>
          <w:szCs w:val="21"/>
          <w:highlight w:val="none"/>
        </w:rPr>
        <w:t>投标保证金信用承诺函</w:t>
      </w:r>
      <w:bookmarkEnd w:id="268"/>
    </w:p>
    <w:p w14:paraId="20478BA2">
      <w:pPr>
        <w:spacing w:before="140" w:line="604" w:lineRule="exact"/>
        <w:jc w:val="center"/>
        <w:rPr>
          <w:rFonts w:hint="eastAsia" w:ascii="宋体" w:hAnsi="宋体" w:eastAsia="宋体" w:cs="宋体"/>
          <w:color w:val="auto"/>
          <w:sz w:val="28"/>
          <w:szCs w:val="28"/>
          <w:highlight w:val="none"/>
        </w:rPr>
      </w:pPr>
      <w:r>
        <w:rPr>
          <w:rFonts w:hint="eastAsia" w:ascii="宋体" w:hAnsi="宋体" w:eastAsia="宋体" w:cs="宋体"/>
          <w:b/>
          <w:bCs/>
          <w:color w:val="auto"/>
          <w:spacing w:val="4"/>
          <w:position w:val="3"/>
          <w:sz w:val="28"/>
          <w:szCs w:val="28"/>
          <w:highlight w:val="none"/>
        </w:rPr>
        <w:t>投标保证金信用承诺函</w:t>
      </w:r>
    </w:p>
    <w:p w14:paraId="06CA68F3">
      <w:pPr>
        <w:pStyle w:val="6"/>
        <w:spacing w:line="408" w:lineRule="auto"/>
        <w:rPr>
          <w:rFonts w:hint="eastAsia" w:ascii="宋体" w:hAnsi="宋体" w:eastAsia="宋体" w:cs="宋体"/>
          <w:color w:val="auto"/>
          <w:highlight w:val="none"/>
        </w:rPr>
      </w:pPr>
    </w:p>
    <w:p w14:paraId="6190CB97">
      <w:pPr>
        <w:spacing w:before="101" w:line="257" w:lineRule="auto"/>
        <w:ind w:left="3" w:firstLine="965"/>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7"/>
          <w:sz w:val="24"/>
          <w:szCs w:val="24"/>
          <w:highlight w:val="none"/>
        </w:rPr>
        <w:t>一、</w:t>
      </w:r>
      <w:r>
        <w:rPr>
          <w:rFonts w:hint="eastAsia" w:ascii="宋体" w:hAnsi="宋体" w:eastAsia="宋体" w:cs="宋体"/>
          <w:color w:val="auto"/>
          <w:spacing w:val="7"/>
          <w:sz w:val="24"/>
          <w:szCs w:val="24"/>
          <w:highlight w:val="none"/>
        </w:rPr>
        <w:t>我单位参加</w:t>
      </w:r>
      <w:r>
        <w:rPr>
          <w:rFonts w:hint="eastAsia" w:ascii="宋体" w:hAnsi="宋体" w:eastAsia="宋体" w:cs="宋体"/>
          <w:color w:val="auto"/>
          <w:spacing w:val="7"/>
          <w:sz w:val="24"/>
          <w:szCs w:val="24"/>
          <w:highlight w:val="none"/>
          <w:u w:val="single"/>
        </w:rPr>
        <w:t xml:space="preserve">  （工程项目名称）  </w:t>
      </w:r>
      <w:r>
        <w:rPr>
          <w:rFonts w:hint="eastAsia" w:ascii="宋体" w:hAnsi="宋体" w:eastAsia="宋体" w:cs="宋体"/>
          <w:color w:val="auto"/>
          <w:spacing w:val="-116"/>
          <w:sz w:val="24"/>
          <w:szCs w:val="24"/>
          <w:highlight w:val="none"/>
        </w:rPr>
        <w:t xml:space="preserve"> </w:t>
      </w:r>
      <w:r>
        <w:rPr>
          <w:rFonts w:hint="eastAsia" w:ascii="宋体" w:hAnsi="宋体" w:eastAsia="宋体" w:cs="宋体"/>
          <w:color w:val="auto"/>
          <w:spacing w:val="7"/>
          <w:sz w:val="24"/>
          <w:szCs w:val="24"/>
          <w:highlight w:val="none"/>
        </w:rPr>
        <w:t>的投标活动，</w:t>
      </w:r>
      <w:r>
        <w:rPr>
          <w:rFonts w:hint="eastAsia" w:ascii="宋体" w:hAnsi="宋体" w:eastAsia="宋体" w:cs="宋体"/>
          <w:color w:val="auto"/>
          <w:spacing w:val="6"/>
          <w:sz w:val="24"/>
          <w:szCs w:val="24"/>
          <w:highlight w:val="none"/>
        </w:rPr>
        <w:t>现承</w:t>
      </w:r>
      <w:r>
        <w:rPr>
          <w:rFonts w:hint="eastAsia" w:ascii="宋体" w:hAnsi="宋体" w:eastAsia="宋体" w:cs="宋体"/>
          <w:color w:val="auto"/>
          <w:spacing w:val="9"/>
          <w:sz w:val="24"/>
          <w:szCs w:val="24"/>
          <w:highlight w:val="none"/>
        </w:rPr>
        <w:t>诺：将严格按照法律法规规定参与交易活动，按照招标文件要求</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依法履行投标人义务；我方若出现违反《中华人民共和国招标投</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标法》、《中华人民共和国招标投标法实施条例》、《电子招标</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9"/>
          <w:sz w:val="24"/>
          <w:szCs w:val="24"/>
          <w:highlight w:val="none"/>
        </w:rPr>
        <w:t>投标办法》等有关法律法规的行为，将于投标有效期内全额付清</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pacing w:val="7"/>
          <w:sz w:val="24"/>
          <w:szCs w:val="24"/>
          <w:highlight w:val="none"/>
        </w:rPr>
        <w:t>招标文件规定的投标保证金</w:t>
      </w:r>
      <w:r>
        <w:rPr>
          <w:rFonts w:hint="eastAsia" w:ascii="宋体" w:hAnsi="宋体" w:eastAsia="宋体" w:cs="宋体"/>
          <w:color w:val="auto"/>
          <w:spacing w:val="-153"/>
          <w:sz w:val="24"/>
          <w:szCs w:val="24"/>
          <w:highlight w:val="none"/>
        </w:rPr>
        <w:t xml:space="preserve"> </w:t>
      </w:r>
      <w:r>
        <w:rPr>
          <w:rFonts w:hint="eastAsia" w:ascii="宋体" w:hAnsi="宋体" w:eastAsia="宋体" w:cs="宋体"/>
          <w:color w:val="auto"/>
          <w:spacing w:val="5"/>
          <w:sz w:val="24"/>
          <w:szCs w:val="24"/>
          <w:highlight w:val="none"/>
          <w:u w:val="single"/>
        </w:rPr>
        <w:t xml:space="preserve">     </w:t>
      </w:r>
      <w:r>
        <w:rPr>
          <w:rFonts w:hint="eastAsia" w:ascii="宋体" w:hAnsi="宋体" w:eastAsia="宋体" w:cs="宋体"/>
          <w:color w:val="auto"/>
          <w:spacing w:val="-138"/>
          <w:sz w:val="24"/>
          <w:szCs w:val="24"/>
          <w:highlight w:val="none"/>
        </w:rPr>
        <w:t xml:space="preserve"> </w:t>
      </w:r>
      <w:r>
        <w:rPr>
          <w:rFonts w:hint="eastAsia" w:ascii="宋体" w:hAnsi="宋体" w:eastAsia="宋体" w:cs="宋体"/>
          <w:color w:val="auto"/>
          <w:spacing w:val="7"/>
          <w:sz w:val="24"/>
          <w:szCs w:val="24"/>
          <w:highlight w:val="none"/>
        </w:rPr>
        <w:t>元。</w:t>
      </w:r>
    </w:p>
    <w:p w14:paraId="2A1A631F">
      <w:pPr>
        <w:spacing w:before="48" w:line="252" w:lineRule="auto"/>
        <w:ind w:left="1" w:firstLine="647"/>
        <w:jc w:val="both"/>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二、至投标文件提交当天，本公司无严重不良信用记录或存在曾作出虚假承诺的情形，且不属于韶关市建筑市场信用管理平</w:t>
      </w:r>
      <w:r>
        <w:rPr>
          <w:rFonts w:hint="eastAsia" w:ascii="宋体" w:hAnsi="宋体" w:eastAsia="宋体" w:cs="宋体"/>
          <w:color w:val="auto"/>
          <w:spacing w:val="14"/>
          <w:sz w:val="24"/>
          <w:szCs w:val="24"/>
          <w:highlight w:val="none"/>
        </w:rPr>
        <w:t xml:space="preserve"> </w:t>
      </w:r>
      <w:r>
        <w:rPr>
          <w:rFonts w:hint="eastAsia" w:ascii="宋体" w:hAnsi="宋体" w:eastAsia="宋体" w:cs="宋体"/>
          <w:color w:val="auto"/>
          <w:spacing w:val="5"/>
          <w:sz w:val="24"/>
          <w:szCs w:val="24"/>
          <w:highlight w:val="none"/>
        </w:rPr>
        <w:t>台公布的信用等级为</w:t>
      </w:r>
      <w:r>
        <w:rPr>
          <w:rFonts w:hint="eastAsia" w:ascii="宋体" w:hAnsi="宋体" w:eastAsia="宋体" w:cs="宋体"/>
          <w:color w:val="auto"/>
          <w:spacing w:val="-62"/>
          <w:sz w:val="24"/>
          <w:szCs w:val="24"/>
          <w:highlight w:val="none"/>
        </w:rPr>
        <w:t xml:space="preserve"> </w:t>
      </w:r>
      <w:r>
        <w:rPr>
          <w:rFonts w:hint="eastAsia" w:ascii="宋体" w:hAnsi="宋体" w:eastAsia="宋体" w:cs="宋体"/>
          <w:color w:val="auto"/>
          <w:spacing w:val="5"/>
          <w:sz w:val="24"/>
          <w:szCs w:val="24"/>
          <w:highlight w:val="none"/>
        </w:rPr>
        <w:t>B</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级、C</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级、D</w:t>
      </w:r>
      <w:r>
        <w:rPr>
          <w:rFonts w:hint="eastAsia" w:ascii="宋体" w:hAnsi="宋体" w:eastAsia="宋体" w:cs="宋体"/>
          <w:color w:val="auto"/>
          <w:spacing w:val="-57"/>
          <w:sz w:val="24"/>
          <w:szCs w:val="24"/>
          <w:highlight w:val="none"/>
        </w:rPr>
        <w:t xml:space="preserve"> </w:t>
      </w:r>
      <w:r>
        <w:rPr>
          <w:rFonts w:hint="eastAsia" w:ascii="宋体" w:hAnsi="宋体" w:eastAsia="宋体" w:cs="宋体"/>
          <w:color w:val="auto"/>
          <w:spacing w:val="5"/>
          <w:sz w:val="24"/>
          <w:szCs w:val="24"/>
          <w:highlight w:val="none"/>
        </w:rPr>
        <w:t>级的企业。</w:t>
      </w:r>
    </w:p>
    <w:p w14:paraId="77797558">
      <w:pPr>
        <w:spacing w:before="52" w:line="247" w:lineRule="auto"/>
        <w:ind w:left="6" w:right="2" w:firstLine="638"/>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本企业对以上承诺和声明负责。如有虚假，愿接受行政主管</w:t>
      </w:r>
      <w:r>
        <w:rPr>
          <w:rFonts w:hint="eastAsia" w:ascii="宋体" w:hAnsi="宋体" w:eastAsia="宋体" w:cs="宋体"/>
          <w:color w:val="auto"/>
          <w:spacing w:val="8"/>
          <w:sz w:val="24"/>
          <w:szCs w:val="24"/>
          <w:highlight w:val="none"/>
        </w:rPr>
        <w:t>部门作出的处罚，并承担以下后果：</w:t>
      </w:r>
    </w:p>
    <w:p w14:paraId="6FDADFEA">
      <w:pPr>
        <w:spacing w:before="48"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（一）取消本单位在本项目中的投标资格或中标资格；</w:t>
      </w:r>
    </w:p>
    <w:p w14:paraId="2E4988C1">
      <w:pPr>
        <w:spacing w:before="64"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（二）将本单位不良行为纳入信用信息管理系统；</w:t>
      </w:r>
    </w:p>
    <w:p w14:paraId="2BE0B852">
      <w:pPr>
        <w:spacing w:before="60" w:line="244" w:lineRule="auto"/>
        <w:ind w:left="41" w:right="2" w:firstLine="615"/>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（三）主动在产生不良行为所在的各县（市、区）行</w:t>
      </w:r>
      <w:r>
        <w:rPr>
          <w:rFonts w:hint="eastAsia" w:ascii="宋体" w:hAnsi="宋体" w:eastAsia="宋体" w:cs="宋体"/>
          <w:color w:val="auto"/>
          <w:spacing w:val="8"/>
          <w:sz w:val="24"/>
          <w:szCs w:val="24"/>
          <w:highlight w:val="none"/>
        </w:rPr>
        <w:t>政区域</w:t>
      </w:r>
      <w:r>
        <w:rPr>
          <w:rFonts w:hint="eastAsia" w:ascii="宋体" w:hAnsi="宋体" w:eastAsia="宋体" w:cs="宋体"/>
          <w:color w:val="auto"/>
          <w:spacing w:val="6"/>
          <w:sz w:val="24"/>
          <w:szCs w:val="24"/>
          <w:highlight w:val="none"/>
        </w:rPr>
        <w:t>内不参加房建市政工程项目的投标活动一年；</w:t>
      </w:r>
    </w:p>
    <w:p w14:paraId="2977FF7D">
      <w:pPr>
        <w:spacing w:before="63" w:line="225" w:lineRule="auto"/>
        <w:ind w:left="656"/>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（四）应付的赔偿责任和相应法律责任。</w:t>
      </w:r>
    </w:p>
    <w:p w14:paraId="6935A407">
      <w:pPr>
        <w:pStyle w:val="6"/>
        <w:spacing w:line="329" w:lineRule="auto"/>
        <w:rPr>
          <w:rFonts w:hint="eastAsia" w:ascii="宋体" w:hAnsi="宋体" w:eastAsia="宋体" w:cs="宋体"/>
          <w:color w:val="auto"/>
          <w:sz w:val="24"/>
          <w:szCs w:val="24"/>
          <w:highlight w:val="none"/>
        </w:rPr>
      </w:pPr>
    </w:p>
    <w:p w14:paraId="28791B82">
      <w:pPr>
        <w:spacing w:before="102" w:line="225" w:lineRule="auto"/>
        <w:ind w:left="845"/>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单位名称（公章</w:t>
      </w:r>
      <w:r>
        <w:rPr>
          <w:rFonts w:hint="eastAsia" w:ascii="宋体" w:hAnsi="宋体" w:eastAsia="宋体" w:cs="宋体"/>
          <w:color w:val="auto"/>
          <w:spacing w:val="1"/>
          <w:sz w:val="24"/>
          <w:szCs w:val="24"/>
          <w:highlight w:val="none"/>
        </w:rPr>
        <w:t>）：</w:t>
      </w:r>
    </w:p>
    <w:p w14:paraId="251FED33">
      <w:pPr>
        <w:pStyle w:val="6"/>
        <w:spacing w:line="457" w:lineRule="auto"/>
        <w:rPr>
          <w:rFonts w:hint="eastAsia" w:ascii="宋体" w:hAnsi="宋体" w:eastAsia="宋体" w:cs="宋体"/>
          <w:color w:val="auto"/>
          <w:sz w:val="24"/>
          <w:szCs w:val="24"/>
          <w:highlight w:val="none"/>
        </w:rPr>
      </w:pPr>
    </w:p>
    <w:p w14:paraId="74661644">
      <w:pPr>
        <w:spacing w:before="100" w:line="225" w:lineRule="auto"/>
        <w:ind w:left="850"/>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统一社会信用代码：</w:t>
      </w:r>
    </w:p>
    <w:p w14:paraId="433913F6">
      <w:pPr>
        <w:pStyle w:val="6"/>
        <w:spacing w:line="457" w:lineRule="auto"/>
        <w:rPr>
          <w:rFonts w:hint="eastAsia" w:ascii="宋体" w:hAnsi="宋体" w:eastAsia="宋体" w:cs="宋体"/>
          <w:color w:val="auto"/>
          <w:sz w:val="24"/>
          <w:szCs w:val="24"/>
          <w:highlight w:val="none"/>
        </w:rPr>
      </w:pPr>
    </w:p>
    <w:p w14:paraId="12B0B2E7">
      <w:pPr>
        <w:spacing w:before="102" w:line="543" w:lineRule="auto"/>
        <w:ind w:left="844" w:right="5000"/>
        <w:rPr>
          <w:rFonts w:hint="eastAsia" w:ascii="宋体" w:hAnsi="宋体" w:eastAsia="宋体" w:cs="宋体"/>
          <w:color w:val="auto"/>
          <w:spacing w:val="-29"/>
          <w:sz w:val="24"/>
          <w:szCs w:val="24"/>
          <w:highlight w:val="none"/>
        </w:rPr>
      </w:pPr>
      <w:r>
        <w:rPr>
          <w:rFonts w:hint="eastAsia" w:ascii="宋体" w:hAnsi="宋体" w:eastAsia="宋体" w:cs="宋体"/>
          <w:color w:val="auto"/>
          <w:spacing w:val="8"/>
          <w:sz w:val="24"/>
          <w:szCs w:val="24"/>
          <w:highlight w:val="none"/>
        </w:rPr>
        <w:t>法定代表人（签字</w:t>
      </w:r>
      <w:r>
        <w:rPr>
          <w:rFonts w:hint="eastAsia" w:ascii="宋体" w:hAnsi="宋体" w:eastAsia="宋体" w:cs="宋体"/>
          <w:color w:val="auto"/>
          <w:spacing w:val="-29"/>
          <w:sz w:val="24"/>
          <w:szCs w:val="24"/>
          <w:highlight w:val="none"/>
        </w:rPr>
        <w:t>）：</w:t>
      </w:r>
    </w:p>
    <w:p w14:paraId="4DA818FA">
      <w:pPr>
        <w:spacing w:before="102" w:line="543" w:lineRule="auto"/>
        <w:ind w:left="844" w:right="5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6"/>
          <w:sz w:val="24"/>
          <w:szCs w:val="24"/>
          <w:highlight w:val="none"/>
        </w:rPr>
        <w:t>年</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6"/>
          <w:sz w:val="24"/>
          <w:szCs w:val="24"/>
          <w:highlight w:val="none"/>
        </w:rPr>
        <w:t>月</w:t>
      </w:r>
      <w:r>
        <w:rPr>
          <w:rFonts w:hint="eastAsia" w:ascii="宋体" w:hAnsi="宋体" w:eastAsia="宋体" w:cs="宋体"/>
          <w:color w:val="auto"/>
          <w:spacing w:val="39"/>
          <w:sz w:val="24"/>
          <w:szCs w:val="24"/>
          <w:highlight w:val="none"/>
        </w:rPr>
        <w:t xml:space="preserve"> </w:t>
      </w:r>
      <w:r>
        <w:rPr>
          <w:rFonts w:hint="eastAsia" w:ascii="宋体" w:hAnsi="宋体" w:eastAsia="宋体" w:cs="宋体"/>
          <w:color w:val="auto"/>
          <w:spacing w:val="39"/>
          <w:sz w:val="24"/>
          <w:szCs w:val="24"/>
          <w:highlight w:val="none"/>
          <w:lang w:val="en-US" w:eastAsia="zh-CN"/>
        </w:rPr>
        <w:t xml:space="preserve">  </w:t>
      </w:r>
      <w:r>
        <w:rPr>
          <w:rFonts w:hint="eastAsia" w:ascii="宋体" w:hAnsi="宋体" w:eastAsia="宋体" w:cs="宋体"/>
          <w:color w:val="auto"/>
          <w:spacing w:val="-6"/>
          <w:sz w:val="24"/>
          <w:szCs w:val="24"/>
          <w:highlight w:val="none"/>
        </w:rPr>
        <w:t>日</w:t>
      </w:r>
    </w:p>
    <w:p w14:paraId="364BC4A7">
      <w:pPr>
        <w:pStyle w:val="14"/>
        <w:rPr>
          <w:rFonts w:hint="eastAsia" w:ascii="宋体" w:hAnsi="宋体" w:eastAsia="宋体" w:cs="宋体"/>
          <w:color w:val="auto"/>
          <w:highlight w:val="none"/>
        </w:rPr>
      </w:pPr>
    </w:p>
    <w:p w14:paraId="473A10BB">
      <w:pPr>
        <w:pStyle w:val="14"/>
        <w:rPr>
          <w:rFonts w:hint="eastAsia" w:ascii="宋体" w:hAnsi="宋体" w:eastAsia="宋体" w:cs="宋体"/>
          <w:color w:val="auto"/>
          <w:spacing w:val="8"/>
          <w:sz w:val="24"/>
          <w:szCs w:val="24"/>
          <w:highlight w:val="none"/>
          <w:lang w:eastAsia="zh-CN"/>
        </w:rPr>
        <w:sectPr>
          <w:footerReference r:id="rId25"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pPr>
    </w:p>
    <w:p w14:paraId="168C9B33">
      <w:pPr>
        <w:spacing w:before="78" w:line="220" w:lineRule="auto"/>
        <w:outlineLvl w:val="2"/>
        <w:rPr>
          <w:rFonts w:hint="eastAsia" w:ascii="宋体" w:hAnsi="宋体" w:eastAsia="宋体" w:cs="宋体"/>
          <w:b/>
          <w:bCs/>
          <w:color w:val="auto"/>
          <w:spacing w:val="-4"/>
          <w:sz w:val="24"/>
          <w:szCs w:val="24"/>
          <w:highlight w:val="none"/>
        </w:rPr>
      </w:pPr>
      <w:bookmarkStart w:id="269" w:name="_Toc9960"/>
      <w:r>
        <w:rPr>
          <w:rFonts w:hint="eastAsia" w:ascii="宋体" w:hAnsi="宋体" w:eastAsia="宋体" w:cs="宋体"/>
          <w:b/>
          <w:bCs/>
          <w:color w:val="auto"/>
          <w:spacing w:val="-4"/>
          <w:sz w:val="24"/>
          <w:szCs w:val="24"/>
          <w:highlight w:val="none"/>
        </w:rPr>
        <w:t>格式十</w:t>
      </w:r>
      <w:r>
        <w:rPr>
          <w:rFonts w:hint="eastAsia" w:ascii="宋体" w:hAnsi="宋体" w:eastAsia="宋体" w:cs="宋体"/>
          <w:b/>
          <w:bCs/>
          <w:color w:val="auto"/>
          <w:spacing w:val="-4"/>
          <w:sz w:val="24"/>
          <w:szCs w:val="24"/>
          <w:highlight w:val="none"/>
          <w:lang w:eastAsia="zh-CN"/>
        </w:rPr>
        <w:t>五</w:t>
      </w:r>
      <w:r>
        <w:rPr>
          <w:rFonts w:hint="eastAsia" w:ascii="宋体" w:hAnsi="宋体" w:eastAsia="宋体" w:cs="宋体"/>
          <w:b/>
          <w:bCs/>
          <w:color w:val="auto"/>
          <w:spacing w:val="-4"/>
          <w:sz w:val="24"/>
          <w:szCs w:val="24"/>
          <w:highlight w:val="none"/>
        </w:rPr>
        <w:t xml:space="preserve">  原件一览表</w:t>
      </w:r>
      <w:bookmarkEnd w:id="269"/>
    </w:p>
    <w:tbl>
      <w:tblPr>
        <w:tblStyle w:val="15"/>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096EF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1C6E7B85">
            <w:pPr>
              <w:spacing w:before="132" w:line="220" w:lineRule="auto"/>
              <w:ind w:left="3965"/>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原件一览表</w:t>
            </w:r>
          </w:p>
        </w:tc>
      </w:tr>
      <w:tr w14:paraId="59C97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top"/>
          </w:tcPr>
          <w:p w14:paraId="295EBC76">
            <w:pPr>
              <w:pStyle w:val="22"/>
              <w:spacing w:line="253" w:lineRule="auto"/>
              <w:rPr>
                <w:rFonts w:hint="eastAsia" w:ascii="宋体" w:hAnsi="宋体" w:eastAsia="宋体" w:cs="宋体"/>
                <w:color w:val="auto"/>
                <w:sz w:val="24"/>
                <w:szCs w:val="24"/>
                <w:highlight w:val="none"/>
              </w:rPr>
            </w:pPr>
          </w:p>
          <w:p w14:paraId="47396859">
            <w:pPr>
              <w:spacing w:before="62"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工程名称</w:t>
            </w:r>
          </w:p>
        </w:tc>
        <w:tc>
          <w:tcPr>
            <w:tcW w:w="6816" w:type="dxa"/>
            <w:gridSpan w:val="6"/>
            <w:vAlign w:val="top"/>
          </w:tcPr>
          <w:p w14:paraId="7B225A4B">
            <w:pPr>
              <w:pStyle w:val="22"/>
              <w:rPr>
                <w:rFonts w:hint="eastAsia" w:ascii="宋体" w:hAnsi="宋体" w:eastAsia="宋体" w:cs="宋体"/>
                <w:color w:val="auto"/>
                <w:sz w:val="24"/>
                <w:szCs w:val="24"/>
                <w:highlight w:val="none"/>
              </w:rPr>
            </w:pPr>
          </w:p>
        </w:tc>
      </w:tr>
      <w:tr w14:paraId="7AE46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4265B267">
            <w:pPr>
              <w:spacing w:before="150" w:line="230" w:lineRule="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投标人名称</w:t>
            </w:r>
            <w:r>
              <w:rPr>
                <w:rFonts w:hint="eastAsia" w:ascii="宋体" w:hAnsi="宋体" w:eastAsia="宋体" w:cs="宋体"/>
                <w:color w:val="auto"/>
                <w:spacing w:val="5"/>
                <w:sz w:val="24"/>
                <w:szCs w:val="24"/>
                <w:highlight w:val="none"/>
              </w:rPr>
              <w:t>(请务必填写单位全称)</w:t>
            </w:r>
          </w:p>
        </w:tc>
        <w:tc>
          <w:tcPr>
            <w:tcW w:w="6816" w:type="dxa"/>
            <w:gridSpan w:val="6"/>
            <w:vAlign w:val="top"/>
          </w:tcPr>
          <w:p w14:paraId="461DE122">
            <w:pPr>
              <w:pStyle w:val="22"/>
              <w:rPr>
                <w:rFonts w:hint="eastAsia" w:ascii="宋体" w:hAnsi="宋体" w:eastAsia="宋体" w:cs="宋体"/>
                <w:color w:val="auto"/>
                <w:sz w:val="24"/>
                <w:szCs w:val="24"/>
                <w:highlight w:val="none"/>
              </w:rPr>
            </w:pPr>
          </w:p>
        </w:tc>
      </w:tr>
      <w:tr w14:paraId="36A18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75E2154B">
            <w:pPr>
              <w:spacing w:before="151"/>
              <w:ind w:right="14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投标人法定代表人或其委托代理人签名</w:t>
            </w:r>
          </w:p>
        </w:tc>
        <w:tc>
          <w:tcPr>
            <w:tcW w:w="2689" w:type="dxa"/>
            <w:gridSpan w:val="2"/>
            <w:vAlign w:val="top"/>
          </w:tcPr>
          <w:p w14:paraId="578C1669">
            <w:pPr>
              <w:pStyle w:val="22"/>
              <w:rPr>
                <w:rFonts w:hint="eastAsia" w:ascii="宋体" w:hAnsi="宋体" w:eastAsia="宋体" w:cs="宋体"/>
                <w:color w:val="auto"/>
                <w:sz w:val="24"/>
                <w:szCs w:val="24"/>
                <w:highlight w:val="none"/>
              </w:rPr>
            </w:pPr>
          </w:p>
        </w:tc>
        <w:tc>
          <w:tcPr>
            <w:tcW w:w="1499" w:type="dxa"/>
            <w:gridSpan w:val="2"/>
            <w:vAlign w:val="top"/>
          </w:tcPr>
          <w:p w14:paraId="01659EE4">
            <w:pPr>
              <w:spacing w:before="151" w:line="312" w:lineRule="auto"/>
              <w:ind w:right="17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手机</w:t>
            </w:r>
            <w:r>
              <w:rPr>
                <w:rFonts w:hint="eastAsia" w:ascii="宋体" w:hAnsi="宋体" w:eastAsia="宋体" w:cs="宋体"/>
                <w:color w:val="auto"/>
                <w:spacing w:val="2"/>
                <w:sz w:val="24"/>
                <w:szCs w:val="24"/>
                <w:highlight w:val="none"/>
              </w:rPr>
              <w:t>号码</w:t>
            </w:r>
          </w:p>
        </w:tc>
        <w:tc>
          <w:tcPr>
            <w:tcW w:w="2628" w:type="dxa"/>
            <w:gridSpan w:val="2"/>
            <w:vAlign w:val="top"/>
          </w:tcPr>
          <w:p w14:paraId="128A2057">
            <w:pPr>
              <w:pStyle w:val="22"/>
              <w:rPr>
                <w:rFonts w:hint="eastAsia" w:ascii="宋体" w:hAnsi="宋体" w:eastAsia="宋体" w:cs="宋体"/>
                <w:color w:val="auto"/>
                <w:sz w:val="24"/>
                <w:szCs w:val="24"/>
                <w:highlight w:val="none"/>
              </w:rPr>
            </w:pPr>
          </w:p>
        </w:tc>
      </w:tr>
      <w:tr w14:paraId="65111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166D45BA">
            <w:pPr>
              <w:spacing w:before="62" w:line="228" w:lineRule="auto"/>
              <w:ind w:left="3361"/>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递交的证明材料原件如下：</w:t>
            </w:r>
          </w:p>
        </w:tc>
      </w:tr>
      <w:tr w14:paraId="6A6F2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07314B8A">
            <w:pPr>
              <w:pStyle w:val="22"/>
              <w:spacing w:line="257" w:lineRule="auto"/>
              <w:rPr>
                <w:rFonts w:hint="eastAsia" w:ascii="宋体" w:hAnsi="宋体" w:eastAsia="宋体" w:cs="宋体"/>
                <w:color w:val="auto"/>
                <w:sz w:val="24"/>
                <w:szCs w:val="24"/>
                <w:highlight w:val="none"/>
              </w:rPr>
            </w:pPr>
          </w:p>
          <w:p w14:paraId="5581F312">
            <w:pPr>
              <w:spacing w:before="62" w:line="230" w:lineRule="auto"/>
              <w:ind w:left="155"/>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5304" w:type="dxa"/>
            <w:gridSpan w:val="4"/>
            <w:vAlign w:val="top"/>
          </w:tcPr>
          <w:p w14:paraId="6E8FCB44">
            <w:pPr>
              <w:pStyle w:val="22"/>
              <w:spacing w:line="257" w:lineRule="auto"/>
              <w:rPr>
                <w:rFonts w:hint="eastAsia" w:ascii="宋体" w:hAnsi="宋体" w:eastAsia="宋体" w:cs="宋体"/>
                <w:color w:val="auto"/>
                <w:sz w:val="24"/>
                <w:szCs w:val="24"/>
                <w:highlight w:val="none"/>
              </w:rPr>
            </w:pPr>
          </w:p>
          <w:p w14:paraId="5B666611">
            <w:pPr>
              <w:spacing w:before="61" w:line="228" w:lineRule="auto"/>
              <w:ind w:left="1765"/>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证明材料原件名称</w:t>
            </w:r>
          </w:p>
        </w:tc>
        <w:tc>
          <w:tcPr>
            <w:tcW w:w="1771" w:type="dxa"/>
            <w:gridSpan w:val="2"/>
            <w:vAlign w:val="top"/>
          </w:tcPr>
          <w:p w14:paraId="7C34E44A">
            <w:pPr>
              <w:pStyle w:val="22"/>
              <w:spacing w:line="256" w:lineRule="auto"/>
              <w:rPr>
                <w:rFonts w:hint="eastAsia" w:ascii="宋体" w:hAnsi="宋体" w:eastAsia="宋体" w:cs="宋体"/>
                <w:color w:val="auto"/>
                <w:sz w:val="24"/>
                <w:szCs w:val="24"/>
                <w:highlight w:val="none"/>
              </w:rPr>
            </w:pPr>
          </w:p>
          <w:p w14:paraId="7FF59202">
            <w:pPr>
              <w:spacing w:before="62" w:line="230" w:lineRule="auto"/>
              <w:ind w:left="664"/>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单位</w:t>
            </w:r>
          </w:p>
        </w:tc>
        <w:tc>
          <w:tcPr>
            <w:tcW w:w="1637" w:type="dxa"/>
            <w:vAlign w:val="top"/>
          </w:tcPr>
          <w:p w14:paraId="73A683D8">
            <w:pPr>
              <w:pStyle w:val="22"/>
              <w:spacing w:line="256" w:lineRule="auto"/>
              <w:rPr>
                <w:rFonts w:hint="eastAsia" w:ascii="宋体" w:hAnsi="宋体" w:eastAsia="宋体" w:cs="宋体"/>
                <w:color w:val="auto"/>
                <w:sz w:val="24"/>
                <w:szCs w:val="24"/>
                <w:highlight w:val="none"/>
              </w:rPr>
            </w:pPr>
          </w:p>
          <w:p w14:paraId="66B6886C">
            <w:pPr>
              <w:spacing w:before="62" w:line="229" w:lineRule="auto"/>
              <w:ind w:left="592"/>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数量</w:t>
            </w:r>
          </w:p>
        </w:tc>
      </w:tr>
      <w:tr w14:paraId="45F8F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7911FA08">
            <w:pPr>
              <w:spacing w:before="287" w:line="184" w:lineRule="auto"/>
              <w:ind w:left="31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04" w:type="dxa"/>
            <w:gridSpan w:val="4"/>
            <w:vAlign w:val="top"/>
          </w:tcPr>
          <w:p w14:paraId="39E65176">
            <w:pPr>
              <w:pStyle w:val="22"/>
              <w:rPr>
                <w:rFonts w:hint="eastAsia" w:ascii="宋体" w:hAnsi="宋体" w:eastAsia="宋体" w:cs="宋体"/>
                <w:color w:val="auto"/>
                <w:sz w:val="24"/>
                <w:szCs w:val="24"/>
                <w:highlight w:val="none"/>
              </w:rPr>
            </w:pPr>
          </w:p>
        </w:tc>
        <w:tc>
          <w:tcPr>
            <w:tcW w:w="1771" w:type="dxa"/>
            <w:gridSpan w:val="2"/>
            <w:vAlign w:val="top"/>
          </w:tcPr>
          <w:p w14:paraId="7168FCC1">
            <w:pPr>
              <w:pStyle w:val="22"/>
              <w:rPr>
                <w:rFonts w:hint="eastAsia" w:ascii="宋体" w:hAnsi="宋体" w:eastAsia="宋体" w:cs="宋体"/>
                <w:color w:val="auto"/>
                <w:sz w:val="24"/>
                <w:szCs w:val="24"/>
                <w:highlight w:val="none"/>
              </w:rPr>
            </w:pPr>
          </w:p>
        </w:tc>
        <w:tc>
          <w:tcPr>
            <w:tcW w:w="1637" w:type="dxa"/>
            <w:vAlign w:val="top"/>
          </w:tcPr>
          <w:p w14:paraId="0A86B06F">
            <w:pPr>
              <w:pStyle w:val="22"/>
              <w:rPr>
                <w:rFonts w:hint="eastAsia" w:ascii="宋体" w:hAnsi="宋体" w:eastAsia="宋体" w:cs="宋体"/>
                <w:color w:val="auto"/>
                <w:sz w:val="24"/>
                <w:szCs w:val="24"/>
                <w:highlight w:val="none"/>
              </w:rPr>
            </w:pPr>
          </w:p>
        </w:tc>
      </w:tr>
      <w:tr w14:paraId="5A16A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0BE3C710">
            <w:pPr>
              <w:spacing w:before="288" w:line="183" w:lineRule="auto"/>
              <w:ind w:left="30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304" w:type="dxa"/>
            <w:gridSpan w:val="4"/>
            <w:vAlign w:val="top"/>
          </w:tcPr>
          <w:p w14:paraId="04A8B72A">
            <w:pPr>
              <w:pStyle w:val="22"/>
              <w:rPr>
                <w:rFonts w:hint="eastAsia" w:ascii="宋体" w:hAnsi="宋体" w:eastAsia="宋体" w:cs="宋体"/>
                <w:color w:val="auto"/>
                <w:sz w:val="24"/>
                <w:szCs w:val="24"/>
                <w:highlight w:val="none"/>
              </w:rPr>
            </w:pPr>
          </w:p>
        </w:tc>
        <w:tc>
          <w:tcPr>
            <w:tcW w:w="1771" w:type="dxa"/>
            <w:gridSpan w:val="2"/>
            <w:vAlign w:val="top"/>
          </w:tcPr>
          <w:p w14:paraId="7BD1D335">
            <w:pPr>
              <w:pStyle w:val="22"/>
              <w:rPr>
                <w:rFonts w:hint="eastAsia" w:ascii="宋体" w:hAnsi="宋体" w:eastAsia="宋体" w:cs="宋体"/>
                <w:color w:val="auto"/>
                <w:sz w:val="24"/>
                <w:szCs w:val="24"/>
                <w:highlight w:val="none"/>
              </w:rPr>
            </w:pPr>
          </w:p>
        </w:tc>
        <w:tc>
          <w:tcPr>
            <w:tcW w:w="1637" w:type="dxa"/>
            <w:vAlign w:val="top"/>
          </w:tcPr>
          <w:p w14:paraId="74734796">
            <w:pPr>
              <w:pStyle w:val="22"/>
              <w:rPr>
                <w:rFonts w:hint="eastAsia" w:ascii="宋体" w:hAnsi="宋体" w:eastAsia="宋体" w:cs="宋体"/>
                <w:color w:val="auto"/>
                <w:sz w:val="24"/>
                <w:szCs w:val="24"/>
                <w:highlight w:val="none"/>
              </w:rPr>
            </w:pPr>
          </w:p>
        </w:tc>
      </w:tr>
      <w:tr w14:paraId="621D6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6F346157">
            <w:pPr>
              <w:spacing w:before="287" w:line="183" w:lineRule="auto"/>
              <w:ind w:left="30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304" w:type="dxa"/>
            <w:gridSpan w:val="4"/>
            <w:vAlign w:val="top"/>
          </w:tcPr>
          <w:p w14:paraId="6D49235F">
            <w:pPr>
              <w:pStyle w:val="22"/>
              <w:rPr>
                <w:rFonts w:hint="eastAsia" w:ascii="宋体" w:hAnsi="宋体" w:eastAsia="宋体" w:cs="宋体"/>
                <w:color w:val="auto"/>
                <w:sz w:val="24"/>
                <w:szCs w:val="24"/>
                <w:highlight w:val="none"/>
              </w:rPr>
            </w:pPr>
          </w:p>
        </w:tc>
        <w:tc>
          <w:tcPr>
            <w:tcW w:w="1771" w:type="dxa"/>
            <w:gridSpan w:val="2"/>
            <w:vAlign w:val="top"/>
          </w:tcPr>
          <w:p w14:paraId="02FF66A5">
            <w:pPr>
              <w:pStyle w:val="22"/>
              <w:rPr>
                <w:rFonts w:hint="eastAsia" w:ascii="宋体" w:hAnsi="宋体" w:eastAsia="宋体" w:cs="宋体"/>
                <w:color w:val="auto"/>
                <w:sz w:val="24"/>
                <w:szCs w:val="24"/>
                <w:highlight w:val="none"/>
              </w:rPr>
            </w:pPr>
          </w:p>
        </w:tc>
        <w:tc>
          <w:tcPr>
            <w:tcW w:w="1637" w:type="dxa"/>
            <w:vAlign w:val="top"/>
          </w:tcPr>
          <w:p w14:paraId="177B8CBE">
            <w:pPr>
              <w:pStyle w:val="22"/>
              <w:rPr>
                <w:rFonts w:hint="eastAsia" w:ascii="宋体" w:hAnsi="宋体" w:eastAsia="宋体" w:cs="宋体"/>
                <w:color w:val="auto"/>
                <w:sz w:val="24"/>
                <w:szCs w:val="24"/>
                <w:highlight w:val="none"/>
              </w:rPr>
            </w:pPr>
          </w:p>
        </w:tc>
      </w:tr>
      <w:tr w14:paraId="793EC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5B061D3A">
            <w:pPr>
              <w:pStyle w:val="22"/>
              <w:spacing w:line="348" w:lineRule="auto"/>
              <w:rPr>
                <w:rFonts w:hint="eastAsia" w:ascii="宋体" w:hAnsi="宋体" w:eastAsia="宋体" w:cs="宋体"/>
                <w:color w:val="auto"/>
                <w:sz w:val="24"/>
                <w:szCs w:val="24"/>
                <w:highlight w:val="none"/>
              </w:rPr>
            </w:pPr>
          </w:p>
          <w:p w14:paraId="02E200D6">
            <w:pPr>
              <w:spacing w:before="78" w:line="99" w:lineRule="exact"/>
              <w:ind w:left="186"/>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w:t>
            </w:r>
          </w:p>
        </w:tc>
        <w:tc>
          <w:tcPr>
            <w:tcW w:w="5304" w:type="dxa"/>
            <w:gridSpan w:val="4"/>
            <w:vAlign w:val="top"/>
          </w:tcPr>
          <w:p w14:paraId="536D7121">
            <w:pPr>
              <w:pStyle w:val="22"/>
              <w:rPr>
                <w:rFonts w:hint="eastAsia" w:ascii="宋体" w:hAnsi="宋体" w:eastAsia="宋体" w:cs="宋体"/>
                <w:color w:val="auto"/>
                <w:sz w:val="24"/>
                <w:szCs w:val="24"/>
                <w:highlight w:val="none"/>
              </w:rPr>
            </w:pPr>
          </w:p>
        </w:tc>
        <w:tc>
          <w:tcPr>
            <w:tcW w:w="1771" w:type="dxa"/>
            <w:gridSpan w:val="2"/>
            <w:vAlign w:val="top"/>
          </w:tcPr>
          <w:p w14:paraId="0DCF009C">
            <w:pPr>
              <w:pStyle w:val="22"/>
              <w:rPr>
                <w:rFonts w:hint="eastAsia" w:ascii="宋体" w:hAnsi="宋体" w:eastAsia="宋体" w:cs="宋体"/>
                <w:color w:val="auto"/>
                <w:sz w:val="24"/>
                <w:szCs w:val="24"/>
                <w:highlight w:val="none"/>
              </w:rPr>
            </w:pPr>
          </w:p>
        </w:tc>
        <w:tc>
          <w:tcPr>
            <w:tcW w:w="1637" w:type="dxa"/>
            <w:vAlign w:val="top"/>
          </w:tcPr>
          <w:p w14:paraId="685D7DF6">
            <w:pPr>
              <w:pStyle w:val="22"/>
              <w:rPr>
                <w:rFonts w:hint="eastAsia" w:ascii="宋体" w:hAnsi="宋体" w:eastAsia="宋体" w:cs="宋体"/>
                <w:color w:val="auto"/>
                <w:sz w:val="24"/>
                <w:szCs w:val="24"/>
                <w:highlight w:val="none"/>
              </w:rPr>
            </w:pPr>
          </w:p>
        </w:tc>
      </w:tr>
      <w:tr w14:paraId="324E4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04F8D1F1">
            <w:pPr>
              <w:pStyle w:val="22"/>
              <w:spacing w:line="274" w:lineRule="auto"/>
              <w:rPr>
                <w:rFonts w:hint="eastAsia" w:ascii="宋体" w:hAnsi="宋体" w:eastAsia="宋体" w:cs="宋体"/>
                <w:color w:val="auto"/>
                <w:sz w:val="24"/>
                <w:szCs w:val="24"/>
                <w:highlight w:val="none"/>
              </w:rPr>
            </w:pPr>
          </w:p>
          <w:p w14:paraId="7C7AA007">
            <w:pPr>
              <w:pStyle w:val="22"/>
              <w:spacing w:line="275" w:lineRule="auto"/>
              <w:rPr>
                <w:rFonts w:hint="eastAsia" w:ascii="宋体" w:hAnsi="宋体" w:eastAsia="宋体" w:cs="宋体"/>
                <w:color w:val="auto"/>
                <w:sz w:val="24"/>
                <w:szCs w:val="24"/>
                <w:highlight w:val="none"/>
              </w:rPr>
            </w:pPr>
          </w:p>
          <w:p w14:paraId="25B22B5E">
            <w:pPr>
              <w:pStyle w:val="22"/>
              <w:spacing w:line="275" w:lineRule="auto"/>
              <w:rPr>
                <w:rFonts w:hint="eastAsia" w:ascii="宋体" w:hAnsi="宋体" w:eastAsia="宋体" w:cs="宋体"/>
                <w:color w:val="auto"/>
                <w:sz w:val="24"/>
                <w:szCs w:val="24"/>
                <w:highlight w:val="none"/>
              </w:rPr>
            </w:pPr>
          </w:p>
          <w:p w14:paraId="78D89547">
            <w:pPr>
              <w:spacing w:before="62" w:line="233" w:lineRule="auto"/>
              <w:ind w:left="29"/>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注意：</w:t>
            </w:r>
          </w:p>
        </w:tc>
        <w:tc>
          <w:tcPr>
            <w:tcW w:w="8712" w:type="dxa"/>
            <w:gridSpan w:val="7"/>
            <w:vAlign w:val="top"/>
          </w:tcPr>
          <w:p w14:paraId="18C3922D">
            <w:pPr>
              <w:spacing w:before="148"/>
              <w:ind w:left="111" w:right="107" w:firstLine="483"/>
              <w:jc w:val="both"/>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该表一式两份，两份表格投标人均需如实填写各项内容，两份表格的填写内容应一致。一</w:t>
            </w:r>
            <w:r>
              <w:rPr>
                <w:rFonts w:hint="eastAsia" w:ascii="宋体" w:hAnsi="宋体" w:eastAsia="宋体" w:cs="宋体"/>
                <w:color w:val="auto"/>
                <w:spacing w:val="9"/>
                <w:sz w:val="24"/>
                <w:szCs w:val="24"/>
                <w:highlight w:val="none"/>
              </w:rPr>
              <w:t>份贴于装纳原件的文件袋（箱</w:t>
            </w:r>
            <w:r>
              <w:rPr>
                <w:rFonts w:hint="eastAsia" w:ascii="宋体" w:hAnsi="宋体" w:eastAsia="宋体" w:cs="宋体"/>
                <w:color w:val="auto"/>
                <w:spacing w:val="20"/>
                <w:sz w:val="24"/>
                <w:szCs w:val="24"/>
                <w:highlight w:val="none"/>
              </w:rPr>
              <w:t>），</w:t>
            </w:r>
            <w:r>
              <w:rPr>
                <w:rFonts w:hint="eastAsia" w:ascii="宋体" w:hAnsi="宋体" w:eastAsia="宋体" w:cs="宋体"/>
                <w:color w:val="auto"/>
                <w:spacing w:val="9"/>
                <w:sz w:val="24"/>
                <w:szCs w:val="24"/>
                <w:highlight w:val="none"/>
              </w:rPr>
              <w:t>一份在递交文件袋（箱）时由招标代理机构、投标人签字后交招标代理机构。招标代理机构仅代签收装纳原件的文件袋（箱</w:t>
            </w:r>
            <w:r>
              <w:rPr>
                <w:rFonts w:hint="eastAsia" w:ascii="宋体" w:hAnsi="宋体" w:eastAsia="宋体" w:cs="宋体"/>
                <w:color w:val="auto"/>
                <w:spacing w:val="19"/>
                <w:sz w:val="24"/>
                <w:szCs w:val="24"/>
                <w:highlight w:val="none"/>
              </w:rPr>
              <w:t>），</w:t>
            </w:r>
            <w:r>
              <w:rPr>
                <w:rFonts w:hint="eastAsia" w:ascii="宋体" w:hAnsi="宋体" w:eastAsia="宋体" w:cs="宋体"/>
                <w:color w:val="auto"/>
                <w:spacing w:val="9"/>
                <w:sz w:val="24"/>
                <w:szCs w:val="24"/>
                <w:highlight w:val="none"/>
              </w:rPr>
              <w:t>而不对文件袋（箱）中资</w:t>
            </w:r>
            <w:r>
              <w:rPr>
                <w:rFonts w:hint="eastAsia" w:ascii="宋体" w:hAnsi="宋体" w:eastAsia="宋体" w:cs="宋体"/>
                <w:color w:val="auto"/>
                <w:spacing w:val="5"/>
                <w:sz w:val="24"/>
                <w:szCs w:val="24"/>
                <w:highlight w:val="none"/>
              </w:rPr>
              <w:t>料的数量、</w:t>
            </w:r>
            <w:r>
              <w:rPr>
                <w:rFonts w:hint="eastAsia" w:ascii="宋体" w:hAnsi="宋体" w:eastAsia="宋体" w:cs="宋体"/>
                <w:color w:val="auto"/>
                <w:spacing w:val="-45"/>
                <w:sz w:val="24"/>
                <w:szCs w:val="24"/>
                <w:highlight w:val="none"/>
              </w:rPr>
              <w:t xml:space="preserve"> </w:t>
            </w:r>
            <w:r>
              <w:rPr>
                <w:rFonts w:hint="eastAsia" w:ascii="宋体" w:hAnsi="宋体" w:eastAsia="宋体" w:cs="宋体"/>
                <w:color w:val="auto"/>
                <w:spacing w:val="5"/>
                <w:sz w:val="24"/>
                <w:szCs w:val="24"/>
                <w:highlight w:val="none"/>
              </w:rPr>
              <w:t>内容及真实性负责。</w:t>
            </w:r>
          </w:p>
        </w:tc>
      </w:tr>
      <w:tr w14:paraId="5BABE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1D2BB987">
            <w:pPr>
              <w:pStyle w:val="22"/>
              <w:spacing w:line="240" w:lineRule="auto"/>
              <w:rPr>
                <w:rFonts w:hint="eastAsia" w:ascii="宋体" w:hAnsi="宋体" w:eastAsia="宋体" w:cs="宋体"/>
                <w:color w:val="auto"/>
                <w:sz w:val="24"/>
                <w:szCs w:val="24"/>
                <w:highlight w:val="none"/>
              </w:rPr>
            </w:pPr>
          </w:p>
          <w:p w14:paraId="14A5F96A">
            <w:pPr>
              <w:spacing w:before="61" w:line="240" w:lineRule="auto"/>
              <w:ind w:left="760" w:right="153" w:hanging="600"/>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接收原件经办人</w:t>
            </w:r>
          </w:p>
          <w:p w14:paraId="4E9EC2D8">
            <w:pPr>
              <w:spacing w:before="61" w:line="240" w:lineRule="auto"/>
              <w:ind w:left="760" w:right="153" w:hanging="600"/>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(招标</w:t>
            </w:r>
            <w:r>
              <w:rPr>
                <w:rFonts w:hint="eastAsia" w:ascii="宋体" w:hAnsi="宋体" w:eastAsia="宋体" w:cs="宋体"/>
                <w:color w:val="auto"/>
                <w:spacing w:val="3"/>
                <w:sz w:val="24"/>
                <w:szCs w:val="24"/>
                <w:highlight w:val="none"/>
              </w:rPr>
              <w:t>代理)：</w:t>
            </w:r>
          </w:p>
        </w:tc>
        <w:tc>
          <w:tcPr>
            <w:tcW w:w="1725" w:type="dxa"/>
            <w:vAlign w:val="top"/>
          </w:tcPr>
          <w:p w14:paraId="30D94A7C">
            <w:pPr>
              <w:pStyle w:val="22"/>
              <w:rPr>
                <w:rFonts w:hint="eastAsia" w:ascii="宋体" w:hAnsi="宋体" w:eastAsia="宋体" w:cs="宋体"/>
                <w:color w:val="auto"/>
                <w:sz w:val="24"/>
                <w:szCs w:val="24"/>
                <w:highlight w:val="none"/>
              </w:rPr>
            </w:pPr>
          </w:p>
        </w:tc>
        <w:tc>
          <w:tcPr>
            <w:tcW w:w="1683" w:type="dxa"/>
            <w:gridSpan w:val="2"/>
            <w:vAlign w:val="top"/>
          </w:tcPr>
          <w:p w14:paraId="76A44D1C">
            <w:pPr>
              <w:pStyle w:val="22"/>
              <w:spacing w:line="288" w:lineRule="auto"/>
              <w:rPr>
                <w:rFonts w:hint="eastAsia" w:ascii="宋体" w:hAnsi="宋体" w:eastAsia="宋体" w:cs="宋体"/>
                <w:color w:val="auto"/>
                <w:sz w:val="24"/>
                <w:szCs w:val="24"/>
                <w:highlight w:val="none"/>
              </w:rPr>
            </w:pPr>
          </w:p>
          <w:p w14:paraId="5BD3A69A">
            <w:pPr>
              <w:pStyle w:val="22"/>
              <w:spacing w:line="289" w:lineRule="auto"/>
              <w:rPr>
                <w:rFonts w:hint="eastAsia" w:ascii="宋体" w:hAnsi="宋体" w:eastAsia="宋体" w:cs="宋体"/>
                <w:color w:val="auto"/>
                <w:sz w:val="24"/>
                <w:szCs w:val="24"/>
                <w:highlight w:val="none"/>
              </w:rPr>
            </w:pPr>
          </w:p>
          <w:p w14:paraId="42A3A6F8">
            <w:pPr>
              <w:spacing w:before="62" w:line="229" w:lineRule="auto"/>
              <w:ind w:left="315"/>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接收时间：</w:t>
            </w:r>
          </w:p>
        </w:tc>
        <w:tc>
          <w:tcPr>
            <w:tcW w:w="3408" w:type="dxa"/>
            <w:gridSpan w:val="3"/>
            <w:vAlign w:val="top"/>
          </w:tcPr>
          <w:p w14:paraId="0C366FD6">
            <w:pPr>
              <w:pStyle w:val="22"/>
              <w:spacing w:line="288" w:lineRule="auto"/>
              <w:rPr>
                <w:rFonts w:hint="eastAsia" w:ascii="宋体" w:hAnsi="宋体" w:eastAsia="宋体" w:cs="宋体"/>
                <w:color w:val="auto"/>
                <w:sz w:val="24"/>
                <w:szCs w:val="24"/>
                <w:highlight w:val="none"/>
              </w:rPr>
            </w:pPr>
          </w:p>
          <w:p w14:paraId="7E762E7A">
            <w:pPr>
              <w:pStyle w:val="22"/>
              <w:spacing w:line="289" w:lineRule="auto"/>
              <w:rPr>
                <w:rFonts w:hint="eastAsia" w:ascii="宋体" w:hAnsi="宋体" w:eastAsia="宋体" w:cs="宋体"/>
                <w:color w:val="auto"/>
                <w:sz w:val="24"/>
                <w:szCs w:val="24"/>
                <w:highlight w:val="none"/>
              </w:rPr>
            </w:pPr>
          </w:p>
          <w:p w14:paraId="77DFBA6D">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2"/>
                <w:sz w:val="24"/>
                <w:szCs w:val="24"/>
                <w:highlight w:val="none"/>
              </w:rPr>
              <w:t xml:space="preserve">  </w:t>
            </w:r>
            <w:r>
              <w:rPr>
                <w:rFonts w:hint="eastAsia" w:ascii="宋体" w:hAnsi="宋体" w:eastAsia="宋体" w:cs="宋体"/>
                <w:color w:val="auto"/>
                <w:spacing w:val="-9"/>
                <w:sz w:val="24"/>
                <w:szCs w:val="24"/>
                <w:highlight w:val="none"/>
              </w:rPr>
              <w:t>分</w:t>
            </w:r>
          </w:p>
        </w:tc>
      </w:tr>
      <w:tr w14:paraId="05C4B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75D870FC">
            <w:pPr>
              <w:spacing w:before="155" w:line="240" w:lineRule="auto"/>
              <w:ind w:left="861" w:right="153" w:hanging="699"/>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退还原件接收人</w:t>
            </w:r>
          </w:p>
          <w:p w14:paraId="19E3EA06">
            <w:pPr>
              <w:spacing w:before="155" w:line="240" w:lineRule="auto"/>
              <w:ind w:left="861" w:right="153" w:hanging="699"/>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(投标</w:t>
            </w:r>
            <w:r>
              <w:rPr>
                <w:rFonts w:hint="eastAsia" w:ascii="宋体" w:hAnsi="宋体" w:eastAsia="宋体" w:cs="宋体"/>
                <w:color w:val="auto"/>
                <w:spacing w:val="2"/>
                <w:sz w:val="24"/>
                <w:szCs w:val="24"/>
                <w:highlight w:val="none"/>
              </w:rPr>
              <w:t>人)：</w:t>
            </w:r>
          </w:p>
        </w:tc>
        <w:tc>
          <w:tcPr>
            <w:tcW w:w="1725" w:type="dxa"/>
            <w:vAlign w:val="top"/>
          </w:tcPr>
          <w:p w14:paraId="2FBC4ECD">
            <w:pPr>
              <w:pStyle w:val="22"/>
              <w:rPr>
                <w:rFonts w:hint="eastAsia" w:ascii="宋体" w:hAnsi="宋体" w:eastAsia="宋体" w:cs="宋体"/>
                <w:color w:val="auto"/>
                <w:sz w:val="24"/>
                <w:szCs w:val="24"/>
                <w:highlight w:val="none"/>
              </w:rPr>
            </w:pPr>
          </w:p>
        </w:tc>
        <w:tc>
          <w:tcPr>
            <w:tcW w:w="1683" w:type="dxa"/>
            <w:gridSpan w:val="2"/>
            <w:vAlign w:val="top"/>
          </w:tcPr>
          <w:p w14:paraId="0B4C8580">
            <w:pPr>
              <w:pStyle w:val="22"/>
              <w:spacing w:line="336" w:lineRule="auto"/>
              <w:rPr>
                <w:rFonts w:hint="eastAsia" w:ascii="宋体" w:hAnsi="宋体" w:eastAsia="宋体" w:cs="宋体"/>
                <w:color w:val="auto"/>
                <w:sz w:val="24"/>
                <w:szCs w:val="24"/>
                <w:highlight w:val="none"/>
              </w:rPr>
            </w:pPr>
          </w:p>
          <w:p w14:paraId="3906D1A1">
            <w:pPr>
              <w:spacing w:before="61" w:line="231" w:lineRule="auto"/>
              <w:ind w:left="317"/>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退还时间：</w:t>
            </w:r>
          </w:p>
        </w:tc>
        <w:tc>
          <w:tcPr>
            <w:tcW w:w="3408" w:type="dxa"/>
            <w:gridSpan w:val="3"/>
            <w:vAlign w:val="top"/>
          </w:tcPr>
          <w:p w14:paraId="36714926">
            <w:pPr>
              <w:pStyle w:val="22"/>
              <w:spacing w:line="335" w:lineRule="auto"/>
              <w:rPr>
                <w:rFonts w:hint="eastAsia" w:ascii="宋体" w:hAnsi="宋体" w:eastAsia="宋体" w:cs="宋体"/>
                <w:color w:val="auto"/>
                <w:sz w:val="24"/>
                <w:szCs w:val="24"/>
                <w:highlight w:val="none"/>
              </w:rPr>
            </w:pPr>
          </w:p>
          <w:p w14:paraId="2538A7C2">
            <w:pPr>
              <w:spacing w:before="62" w:line="229" w:lineRule="auto"/>
              <w:ind w:firstLine="444" w:firstLineChars="200"/>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9"/>
                <w:sz w:val="24"/>
                <w:szCs w:val="24"/>
                <w:highlight w:val="none"/>
              </w:rPr>
              <w:t>日</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时</w:t>
            </w:r>
            <w:r>
              <w:rPr>
                <w:rFonts w:hint="eastAsia" w:ascii="宋体" w:hAnsi="宋体" w:eastAsia="宋体" w:cs="宋体"/>
                <w:color w:val="auto"/>
                <w:spacing w:val="10"/>
                <w:sz w:val="24"/>
                <w:szCs w:val="24"/>
                <w:highlight w:val="none"/>
              </w:rPr>
              <w:t xml:space="preserve">   </w:t>
            </w:r>
            <w:r>
              <w:rPr>
                <w:rFonts w:hint="eastAsia" w:ascii="宋体" w:hAnsi="宋体" w:eastAsia="宋体" w:cs="宋体"/>
                <w:color w:val="auto"/>
                <w:spacing w:val="-9"/>
                <w:sz w:val="24"/>
                <w:szCs w:val="24"/>
                <w:highlight w:val="none"/>
              </w:rPr>
              <w:t>分</w:t>
            </w:r>
          </w:p>
        </w:tc>
      </w:tr>
    </w:tbl>
    <w:p w14:paraId="7C4C967F">
      <w:pPr>
        <w:rPr>
          <w:rFonts w:hint="eastAsia" w:ascii="宋体" w:hAnsi="宋体" w:eastAsia="宋体" w:cs="宋体"/>
          <w:b/>
          <w:bCs/>
          <w:color w:val="auto"/>
          <w:spacing w:val="-3"/>
          <w:sz w:val="24"/>
          <w:szCs w:val="24"/>
          <w:highlight w:val="none"/>
        </w:rPr>
      </w:pPr>
      <w:bookmarkStart w:id="270" w:name="bookmark107"/>
      <w:bookmarkEnd w:id="270"/>
      <w:r>
        <w:rPr>
          <w:rFonts w:hint="eastAsia" w:ascii="宋体" w:hAnsi="宋体" w:eastAsia="宋体" w:cs="宋体"/>
          <w:b/>
          <w:bCs/>
          <w:color w:val="auto"/>
          <w:spacing w:val="-3"/>
          <w:sz w:val="24"/>
          <w:szCs w:val="24"/>
          <w:highlight w:val="none"/>
        </w:rPr>
        <w:br w:type="page"/>
      </w:r>
    </w:p>
    <w:p w14:paraId="7680BC03">
      <w:pPr>
        <w:pStyle w:val="46"/>
        <w:snapToGrid w:val="0"/>
        <w:spacing w:line="440" w:lineRule="exact"/>
        <w:outlineLvl w:val="1"/>
        <w:rPr>
          <w:rStyle w:val="21"/>
          <w:rFonts w:hint="eastAsia" w:ascii="Times New Roman" w:hAnsi="宋体" w:eastAsia="宋体" w:cs="Times New Roman"/>
          <w:b/>
          <w:bCs/>
          <w:color w:val="auto"/>
          <w:sz w:val="21"/>
          <w:szCs w:val="21"/>
          <w:highlight w:val="none"/>
          <w:lang w:val="en-US" w:eastAsia="zh-CN"/>
        </w:rPr>
      </w:pPr>
      <w:bookmarkStart w:id="271" w:name="_Toc26323"/>
      <w:bookmarkStart w:id="272" w:name="_Toc26911"/>
      <w:r>
        <w:rPr>
          <w:rStyle w:val="21"/>
          <w:rFonts w:hint="eastAsia" w:ascii="Times New Roman" w:hAnsi="宋体" w:eastAsia="宋体" w:cs="Times New Roman"/>
          <w:b/>
          <w:bCs/>
          <w:color w:val="auto"/>
          <w:sz w:val="21"/>
          <w:szCs w:val="21"/>
          <w:highlight w:val="none"/>
          <w:lang w:eastAsia="zh-CN"/>
        </w:rPr>
        <w:t>格式十</w:t>
      </w:r>
      <w:r>
        <w:rPr>
          <w:rStyle w:val="21"/>
          <w:rFonts w:hint="eastAsia" w:ascii="Times New Roman" w:hAnsi="宋体" w:cs="Times New Roman"/>
          <w:b/>
          <w:bCs/>
          <w:color w:val="auto"/>
          <w:sz w:val="21"/>
          <w:szCs w:val="21"/>
          <w:highlight w:val="none"/>
          <w:lang w:val="en-US" w:eastAsia="zh-CN"/>
        </w:rPr>
        <w:t xml:space="preserve">六  </w:t>
      </w:r>
      <w:r>
        <w:rPr>
          <w:rStyle w:val="21"/>
          <w:rFonts w:hint="eastAsia" w:ascii="Times New Roman" w:hAnsi="宋体" w:eastAsia="宋体" w:cs="Times New Roman"/>
          <w:b/>
          <w:bCs/>
          <w:color w:val="auto"/>
          <w:sz w:val="21"/>
          <w:szCs w:val="21"/>
          <w:highlight w:val="none"/>
          <w:lang w:val="en-US" w:eastAsia="zh-CN"/>
        </w:rPr>
        <w:t>定标因素评审资料</w:t>
      </w:r>
      <w:bookmarkEnd w:id="271"/>
      <w:bookmarkEnd w:id="272"/>
    </w:p>
    <w:p w14:paraId="2D4CC842">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24"/>
          <w:szCs w:val="24"/>
          <w:highlight w:val="none"/>
          <w:lang w:eastAsia="zh-CN"/>
        </w:rPr>
        <w:t>定标因素评审资料</w:t>
      </w:r>
    </w:p>
    <w:p w14:paraId="7F172C61">
      <w:pPr>
        <w:jc w:val="left"/>
        <w:rPr>
          <w:rFonts w:hint="eastAsia" w:ascii="宋体" w:hAnsi="宋体" w:eastAsia="宋体" w:cs="宋体"/>
          <w:color w:val="auto"/>
          <w:sz w:val="24"/>
          <w:highlight w:val="none"/>
          <w:lang w:eastAsia="zh-CN"/>
        </w:rPr>
      </w:pPr>
    </w:p>
    <w:p w14:paraId="726A3E52">
      <w:pPr>
        <w:pStyle w:val="40"/>
        <w:ind w:left="0" w:leftChars="0" w:firstLine="0" w:firstLineChars="0"/>
        <w:rPr>
          <w:rStyle w:val="44"/>
          <w:rFonts w:hint="eastAsia" w:ascii="宋体" w:hAnsi="宋体" w:eastAsia="宋体" w:cs="宋体"/>
          <w:b/>
          <w:bCs/>
          <w:color w:val="auto"/>
          <w:kern w:val="2"/>
          <w:sz w:val="24"/>
          <w:szCs w:val="24"/>
          <w:highlight w:val="none"/>
        </w:rPr>
      </w:pPr>
      <w:r>
        <w:rPr>
          <w:rFonts w:hint="eastAsia" w:ascii="宋体" w:hAnsi="宋体" w:eastAsia="宋体" w:cs="宋体"/>
          <w:b/>
          <w:bCs/>
          <w:color w:val="auto"/>
          <w:sz w:val="24"/>
          <w:szCs w:val="24"/>
          <w:highlight w:val="none"/>
          <w:lang w:val="en-US" w:eastAsia="zh-CN"/>
        </w:rPr>
        <w:t>投标人根据“</w:t>
      </w: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章 第</w:t>
      </w:r>
      <w:r>
        <w:rPr>
          <w:rFonts w:hint="eastAsia" w:ascii="宋体" w:hAnsi="宋体" w:eastAsia="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rPr>
        <w:t>节 定标</w:t>
      </w:r>
      <w:r>
        <w:rPr>
          <w:rFonts w:hint="eastAsia" w:ascii="宋体" w:hAnsi="宋体" w:eastAsia="宋体" w:cs="宋体"/>
          <w:b/>
          <w:bCs/>
          <w:color w:val="auto"/>
          <w:sz w:val="24"/>
          <w:szCs w:val="24"/>
          <w:highlight w:val="none"/>
          <w:lang w:eastAsia="zh-CN"/>
        </w:rPr>
        <w:t>规定</w:t>
      </w:r>
      <w:r>
        <w:rPr>
          <w:rFonts w:hint="eastAsia" w:ascii="宋体" w:hAnsi="宋体" w:eastAsia="宋体" w:cs="宋体"/>
          <w:b/>
          <w:bCs/>
          <w:color w:val="auto"/>
          <w:sz w:val="24"/>
          <w:szCs w:val="24"/>
          <w:highlight w:val="none"/>
          <w:lang w:val="en-US" w:eastAsia="zh-CN"/>
        </w:rPr>
        <w:t>及细则”载明的</w:t>
      </w:r>
      <w:r>
        <w:rPr>
          <w:rFonts w:hint="eastAsia" w:ascii="宋体" w:hAnsi="宋体" w:eastAsia="宋体" w:cs="宋体"/>
          <w:b/>
          <w:bCs/>
          <w:color w:val="auto"/>
          <w:sz w:val="24"/>
          <w:szCs w:val="24"/>
          <w:highlight w:val="none"/>
          <w:lang w:eastAsia="zh-CN"/>
        </w:rPr>
        <w:t>定标因素，</w:t>
      </w:r>
      <w:r>
        <w:rPr>
          <w:rFonts w:hint="eastAsia" w:ascii="宋体" w:hAnsi="宋体" w:eastAsia="宋体" w:cs="宋体"/>
          <w:b/>
          <w:bCs/>
          <w:color w:val="auto"/>
          <w:sz w:val="24"/>
          <w:szCs w:val="24"/>
          <w:highlight w:val="none"/>
          <w:lang w:val="en-US" w:eastAsia="zh-CN"/>
        </w:rPr>
        <w:t>提交</w:t>
      </w:r>
      <w:r>
        <w:rPr>
          <w:rFonts w:hint="eastAsia" w:ascii="宋体" w:hAnsi="宋体" w:eastAsia="宋体" w:cs="宋体"/>
          <w:b/>
          <w:bCs/>
          <w:color w:val="auto"/>
          <w:sz w:val="24"/>
          <w:szCs w:val="24"/>
          <w:highlight w:val="none"/>
          <w:lang w:eastAsia="zh-CN"/>
        </w:rPr>
        <w:t>评审资料。</w:t>
      </w:r>
    </w:p>
    <w:p w14:paraId="388AC736">
      <w:pPr>
        <w:spacing w:before="78" w:line="219" w:lineRule="auto"/>
        <w:jc w:val="center"/>
        <w:outlineLvl w:val="1"/>
        <w:rPr>
          <w:rFonts w:hint="eastAsia" w:ascii="宋体" w:hAnsi="宋体" w:eastAsia="宋体" w:cs="宋体"/>
          <w:b/>
          <w:bCs/>
          <w:color w:val="auto"/>
          <w:spacing w:val="-3"/>
          <w:sz w:val="24"/>
          <w:szCs w:val="24"/>
          <w:highlight w:val="none"/>
        </w:rPr>
      </w:pPr>
    </w:p>
    <w:p w14:paraId="5D94E8E4">
      <w:pPr>
        <w:spacing w:before="78" w:line="219" w:lineRule="auto"/>
        <w:jc w:val="center"/>
        <w:outlineLvl w:val="1"/>
        <w:rPr>
          <w:rFonts w:hint="eastAsia" w:ascii="宋体" w:hAnsi="宋体" w:eastAsia="宋体" w:cs="宋体"/>
          <w:b/>
          <w:bCs/>
          <w:color w:val="auto"/>
          <w:spacing w:val="-3"/>
          <w:sz w:val="24"/>
          <w:szCs w:val="24"/>
          <w:highlight w:val="none"/>
        </w:rPr>
      </w:pPr>
    </w:p>
    <w:p w14:paraId="25987E99">
      <w:pPr>
        <w:spacing w:before="78" w:line="219" w:lineRule="auto"/>
        <w:jc w:val="center"/>
        <w:outlineLvl w:val="1"/>
        <w:rPr>
          <w:rFonts w:hint="eastAsia" w:ascii="宋体" w:hAnsi="宋体" w:eastAsia="宋体" w:cs="宋体"/>
          <w:b/>
          <w:bCs/>
          <w:color w:val="auto"/>
          <w:spacing w:val="-3"/>
          <w:sz w:val="24"/>
          <w:szCs w:val="24"/>
          <w:highlight w:val="none"/>
        </w:rPr>
      </w:pPr>
    </w:p>
    <w:p w14:paraId="1386DFE3">
      <w:pPr>
        <w:spacing w:before="78" w:line="219" w:lineRule="auto"/>
        <w:jc w:val="center"/>
        <w:outlineLvl w:val="1"/>
        <w:rPr>
          <w:rFonts w:hint="eastAsia" w:ascii="宋体" w:hAnsi="宋体" w:eastAsia="宋体" w:cs="宋体"/>
          <w:b/>
          <w:bCs/>
          <w:color w:val="auto"/>
          <w:spacing w:val="-3"/>
          <w:sz w:val="24"/>
          <w:szCs w:val="24"/>
          <w:highlight w:val="none"/>
        </w:rPr>
      </w:pPr>
    </w:p>
    <w:p w14:paraId="3CF95731">
      <w:pPr>
        <w:spacing w:before="78" w:line="219" w:lineRule="auto"/>
        <w:jc w:val="center"/>
        <w:outlineLvl w:val="1"/>
        <w:rPr>
          <w:rFonts w:hint="eastAsia" w:ascii="宋体" w:hAnsi="宋体" w:eastAsia="宋体" w:cs="宋体"/>
          <w:b/>
          <w:bCs/>
          <w:color w:val="auto"/>
          <w:spacing w:val="-3"/>
          <w:sz w:val="24"/>
          <w:szCs w:val="24"/>
          <w:highlight w:val="none"/>
        </w:rPr>
      </w:pPr>
    </w:p>
    <w:p w14:paraId="7C26BAA4">
      <w:pPr>
        <w:spacing w:before="78" w:line="219" w:lineRule="auto"/>
        <w:jc w:val="center"/>
        <w:outlineLvl w:val="1"/>
        <w:rPr>
          <w:rFonts w:hint="eastAsia" w:ascii="宋体" w:hAnsi="宋体" w:eastAsia="宋体" w:cs="宋体"/>
          <w:b/>
          <w:bCs/>
          <w:color w:val="auto"/>
          <w:spacing w:val="-3"/>
          <w:sz w:val="24"/>
          <w:szCs w:val="24"/>
          <w:highlight w:val="none"/>
        </w:rPr>
      </w:pPr>
    </w:p>
    <w:p w14:paraId="6031DE05">
      <w:pPr>
        <w:spacing w:before="78" w:line="219" w:lineRule="auto"/>
        <w:jc w:val="center"/>
        <w:outlineLvl w:val="1"/>
        <w:rPr>
          <w:rFonts w:hint="eastAsia" w:ascii="宋体" w:hAnsi="宋体" w:eastAsia="宋体" w:cs="宋体"/>
          <w:b/>
          <w:bCs/>
          <w:color w:val="auto"/>
          <w:spacing w:val="-3"/>
          <w:sz w:val="24"/>
          <w:szCs w:val="24"/>
          <w:highlight w:val="none"/>
        </w:rPr>
      </w:pPr>
    </w:p>
    <w:p w14:paraId="64CD36A6">
      <w:pPr>
        <w:spacing w:before="78" w:line="219" w:lineRule="auto"/>
        <w:jc w:val="center"/>
        <w:outlineLvl w:val="1"/>
        <w:rPr>
          <w:rFonts w:hint="eastAsia" w:ascii="宋体" w:hAnsi="宋体" w:eastAsia="宋体" w:cs="宋体"/>
          <w:b/>
          <w:bCs/>
          <w:color w:val="auto"/>
          <w:spacing w:val="-3"/>
          <w:sz w:val="24"/>
          <w:szCs w:val="24"/>
          <w:highlight w:val="none"/>
        </w:rPr>
      </w:pPr>
    </w:p>
    <w:p w14:paraId="574E0CC1">
      <w:pPr>
        <w:spacing w:before="78" w:line="219" w:lineRule="auto"/>
        <w:jc w:val="center"/>
        <w:outlineLvl w:val="1"/>
        <w:rPr>
          <w:rFonts w:hint="eastAsia" w:ascii="宋体" w:hAnsi="宋体" w:eastAsia="宋体" w:cs="宋体"/>
          <w:b/>
          <w:bCs/>
          <w:color w:val="auto"/>
          <w:spacing w:val="-3"/>
          <w:sz w:val="24"/>
          <w:szCs w:val="24"/>
          <w:highlight w:val="none"/>
        </w:rPr>
      </w:pPr>
    </w:p>
    <w:p w14:paraId="06A23923">
      <w:pPr>
        <w:spacing w:before="78" w:line="219" w:lineRule="auto"/>
        <w:jc w:val="center"/>
        <w:outlineLvl w:val="1"/>
        <w:rPr>
          <w:rFonts w:hint="eastAsia" w:ascii="宋体" w:hAnsi="宋体" w:eastAsia="宋体" w:cs="宋体"/>
          <w:b/>
          <w:bCs/>
          <w:color w:val="auto"/>
          <w:spacing w:val="-3"/>
          <w:sz w:val="24"/>
          <w:szCs w:val="24"/>
          <w:highlight w:val="none"/>
        </w:rPr>
      </w:pPr>
    </w:p>
    <w:p w14:paraId="50F27CC9">
      <w:pPr>
        <w:spacing w:before="78" w:line="219" w:lineRule="auto"/>
        <w:jc w:val="center"/>
        <w:outlineLvl w:val="1"/>
        <w:rPr>
          <w:rFonts w:hint="eastAsia" w:ascii="宋体" w:hAnsi="宋体" w:eastAsia="宋体" w:cs="宋体"/>
          <w:b/>
          <w:bCs/>
          <w:color w:val="auto"/>
          <w:spacing w:val="-3"/>
          <w:sz w:val="24"/>
          <w:szCs w:val="24"/>
          <w:highlight w:val="none"/>
        </w:rPr>
      </w:pPr>
    </w:p>
    <w:p w14:paraId="205EA7EB">
      <w:pPr>
        <w:spacing w:before="78" w:line="219" w:lineRule="auto"/>
        <w:jc w:val="center"/>
        <w:outlineLvl w:val="1"/>
        <w:rPr>
          <w:rFonts w:hint="eastAsia" w:ascii="宋体" w:hAnsi="宋体" w:eastAsia="宋体" w:cs="宋体"/>
          <w:b/>
          <w:bCs/>
          <w:color w:val="auto"/>
          <w:spacing w:val="-3"/>
          <w:sz w:val="24"/>
          <w:szCs w:val="24"/>
          <w:highlight w:val="none"/>
        </w:rPr>
      </w:pPr>
    </w:p>
    <w:p w14:paraId="7C6D4CC9">
      <w:pPr>
        <w:spacing w:before="78" w:line="219" w:lineRule="auto"/>
        <w:jc w:val="center"/>
        <w:outlineLvl w:val="1"/>
        <w:rPr>
          <w:rFonts w:hint="eastAsia" w:ascii="宋体" w:hAnsi="宋体" w:eastAsia="宋体" w:cs="宋体"/>
          <w:b/>
          <w:bCs/>
          <w:color w:val="auto"/>
          <w:spacing w:val="-3"/>
          <w:sz w:val="24"/>
          <w:szCs w:val="24"/>
          <w:highlight w:val="none"/>
        </w:rPr>
      </w:pPr>
    </w:p>
    <w:p w14:paraId="30193241">
      <w:pPr>
        <w:spacing w:before="78" w:line="219" w:lineRule="auto"/>
        <w:jc w:val="center"/>
        <w:outlineLvl w:val="1"/>
        <w:rPr>
          <w:rFonts w:hint="eastAsia" w:ascii="宋体" w:hAnsi="宋体" w:eastAsia="宋体" w:cs="宋体"/>
          <w:b/>
          <w:bCs/>
          <w:color w:val="auto"/>
          <w:spacing w:val="-3"/>
          <w:sz w:val="24"/>
          <w:szCs w:val="24"/>
          <w:highlight w:val="none"/>
        </w:rPr>
      </w:pPr>
    </w:p>
    <w:p w14:paraId="20D40A6B">
      <w:pPr>
        <w:spacing w:before="78" w:line="219" w:lineRule="auto"/>
        <w:jc w:val="center"/>
        <w:outlineLvl w:val="1"/>
        <w:rPr>
          <w:rFonts w:hint="eastAsia" w:ascii="宋体" w:hAnsi="宋体" w:eastAsia="宋体" w:cs="宋体"/>
          <w:b/>
          <w:bCs/>
          <w:color w:val="auto"/>
          <w:spacing w:val="-3"/>
          <w:sz w:val="24"/>
          <w:szCs w:val="24"/>
          <w:highlight w:val="none"/>
        </w:rPr>
      </w:pPr>
    </w:p>
    <w:p w14:paraId="2C3333F2">
      <w:pPr>
        <w:spacing w:before="78" w:line="219" w:lineRule="auto"/>
        <w:jc w:val="center"/>
        <w:outlineLvl w:val="1"/>
        <w:rPr>
          <w:rFonts w:hint="eastAsia" w:ascii="宋体" w:hAnsi="宋体" w:eastAsia="宋体" w:cs="宋体"/>
          <w:b/>
          <w:bCs/>
          <w:color w:val="auto"/>
          <w:spacing w:val="-3"/>
          <w:sz w:val="24"/>
          <w:szCs w:val="24"/>
          <w:highlight w:val="none"/>
        </w:rPr>
      </w:pPr>
    </w:p>
    <w:p w14:paraId="6D622BC9">
      <w:pPr>
        <w:spacing w:before="78" w:line="219" w:lineRule="auto"/>
        <w:jc w:val="center"/>
        <w:outlineLvl w:val="1"/>
        <w:rPr>
          <w:rFonts w:hint="eastAsia" w:ascii="宋体" w:hAnsi="宋体" w:eastAsia="宋体" w:cs="宋体"/>
          <w:b/>
          <w:bCs/>
          <w:color w:val="auto"/>
          <w:spacing w:val="-3"/>
          <w:sz w:val="24"/>
          <w:szCs w:val="24"/>
          <w:highlight w:val="none"/>
        </w:rPr>
      </w:pPr>
    </w:p>
    <w:p w14:paraId="45D785F6">
      <w:pPr>
        <w:spacing w:before="78" w:line="219" w:lineRule="auto"/>
        <w:jc w:val="center"/>
        <w:outlineLvl w:val="1"/>
        <w:rPr>
          <w:rFonts w:hint="eastAsia" w:ascii="宋体" w:hAnsi="宋体" w:eastAsia="宋体" w:cs="宋体"/>
          <w:b/>
          <w:bCs/>
          <w:color w:val="auto"/>
          <w:spacing w:val="-3"/>
          <w:sz w:val="24"/>
          <w:szCs w:val="24"/>
          <w:highlight w:val="none"/>
        </w:rPr>
      </w:pPr>
    </w:p>
    <w:p w14:paraId="1A798D0E">
      <w:pPr>
        <w:spacing w:before="78" w:line="219" w:lineRule="auto"/>
        <w:jc w:val="center"/>
        <w:outlineLvl w:val="1"/>
        <w:rPr>
          <w:rFonts w:hint="eastAsia" w:ascii="宋体" w:hAnsi="宋体" w:eastAsia="宋体" w:cs="宋体"/>
          <w:b/>
          <w:bCs/>
          <w:color w:val="auto"/>
          <w:spacing w:val="-3"/>
          <w:sz w:val="24"/>
          <w:szCs w:val="24"/>
          <w:highlight w:val="none"/>
        </w:rPr>
      </w:pPr>
    </w:p>
    <w:p w14:paraId="7253BFBB">
      <w:pPr>
        <w:spacing w:before="78" w:line="219" w:lineRule="auto"/>
        <w:jc w:val="center"/>
        <w:outlineLvl w:val="1"/>
        <w:rPr>
          <w:rFonts w:hint="eastAsia" w:ascii="宋体" w:hAnsi="宋体" w:eastAsia="宋体" w:cs="宋体"/>
          <w:b/>
          <w:bCs/>
          <w:color w:val="auto"/>
          <w:spacing w:val="-3"/>
          <w:sz w:val="24"/>
          <w:szCs w:val="24"/>
          <w:highlight w:val="none"/>
        </w:rPr>
      </w:pPr>
    </w:p>
    <w:p w14:paraId="1BA659E5">
      <w:pPr>
        <w:spacing w:before="78" w:line="219" w:lineRule="auto"/>
        <w:jc w:val="center"/>
        <w:outlineLvl w:val="1"/>
        <w:rPr>
          <w:rFonts w:hint="eastAsia" w:ascii="宋体" w:hAnsi="宋体" w:eastAsia="宋体" w:cs="宋体"/>
          <w:b/>
          <w:bCs/>
          <w:color w:val="auto"/>
          <w:spacing w:val="-3"/>
          <w:sz w:val="24"/>
          <w:szCs w:val="24"/>
          <w:highlight w:val="none"/>
        </w:rPr>
      </w:pPr>
    </w:p>
    <w:p w14:paraId="44FDDF06">
      <w:pPr>
        <w:spacing w:before="78" w:line="219" w:lineRule="auto"/>
        <w:jc w:val="center"/>
        <w:outlineLvl w:val="1"/>
        <w:rPr>
          <w:rFonts w:hint="eastAsia" w:ascii="宋体" w:hAnsi="宋体" w:eastAsia="宋体" w:cs="宋体"/>
          <w:b/>
          <w:bCs/>
          <w:color w:val="auto"/>
          <w:spacing w:val="-3"/>
          <w:sz w:val="24"/>
          <w:szCs w:val="24"/>
          <w:highlight w:val="none"/>
        </w:rPr>
      </w:pPr>
    </w:p>
    <w:p w14:paraId="6A814535">
      <w:pPr>
        <w:spacing w:before="78" w:line="219" w:lineRule="auto"/>
        <w:jc w:val="center"/>
        <w:outlineLvl w:val="1"/>
        <w:rPr>
          <w:rFonts w:hint="eastAsia" w:ascii="宋体" w:hAnsi="宋体" w:eastAsia="宋体" w:cs="宋体"/>
          <w:b/>
          <w:bCs/>
          <w:color w:val="auto"/>
          <w:spacing w:val="-3"/>
          <w:sz w:val="24"/>
          <w:szCs w:val="24"/>
          <w:highlight w:val="none"/>
        </w:rPr>
      </w:pPr>
    </w:p>
    <w:p w14:paraId="2C84FF1B">
      <w:pPr>
        <w:spacing w:before="78" w:line="219" w:lineRule="auto"/>
        <w:jc w:val="center"/>
        <w:outlineLvl w:val="1"/>
        <w:rPr>
          <w:rFonts w:hint="eastAsia" w:ascii="宋体" w:hAnsi="宋体" w:eastAsia="宋体" w:cs="宋体"/>
          <w:b/>
          <w:bCs/>
          <w:color w:val="auto"/>
          <w:spacing w:val="-3"/>
          <w:sz w:val="24"/>
          <w:szCs w:val="24"/>
          <w:highlight w:val="none"/>
        </w:rPr>
      </w:pPr>
    </w:p>
    <w:p w14:paraId="2B712078">
      <w:pPr>
        <w:spacing w:before="78" w:line="219" w:lineRule="auto"/>
        <w:jc w:val="center"/>
        <w:outlineLvl w:val="1"/>
        <w:rPr>
          <w:rFonts w:hint="eastAsia" w:ascii="宋体" w:hAnsi="宋体" w:eastAsia="宋体" w:cs="宋体"/>
          <w:b/>
          <w:bCs/>
          <w:color w:val="auto"/>
          <w:spacing w:val="-3"/>
          <w:sz w:val="24"/>
          <w:szCs w:val="24"/>
          <w:highlight w:val="none"/>
        </w:rPr>
      </w:pPr>
    </w:p>
    <w:p w14:paraId="2C719281">
      <w:pPr>
        <w:spacing w:before="78" w:line="219" w:lineRule="auto"/>
        <w:jc w:val="center"/>
        <w:outlineLvl w:val="1"/>
        <w:rPr>
          <w:rFonts w:hint="eastAsia" w:ascii="宋体" w:hAnsi="宋体" w:eastAsia="宋体" w:cs="宋体"/>
          <w:b/>
          <w:bCs/>
          <w:color w:val="auto"/>
          <w:spacing w:val="-3"/>
          <w:sz w:val="24"/>
          <w:szCs w:val="24"/>
          <w:highlight w:val="none"/>
        </w:rPr>
      </w:pPr>
    </w:p>
    <w:p w14:paraId="1A6F67AB">
      <w:pPr>
        <w:spacing w:before="78" w:line="219" w:lineRule="auto"/>
        <w:jc w:val="center"/>
        <w:outlineLvl w:val="1"/>
        <w:rPr>
          <w:rFonts w:hint="eastAsia" w:ascii="宋体" w:hAnsi="宋体" w:eastAsia="宋体" w:cs="宋体"/>
          <w:b/>
          <w:bCs/>
          <w:color w:val="auto"/>
          <w:spacing w:val="-3"/>
          <w:sz w:val="24"/>
          <w:szCs w:val="24"/>
          <w:highlight w:val="none"/>
        </w:rPr>
      </w:pPr>
    </w:p>
    <w:p w14:paraId="7B9B4278">
      <w:pPr>
        <w:spacing w:before="78" w:line="219" w:lineRule="auto"/>
        <w:jc w:val="center"/>
        <w:outlineLvl w:val="1"/>
        <w:rPr>
          <w:rFonts w:hint="eastAsia" w:ascii="宋体" w:hAnsi="宋体" w:eastAsia="宋体" w:cs="宋体"/>
          <w:b/>
          <w:bCs/>
          <w:color w:val="auto"/>
          <w:spacing w:val="-3"/>
          <w:sz w:val="24"/>
          <w:szCs w:val="24"/>
          <w:highlight w:val="none"/>
        </w:rPr>
      </w:pPr>
    </w:p>
    <w:p w14:paraId="6F09FB96">
      <w:pPr>
        <w:spacing w:before="78" w:line="219" w:lineRule="auto"/>
        <w:jc w:val="center"/>
        <w:outlineLvl w:val="1"/>
        <w:rPr>
          <w:rFonts w:hint="eastAsia" w:ascii="宋体" w:hAnsi="宋体" w:eastAsia="宋体" w:cs="宋体"/>
          <w:b/>
          <w:bCs/>
          <w:color w:val="auto"/>
          <w:spacing w:val="-3"/>
          <w:sz w:val="24"/>
          <w:szCs w:val="24"/>
          <w:highlight w:val="none"/>
        </w:rPr>
      </w:pPr>
    </w:p>
    <w:p w14:paraId="3C47F80F">
      <w:pPr>
        <w:spacing w:before="78" w:line="219" w:lineRule="auto"/>
        <w:jc w:val="center"/>
        <w:outlineLvl w:val="1"/>
        <w:rPr>
          <w:rFonts w:hint="eastAsia" w:ascii="宋体" w:hAnsi="宋体" w:eastAsia="宋体" w:cs="宋体"/>
          <w:b/>
          <w:bCs/>
          <w:color w:val="auto"/>
          <w:spacing w:val="-3"/>
          <w:sz w:val="24"/>
          <w:szCs w:val="24"/>
          <w:highlight w:val="none"/>
        </w:rPr>
      </w:pPr>
    </w:p>
    <w:p w14:paraId="272AC14D">
      <w:pPr>
        <w:spacing w:before="78" w:line="219" w:lineRule="auto"/>
        <w:jc w:val="center"/>
        <w:outlineLvl w:val="1"/>
        <w:rPr>
          <w:rFonts w:hint="eastAsia" w:ascii="宋体" w:hAnsi="宋体" w:eastAsia="宋体" w:cs="宋体"/>
          <w:b/>
          <w:bCs/>
          <w:color w:val="auto"/>
          <w:spacing w:val="-3"/>
          <w:sz w:val="24"/>
          <w:szCs w:val="24"/>
          <w:highlight w:val="none"/>
        </w:rPr>
      </w:pPr>
    </w:p>
    <w:p w14:paraId="054924C2">
      <w:pPr>
        <w:spacing w:before="78" w:line="219" w:lineRule="auto"/>
        <w:jc w:val="center"/>
        <w:outlineLvl w:val="1"/>
        <w:rPr>
          <w:rFonts w:hint="eastAsia" w:ascii="宋体" w:hAnsi="宋体" w:eastAsia="宋体" w:cs="宋体"/>
          <w:b/>
          <w:bCs/>
          <w:color w:val="auto"/>
          <w:spacing w:val="-3"/>
          <w:sz w:val="24"/>
          <w:szCs w:val="24"/>
          <w:highlight w:val="none"/>
        </w:rPr>
      </w:pPr>
    </w:p>
    <w:p w14:paraId="3A4ECF1E">
      <w:pPr>
        <w:spacing w:before="78" w:line="219" w:lineRule="auto"/>
        <w:jc w:val="center"/>
        <w:outlineLvl w:val="1"/>
        <w:rPr>
          <w:rFonts w:hint="eastAsia" w:ascii="宋体" w:hAnsi="宋体" w:eastAsia="宋体" w:cs="宋体"/>
          <w:b/>
          <w:bCs/>
          <w:color w:val="auto"/>
          <w:spacing w:val="-3"/>
          <w:sz w:val="24"/>
          <w:szCs w:val="24"/>
          <w:highlight w:val="none"/>
        </w:rPr>
      </w:pPr>
    </w:p>
    <w:p w14:paraId="40F38C4C">
      <w:pPr>
        <w:spacing w:before="78" w:line="219" w:lineRule="auto"/>
        <w:jc w:val="center"/>
        <w:outlineLvl w:val="1"/>
        <w:rPr>
          <w:rFonts w:hint="eastAsia" w:ascii="宋体" w:hAnsi="宋体" w:eastAsia="宋体" w:cs="宋体"/>
          <w:color w:val="auto"/>
          <w:highlight w:val="none"/>
        </w:rPr>
      </w:pPr>
      <w:bookmarkStart w:id="273" w:name="_Toc10482"/>
      <w:r>
        <w:rPr>
          <w:rFonts w:hint="eastAsia" w:ascii="宋体" w:hAnsi="宋体" w:eastAsia="宋体" w:cs="宋体"/>
          <w:b/>
          <w:bCs/>
          <w:color w:val="auto"/>
          <w:spacing w:val="-3"/>
          <w:sz w:val="24"/>
          <w:szCs w:val="24"/>
          <w:highlight w:val="none"/>
        </w:rPr>
        <w:t>第七章</w:t>
      </w:r>
      <w:r>
        <w:rPr>
          <w:rFonts w:hint="eastAsia" w:ascii="宋体" w:hAnsi="宋体" w:eastAsia="宋体" w:cs="宋体"/>
          <w:color w:val="auto"/>
          <w:spacing w:val="-3"/>
          <w:sz w:val="24"/>
          <w:szCs w:val="24"/>
          <w:highlight w:val="none"/>
        </w:rPr>
        <w:t xml:space="preserve"> </w:t>
      </w:r>
      <w:r>
        <w:rPr>
          <w:rFonts w:hint="eastAsia" w:ascii="宋体" w:hAnsi="宋体" w:eastAsia="宋体" w:cs="宋体"/>
          <w:b/>
          <w:bCs/>
          <w:color w:val="auto"/>
          <w:spacing w:val="-3"/>
          <w:sz w:val="24"/>
          <w:szCs w:val="24"/>
          <w:highlight w:val="none"/>
        </w:rPr>
        <w:t>建设工程施工合同</w:t>
      </w:r>
      <w:bookmarkEnd w:id="273"/>
    </w:p>
    <w:p w14:paraId="4F8929F7">
      <w:pPr>
        <w:pStyle w:val="6"/>
        <w:spacing w:line="257" w:lineRule="auto"/>
        <w:rPr>
          <w:rFonts w:hint="eastAsia" w:ascii="宋体" w:hAnsi="宋体" w:eastAsia="宋体" w:cs="宋体"/>
          <w:color w:val="auto"/>
          <w:highlight w:val="none"/>
        </w:rPr>
      </w:pPr>
    </w:p>
    <w:p w14:paraId="0A77C2EA">
      <w:pPr>
        <w:spacing w:before="78" w:line="324" w:lineRule="auto"/>
        <w:ind w:firstLine="480"/>
        <w:rPr>
          <w:rFonts w:hint="eastAsia" w:ascii="宋体" w:hAnsi="宋体" w:eastAsia="宋体" w:cs="宋体"/>
          <w:color w:val="auto"/>
          <w:spacing w:val="-1"/>
          <w:sz w:val="24"/>
          <w:szCs w:val="24"/>
          <w:highlight w:val="none"/>
        </w:rPr>
      </w:pPr>
      <w:r>
        <w:rPr>
          <w:rFonts w:hint="eastAsia" w:ascii="宋体" w:hAnsi="宋体" w:eastAsia="宋体" w:cs="宋体"/>
          <w:color w:val="auto"/>
          <w:spacing w:val="-3"/>
          <w:sz w:val="24"/>
          <w:szCs w:val="24"/>
          <w:highlight w:val="none"/>
        </w:rPr>
        <w:t>（略</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3"/>
          <w:sz w:val="24"/>
          <w:szCs w:val="24"/>
          <w:highlight w:val="none"/>
        </w:rPr>
        <w:t>按《广东省建设工程标准施工合同》（2009 年版）</w:t>
      </w:r>
      <w:r>
        <w:rPr>
          <w:rFonts w:hint="eastAsia" w:ascii="宋体" w:hAnsi="宋体" w:eastAsia="宋体" w:cs="宋体"/>
          <w:color w:val="auto"/>
          <w:spacing w:val="-3"/>
          <w:sz w:val="24"/>
          <w:szCs w:val="24"/>
          <w:highlight w:val="none"/>
          <w:lang w:eastAsia="zh-CN"/>
        </w:rPr>
        <w:t>、</w:t>
      </w:r>
      <w:r>
        <w:rPr>
          <w:rFonts w:hint="eastAsia" w:ascii="宋体" w:hAnsi="宋体" w:eastAsia="宋体" w:cs="宋体"/>
          <w:color w:val="auto"/>
          <w:spacing w:val="-3"/>
          <w:sz w:val="24"/>
          <w:szCs w:val="24"/>
          <w:highlight w:val="none"/>
        </w:rPr>
        <w:t>《建设工程施工合同</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（示范文本）》（GF—2017—0201）</w:t>
      </w:r>
      <w:r>
        <w:rPr>
          <w:rFonts w:hint="eastAsia" w:ascii="宋体" w:hAnsi="宋体" w:eastAsia="宋体" w:cs="宋体"/>
          <w:color w:val="auto"/>
          <w:spacing w:val="-1"/>
          <w:sz w:val="24"/>
          <w:szCs w:val="24"/>
          <w:highlight w:val="none"/>
          <w:lang w:val="en-US" w:eastAsia="zh-CN"/>
        </w:rPr>
        <w:t>或《建设工程施工合同示范文本（房屋建筑和市政工程）》（WJ-2026-0227）</w:t>
      </w:r>
      <w:r>
        <w:rPr>
          <w:rFonts w:hint="eastAsia" w:ascii="宋体" w:hAnsi="宋体" w:eastAsia="宋体" w:cs="宋体"/>
          <w:color w:val="auto"/>
          <w:spacing w:val="-1"/>
          <w:sz w:val="24"/>
          <w:szCs w:val="24"/>
          <w:highlight w:val="none"/>
        </w:rPr>
        <w:t>执行。</w:t>
      </w:r>
    </w:p>
    <w:p w14:paraId="131B8557">
      <w:pPr>
        <w:spacing w:before="78" w:line="324" w:lineRule="auto"/>
        <w:ind w:firstLine="480"/>
        <w:rPr>
          <w:rFonts w:hint="eastAsia" w:ascii="宋体" w:hAnsi="宋体" w:eastAsia="宋体" w:cs="宋体"/>
          <w:color w:val="auto"/>
          <w:sz w:val="24"/>
          <w:szCs w:val="24"/>
          <w:highlight w:val="none"/>
        </w:rPr>
      </w:pPr>
    </w:p>
    <w:p w14:paraId="44640A2C">
      <w:pPr>
        <w:rPr>
          <w:rFonts w:hint="eastAsia" w:ascii="宋体" w:hAnsi="宋体" w:eastAsia="宋体" w:cs="宋体"/>
          <w:color w:val="auto"/>
          <w:highlight w:val="none"/>
        </w:rPr>
      </w:pPr>
    </w:p>
    <w:sectPr>
      <w:footerReference r:id="rId26" w:type="default"/>
      <w:pgSz w:w="11906" w:h="16839"/>
      <w:pgMar w:top="1440" w:right="1080" w:bottom="1440" w:left="1080" w:header="0" w:footer="1023"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90F74">
    <w:pPr>
      <w:pStyle w:val="9"/>
    </w:pPr>
    <w:r>
      <w:rPr>
        <w:sz w:val="18"/>
      </w:rPr>
      <mc:AlternateContent>
        <mc:Choice Requires="wps">
          <w:drawing>
            <wp:anchor distT="0" distB="0" distL="114300" distR="114300" simplePos="0" relativeHeight="251678720" behindDoc="0" locked="0" layoutInCell="1" allowOverlap="1">
              <wp:simplePos x="0" y="0"/>
              <wp:positionH relativeFrom="margin">
                <wp:posOffset>3024505</wp:posOffset>
              </wp:positionH>
              <wp:positionV relativeFrom="paragraph">
                <wp:posOffset>-589280</wp:posOffset>
              </wp:positionV>
              <wp:extent cx="133350" cy="33972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33350" cy="339725"/>
                      </a:xfrm>
                      <a:prstGeom prst="rect">
                        <a:avLst/>
                      </a:prstGeom>
                      <a:noFill/>
                      <a:ln>
                        <a:noFill/>
                      </a:ln>
                    </wps:spPr>
                    <wps:txbx>
                      <w:txbxContent>
                        <w:p w14:paraId="7AA0AA63">
                          <w:pPr>
                            <w:pStyle w:val="9"/>
                          </w:pPr>
                          <w:r>
                            <w:fldChar w:fldCharType="begin"/>
                          </w:r>
                          <w:r>
                            <w:instrText xml:space="preserve"> PAGE  \* MERGEFORMAT </w:instrText>
                          </w:r>
                          <w:r>
                            <w:fldChar w:fldCharType="separate"/>
                          </w:r>
                          <w:r>
                            <w:t>1</w:t>
                          </w:r>
                          <w:r>
                            <w:fldChar w:fldCharType="end"/>
                          </w:r>
                        </w:p>
                      </w:txbxContent>
                    </wps:txbx>
                    <wps:bodyPr lIns="0" tIns="0" rIns="0" bIns="0" upright="0"/>
                  </wps:wsp>
                </a:graphicData>
              </a:graphic>
            </wp:anchor>
          </w:drawing>
        </mc:Choice>
        <mc:Fallback>
          <w:pict>
            <v:shape id="_x0000_s1026" o:spid="_x0000_s1026" o:spt="202" type="#_x0000_t202" style="position:absolute;left:0pt;margin-left:238.15pt;margin-top:-46.4pt;height:26.75pt;width:10.5pt;mso-position-horizontal-relative:margin;z-index:251678720;mso-width-relative:page;mso-height-relative:page;" filled="f" stroked="f" coordsize="21600,21600" o:gfxdata="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e/Q19kAAAALAQAADwAAAAAAAAABACAAAAAiAAAAZHJzL2Rvd25yZXYueG1sUEsB&#10;AhQAFAAAAAgAh07iQPACNNW7AQAAcwMAAA4AAAAAAAAAAQAgAAAAKAEAAGRycy9lMm9Eb2MueG1s&#10;UEsFBgAAAAAGAAYAWQEAAFUFAAAAAA==&#10;">
              <v:fill on="f" focussize="0,0"/>
              <v:stroke on="f"/>
              <v:imagedata o:title=""/>
              <o:lock v:ext="edit" aspectratio="f"/>
              <v:textbox inset="0mm,0mm,0mm,0mm">
                <w:txbxContent>
                  <w:p w14:paraId="7AA0AA6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E2A57">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ACD18E">
                          <w:pPr>
                            <w:pStyle w:val="9"/>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WErUc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zpM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WErUcoBAACbAwAADgAAAAAAAAABACAAAAAeAQAAZHJzL2Uyb0Rv&#10;Yy54bWxQSwUGAAAAAAYABgBZAQAAWgUAAAAA&#10;">
              <v:fill on="f" focussize="0,0"/>
              <v:stroke on="f"/>
              <v:imagedata o:title=""/>
              <o:lock v:ext="edit" aspectratio="f"/>
              <v:textbox inset="0mm,0mm,0mm,0mm" style="mso-fit-shape-to-text:t;">
                <w:txbxContent>
                  <w:p w14:paraId="5FACD18E">
                    <w:pPr>
                      <w:pStyle w:val="9"/>
                    </w:pPr>
                    <w:r>
                      <w:fldChar w:fldCharType="begin"/>
                    </w:r>
                    <w:r>
                      <w:instrText xml:space="preserve"> PAGE  \* MERGEFORMAT </w:instrText>
                    </w:r>
                    <w:r>
                      <w:fldChar w:fldCharType="separate"/>
                    </w:r>
                    <w:r>
                      <w:t>5</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D6CE7">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F08575">
                          <w:pPr>
                            <w:pStyle w:val="9"/>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8+0co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68+0coBAACbAwAADgAAAAAAAAABACAAAAAeAQAAZHJzL2Uyb0Rv&#10;Yy54bWxQSwUGAAAAAAYABgBZAQAAWgUAAAAA&#10;">
              <v:fill on="f" focussize="0,0"/>
              <v:stroke on="f"/>
              <v:imagedata o:title=""/>
              <o:lock v:ext="edit" aspectratio="f"/>
              <v:textbox inset="0mm,0mm,0mm,0mm" style="mso-fit-shape-to-text:t;">
                <w:txbxContent>
                  <w:p w14:paraId="73F08575">
                    <w:pPr>
                      <w:pStyle w:val="9"/>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C0874">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F4D2CA">
                          <w:pPr>
                            <w:pStyle w:val="9"/>
                          </w:pPr>
                          <w:r>
                            <w:fldChar w:fldCharType="begin"/>
                          </w:r>
                          <w:r>
                            <w:instrText xml:space="preserve"> PAGE  \* MERGEFORMAT </w:instrText>
                          </w:r>
                          <w:r>
                            <w:fldChar w:fldCharType="separate"/>
                          </w:r>
                          <w:r>
                            <w:t>44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HiCcoBAACb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dvKH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kHiCcoBAACbAwAADgAAAAAAAAABACAAAAAeAQAAZHJzL2Uyb0Rv&#10;Yy54bWxQSwUGAAAAAAYABgBZAQAAWgUAAAAA&#10;">
              <v:fill on="f" focussize="0,0"/>
              <v:stroke on="f"/>
              <v:imagedata o:title=""/>
              <o:lock v:ext="edit" aspectratio="f"/>
              <v:textbox inset="0mm,0mm,0mm,0mm" style="mso-fit-shape-to-text:t;">
                <w:txbxContent>
                  <w:p w14:paraId="08F4D2CA">
                    <w:pPr>
                      <w:pStyle w:val="9"/>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C97F4">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975851">
                          <w:pPr>
                            <w:pStyle w:val="9"/>
                          </w:pPr>
                          <w:r>
                            <w:fldChar w:fldCharType="begin"/>
                          </w:r>
                          <w:r>
                            <w:instrText xml:space="preserve"> PAGE  \* MERGEFORMAT </w:instrText>
                          </w:r>
                          <w:r>
                            <w:fldChar w:fldCharType="separate"/>
                          </w:r>
                          <w:r>
                            <w:t>50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27975851">
                    <w:pPr>
                      <w:pStyle w:val="9"/>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DCA5A">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319613">
                          <w:pPr>
                            <w:pStyle w:val="9"/>
                          </w:pPr>
                          <w:r>
                            <w:fldChar w:fldCharType="begin"/>
                          </w:r>
                          <w:r>
                            <w:instrText xml:space="preserve"> PAGE  \* MERGEFORMAT </w:instrText>
                          </w:r>
                          <w:r>
                            <w:fldChar w:fldCharType="separate"/>
                          </w:r>
                          <w:r>
                            <w:t>78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78319613">
                    <w:pPr>
                      <w:pStyle w:val="9"/>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7F7C8">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300860">
                          <w:pPr>
                            <w:pStyle w:val="9"/>
                          </w:pPr>
                          <w:r>
                            <w:fldChar w:fldCharType="begin"/>
                          </w:r>
                          <w:r>
                            <w:instrText xml:space="preserve"> PAGE  \* MERGEFORMAT </w:instrText>
                          </w:r>
                          <w:r>
                            <w:fldChar w:fldCharType="separate"/>
                          </w:r>
                          <w:r>
                            <w:t>79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51300860">
                    <w:pPr>
                      <w:pStyle w:val="9"/>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0E49">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50D8BE">
                          <w:pPr>
                            <w:pStyle w:val="9"/>
                          </w:pPr>
                          <w:r>
                            <w:fldChar w:fldCharType="begin"/>
                          </w:r>
                          <w:r>
                            <w:instrText xml:space="preserve"> PAGE  \* MERGEFORMAT </w:instrText>
                          </w:r>
                          <w:r>
                            <w:fldChar w:fldCharType="separate"/>
                          </w:r>
                          <w:r>
                            <w:t>80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6550D8BE">
                    <w:pPr>
                      <w:pStyle w:val="9"/>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3E50">
    <w:pPr>
      <w:pStyle w:val="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EBCA68">
                          <w:pPr>
                            <w:pStyle w:val="9"/>
                          </w:pPr>
                          <w:r>
                            <w:fldChar w:fldCharType="begin"/>
                          </w:r>
                          <w:r>
                            <w:instrText xml:space="preserve"> PAGE  \* MERGEFORMAT </w:instrText>
                          </w:r>
                          <w:r>
                            <w:fldChar w:fldCharType="separate"/>
                          </w:r>
                          <w:r>
                            <w:t>81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nmGe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4d8ctTvz84/v55+/zr28E&#10;fShQH6DGvMeAmWm48QMmz35AZ+Y9qGjzFxkRjKO8p4u8ckhE5Eer5WpVYUhgbL4gPnt6HiKkO+kt&#10;yUZDI86vyMqP95DG1DklV3P+VhtTZmjcXw7EzB6Wex97zFYadsNEaOfbE/LpcfQNdbjplJiPDpXN&#10;WzIbcTZ2s3EIUe+7ska5HoQPh4RNlN5yhRF2KowzK+ym/cpL8fxesp7+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p5hnvIAQAAmwMAAA4AAAAAAAAAAQAgAAAAHgEAAGRycy9lMm9Eb2Mu&#10;eG1sUEsFBgAAAAAGAAYAWQEAAFgFAAAAAA==&#10;">
              <v:fill on="f" focussize="0,0"/>
              <v:stroke on="f"/>
              <v:imagedata o:title=""/>
              <o:lock v:ext="edit" aspectratio="f"/>
              <v:textbox inset="0mm,0mm,0mm,0mm" style="mso-fit-shape-to-text:t;">
                <w:txbxContent>
                  <w:p w14:paraId="49EBCA68">
                    <w:pPr>
                      <w:pStyle w:val="9"/>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A3D31">
    <w:pPr>
      <w:pStyle w:val="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069A84">
                          <w:pPr>
                            <w:pStyle w:val="9"/>
                          </w:pPr>
                          <w:r>
                            <w:fldChar w:fldCharType="begin"/>
                          </w:r>
                          <w:r>
                            <w:instrText xml:space="preserve"> PAGE  \* MERGEFORMAT </w:instrText>
                          </w:r>
                          <w:r>
                            <w:fldChar w:fldCharType="separate"/>
                          </w:r>
                          <w:r>
                            <w:t>83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66069A84">
                    <w:pPr>
                      <w:pStyle w:val="9"/>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59BBD">
    <w:pPr>
      <w:pStyle w:val="9"/>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E5FDE4">
                          <w:pPr>
                            <w:pStyle w:val="9"/>
                          </w:pPr>
                          <w:r>
                            <w:fldChar w:fldCharType="begin"/>
                          </w:r>
                          <w:r>
                            <w:instrText xml:space="preserve"> PAGE  \* MERGEFORMAT </w:instrText>
                          </w:r>
                          <w:r>
                            <w:fldChar w:fldCharType="separate"/>
                          </w:r>
                          <w:r>
                            <w:t>84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27E5FDE4">
                    <w:pPr>
                      <w:pStyle w:val="9"/>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54D5">
    <w:pPr>
      <w:pStyle w:val="9"/>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328BA0">
                          <w:pPr>
                            <w:pStyle w:val="9"/>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32328BA0">
                    <w:pPr>
                      <w:pStyle w:val="9"/>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F7A28">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548F88">
                          <w:pPr>
                            <w:pStyle w:val="9"/>
                          </w:pPr>
                          <w:r>
                            <w:fldChar w:fldCharType="begin"/>
                          </w:r>
                          <w:r>
                            <w:instrText xml:space="preserve"> PAGE  \* MERGEFORMAT </w:instrText>
                          </w:r>
                          <w:r>
                            <w:fldChar w:fldCharType="separate"/>
                          </w:r>
                          <w:r>
                            <w:t>86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4F548F88">
                    <w:pPr>
                      <w:pStyle w:val="9"/>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972CD">
    <w:pPr>
      <w:pStyle w:val="9"/>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204562">
                          <w:pPr>
                            <w:pStyle w:val="9"/>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4E204562">
                    <w:pPr>
                      <w:pStyle w:val="9"/>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94C7B">
    <w:pPr>
      <w:pStyle w:val="9"/>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20FD3A">
                          <w:pPr>
                            <w:pStyle w:val="9"/>
                          </w:pPr>
                          <w:r>
                            <w:fldChar w:fldCharType="begin"/>
                          </w:r>
                          <w:r>
                            <w:instrText xml:space="preserve"> PAGE  \* MERGEFORMAT </w:instrText>
                          </w:r>
                          <w:r>
                            <w:fldChar w:fldCharType="separate"/>
                          </w:r>
                          <w:r>
                            <w:t>90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1F20FD3A">
                    <w:pPr>
                      <w:pStyle w:val="9"/>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855E9">
    <w:pPr>
      <w:pStyle w:val="9"/>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BC4325">
                          <w:pPr>
                            <w:pStyle w:val="9"/>
                          </w:pPr>
                          <w:r>
                            <w:fldChar w:fldCharType="begin"/>
                          </w:r>
                          <w:r>
                            <w:instrText xml:space="preserve"> PAGE  \* MERGEFORMAT </w:instrText>
                          </w:r>
                          <w:r>
                            <w:fldChar w:fldCharType="separate"/>
                          </w:r>
                          <w:r>
                            <w:t>91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07BC4325">
                    <w:pPr>
                      <w:pStyle w:val="9"/>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4A1DD">
    <w:pPr>
      <w:pStyle w:val="9"/>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72AC83">
                          <w:pPr>
                            <w:pStyle w:val="9"/>
                          </w:pPr>
                          <w:r>
                            <w:fldChar w:fldCharType="begin"/>
                          </w:r>
                          <w:r>
                            <w:instrText xml:space="preserve"> PAGE  \* MERGEFORMAT </w:instrText>
                          </w:r>
                          <w:r>
                            <w:fldChar w:fldCharType="separate"/>
                          </w:r>
                          <w:r>
                            <w:t>93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5772AC83">
                    <w:pPr>
                      <w:pStyle w:val="9"/>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03678">
    <w:pPr>
      <w:pStyle w:val="9"/>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8BDFEE">
                          <w:pPr>
                            <w:pStyle w:val="9"/>
                          </w:pPr>
                          <w:r>
                            <w:fldChar w:fldCharType="begin"/>
                          </w:r>
                          <w:r>
                            <w:instrText xml:space="preserve"> PAGE  \* MERGEFORMAT </w:instrText>
                          </w:r>
                          <w:r>
                            <w:fldChar w:fldCharType="separate"/>
                          </w:r>
                          <w:r>
                            <w:t>94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C8BDFEE">
                    <w:pPr>
                      <w:pStyle w:val="9"/>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A54D5">
    <w:pPr>
      <w:pStyle w:val="9"/>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D04257B">
                          <w:pPr>
                            <w:pStyle w:val="9"/>
                          </w:pPr>
                          <w:r>
                            <w:fldChar w:fldCharType="begin"/>
                          </w:r>
                          <w:r>
                            <w:instrText xml:space="preserve"> PAGE  \* MERGEFORMAT </w:instrText>
                          </w:r>
                          <w:r>
                            <w:fldChar w:fldCharType="separate"/>
                          </w:r>
                          <w:r>
                            <w:t>102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D04257B">
                    <w:pPr>
                      <w:pStyle w:val="9"/>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20278">
    <w:pPr>
      <w:pStyle w:val="6"/>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EAB8B">
    <w:pPr>
      <w:pStyle w:val="6"/>
      <w:spacing w:line="50"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BFFF4">
    <w:pPr>
      <w:pStyle w:val="6"/>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E52E4">
    <w:pPr>
      <w:pStyle w:val="6"/>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1BF32">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1C91A8"/>
    <w:multiLevelType w:val="singleLevel"/>
    <w:tmpl w:val="921C91A8"/>
    <w:lvl w:ilvl="0" w:tentative="0">
      <w:start w:val="1"/>
      <w:numFmt w:val="decimal"/>
      <w:suff w:val="nothing"/>
      <w:lvlText w:val="%1．"/>
      <w:lvlJc w:val="left"/>
    </w:lvl>
  </w:abstractNum>
  <w:abstractNum w:abstractNumId="1">
    <w:nsid w:val="E6C9BDCA"/>
    <w:multiLevelType w:val="singleLevel"/>
    <w:tmpl w:val="E6C9BDCA"/>
    <w:lvl w:ilvl="0" w:tentative="0">
      <w:start w:val="1"/>
      <w:numFmt w:val="decimal"/>
      <w:suff w:val="nothing"/>
      <w:lvlText w:val="（%1）"/>
      <w:lvlJc w:val="left"/>
    </w:lvl>
  </w:abstractNum>
  <w:abstractNum w:abstractNumId="2">
    <w:nsid w:val="00000003"/>
    <w:multiLevelType w:val="singleLevel"/>
    <w:tmpl w:val="00000003"/>
    <w:lvl w:ilvl="0" w:tentative="0">
      <w:start w:val="1"/>
      <w:numFmt w:val="decimal"/>
      <w:suff w:val="nothing"/>
      <w:lvlText w:val="（%1）"/>
      <w:lvlJc w:val="left"/>
    </w:lvl>
  </w:abstractNum>
  <w:abstractNum w:abstractNumId="3">
    <w:nsid w:val="151BEAF5"/>
    <w:multiLevelType w:val="singleLevel"/>
    <w:tmpl w:val="151BEAF5"/>
    <w:lvl w:ilvl="0" w:tentative="0">
      <w:start w:val="1"/>
      <w:numFmt w:val="decimal"/>
      <w:lvlText w:val="%1."/>
      <w:lvlJc w:val="left"/>
      <w:pPr>
        <w:tabs>
          <w:tab w:val="left" w:pos="312"/>
        </w:tabs>
      </w:pPr>
    </w:lvl>
  </w:abstractNum>
  <w:abstractNum w:abstractNumId="4">
    <w:nsid w:val="6B5BD0B9"/>
    <w:multiLevelType w:val="singleLevel"/>
    <w:tmpl w:val="6B5BD0B9"/>
    <w:lvl w:ilvl="0" w:tentative="0">
      <w:start w:val="1"/>
      <w:numFmt w:val="decimal"/>
      <w:lvlText w:val="%1."/>
      <w:lvlJc w:val="left"/>
      <w:pPr>
        <w:tabs>
          <w:tab w:val="left" w:pos="312"/>
        </w:tabs>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mYWJjODQxYTJmZGUwYjQ3M2QwYzM4MWUxMzIyZTMifQ=="/>
  </w:docVars>
  <w:rsids>
    <w:rsidRoot w:val="4F582EF7"/>
    <w:rsid w:val="00072C34"/>
    <w:rsid w:val="000C716A"/>
    <w:rsid w:val="00473031"/>
    <w:rsid w:val="007A3406"/>
    <w:rsid w:val="00824069"/>
    <w:rsid w:val="00D61DC8"/>
    <w:rsid w:val="01276505"/>
    <w:rsid w:val="013F232E"/>
    <w:rsid w:val="014C6B51"/>
    <w:rsid w:val="018B7D8A"/>
    <w:rsid w:val="01B6213A"/>
    <w:rsid w:val="01BE1198"/>
    <w:rsid w:val="01D33421"/>
    <w:rsid w:val="01E25ABE"/>
    <w:rsid w:val="01EE7C08"/>
    <w:rsid w:val="01F62F61"/>
    <w:rsid w:val="01FD63CC"/>
    <w:rsid w:val="02337D11"/>
    <w:rsid w:val="023B3D55"/>
    <w:rsid w:val="024978A8"/>
    <w:rsid w:val="024F6BF1"/>
    <w:rsid w:val="02BF0C55"/>
    <w:rsid w:val="02F13018"/>
    <w:rsid w:val="03044E9C"/>
    <w:rsid w:val="03103BAE"/>
    <w:rsid w:val="031418F0"/>
    <w:rsid w:val="0358304C"/>
    <w:rsid w:val="035F488B"/>
    <w:rsid w:val="03661A20"/>
    <w:rsid w:val="03884133"/>
    <w:rsid w:val="039E06FB"/>
    <w:rsid w:val="04021749"/>
    <w:rsid w:val="040D352F"/>
    <w:rsid w:val="04225756"/>
    <w:rsid w:val="043520BC"/>
    <w:rsid w:val="04B67F25"/>
    <w:rsid w:val="04BA3A86"/>
    <w:rsid w:val="04BF763A"/>
    <w:rsid w:val="04E2157A"/>
    <w:rsid w:val="04EF43C3"/>
    <w:rsid w:val="055E6E53"/>
    <w:rsid w:val="056C5F91"/>
    <w:rsid w:val="059A3EA8"/>
    <w:rsid w:val="05AF76AE"/>
    <w:rsid w:val="05D4768F"/>
    <w:rsid w:val="05E67124"/>
    <w:rsid w:val="05E732EC"/>
    <w:rsid w:val="05EC614B"/>
    <w:rsid w:val="0608494D"/>
    <w:rsid w:val="062235DD"/>
    <w:rsid w:val="063C112F"/>
    <w:rsid w:val="067B1C86"/>
    <w:rsid w:val="06856661"/>
    <w:rsid w:val="069B537E"/>
    <w:rsid w:val="06C70A28"/>
    <w:rsid w:val="06C929F2"/>
    <w:rsid w:val="06CA23DC"/>
    <w:rsid w:val="06D05B2E"/>
    <w:rsid w:val="06DC2725"/>
    <w:rsid w:val="06DD024B"/>
    <w:rsid w:val="07001B9F"/>
    <w:rsid w:val="07133987"/>
    <w:rsid w:val="07520C39"/>
    <w:rsid w:val="07A1396F"/>
    <w:rsid w:val="07A71DAB"/>
    <w:rsid w:val="07DE24CD"/>
    <w:rsid w:val="08103ADB"/>
    <w:rsid w:val="086230FE"/>
    <w:rsid w:val="087C3598"/>
    <w:rsid w:val="088C763C"/>
    <w:rsid w:val="089718A3"/>
    <w:rsid w:val="08CD7283"/>
    <w:rsid w:val="08D062B9"/>
    <w:rsid w:val="08E41D65"/>
    <w:rsid w:val="08EB6C4F"/>
    <w:rsid w:val="092D5890"/>
    <w:rsid w:val="093643EC"/>
    <w:rsid w:val="0963211F"/>
    <w:rsid w:val="098E2AFB"/>
    <w:rsid w:val="099A5DD9"/>
    <w:rsid w:val="09C807D3"/>
    <w:rsid w:val="09F06AB0"/>
    <w:rsid w:val="09FA34EB"/>
    <w:rsid w:val="09FF4A68"/>
    <w:rsid w:val="0A3C3AB5"/>
    <w:rsid w:val="0A62467A"/>
    <w:rsid w:val="0A7D4664"/>
    <w:rsid w:val="0A8235E3"/>
    <w:rsid w:val="0A87732E"/>
    <w:rsid w:val="0AA7129C"/>
    <w:rsid w:val="0AD33307"/>
    <w:rsid w:val="0AE05E8C"/>
    <w:rsid w:val="0AF3628F"/>
    <w:rsid w:val="0B3866B7"/>
    <w:rsid w:val="0B41524D"/>
    <w:rsid w:val="0B9E41C6"/>
    <w:rsid w:val="0BC6217A"/>
    <w:rsid w:val="0BD240F7"/>
    <w:rsid w:val="0BE5207C"/>
    <w:rsid w:val="0BF41F06"/>
    <w:rsid w:val="0C120997"/>
    <w:rsid w:val="0C2A7A8F"/>
    <w:rsid w:val="0C2B1A59"/>
    <w:rsid w:val="0C4153D2"/>
    <w:rsid w:val="0C49746F"/>
    <w:rsid w:val="0C597D15"/>
    <w:rsid w:val="0CA07D76"/>
    <w:rsid w:val="0CA27F6D"/>
    <w:rsid w:val="0CC0489C"/>
    <w:rsid w:val="0CD128FC"/>
    <w:rsid w:val="0CD64B8F"/>
    <w:rsid w:val="0CF14A50"/>
    <w:rsid w:val="0D03679A"/>
    <w:rsid w:val="0D181D64"/>
    <w:rsid w:val="0D1D2F6F"/>
    <w:rsid w:val="0D3B3F1D"/>
    <w:rsid w:val="0DCB0DFD"/>
    <w:rsid w:val="0DCE22AF"/>
    <w:rsid w:val="0DF525DE"/>
    <w:rsid w:val="0DF61CE0"/>
    <w:rsid w:val="0DF86616"/>
    <w:rsid w:val="0E1E1875"/>
    <w:rsid w:val="0E460DCC"/>
    <w:rsid w:val="0E5E6115"/>
    <w:rsid w:val="0E684952"/>
    <w:rsid w:val="0E86353F"/>
    <w:rsid w:val="0E8D07A9"/>
    <w:rsid w:val="0E8E37ED"/>
    <w:rsid w:val="0EAF2E14"/>
    <w:rsid w:val="0EDB59B8"/>
    <w:rsid w:val="0F0E7B4D"/>
    <w:rsid w:val="0F1C2D99"/>
    <w:rsid w:val="0F363986"/>
    <w:rsid w:val="0F6F04DC"/>
    <w:rsid w:val="0F825E34"/>
    <w:rsid w:val="0FAB0EE6"/>
    <w:rsid w:val="105858FC"/>
    <w:rsid w:val="106C3AC2"/>
    <w:rsid w:val="108403E2"/>
    <w:rsid w:val="109275A9"/>
    <w:rsid w:val="10C15734"/>
    <w:rsid w:val="10C44237"/>
    <w:rsid w:val="11164A85"/>
    <w:rsid w:val="1122342A"/>
    <w:rsid w:val="11533574"/>
    <w:rsid w:val="11785740"/>
    <w:rsid w:val="117A3266"/>
    <w:rsid w:val="11862732"/>
    <w:rsid w:val="118F278E"/>
    <w:rsid w:val="119D4F21"/>
    <w:rsid w:val="11A47985"/>
    <w:rsid w:val="11C67A56"/>
    <w:rsid w:val="11D80D88"/>
    <w:rsid w:val="12474DCB"/>
    <w:rsid w:val="124E024F"/>
    <w:rsid w:val="12527641"/>
    <w:rsid w:val="1257527D"/>
    <w:rsid w:val="126805E3"/>
    <w:rsid w:val="12E7492B"/>
    <w:rsid w:val="12E74FC1"/>
    <w:rsid w:val="12F27F6E"/>
    <w:rsid w:val="13566096"/>
    <w:rsid w:val="13612AFD"/>
    <w:rsid w:val="14141B79"/>
    <w:rsid w:val="143C0CA7"/>
    <w:rsid w:val="1457788F"/>
    <w:rsid w:val="14760C96"/>
    <w:rsid w:val="14882C02"/>
    <w:rsid w:val="14C03686"/>
    <w:rsid w:val="14CB3DD9"/>
    <w:rsid w:val="14D013EF"/>
    <w:rsid w:val="150A2744"/>
    <w:rsid w:val="150D2643"/>
    <w:rsid w:val="15115C90"/>
    <w:rsid w:val="1557566D"/>
    <w:rsid w:val="15763D45"/>
    <w:rsid w:val="15853F88"/>
    <w:rsid w:val="15A45AE5"/>
    <w:rsid w:val="15D97B34"/>
    <w:rsid w:val="15DC13FE"/>
    <w:rsid w:val="15E038B4"/>
    <w:rsid w:val="16005D04"/>
    <w:rsid w:val="160E0085"/>
    <w:rsid w:val="1629395A"/>
    <w:rsid w:val="162E6E4D"/>
    <w:rsid w:val="16443E43"/>
    <w:rsid w:val="165D1EF2"/>
    <w:rsid w:val="16737FC1"/>
    <w:rsid w:val="16C17241"/>
    <w:rsid w:val="16CB4A2F"/>
    <w:rsid w:val="17051824"/>
    <w:rsid w:val="1722468F"/>
    <w:rsid w:val="172B6DB1"/>
    <w:rsid w:val="173C4B1A"/>
    <w:rsid w:val="17560191"/>
    <w:rsid w:val="17726DD2"/>
    <w:rsid w:val="17C50FB3"/>
    <w:rsid w:val="17DD454F"/>
    <w:rsid w:val="18226406"/>
    <w:rsid w:val="182A472E"/>
    <w:rsid w:val="18602A8A"/>
    <w:rsid w:val="18944B87"/>
    <w:rsid w:val="190B3062"/>
    <w:rsid w:val="1963464B"/>
    <w:rsid w:val="197764F6"/>
    <w:rsid w:val="19BC1F42"/>
    <w:rsid w:val="19C04161"/>
    <w:rsid w:val="1A3A6836"/>
    <w:rsid w:val="1A584D7E"/>
    <w:rsid w:val="1A5B5BFF"/>
    <w:rsid w:val="1A5D1977"/>
    <w:rsid w:val="1A8844AC"/>
    <w:rsid w:val="1AC50DC4"/>
    <w:rsid w:val="1AE57555"/>
    <w:rsid w:val="1B0A266C"/>
    <w:rsid w:val="1B656D35"/>
    <w:rsid w:val="1B6A170F"/>
    <w:rsid w:val="1B745FC1"/>
    <w:rsid w:val="1B7E3953"/>
    <w:rsid w:val="1BAC43B0"/>
    <w:rsid w:val="1BE35EAC"/>
    <w:rsid w:val="1BEC4D61"/>
    <w:rsid w:val="1C185B56"/>
    <w:rsid w:val="1C2A3ADB"/>
    <w:rsid w:val="1C2D7127"/>
    <w:rsid w:val="1C324211"/>
    <w:rsid w:val="1C370023"/>
    <w:rsid w:val="1C396CE8"/>
    <w:rsid w:val="1C512E14"/>
    <w:rsid w:val="1C7F3E27"/>
    <w:rsid w:val="1CEC5300"/>
    <w:rsid w:val="1D880AB9"/>
    <w:rsid w:val="1DA27862"/>
    <w:rsid w:val="1DE11B57"/>
    <w:rsid w:val="1E206F43"/>
    <w:rsid w:val="1E2A7432"/>
    <w:rsid w:val="1E3B5B2B"/>
    <w:rsid w:val="1E491296"/>
    <w:rsid w:val="1E4F7829"/>
    <w:rsid w:val="1E5D49E3"/>
    <w:rsid w:val="1E994221"/>
    <w:rsid w:val="1ED336BB"/>
    <w:rsid w:val="1EDA5344"/>
    <w:rsid w:val="1EE13915"/>
    <w:rsid w:val="1EE461C3"/>
    <w:rsid w:val="1F2307F8"/>
    <w:rsid w:val="1F2C3EC6"/>
    <w:rsid w:val="1F30765A"/>
    <w:rsid w:val="1F3D58D3"/>
    <w:rsid w:val="1F487665"/>
    <w:rsid w:val="1F683A66"/>
    <w:rsid w:val="1F875754"/>
    <w:rsid w:val="1FA95F4C"/>
    <w:rsid w:val="1FF64030"/>
    <w:rsid w:val="1FFE32B4"/>
    <w:rsid w:val="2020237A"/>
    <w:rsid w:val="203A3726"/>
    <w:rsid w:val="20515ADA"/>
    <w:rsid w:val="20801F1B"/>
    <w:rsid w:val="208952ED"/>
    <w:rsid w:val="208A4B48"/>
    <w:rsid w:val="209669C5"/>
    <w:rsid w:val="20AC0F62"/>
    <w:rsid w:val="20B16579"/>
    <w:rsid w:val="20C37337"/>
    <w:rsid w:val="20CB1F07"/>
    <w:rsid w:val="20F6072B"/>
    <w:rsid w:val="21090925"/>
    <w:rsid w:val="21244F9D"/>
    <w:rsid w:val="213D3171"/>
    <w:rsid w:val="21584C46"/>
    <w:rsid w:val="216B0B49"/>
    <w:rsid w:val="21720747"/>
    <w:rsid w:val="219739C1"/>
    <w:rsid w:val="21B46321"/>
    <w:rsid w:val="222C2B90"/>
    <w:rsid w:val="22457E73"/>
    <w:rsid w:val="22596EC8"/>
    <w:rsid w:val="22837AA1"/>
    <w:rsid w:val="22884FD6"/>
    <w:rsid w:val="22941CAE"/>
    <w:rsid w:val="22F866E1"/>
    <w:rsid w:val="23213C5D"/>
    <w:rsid w:val="232C2DD6"/>
    <w:rsid w:val="2331574F"/>
    <w:rsid w:val="233953DA"/>
    <w:rsid w:val="235B72E4"/>
    <w:rsid w:val="23931F66"/>
    <w:rsid w:val="23C465C3"/>
    <w:rsid w:val="23D25D19"/>
    <w:rsid w:val="24262DDA"/>
    <w:rsid w:val="2446643F"/>
    <w:rsid w:val="245A2A83"/>
    <w:rsid w:val="246102B6"/>
    <w:rsid w:val="24782AD4"/>
    <w:rsid w:val="24793672"/>
    <w:rsid w:val="248726E0"/>
    <w:rsid w:val="249C3951"/>
    <w:rsid w:val="24DB3BC4"/>
    <w:rsid w:val="24FA6740"/>
    <w:rsid w:val="25004979"/>
    <w:rsid w:val="25243F0A"/>
    <w:rsid w:val="25355D17"/>
    <w:rsid w:val="253A7C36"/>
    <w:rsid w:val="254C2D14"/>
    <w:rsid w:val="256D06AE"/>
    <w:rsid w:val="2582242A"/>
    <w:rsid w:val="259D2ECD"/>
    <w:rsid w:val="25A55F80"/>
    <w:rsid w:val="25B20381"/>
    <w:rsid w:val="25E62821"/>
    <w:rsid w:val="25F25669"/>
    <w:rsid w:val="260B04D9"/>
    <w:rsid w:val="264763B7"/>
    <w:rsid w:val="2672726E"/>
    <w:rsid w:val="26734FA1"/>
    <w:rsid w:val="26881A92"/>
    <w:rsid w:val="268B2A3A"/>
    <w:rsid w:val="268B3DAD"/>
    <w:rsid w:val="26962499"/>
    <w:rsid w:val="269F111B"/>
    <w:rsid w:val="26A61FB0"/>
    <w:rsid w:val="26C8461C"/>
    <w:rsid w:val="27035E88"/>
    <w:rsid w:val="27415C62"/>
    <w:rsid w:val="27685786"/>
    <w:rsid w:val="27A83832"/>
    <w:rsid w:val="27AC35F6"/>
    <w:rsid w:val="27B65EBB"/>
    <w:rsid w:val="27BD1CA7"/>
    <w:rsid w:val="27CA47C6"/>
    <w:rsid w:val="27F16B93"/>
    <w:rsid w:val="27FD4AEF"/>
    <w:rsid w:val="28182C62"/>
    <w:rsid w:val="282B4E63"/>
    <w:rsid w:val="28884FF7"/>
    <w:rsid w:val="289A5B44"/>
    <w:rsid w:val="289F315B"/>
    <w:rsid w:val="28AC626B"/>
    <w:rsid w:val="28C84027"/>
    <w:rsid w:val="28D472A8"/>
    <w:rsid w:val="28FE60D3"/>
    <w:rsid w:val="29017971"/>
    <w:rsid w:val="290F389D"/>
    <w:rsid w:val="29600B3C"/>
    <w:rsid w:val="2962542C"/>
    <w:rsid w:val="299E36C0"/>
    <w:rsid w:val="29B33362"/>
    <w:rsid w:val="2B367172"/>
    <w:rsid w:val="2B7314CC"/>
    <w:rsid w:val="2B744CBB"/>
    <w:rsid w:val="2B784A6E"/>
    <w:rsid w:val="2B941CD6"/>
    <w:rsid w:val="2B9A7B07"/>
    <w:rsid w:val="2BA07916"/>
    <w:rsid w:val="2BA72A52"/>
    <w:rsid w:val="2BAE2033"/>
    <w:rsid w:val="2BB37649"/>
    <w:rsid w:val="2BB440A0"/>
    <w:rsid w:val="2BC9037C"/>
    <w:rsid w:val="2BE47802"/>
    <w:rsid w:val="2BFD3113"/>
    <w:rsid w:val="2C0003B4"/>
    <w:rsid w:val="2C0D2669"/>
    <w:rsid w:val="2C1005F7"/>
    <w:rsid w:val="2C15160E"/>
    <w:rsid w:val="2C44430E"/>
    <w:rsid w:val="2C4F172C"/>
    <w:rsid w:val="2C9C00DD"/>
    <w:rsid w:val="2CA156F3"/>
    <w:rsid w:val="2D03015C"/>
    <w:rsid w:val="2D3E1DC4"/>
    <w:rsid w:val="2D906B09"/>
    <w:rsid w:val="2D9C13E5"/>
    <w:rsid w:val="2D9C5EBB"/>
    <w:rsid w:val="2DD973AC"/>
    <w:rsid w:val="2DED0535"/>
    <w:rsid w:val="2DFB1659"/>
    <w:rsid w:val="2E0221C2"/>
    <w:rsid w:val="2E611B70"/>
    <w:rsid w:val="2E787FC3"/>
    <w:rsid w:val="2E7D7A9A"/>
    <w:rsid w:val="2E9A689E"/>
    <w:rsid w:val="2EBD258D"/>
    <w:rsid w:val="2EC61441"/>
    <w:rsid w:val="2ECB6A58"/>
    <w:rsid w:val="2EDD4BB1"/>
    <w:rsid w:val="2F01185F"/>
    <w:rsid w:val="2F0410A6"/>
    <w:rsid w:val="2F2729AC"/>
    <w:rsid w:val="2F3C0F4C"/>
    <w:rsid w:val="2F8C200A"/>
    <w:rsid w:val="2FA94990"/>
    <w:rsid w:val="2FAA4950"/>
    <w:rsid w:val="2FB82F9F"/>
    <w:rsid w:val="2FC33BD3"/>
    <w:rsid w:val="2FE418AC"/>
    <w:rsid w:val="2FE5383E"/>
    <w:rsid w:val="2FEA4C7F"/>
    <w:rsid w:val="30330D58"/>
    <w:rsid w:val="3034062C"/>
    <w:rsid w:val="3037089D"/>
    <w:rsid w:val="308948D8"/>
    <w:rsid w:val="30D062B7"/>
    <w:rsid w:val="30E43E01"/>
    <w:rsid w:val="30EA3353"/>
    <w:rsid w:val="31013C49"/>
    <w:rsid w:val="312319EF"/>
    <w:rsid w:val="313C778B"/>
    <w:rsid w:val="318F6462"/>
    <w:rsid w:val="31C559E0"/>
    <w:rsid w:val="321A2D0F"/>
    <w:rsid w:val="322D02E9"/>
    <w:rsid w:val="32382656"/>
    <w:rsid w:val="324D664C"/>
    <w:rsid w:val="32501902"/>
    <w:rsid w:val="32503341"/>
    <w:rsid w:val="3267118D"/>
    <w:rsid w:val="32870EE7"/>
    <w:rsid w:val="32B65BD7"/>
    <w:rsid w:val="32BE6EB2"/>
    <w:rsid w:val="32C7154E"/>
    <w:rsid w:val="33156D5E"/>
    <w:rsid w:val="3317207A"/>
    <w:rsid w:val="331A6B7B"/>
    <w:rsid w:val="331D184C"/>
    <w:rsid w:val="331F2052"/>
    <w:rsid w:val="333554DB"/>
    <w:rsid w:val="33396D39"/>
    <w:rsid w:val="334E5EA9"/>
    <w:rsid w:val="33643EF5"/>
    <w:rsid w:val="33692C6D"/>
    <w:rsid w:val="33D80BF4"/>
    <w:rsid w:val="33F77F81"/>
    <w:rsid w:val="340A0D53"/>
    <w:rsid w:val="34254482"/>
    <w:rsid w:val="343A12C2"/>
    <w:rsid w:val="34445D20"/>
    <w:rsid w:val="346807FC"/>
    <w:rsid w:val="346F257B"/>
    <w:rsid w:val="348C4EDB"/>
    <w:rsid w:val="348F605A"/>
    <w:rsid w:val="34E716B6"/>
    <w:rsid w:val="34EE16F2"/>
    <w:rsid w:val="3505113E"/>
    <w:rsid w:val="350B22A4"/>
    <w:rsid w:val="35233259"/>
    <w:rsid w:val="352810CA"/>
    <w:rsid w:val="35357321"/>
    <w:rsid w:val="355115AF"/>
    <w:rsid w:val="355F1FA0"/>
    <w:rsid w:val="359F2BE0"/>
    <w:rsid w:val="35AE6CC5"/>
    <w:rsid w:val="35C23876"/>
    <w:rsid w:val="35FC399A"/>
    <w:rsid w:val="36150400"/>
    <w:rsid w:val="362A675A"/>
    <w:rsid w:val="36670714"/>
    <w:rsid w:val="36B60605"/>
    <w:rsid w:val="36DB3EF8"/>
    <w:rsid w:val="36DB7A54"/>
    <w:rsid w:val="36EC39E0"/>
    <w:rsid w:val="37482CF9"/>
    <w:rsid w:val="37525FC5"/>
    <w:rsid w:val="37643EED"/>
    <w:rsid w:val="37647A49"/>
    <w:rsid w:val="37704A11"/>
    <w:rsid w:val="37C45ACE"/>
    <w:rsid w:val="37DA5F5D"/>
    <w:rsid w:val="37DF2D89"/>
    <w:rsid w:val="37E335F2"/>
    <w:rsid w:val="380D7A3D"/>
    <w:rsid w:val="38262F51"/>
    <w:rsid w:val="3835053A"/>
    <w:rsid w:val="386B727B"/>
    <w:rsid w:val="386D0B7F"/>
    <w:rsid w:val="38BE1535"/>
    <w:rsid w:val="39194863"/>
    <w:rsid w:val="391D7376"/>
    <w:rsid w:val="39403E21"/>
    <w:rsid w:val="397A7B42"/>
    <w:rsid w:val="399A1E48"/>
    <w:rsid w:val="399C796E"/>
    <w:rsid w:val="399E5CD4"/>
    <w:rsid w:val="39B4157B"/>
    <w:rsid w:val="39D55A01"/>
    <w:rsid w:val="39DF5AAD"/>
    <w:rsid w:val="3A104D75"/>
    <w:rsid w:val="3A134B36"/>
    <w:rsid w:val="3A29251F"/>
    <w:rsid w:val="3A4C2C68"/>
    <w:rsid w:val="3A4D1A2B"/>
    <w:rsid w:val="3A5E69D2"/>
    <w:rsid w:val="3B2C2F74"/>
    <w:rsid w:val="3B321DB2"/>
    <w:rsid w:val="3B3415C4"/>
    <w:rsid w:val="3B345984"/>
    <w:rsid w:val="3B351E28"/>
    <w:rsid w:val="3B4F53C1"/>
    <w:rsid w:val="3B605CFC"/>
    <w:rsid w:val="3B626996"/>
    <w:rsid w:val="3B6C6BA3"/>
    <w:rsid w:val="3B78218B"/>
    <w:rsid w:val="3B930424"/>
    <w:rsid w:val="3BAE3989"/>
    <w:rsid w:val="3BB15227"/>
    <w:rsid w:val="3BB56AC5"/>
    <w:rsid w:val="3BC82C9D"/>
    <w:rsid w:val="3BF02721"/>
    <w:rsid w:val="3BFA0A8A"/>
    <w:rsid w:val="3C222894"/>
    <w:rsid w:val="3C242530"/>
    <w:rsid w:val="3C4165AB"/>
    <w:rsid w:val="3C875FEC"/>
    <w:rsid w:val="3CCA02B2"/>
    <w:rsid w:val="3CD613E9"/>
    <w:rsid w:val="3CE62383"/>
    <w:rsid w:val="3CEC7A2A"/>
    <w:rsid w:val="3CFE68F9"/>
    <w:rsid w:val="3D0433A8"/>
    <w:rsid w:val="3D0F69B6"/>
    <w:rsid w:val="3D236F80"/>
    <w:rsid w:val="3D2959BD"/>
    <w:rsid w:val="3D3219D3"/>
    <w:rsid w:val="3D3474F8"/>
    <w:rsid w:val="3D621A0D"/>
    <w:rsid w:val="3D785FFC"/>
    <w:rsid w:val="3D8250CD"/>
    <w:rsid w:val="3D874292"/>
    <w:rsid w:val="3D970405"/>
    <w:rsid w:val="3DCE35B6"/>
    <w:rsid w:val="3DD136B5"/>
    <w:rsid w:val="3DD5344F"/>
    <w:rsid w:val="3DFA6213"/>
    <w:rsid w:val="3E0F3EB7"/>
    <w:rsid w:val="3E2609B2"/>
    <w:rsid w:val="3E76426F"/>
    <w:rsid w:val="3E7F6463"/>
    <w:rsid w:val="3E962D65"/>
    <w:rsid w:val="3ECB4852"/>
    <w:rsid w:val="3EEB0292"/>
    <w:rsid w:val="3EFE2742"/>
    <w:rsid w:val="3F281B00"/>
    <w:rsid w:val="3F6A7BC7"/>
    <w:rsid w:val="3F930BE9"/>
    <w:rsid w:val="3F952DC8"/>
    <w:rsid w:val="3F962053"/>
    <w:rsid w:val="3FC37F92"/>
    <w:rsid w:val="3FE15005"/>
    <w:rsid w:val="3FE77469"/>
    <w:rsid w:val="3FF04570"/>
    <w:rsid w:val="400E2C48"/>
    <w:rsid w:val="40450DDC"/>
    <w:rsid w:val="40B26A7A"/>
    <w:rsid w:val="40ED6D01"/>
    <w:rsid w:val="41216845"/>
    <w:rsid w:val="413A36FE"/>
    <w:rsid w:val="41BD2EAB"/>
    <w:rsid w:val="41CC6917"/>
    <w:rsid w:val="41D4552E"/>
    <w:rsid w:val="4213220D"/>
    <w:rsid w:val="4235270E"/>
    <w:rsid w:val="423F17DF"/>
    <w:rsid w:val="42461BF0"/>
    <w:rsid w:val="424C7A58"/>
    <w:rsid w:val="426C3C56"/>
    <w:rsid w:val="427179B7"/>
    <w:rsid w:val="428D039F"/>
    <w:rsid w:val="429E2362"/>
    <w:rsid w:val="42C65C3F"/>
    <w:rsid w:val="42FC0E58"/>
    <w:rsid w:val="43077F25"/>
    <w:rsid w:val="4310792B"/>
    <w:rsid w:val="43621354"/>
    <w:rsid w:val="436D5ED7"/>
    <w:rsid w:val="437454B8"/>
    <w:rsid w:val="43750C3B"/>
    <w:rsid w:val="438945E6"/>
    <w:rsid w:val="43947908"/>
    <w:rsid w:val="43962512"/>
    <w:rsid w:val="43AA0EDA"/>
    <w:rsid w:val="43C024AB"/>
    <w:rsid w:val="43D25E53"/>
    <w:rsid w:val="43E25FC1"/>
    <w:rsid w:val="440138A0"/>
    <w:rsid w:val="44246EDE"/>
    <w:rsid w:val="44692B43"/>
    <w:rsid w:val="447C65C0"/>
    <w:rsid w:val="4487121B"/>
    <w:rsid w:val="448742A8"/>
    <w:rsid w:val="44983428"/>
    <w:rsid w:val="44C47D79"/>
    <w:rsid w:val="451A208F"/>
    <w:rsid w:val="45433394"/>
    <w:rsid w:val="45877724"/>
    <w:rsid w:val="458A0FC3"/>
    <w:rsid w:val="458D2861"/>
    <w:rsid w:val="45BB3260"/>
    <w:rsid w:val="46092999"/>
    <w:rsid w:val="4612476D"/>
    <w:rsid w:val="464D7AE1"/>
    <w:rsid w:val="468F5CB4"/>
    <w:rsid w:val="46957C1F"/>
    <w:rsid w:val="46B53E1D"/>
    <w:rsid w:val="46C027C2"/>
    <w:rsid w:val="47057685"/>
    <w:rsid w:val="4743767B"/>
    <w:rsid w:val="474820C5"/>
    <w:rsid w:val="475B13E7"/>
    <w:rsid w:val="476768EC"/>
    <w:rsid w:val="47777325"/>
    <w:rsid w:val="47B916EB"/>
    <w:rsid w:val="47C557D7"/>
    <w:rsid w:val="47DD7AD0"/>
    <w:rsid w:val="47E70FBB"/>
    <w:rsid w:val="47F02414"/>
    <w:rsid w:val="481D611E"/>
    <w:rsid w:val="48221986"/>
    <w:rsid w:val="48232C90"/>
    <w:rsid w:val="48540005"/>
    <w:rsid w:val="486E6250"/>
    <w:rsid w:val="48847F4B"/>
    <w:rsid w:val="48B545A9"/>
    <w:rsid w:val="48BF3FF2"/>
    <w:rsid w:val="48D34790"/>
    <w:rsid w:val="48DD58AD"/>
    <w:rsid w:val="48ED18F0"/>
    <w:rsid w:val="48F826E7"/>
    <w:rsid w:val="4929464F"/>
    <w:rsid w:val="49321B41"/>
    <w:rsid w:val="494C6C0E"/>
    <w:rsid w:val="4955379A"/>
    <w:rsid w:val="498C348F"/>
    <w:rsid w:val="49C34AA3"/>
    <w:rsid w:val="49DA3B9B"/>
    <w:rsid w:val="49DA528B"/>
    <w:rsid w:val="49FA4012"/>
    <w:rsid w:val="49FA5FEB"/>
    <w:rsid w:val="4A4F4589"/>
    <w:rsid w:val="4A5573E4"/>
    <w:rsid w:val="4A62606A"/>
    <w:rsid w:val="4A712751"/>
    <w:rsid w:val="4A9D2E1F"/>
    <w:rsid w:val="4AF87271"/>
    <w:rsid w:val="4B380D6F"/>
    <w:rsid w:val="4B3A1029"/>
    <w:rsid w:val="4B555BCF"/>
    <w:rsid w:val="4B6E0A3F"/>
    <w:rsid w:val="4B771FE9"/>
    <w:rsid w:val="4B9963F3"/>
    <w:rsid w:val="4BBC29D4"/>
    <w:rsid w:val="4C2951B7"/>
    <w:rsid w:val="4C443C2D"/>
    <w:rsid w:val="4C560DCF"/>
    <w:rsid w:val="4C723258"/>
    <w:rsid w:val="4C812F78"/>
    <w:rsid w:val="4CB608EF"/>
    <w:rsid w:val="4D0E072B"/>
    <w:rsid w:val="4D0F1621"/>
    <w:rsid w:val="4D1F6318"/>
    <w:rsid w:val="4D24354A"/>
    <w:rsid w:val="4D4E6D7A"/>
    <w:rsid w:val="4D666D38"/>
    <w:rsid w:val="4D9A1FBF"/>
    <w:rsid w:val="4DCE1F8B"/>
    <w:rsid w:val="4DDB4158"/>
    <w:rsid w:val="4DF94F37"/>
    <w:rsid w:val="4E0D2791"/>
    <w:rsid w:val="4E2A6045"/>
    <w:rsid w:val="4E437F61"/>
    <w:rsid w:val="4E4E19C6"/>
    <w:rsid w:val="4E6F6FA8"/>
    <w:rsid w:val="4EB40E5E"/>
    <w:rsid w:val="4F1A33B7"/>
    <w:rsid w:val="4F3F52E7"/>
    <w:rsid w:val="4F411EB6"/>
    <w:rsid w:val="4F582EF7"/>
    <w:rsid w:val="4F8528F9"/>
    <w:rsid w:val="4FAB400F"/>
    <w:rsid w:val="4FBA24A4"/>
    <w:rsid w:val="4FBB7FCB"/>
    <w:rsid w:val="50100316"/>
    <w:rsid w:val="502A41CA"/>
    <w:rsid w:val="502B6EFE"/>
    <w:rsid w:val="50983373"/>
    <w:rsid w:val="50AB5953"/>
    <w:rsid w:val="50D60C20"/>
    <w:rsid w:val="51183927"/>
    <w:rsid w:val="5135755A"/>
    <w:rsid w:val="51574F11"/>
    <w:rsid w:val="517B73AD"/>
    <w:rsid w:val="518A5306"/>
    <w:rsid w:val="51983548"/>
    <w:rsid w:val="51AB3D3B"/>
    <w:rsid w:val="51BD3D23"/>
    <w:rsid w:val="51D04201"/>
    <w:rsid w:val="51DA0BDC"/>
    <w:rsid w:val="51DC4954"/>
    <w:rsid w:val="51E15B34"/>
    <w:rsid w:val="51F54803"/>
    <w:rsid w:val="51FD1EA1"/>
    <w:rsid w:val="521A27DD"/>
    <w:rsid w:val="52534816"/>
    <w:rsid w:val="52634928"/>
    <w:rsid w:val="529B0F79"/>
    <w:rsid w:val="52A0414F"/>
    <w:rsid w:val="52A82A88"/>
    <w:rsid w:val="53277999"/>
    <w:rsid w:val="5328255F"/>
    <w:rsid w:val="53890B0C"/>
    <w:rsid w:val="53987EBC"/>
    <w:rsid w:val="53A35FB7"/>
    <w:rsid w:val="53E24E44"/>
    <w:rsid w:val="53F94527"/>
    <w:rsid w:val="54014B46"/>
    <w:rsid w:val="541C3178"/>
    <w:rsid w:val="54297BF9"/>
    <w:rsid w:val="5472334E"/>
    <w:rsid w:val="5488180C"/>
    <w:rsid w:val="548E0C37"/>
    <w:rsid w:val="54DB5397"/>
    <w:rsid w:val="550348EE"/>
    <w:rsid w:val="55142657"/>
    <w:rsid w:val="555D5DAC"/>
    <w:rsid w:val="5563097D"/>
    <w:rsid w:val="55664351"/>
    <w:rsid w:val="556F4EE2"/>
    <w:rsid w:val="55BA31FE"/>
    <w:rsid w:val="55D21BD3"/>
    <w:rsid w:val="55E329F4"/>
    <w:rsid w:val="55E9246E"/>
    <w:rsid w:val="56312D95"/>
    <w:rsid w:val="564725B8"/>
    <w:rsid w:val="56507F87"/>
    <w:rsid w:val="56652099"/>
    <w:rsid w:val="56680EAC"/>
    <w:rsid w:val="56843C9F"/>
    <w:rsid w:val="569B3338"/>
    <w:rsid w:val="56A40209"/>
    <w:rsid w:val="56DA7D27"/>
    <w:rsid w:val="56F5281F"/>
    <w:rsid w:val="573A49B9"/>
    <w:rsid w:val="573E766F"/>
    <w:rsid w:val="5765355C"/>
    <w:rsid w:val="57690BD0"/>
    <w:rsid w:val="576F0018"/>
    <w:rsid w:val="57853398"/>
    <w:rsid w:val="57914433"/>
    <w:rsid w:val="57C15E41"/>
    <w:rsid w:val="57CA1153"/>
    <w:rsid w:val="57E207EA"/>
    <w:rsid w:val="57E44562"/>
    <w:rsid w:val="57E46E53"/>
    <w:rsid w:val="580118E9"/>
    <w:rsid w:val="580E253F"/>
    <w:rsid w:val="58254B7B"/>
    <w:rsid w:val="583D0117"/>
    <w:rsid w:val="584A495B"/>
    <w:rsid w:val="587C5876"/>
    <w:rsid w:val="5892758E"/>
    <w:rsid w:val="58947716"/>
    <w:rsid w:val="58A65CBC"/>
    <w:rsid w:val="58B66C06"/>
    <w:rsid w:val="58C11212"/>
    <w:rsid w:val="58C779E0"/>
    <w:rsid w:val="58E81E30"/>
    <w:rsid w:val="5909228A"/>
    <w:rsid w:val="59154BEF"/>
    <w:rsid w:val="59433AAE"/>
    <w:rsid w:val="59CA7788"/>
    <w:rsid w:val="5A1B6236"/>
    <w:rsid w:val="5A2E712E"/>
    <w:rsid w:val="5A2F2D66"/>
    <w:rsid w:val="5A440992"/>
    <w:rsid w:val="5A6C562B"/>
    <w:rsid w:val="5A6D6164"/>
    <w:rsid w:val="5A86004F"/>
    <w:rsid w:val="5A8938AD"/>
    <w:rsid w:val="5AAE69DB"/>
    <w:rsid w:val="5AD40392"/>
    <w:rsid w:val="5AF0582F"/>
    <w:rsid w:val="5AF947C9"/>
    <w:rsid w:val="5B1B6AA6"/>
    <w:rsid w:val="5B224E28"/>
    <w:rsid w:val="5B52558B"/>
    <w:rsid w:val="5B606CBC"/>
    <w:rsid w:val="5B7D7A78"/>
    <w:rsid w:val="5B891B9E"/>
    <w:rsid w:val="5BAF7B56"/>
    <w:rsid w:val="5BD91F04"/>
    <w:rsid w:val="5BDB5C7C"/>
    <w:rsid w:val="5BE2525D"/>
    <w:rsid w:val="5BE56AFB"/>
    <w:rsid w:val="5BF611E3"/>
    <w:rsid w:val="5C0E6052"/>
    <w:rsid w:val="5C313AEE"/>
    <w:rsid w:val="5C797243"/>
    <w:rsid w:val="5C8400C2"/>
    <w:rsid w:val="5C86208C"/>
    <w:rsid w:val="5C8F6A67"/>
    <w:rsid w:val="5CAC7619"/>
    <w:rsid w:val="5CBA2CF4"/>
    <w:rsid w:val="5D131446"/>
    <w:rsid w:val="5D2E3846"/>
    <w:rsid w:val="5D6D6DA8"/>
    <w:rsid w:val="5D7C18C6"/>
    <w:rsid w:val="5DA14CA4"/>
    <w:rsid w:val="5DA779D9"/>
    <w:rsid w:val="5DC84953"/>
    <w:rsid w:val="5DDC3F2E"/>
    <w:rsid w:val="5E0C01F1"/>
    <w:rsid w:val="5E9D051F"/>
    <w:rsid w:val="5EAC56AE"/>
    <w:rsid w:val="5EB34C8F"/>
    <w:rsid w:val="5EDA0A8B"/>
    <w:rsid w:val="5F0537AA"/>
    <w:rsid w:val="5F162912"/>
    <w:rsid w:val="5F20072A"/>
    <w:rsid w:val="5F2117F1"/>
    <w:rsid w:val="5F27754A"/>
    <w:rsid w:val="5F2B3E04"/>
    <w:rsid w:val="5F3A625B"/>
    <w:rsid w:val="5F760F40"/>
    <w:rsid w:val="5FBC4017"/>
    <w:rsid w:val="5FEB66AA"/>
    <w:rsid w:val="5FF13CC0"/>
    <w:rsid w:val="5FF3691B"/>
    <w:rsid w:val="5FFF5CB2"/>
    <w:rsid w:val="60161979"/>
    <w:rsid w:val="606023F7"/>
    <w:rsid w:val="60673F83"/>
    <w:rsid w:val="606E1F64"/>
    <w:rsid w:val="607B7A2E"/>
    <w:rsid w:val="609E5FA7"/>
    <w:rsid w:val="60C16521"/>
    <w:rsid w:val="60C253E7"/>
    <w:rsid w:val="60CE0B25"/>
    <w:rsid w:val="61441636"/>
    <w:rsid w:val="61555832"/>
    <w:rsid w:val="61A30FEA"/>
    <w:rsid w:val="61C83B89"/>
    <w:rsid w:val="61D5316E"/>
    <w:rsid w:val="61D67CE4"/>
    <w:rsid w:val="61DB6D9C"/>
    <w:rsid w:val="61EF4230"/>
    <w:rsid w:val="6200643D"/>
    <w:rsid w:val="623C3CCB"/>
    <w:rsid w:val="6277131B"/>
    <w:rsid w:val="62894736"/>
    <w:rsid w:val="62A044A8"/>
    <w:rsid w:val="62A46F2F"/>
    <w:rsid w:val="62DD677E"/>
    <w:rsid w:val="62EC69C1"/>
    <w:rsid w:val="6304220F"/>
    <w:rsid w:val="632514A5"/>
    <w:rsid w:val="63520F1A"/>
    <w:rsid w:val="636E0BBA"/>
    <w:rsid w:val="63964B41"/>
    <w:rsid w:val="63994A58"/>
    <w:rsid w:val="63D02CB8"/>
    <w:rsid w:val="63EA124B"/>
    <w:rsid w:val="640026DC"/>
    <w:rsid w:val="640C1F5B"/>
    <w:rsid w:val="646C600B"/>
    <w:rsid w:val="647C3D75"/>
    <w:rsid w:val="6493641A"/>
    <w:rsid w:val="64A526D7"/>
    <w:rsid w:val="64B27796"/>
    <w:rsid w:val="64B86C5F"/>
    <w:rsid w:val="64CC5E52"/>
    <w:rsid w:val="64DA0DFC"/>
    <w:rsid w:val="64FD5E87"/>
    <w:rsid w:val="65785BCE"/>
    <w:rsid w:val="658C3A08"/>
    <w:rsid w:val="658D4138"/>
    <w:rsid w:val="65B768E4"/>
    <w:rsid w:val="66043DF1"/>
    <w:rsid w:val="661D46CA"/>
    <w:rsid w:val="66887A48"/>
    <w:rsid w:val="66B94E0C"/>
    <w:rsid w:val="66BB1AFB"/>
    <w:rsid w:val="66CF7EED"/>
    <w:rsid w:val="66E83943"/>
    <w:rsid w:val="66ED7428"/>
    <w:rsid w:val="670F317A"/>
    <w:rsid w:val="673D6A15"/>
    <w:rsid w:val="675B087A"/>
    <w:rsid w:val="67627252"/>
    <w:rsid w:val="676A4610"/>
    <w:rsid w:val="67960780"/>
    <w:rsid w:val="67AD40A3"/>
    <w:rsid w:val="67F33AB7"/>
    <w:rsid w:val="682E5386"/>
    <w:rsid w:val="683726A5"/>
    <w:rsid w:val="684B23DC"/>
    <w:rsid w:val="68576EF7"/>
    <w:rsid w:val="68724D62"/>
    <w:rsid w:val="6874548F"/>
    <w:rsid w:val="68817FE2"/>
    <w:rsid w:val="688D47A2"/>
    <w:rsid w:val="68AA5354"/>
    <w:rsid w:val="68CD623B"/>
    <w:rsid w:val="68DB72BC"/>
    <w:rsid w:val="68FD36D6"/>
    <w:rsid w:val="690164B5"/>
    <w:rsid w:val="69337C0B"/>
    <w:rsid w:val="69562DE6"/>
    <w:rsid w:val="695E105C"/>
    <w:rsid w:val="696012B6"/>
    <w:rsid w:val="69642093"/>
    <w:rsid w:val="69B239D8"/>
    <w:rsid w:val="69C02956"/>
    <w:rsid w:val="69CA6B08"/>
    <w:rsid w:val="69DA38BA"/>
    <w:rsid w:val="6A042666"/>
    <w:rsid w:val="6A38073E"/>
    <w:rsid w:val="6A9736F0"/>
    <w:rsid w:val="6A987B4F"/>
    <w:rsid w:val="6ACE0724"/>
    <w:rsid w:val="6AF830B1"/>
    <w:rsid w:val="6B1715B7"/>
    <w:rsid w:val="6B2C2051"/>
    <w:rsid w:val="6B3233DF"/>
    <w:rsid w:val="6B680BAF"/>
    <w:rsid w:val="6B6C68F1"/>
    <w:rsid w:val="6B8C288E"/>
    <w:rsid w:val="6BA17D14"/>
    <w:rsid w:val="6BAA7419"/>
    <w:rsid w:val="6BB42FE3"/>
    <w:rsid w:val="6BBB33D4"/>
    <w:rsid w:val="6BCC55E2"/>
    <w:rsid w:val="6BEA8026"/>
    <w:rsid w:val="6C0320AF"/>
    <w:rsid w:val="6C0C5BDB"/>
    <w:rsid w:val="6C6770B8"/>
    <w:rsid w:val="6C757A27"/>
    <w:rsid w:val="6C845EBC"/>
    <w:rsid w:val="6C8E2897"/>
    <w:rsid w:val="6CA41CC8"/>
    <w:rsid w:val="6CC20E82"/>
    <w:rsid w:val="6CD26C28"/>
    <w:rsid w:val="6CF3436B"/>
    <w:rsid w:val="6D04612D"/>
    <w:rsid w:val="6D056FFD"/>
    <w:rsid w:val="6D1D1BBC"/>
    <w:rsid w:val="6D341690"/>
    <w:rsid w:val="6D3F3B91"/>
    <w:rsid w:val="6D443964"/>
    <w:rsid w:val="6D5B6316"/>
    <w:rsid w:val="6D5E2269"/>
    <w:rsid w:val="6D6D06FE"/>
    <w:rsid w:val="6D6E2CE4"/>
    <w:rsid w:val="6D7C6B93"/>
    <w:rsid w:val="6D9143ED"/>
    <w:rsid w:val="6DC74A88"/>
    <w:rsid w:val="6DD724DA"/>
    <w:rsid w:val="6DDC0B81"/>
    <w:rsid w:val="6DEA2117"/>
    <w:rsid w:val="6DF13E21"/>
    <w:rsid w:val="6E041063"/>
    <w:rsid w:val="6E0C6BA8"/>
    <w:rsid w:val="6E4C538F"/>
    <w:rsid w:val="6E733BE8"/>
    <w:rsid w:val="6E8C1058"/>
    <w:rsid w:val="6EBF142E"/>
    <w:rsid w:val="6ED722D3"/>
    <w:rsid w:val="6EE175F6"/>
    <w:rsid w:val="6F487BE8"/>
    <w:rsid w:val="6F4B3B77"/>
    <w:rsid w:val="6F7C2E7B"/>
    <w:rsid w:val="6FC36D9E"/>
    <w:rsid w:val="6FE70C3C"/>
    <w:rsid w:val="70076BE8"/>
    <w:rsid w:val="70512559"/>
    <w:rsid w:val="70556A72"/>
    <w:rsid w:val="70852D97"/>
    <w:rsid w:val="70A47AAD"/>
    <w:rsid w:val="70AE40C7"/>
    <w:rsid w:val="70C25205"/>
    <w:rsid w:val="70DA254F"/>
    <w:rsid w:val="70E51DA8"/>
    <w:rsid w:val="70F20FE3"/>
    <w:rsid w:val="71174B27"/>
    <w:rsid w:val="7119473A"/>
    <w:rsid w:val="71946BA2"/>
    <w:rsid w:val="71A843FB"/>
    <w:rsid w:val="71C97895"/>
    <w:rsid w:val="71CA0962"/>
    <w:rsid w:val="72030E1E"/>
    <w:rsid w:val="720E00CA"/>
    <w:rsid w:val="721E450C"/>
    <w:rsid w:val="7256750B"/>
    <w:rsid w:val="7262278F"/>
    <w:rsid w:val="72C13278"/>
    <w:rsid w:val="72C6062B"/>
    <w:rsid w:val="72D73D3D"/>
    <w:rsid w:val="733633B7"/>
    <w:rsid w:val="73394BB6"/>
    <w:rsid w:val="73397A01"/>
    <w:rsid w:val="736A253A"/>
    <w:rsid w:val="73A429A0"/>
    <w:rsid w:val="73AC2D59"/>
    <w:rsid w:val="73BE1CB4"/>
    <w:rsid w:val="73EA70C7"/>
    <w:rsid w:val="73EC5B91"/>
    <w:rsid w:val="73FC458A"/>
    <w:rsid w:val="742E7E7F"/>
    <w:rsid w:val="743012D6"/>
    <w:rsid w:val="747B5DF7"/>
    <w:rsid w:val="74850A24"/>
    <w:rsid w:val="74C002E8"/>
    <w:rsid w:val="74CF1255"/>
    <w:rsid w:val="74E7523A"/>
    <w:rsid w:val="74EB6CBD"/>
    <w:rsid w:val="74FB54A4"/>
    <w:rsid w:val="751A7B05"/>
    <w:rsid w:val="75220020"/>
    <w:rsid w:val="753B10E2"/>
    <w:rsid w:val="754D1541"/>
    <w:rsid w:val="755522F8"/>
    <w:rsid w:val="755E2DEF"/>
    <w:rsid w:val="75611CC1"/>
    <w:rsid w:val="758F08AE"/>
    <w:rsid w:val="75A03D67"/>
    <w:rsid w:val="75DD731F"/>
    <w:rsid w:val="75DE03EB"/>
    <w:rsid w:val="7621652A"/>
    <w:rsid w:val="76265AC6"/>
    <w:rsid w:val="7637767F"/>
    <w:rsid w:val="763A2EF5"/>
    <w:rsid w:val="7643312E"/>
    <w:rsid w:val="76642085"/>
    <w:rsid w:val="768014A2"/>
    <w:rsid w:val="7682438C"/>
    <w:rsid w:val="768857E3"/>
    <w:rsid w:val="768D4B1F"/>
    <w:rsid w:val="769D2054"/>
    <w:rsid w:val="76A827A7"/>
    <w:rsid w:val="76C31EDD"/>
    <w:rsid w:val="76D96E05"/>
    <w:rsid w:val="76EC2FDC"/>
    <w:rsid w:val="77060EB2"/>
    <w:rsid w:val="77120FDD"/>
    <w:rsid w:val="775C2950"/>
    <w:rsid w:val="77610F13"/>
    <w:rsid w:val="778C37F8"/>
    <w:rsid w:val="779C230C"/>
    <w:rsid w:val="779D7E32"/>
    <w:rsid w:val="77B12E34"/>
    <w:rsid w:val="77D46CD2"/>
    <w:rsid w:val="77D83D50"/>
    <w:rsid w:val="781D0CC1"/>
    <w:rsid w:val="7823193A"/>
    <w:rsid w:val="782E61C7"/>
    <w:rsid w:val="78342545"/>
    <w:rsid w:val="783B33E4"/>
    <w:rsid w:val="7844130F"/>
    <w:rsid w:val="78534B66"/>
    <w:rsid w:val="78537A1F"/>
    <w:rsid w:val="785B3F75"/>
    <w:rsid w:val="78743289"/>
    <w:rsid w:val="787B0197"/>
    <w:rsid w:val="787E1A12"/>
    <w:rsid w:val="788E2390"/>
    <w:rsid w:val="78B04CEF"/>
    <w:rsid w:val="78BE10F6"/>
    <w:rsid w:val="78CA4C57"/>
    <w:rsid w:val="78D43D28"/>
    <w:rsid w:val="78DD2BDC"/>
    <w:rsid w:val="79435553"/>
    <w:rsid w:val="794672BF"/>
    <w:rsid w:val="79CB512B"/>
    <w:rsid w:val="79E263BE"/>
    <w:rsid w:val="7A064282"/>
    <w:rsid w:val="7A164D8B"/>
    <w:rsid w:val="7A3C1D44"/>
    <w:rsid w:val="7A55513E"/>
    <w:rsid w:val="7A9E283F"/>
    <w:rsid w:val="7ACB4CB6"/>
    <w:rsid w:val="7ADD5362"/>
    <w:rsid w:val="7AEA7832"/>
    <w:rsid w:val="7B016DB6"/>
    <w:rsid w:val="7B036E36"/>
    <w:rsid w:val="7B0E3521"/>
    <w:rsid w:val="7B1A0118"/>
    <w:rsid w:val="7B31160A"/>
    <w:rsid w:val="7B4E023F"/>
    <w:rsid w:val="7B551150"/>
    <w:rsid w:val="7B62386D"/>
    <w:rsid w:val="7B6B3873"/>
    <w:rsid w:val="7B6E2211"/>
    <w:rsid w:val="7BAB4A6E"/>
    <w:rsid w:val="7BAD0A4E"/>
    <w:rsid w:val="7BB00E61"/>
    <w:rsid w:val="7BD227A0"/>
    <w:rsid w:val="7BEE3352"/>
    <w:rsid w:val="7C1822AA"/>
    <w:rsid w:val="7C2E19A1"/>
    <w:rsid w:val="7C3F5A2C"/>
    <w:rsid w:val="7C85264B"/>
    <w:rsid w:val="7CA06753"/>
    <w:rsid w:val="7CB43242"/>
    <w:rsid w:val="7CB61824"/>
    <w:rsid w:val="7CBD69D7"/>
    <w:rsid w:val="7CC76395"/>
    <w:rsid w:val="7CEF2EDE"/>
    <w:rsid w:val="7D1961AD"/>
    <w:rsid w:val="7D4F7E21"/>
    <w:rsid w:val="7D7A30EF"/>
    <w:rsid w:val="7D9D293A"/>
    <w:rsid w:val="7DA51A4B"/>
    <w:rsid w:val="7DEF1731"/>
    <w:rsid w:val="7E05637C"/>
    <w:rsid w:val="7E0B01EB"/>
    <w:rsid w:val="7E1E7F1F"/>
    <w:rsid w:val="7E321E60"/>
    <w:rsid w:val="7E390B0F"/>
    <w:rsid w:val="7E493D4F"/>
    <w:rsid w:val="7E5356EF"/>
    <w:rsid w:val="7E881DA7"/>
    <w:rsid w:val="7E894498"/>
    <w:rsid w:val="7E9B65C0"/>
    <w:rsid w:val="7EF43FD7"/>
    <w:rsid w:val="7F060C17"/>
    <w:rsid w:val="7F0C421B"/>
    <w:rsid w:val="7F2F766E"/>
    <w:rsid w:val="7F3D58B7"/>
    <w:rsid w:val="7F6B3277"/>
    <w:rsid w:val="7F7C3A97"/>
    <w:rsid w:val="7F9051D5"/>
    <w:rsid w:val="7F9C372F"/>
    <w:rsid w:val="7FE01204"/>
    <w:rsid w:val="7FFA67D9"/>
    <w:rsid w:val="7FFB9374"/>
    <w:rsid w:val="7FFC4290"/>
    <w:rsid w:val="DFBBF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autoSpaceDE w:val="0"/>
      <w:autoSpaceDN w:val="0"/>
      <w:adjustRightInd w:val="0"/>
      <w:jc w:val="left"/>
      <w:outlineLvl w:val="0"/>
    </w:pPr>
    <w:rPr>
      <w:rFonts w:ascii="Times New Roman" w:hAnsi="Times New Roman" w:eastAsia="宋体" w:cs="Times New Roman"/>
      <w:kern w:val="0"/>
      <w:sz w:val="30"/>
    </w:rPr>
  </w:style>
  <w:style w:type="paragraph" w:styleId="3">
    <w:name w:val="heading 2"/>
    <w:basedOn w:val="1"/>
    <w:next w:val="1"/>
    <w:link w:val="44"/>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4"/>
    <w:basedOn w:val="1"/>
    <w:next w:val="1"/>
    <w:qFormat/>
    <w:uiPriority w:val="0"/>
    <w:pPr>
      <w:keepNext/>
      <w:keepLines/>
      <w:spacing w:line="374" w:lineRule="auto"/>
      <w:outlineLvl w:val="3"/>
    </w:pPr>
    <w:rPr>
      <w:rFonts w:ascii="Arial" w:hAnsi="Arial"/>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next w:val="1"/>
    <w:qFormat/>
    <w:uiPriority w:val="0"/>
    <w:pPr>
      <w:adjustRightInd w:val="0"/>
      <w:spacing w:line="360" w:lineRule="atLeast"/>
      <w:jc w:val="left"/>
      <w:textAlignment w:val="baseline"/>
    </w:pPr>
    <w:rPr>
      <w:kern w:val="0"/>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Body Text 2"/>
    <w:basedOn w:val="1"/>
    <w:next w:val="6"/>
    <w:qFormat/>
    <w:uiPriority w:val="0"/>
    <w:pPr>
      <w:spacing w:line="500" w:lineRule="exact"/>
    </w:pPr>
    <w:rPr>
      <w:rFonts w:ascii="宋体" w:hAnsi="Times New Roman" w:eastAsia="宋体" w:cs="Times New Roman"/>
      <w:sz w:val="24"/>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Body Text First Indent"/>
    <w:basedOn w:val="6"/>
    <w:qFormat/>
    <w:uiPriority w:val="99"/>
    <w:pPr>
      <w:spacing w:line="240" w:lineRule="auto"/>
      <w:ind w:firstLine="420" w:firstLineChars="100"/>
    </w:pPr>
    <w:rPr>
      <w:rFonts w:ascii="Times New Roman" w:cs="Times New Roman"/>
      <w:sz w:val="20"/>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Emphasis"/>
    <w:basedOn w:val="17"/>
    <w:qFormat/>
    <w:uiPriority w:val="0"/>
    <w:rPr>
      <w:i/>
    </w:rPr>
  </w:style>
  <w:style w:type="paragraph" w:customStyle="1" w:styleId="19">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20">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1">
    <w:name w:val="NormalCharacter"/>
    <w:qFormat/>
    <w:uiPriority w:val="99"/>
  </w:style>
  <w:style w:type="paragraph" w:customStyle="1" w:styleId="22">
    <w:name w:val="Table Text"/>
    <w:basedOn w:val="1"/>
    <w:semiHidden/>
    <w:qFormat/>
    <w:uiPriority w:val="0"/>
    <w:rPr>
      <w:rFonts w:ascii="Arial" w:hAnsi="Arial" w:eastAsia="Arial" w:cs="Arial"/>
      <w:sz w:val="21"/>
      <w:szCs w:val="21"/>
      <w:lang w:val="en-US" w:eastAsia="en-US" w:bidi="ar-SA"/>
    </w:rPr>
  </w:style>
  <w:style w:type="paragraph" w:customStyle="1" w:styleId="2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正文缩进1"/>
    <w:basedOn w:val="1"/>
    <w:qFormat/>
    <w:uiPriority w:val="0"/>
    <w:pPr>
      <w:widowControl/>
      <w:ind w:firstLine="420"/>
      <w:jc w:val="left"/>
    </w:pPr>
    <w:rPr>
      <w:kern w:val="0"/>
    </w:rPr>
  </w:style>
  <w:style w:type="paragraph" w:customStyle="1" w:styleId="25">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26">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7">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8">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9">
    <w:name w:val="正文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0">
    <w:name w:val="Heading2"/>
    <w:basedOn w:val="1"/>
    <w:next w:val="1"/>
    <w:qFormat/>
    <w:uiPriority w:val="99"/>
    <w:pPr>
      <w:jc w:val="left"/>
    </w:pPr>
    <w:rPr>
      <w:kern w:val="0"/>
    </w:rPr>
  </w:style>
  <w:style w:type="paragraph" w:customStyle="1" w:styleId="31">
    <w:name w:val="AnnotationText"/>
    <w:basedOn w:val="1"/>
    <w:qFormat/>
    <w:uiPriority w:val="99"/>
    <w:pPr>
      <w:spacing w:line="360" w:lineRule="atLeast"/>
      <w:jc w:val="left"/>
    </w:pPr>
    <w:rPr>
      <w:kern w:val="0"/>
    </w:rPr>
  </w:style>
  <w:style w:type="paragraph" w:customStyle="1" w:styleId="32">
    <w:name w:val="UserStyle_44"/>
    <w:basedOn w:val="33"/>
    <w:qFormat/>
    <w:uiPriority w:val="99"/>
    <w:rPr>
      <w:sz w:val="24"/>
      <w:szCs w:val="24"/>
    </w:rPr>
  </w:style>
  <w:style w:type="paragraph" w:customStyle="1" w:styleId="33">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4">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35">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36">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37">
    <w:name w:val="BodyText"/>
    <w:basedOn w:val="1"/>
    <w:next w:val="38"/>
    <w:qFormat/>
    <w:uiPriority w:val="99"/>
    <w:pPr>
      <w:spacing w:after="120"/>
    </w:pPr>
  </w:style>
  <w:style w:type="paragraph" w:customStyle="1" w:styleId="38">
    <w:name w:val="BodyText2"/>
    <w:basedOn w:val="1"/>
    <w:qFormat/>
    <w:uiPriority w:val="99"/>
    <w:pPr>
      <w:spacing w:line="500" w:lineRule="exact"/>
    </w:pPr>
  </w:style>
  <w:style w:type="paragraph" w:customStyle="1" w:styleId="39">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0">
    <w:name w:val="正文缩进 New"/>
    <w:basedOn w:val="41"/>
    <w:qFormat/>
    <w:uiPriority w:val="0"/>
    <w:pPr>
      <w:widowControl/>
      <w:ind w:firstLine="420"/>
      <w:jc w:val="left"/>
    </w:pPr>
    <w:rPr>
      <w:kern w:val="0"/>
      <w:sz w:val="20"/>
    </w:rPr>
  </w:style>
  <w:style w:type="paragraph" w:customStyle="1" w:styleId="41">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2">
    <w:name w:val="正文文本 New"/>
    <w:basedOn w:val="1"/>
    <w:qFormat/>
    <w:uiPriority w:val="0"/>
    <w:pPr>
      <w:spacing w:after="120" w:line="360" w:lineRule="auto"/>
    </w:pPr>
    <w:rPr>
      <w:rFonts w:ascii="宋体" w:hAnsi="Times New Roman" w:eastAsia="宋体" w:cs="Times New Roman"/>
      <w:sz w:val="24"/>
      <w:szCs w:val="20"/>
    </w:rPr>
  </w:style>
  <w:style w:type="character" w:customStyle="1" w:styleId="43">
    <w:name w:val="正文文本 (2) + 间距 0 pt3"/>
    <w:basedOn w:val="17"/>
    <w:qFormat/>
    <w:uiPriority w:val="0"/>
    <w:rPr>
      <w:rFonts w:ascii="MingLiU" w:hAnsi="Times New Roman" w:eastAsia="MingLiU" w:cs="MingLiU"/>
      <w:spacing w:val="0"/>
      <w:sz w:val="22"/>
      <w:szCs w:val="22"/>
      <w:u w:val="none"/>
    </w:rPr>
  </w:style>
  <w:style w:type="character" w:customStyle="1" w:styleId="44">
    <w:name w:val="标题 2 字符"/>
    <w:link w:val="3"/>
    <w:qFormat/>
    <w:uiPriority w:val="0"/>
    <w:rPr>
      <w:rFonts w:hint="eastAsia" w:ascii="宋体" w:hAnsi="宋体" w:eastAsia="宋体" w:cs="宋体"/>
      <w:b/>
      <w:bCs/>
      <w:kern w:val="0"/>
      <w:sz w:val="36"/>
      <w:szCs w:val="36"/>
      <w:lang w:val="en-US" w:eastAsia="zh-CN" w:bidi="ar"/>
    </w:rPr>
  </w:style>
  <w:style w:type="paragraph" w:customStyle="1" w:styleId="45">
    <w:name w:val="标题 3 New New"/>
    <w:basedOn w:val="40"/>
    <w:next w:val="40"/>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6">
    <w:name w:val="UserStyle_76"/>
    <w:basedOn w:val="47"/>
    <w:qFormat/>
    <w:uiPriority w:val="99"/>
    <w:pPr>
      <w:ind w:firstLine="420"/>
      <w:jc w:val="left"/>
    </w:pPr>
    <w:rPr>
      <w:kern w:val="0"/>
      <w:sz w:val="20"/>
      <w:szCs w:val="20"/>
    </w:rPr>
  </w:style>
  <w:style w:type="paragraph" w:customStyle="1" w:styleId="47">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8">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9">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0">
    <w:name w:val="样式 宋体 行距: 1.5 倍行距"/>
    <w:basedOn w:val="51"/>
    <w:next w:val="1"/>
    <w:qFormat/>
    <w:uiPriority w:val="0"/>
    <w:pPr>
      <w:keepNext w:val="0"/>
      <w:keepLines w:val="0"/>
      <w:widowControl w:val="0"/>
      <w:suppressLineNumbers w:val="0"/>
      <w:spacing w:before="0" w:beforeLines="0" w:beforeAutospacing="0" w:after="0" w:afterLines="0" w:afterAutospacing="0" w:line="240" w:lineRule="auto"/>
      <w:ind w:left="0" w:right="0"/>
      <w:jc w:val="center"/>
    </w:pPr>
    <w:rPr>
      <w:rFonts w:hint="default" w:ascii="Times New Roman" w:hAnsi="Times New Roman" w:eastAsia="宋体" w:cs="Times New Roman"/>
      <w:b/>
      <w:kern w:val="2"/>
      <w:sz w:val="21"/>
      <w:szCs w:val="20"/>
      <w:lang w:val="en-US" w:eastAsia="zh-CN" w:bidi="ar"/>
    </w:rPr>
  </w:style>
  <w:style w:type="paragraph" w:customStyle="1" w:styleId="5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50"/>
    <w:qFormat/>
    <w:uiPriority w:val="0"/>
    <w:pPr>
      <w:widowControl w:val="0"/>
      <w:jc w:val="both"/>
    </w:pPr>
    <w:rPr>
      <w:rFonts w:ascii="Calibri" w:hAnsi="Calibri" w:eastAsia="宋体" w:cs="黑体"/>
      <w:kern w:val="2"/>
      <w:sz w:val="21"/>
      <w:szCs w:val="24"/>
      <w:lang w:val="en-US" w:eastAsia="zh-CN" w:bidi="ar-SA"/>
    </w:rPr>
  </w:style>
  <w:style w:type="table" w:customStyle="1" w:styleId="5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7.png"/><Relationship Id="rId55" Type="http://schemas.openxmlformats.org/officeDocument/2006/relationships/image" Target="media/image16.jpeg"/><Relationship Id="rId54" Type="http://schemas.openxmlformats.org/officeDocument/2006/relationships/image" Target="media/image15.png"/><Relationship Id="rId53" Type="http://schemas.openxmlformats.org/officeDocument/2006/relationships/image" Target="media/image14.png"/><Relationship Id="rId52" Type="http://schemas.openxmlformats.org/officeDocument/2006/relationships/image" Target="media/image13.wmf"/><Relationship Id="rId51" Type="http://schemas.openxmlformats.org/officeDocument/2006/relationships/oleObject" Target="embeddings/oleObject12.bin"/><Relationship Id="rId50" Type="http://schemas.openxmlformats.org/officeDocument/2006/relationships/image" Target="media/image12.wmf"/><Relationship Id="rId5" Type="http://schemas.openxmlformats.org/officeDocument/2006/relationships/footer" Target="footer1.xml"/><Relationship Id="rId49" Type="http://schemas.openxmlformats.org/officeDocument/2006/relationships/oleObject" Target="embeddings/oleObject11.bin"/><Relationship Id="rId48" Type="http://schemas.openxmlformats.org/officeDocument/2006/relationships/image" Target="media/image11.wmf"/><Relationship Id="rId47" Type="http://schemas.openxmlformats.org/officeDocument/2006/relationships/oleObject" Target="embeddings/oleObject10.bin"/><Relationship Id="rId46" Type="http://schemas.openxmlformats.org/officeDocument/2006/relationships/image" Target="media/image10.wmf"/><Relationship Id="rId45" Type="http://schemas.openxmlformats.org/officeDocument/2006/relationships/oleObject" Target="embeddings/oleObject9.bin"/><Relationship Id="rId44" Type="http://schemas.openxmlformats.org/officeDocument/2006/relationships/image" Target="media/image9.wmf"/><Relationship Id="rId43" Type="http://schemas.openxmlformats.org/officeDocument/2006/relationships/oleObject" Target="embeddings/oleObject8.bin"/><Relationship Id="rId42" Type="http://schemas.openxmlformats.org/officeDocument/2006/relationships/image" Target="media/image8.wmf"/><Relationship Id="rId41" Type="http://schemas.openxmlformats.org/officeDocument/2006/relationships/oleObject" Target="embeddings/oleObject7.bin"/><Relationship Id="rId40" Type="http://schemas.openxmlformats.org/officeDocument/2006/relationships/image" Target="media/image7.wmf"/><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6.wmf"/><Relationship Id="rId37" Type="http://schemas.openxmlformats.org/officeDocument/2006/relationships/oleObject" Target="embeddings/oleObject5.bin"/><Relationship Id="rId36" Type="http://schemas.openxmlformats.org/officeDocument/2006/relationships/image" Target="media/image5.wmf"/><Relationship Id="rId35" Type="http://schemas.openxmlformats.org/officeDocument/2006/relationships/oleObject" Target="embeddings/oleObject4.bin"/><Relationship Id="rId34" Type="http://schemas.openxmlformats.org/officeDocument/2006/relationships/image" Target="media/image4.wmf"/><Relationship Id="rId33" Type="http://schemas.openxmlformats.org/officeDocument/2006/relationships/oleObject" Target="embeddings/oleObject3.bin"/><Relationship Id="rId32" Type="http://schemas.openxmlformats.org/officeDocument/2006/relationships/image" Target="media/image3.wmf"/><Relationship Id="rId31" Type="http://schemas.openxmlformats.org/officeDocument/2006/relationships/oleObject" Target="embeddings/oleObject2.bin"/><Relationship Id="rId30" Type="http://schemas.openxmlformats.org/officeDocument/2006/relationships/image" Target="media/image2.wmf"/><Relationship Id="rId3" Type="http://schemas.openxmlformats.org/officeDocument/2006/relationships/header" Target="header1.xml"/><Relationship Id="rId29" Type="http://schemas.openxmlformats.org/officeDocument/2006/relationships/oleObject" Target="embeddings/oleObject1.bin"/><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92</Pages>
  <Words>16656</Words>
  <Characters>18195</Characters>
  <Lines>0</Lines>
  <Paragraphs>0</Paragraphs>
  <TotalTime>2</TotalTime>
  <ScaleCrop>false</ScaleCrop>
  <LinksUpToDate>false</LinksUpToDate>
  <CharactersWithSpaces>18897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2024-09-28T20:36:00Z</dcterms:created>
  <dc:creator>Administrator</dc:creator>
  <cp:lastModifiedBy>蔡小健 j1aN</cp:lastModifiedBy>
  <cp:lastPrinted>2026-06-16T10:27:00Z</cp:lastPrinted>
  <dcterms:modified xsi:type="dcterms:W3CDTF">2026-10-15T08:41:11Z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AB11E88D158E443CB565D8376F2719DF_13</vt:lpwstr>
  </property>
  <property fmtid="{D5CDD505-2E9C-101B-9397-08002B2CF9AE}" pid="4" name="KSOTemplateDocerSaveRecord">
    <vt:lpwstr>eyJoZGlkIjoiZGRiN2NkNGE1NDg1MGJjMjRjMmE1ZjM1NTY0OGU1MTciLCJ1c2VySWQiOiIzMDE1NjQ2MzcifQ==</vt:lpwstr>
  </property>
</Properties>
</file>