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A2D4E4">
      <w:pPr>
        <w:spacing w:line="360" w:lineRule="auto"/>
        <w:jc w:val="center"/>
        <w:rPr>
          <w:rFonts w:hint="eastAsia" w:asciiTheme="minorEastAsia" w:hAnsiTheme="minorEastAsia" w:eastAsiaTheme="minorEastAsia" w:cstheme="minorEastAsia"/>
          <w:b/>
          <w:color w:val="auto"/>
          <w:sz w:val="40"/>
          <w:szCs w:val="40"/>
          <w:highlight w:val="none"/>
          <w:lang w:eastAsia="zh-CN"/>
        </w:rPr>
      </w:pPr>
      <w:r>
        <w:rPr>
          <w:rFonts w:hint="eastAsia" w:asciiTheme="minorEastAsia" w:hAnsiTheme="minorEastAsia" w:eastAsiaTheme="minorEastAsia" w:cstheme="minorEastAsia"/>
          <w:b/>
          <w:color w:val="auto"/>
          <w:sz w:val="48"/>
          <w:szCs w:val="48"/>
          <w:highlight w:val="none"/>
          <w:lang w:eastAsia="zh-CN"/>
        </w:rPr>
        <w:t>南雄市“银杏染秋”乡村振兴示范带建设项目-油山镇典型村建设项目设计、施工总承包</w:t>
      </w:r>
    </w:p>
    <w:p w14:paraId="78087FA8">
      <w:pPr>
        <w:spacing w:line="360" w:lineRule="auto"/>
        <w:rPr>
          <w:rFonts w:hint="eastAsia" w:asciiTheme="minorEastAsia" w:hAnsiTheme="minorEastAsia" w:eastAsiaTheme="minorEastAsia" w:cstheme="minorEastAsia"/>
          <w:b/>
          <w:color w:val="auto"/>
          <w:highlight w:val="none"/>
        </w:rPr>
      </w:pPr>
    </w:p>
    <w:p w14:paraId="03803486">
      <w:pPr>
        <w:spacing w:line="360" w:lineRule="auto"/>
        <w:rPr>
          <w:rFonts w:hint="eastAsia" w:asciiTheme="minorEastAsia" w:hAnsiTheme="minorEastAsia" w:eastAsiaTheme="minorEastAsia" w:cstheme="minorEastAsia"/>
          <w:b/>
          <w:color w:val="auto"/>
          <w:highlight w:val="none"/>
        </w:rPr>
      </w:pPr>
    </w:p>
    <w:p w14:paraId="7011103F">
      <w:pPr>
        <w:spacing w:line="360" w:lineRule="auto"/>
        <w:rPr>
          <w:rFonts w:hint="eastAsia" w:asciiTheme="minorEastAsia" w:hAnsiTheme="minorEastAsia" w:eastAsiaTheme="minorEastAsia" w:cstheme="minorEastAsia"/>
          <w:b/>
          <w:color w:val="auto"/>
          <w:highlight w:val="none"/>
        </w:rPr>
      </w:pPr>
    </w:p>
    <w:p w14:paraId="2EA84A49">
      <w:pPr>
        <w:widowControl w:val="0"/>
        <w:spacing w:line="360" w:lineRule="auto"/>
        <w:jc w:val="both"/>
        <w:rPr>
          <w:rFonts w:hint="eastAsia" w:asciiTheme="minorEastAsia" w:hAnsiTheme="minorEastAsia" w:eastAsiaTheme="minorEastAsia" w:cstheme="minorEastAsia"/>
          <w:color w:val="auto"/>
          <w:kern w:val="2"/>
          <w:sz w:val="24"/>
          <w:highlight w:val="none"/>
          <w:lang w:val="en-US" w:eastAsia="zh-CN" w:bidi="ar-SA"/>
        </w:rPr>
      </w:pPr>
    </w:p>
    <w:p w14:paraId="63D42586">
      <w:pPr>
        <w:widowControl w:val="0"/>
        <w:spacing w:line="360" w:lineRule="auto"/>
        <w:jc w:val="both"/>
        <w:rPr>
          <w:rFonts w:hint="eastAsia" w:asciiTheme="minorEastAsia" w:hAnsiTheme="minorEastAsia" w:eastAsiaTheme="minorEastAsia" w:cstheme="minorEastAsia"/>
          <w:color w:val="auto"/>
          <w:kern w:val="2"/>
          <w:sz w:val="24"/>
          <w:highlight w:val="none"/>
          <w:lang w:val="en-US" w:eastAsia="zh-CN" w:bidi="ar-SA"/>
        </w:rPr>
      </w:pPr>
    </w:p>
    <w:p w14:paraId="7CF942F5">
      <w:pPr>
        <w:pStyle w:val="45"/>
        <w:spacing w:line="360" w:lineRule="auto"/>
        <w:jc w:val="center"/>
        <w:rPr>
          <w:rFonts w:hint="eastAsia" w:asciiTheme="minorEastAsia" w:hAnsiTheme="minorEastAsia" w:eastAsiaTheme="minorEastAsia" w:cstheme="minorEastAsia"/>
          <w:b/>
          <w:bCs/>
          <w:color w:val="auto"/>
          <w:spacing w:val="26"/>
          <w:sz w:val="84"/>
          <w:szCs w:val="84"/>
          <w:highlight w:val="none"/>
        </w:rPr>
      </w:pPr>
      <w:r>
        <w:rPr>
          <w:rFonts w:hint="eastAsia" w:asciiTheme="minorEastAsia" w:hAnsiTheme="minorEastAsia" w:eastAsiaTheme="minorEastAsia" w:cstheme="minorEastAsia"/>
          <w:b/>
          <w:bCs/>
          <w:color w:val="auto"/>
          <w:spacing w:val="26"/>
          <w:sz w:val="84"/>
          <w:szCs w:val="84"/>
          <w:highlight w:val="none"/>
        </w:rPr>
        <w:t>招标文件</w:t>
      </w:r>
    </w:p>
    <w:p w14:paraId="3ACD7A93">
      <w:pPr>
        <w:spacing w:line="360" w:lineRule="auto"/>
        <w:ind w:left="240" w:leftChars="100"/>
        <w:jc w:val="center"/>
        <w:rPr>
          <w:rFonts w:hint="eastAsia" w:asciiTheme="minorEastAsia" w:hAnsiTheme="minorEastAsia" w:eastAsiaTheme="minorEastAsia" w:cstheme="minorEastAsia"/>
          <w:b/>
          <w:color w:val="auto"/>
          <w:sz w:val="32"/>
          <w:szCs w:val="32"/>
          <w:highlight w:val="none"/>
        </w:rPr>
      </w:pPr>
    </w:p>
    <w:tbl>
      <w:tblPr>
        <w:tblStyle w:val="31"/>
        <w:tblpPr w:leftFromText="180" w:rightFromText="180" w:vertAnchor="text" w:horzAnchor="page" w:tblpXSpec="center" w:tblpY="753"/>
        <w:tblW w:w="9799" w:type="dxa"/>
        <w:jc w:val="center"/>
        <w:tblLayout w:type="fixed"/>
        <w:tblCellMar>
          <w:top w:w="0" w:type="dxa"/>
          <w:left w:w="0" w:type="dxa"/>
          <w:bottom w:w="0" w:type="dxa"/>
          <w:right w:w="0" w:type="dxa"/>
        </w:tblCellMar>
      </w:tblPr>
      <w:tblGrid>
        <w:gridCol w:w="4671"/>
        <w:gridCol w:w="5128"/>
      </w:tblGrid>
      <w:tr w14:paraId="5E02FF27">
        <w:tblPrEx>
          <w:tblCellMar>
            <w:top w:w="0" w:type="dxa"/>
            <w:left w:w="0" w:type="dxa"/>
            <w:bottom w:w="0" w:type="dxa"/>
            <w:right w:w="0" w:type="dxa"/>
          </w:tblCellMar>
        </w:tblPrEx>
        <w:trPr>
          <w:trHeight w:val="935" w:hRule="atLeast"/>
          <w:jc w:val="center"/>
        </w:trPr>
        <w:tc>
          <w:tcPr>
            <w:tcW w:w="4671" w:type="dxa"/>
            <w:vAlign w:val="center"/>
          </w:tcPr>
          <w:p w14:paraId="2D2551A5">
            <w:pPr>
              <w:widowControl w:val="0"/>
              <w:spacing w:line="360" w:lineRule="auto"/>
              <w:jc w:val="distribute"/>
              <w:rPr>
                <w:rFonts w:hint="eastAsia" w:asciiTheme="minorEastAsia" w:hAnsiTheme="minorEastAsia" w:eastAsiaTheme="minorEastAsia" w:cstheme="minorEastAsia"/>
                <w:color w:val="auto"/>
                <w:kern w:val="2"/>
                <w:sz w:val="28"/>
                <w:highlight w:val="none"/>
                <w:lang w:val="en-US" w:eastAsia="zh-CN" w:bidi="ar-SA"/>
              </w:rPr>
            </w:pPr>
            <w:r>
              <w:rPr>
                <w:rFonts w:hint="eastAsia" w:asciiTheme="minorEastAsia" w:hAnsiTheme="minorEastAsia" w:eastAsiaTheme="minorEastAsia" w:cstheme="minorEastAsia"/>
                <w:color w:val="auto"/>
                <w:kern w:val="2"/>
                <w:sz w:val="28"/>
                <w:highlight w:val="none"/>
                <w:lang w:val="en-US" w:eastAsia="zh-CN" w:bidi="ar-SA"/>
              </w:rPr>
              <w:t>招   标   人（盖单位章）：</w:t>
            </w:r>
          </w:p>
        </w:tc>
        <w:tc>
          <w:tcPr>
            <w:tcW w:w="5128" w:type="dxa"/>
            <w:vAlign w:val="center"/>
          </w:tcPr>
          <w:p w14:paraId="6285AD5B">
            <w:pPr>
              <w:widowControl w:val="0"/>
              <w:spacing w:line="360" w:lineRule="auto"/>
              <w:jc w:val="both"/>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南雄市油山镇人民政府</w:t>
            </w:r>
          </w:p>
        </w:tc>
      </w:tr>
      <w:tr w14:paraId="3FF5740F">
        <w:tblPrEx>
          <w:tblCellMar>
            <w:top w:w="0" w:type="dxa"/>
            <w:left w:w="0" w:type="dxa"/>
            <w:bottom w:w="0" w:type="dxa"/>
            <w:right w:w="0" w:type="dxa"/>
          </w:tblCellMar>
        </w:tblPrEx>
        <w:trPr>
          <w:trHeight w:val="1059" w:hRule="atLeast"/>
          <w:jc w:val="center"/>
        </w:trPr>
        <w:tc>
          <w:tcPr>
            <w:tcW w:w="4671" w:type="dxa"/>
            <w:vAlign w:val="center"/>
          </w:tcPr>
          <w:p w14:paraId="1A84E5C2">
            <w:pPr>
              <w:widowControl w:val="0"/>
              <w:spacing w:line="360" w:lineRule="auto"/>
              <w:jc w:val="distribute"/>
              <w:rPr>
                <w:rFonts w:hint="eastAsia" w:asciiTheme="minorEastAsia" w:hAnsiTheme="minorEastAsia" w:eastAsiaTheme="minorEastAsia" w:cstheme="minorEastAsia"/>
                <w:color w:val="auto"/>
                <w:kern w:val="2"/>
                <w:sz w:val="28"/>
                <w:highlight w:val="none"/>
                <w:lang w:val="en-US" w:eastAsia="zh-CN" w:bidi="ar-SA"/>
              </w:rPr>
            </w:pPr>
            <w:r>
              <w:rPr>
                <w:rFonts w:hint="eastAsia" w:asciiTheme="minorEastAsia" w:hAnsiTheme="minorEastAsia" w:eastAsiaTheme="minorEastAsia" w:cstheme="minorEastAsia"/>
                <w:color w:val="auto"/>
                <w:kern w:val="2"/>
                <w:sz w:val="28"/>
                <w:highlight w:val="none"/>
                <w:lang w:val="en-US" w:eastAsia="zh-CN" w:bidi="ar-SA"/>
              </w:rPr>
              <w:t>招标人工作领导小组负责人（签字）：</w:t>
            </w:r>
          </w:p>
        </w:tc>
        <w:tc>
          <w:tcPr>
            <w:tcW w:w="5128" w:type="dxa"/>
            <w:vAlign w:val="center"/>
          </w:tcPr>
          <w:p w14:paraId="440D0A4B">
            <w:pPr>
              <w:widowControl w:val="0"/>
              <w:spacing w:line="360" w:lineRule="auto"/>
              <w:jc w:val="both"/>
              <w:rPr>
                <w:rFonts w:hint="eastAsia" w:asciiTheme="minorEastAsia" w:hAnsiTheme="minorEastAsia" w:eastAsiaTheme="minorEastAsia" w:cstheme="minorEastAsia"/>
                <w:color w:val="auto"/>
                <w:kern w:val="2"/>
                <w:sz w:val="28"/>
                <w:szCs w:val="28"/>
                <w:highlight w:val="none"/>
                <w:lang w:val="en-US" w:eastAsia="zh-CN" w:bidi="ar-SA"/>
              </w:rPr>
            </w:pPr>
          </w:p>
        </w:tc>
      </w:tr>
      <w:tr w14:paraId="399AB702">
        <w:tblPrEx>
          <w:tblCellMar>
            <w:top w:w="0" w:type="dxa"/>
            <w:left w:w="0" w:type="dxa"/>
            <w:bottom w:w="0" w:type="dxa"/>
            <w:right w:w="0" w:type="dxa"/>
          </w:tblCellMar>
        </w:tblPrEx>
        <w:trPr>
          <w:trHeight w:val="1031" w:hRule="atLeast"/>
          <w:jc w:val="center"/>
        </w:trPr>
        <w:tc>
          <w:tcPr>
            <w:tcW w:w="4671" w:type="dxa"/>
            <w:vAlign w:val="center"/>
          </w:tcPr>
          <w:p w14:paraId="5BE5A740">
            <w:pPr>
              <w:widowControl w:val="0"/>
              <w:spacing w:line="360" w:lineRule="auto"/>
              <w:jc w:val="distribute"/>
              <w:rPr>
                <w:rFonts w:hint="eastAsia" w:asciiTheme="minorEastAsia" w:hAnsiTheme="minorEastAsia" w:eastAsiaTheme="minorEastAsia" w:cstheme="minorEastAsia"/>
                <w:color w:val="auto"/>
                <w:kern w:val="2"/>
                <w:sz w:val="28"/>
                <w:highlight w:val="none"/>
                <w:lang w:val="en-US" w:eastAsia="zh-CN" w:bidi="ar-SA"/>
              </w:rPr>
            </w:pPr>
            <w:r>
              <w:rPr>
                <w:rFonts w:hint="eastAsia" w:asciiTheme="minorEastAsia" w:hAnsiTheme="minorEastAsia" w:eastAsiaTheme="minorEastAsia" w:cstheme="minorEastAsia"/>
                <w:color w:val="auto"/>
                <w:kern w:val="2"/>
                <w:sz w:val="28"/>
                <w:highlight w:val="none"/>
                <w:lang w:val="en-US" w:eastAsia="zh-CN" w:bidi="ar-SA"/>
              </w:rPr>
              <w:t>招 标 代 理 机 构 （盖章）：</w:t>
            </w:r>
          </w:p>
        </w:tc>
        <w:tc>
          <w:tcPr>
            <w:tcW w:w="5128" w:type="dxa"/>
            <w:vAlign w:val="center"/>
          </w:tcPr>
          <w:p w14:paraId="5A55FB6E">
            <w:pPr>
              <w:widowControl w:val="0"/>
              <w:spacing w:line="360" w:lineRule="auto"/>
              <w:jc w:val="both"/>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snapToGrid w:val="0"/>
                <w:color w:val="auto"/>
                <w:kern w:val="0"/>
                <w:sz w:val="28"/>
                <w:szCs w:val="28"/>
                <w:highlight w:val="none"/>
                <w:lang w:val="en-US" w:eastAsia="zh-CN" w:bidi="ar-SA"/>
              </w:rPr>
              <w:t>广东象龙国际项目管理有限公司</w:t>
            </w:r>
          </w:p>
        </w:tc>
      </w:tr>
      <w:tr w14:paraId="33B6B3B5">
        <w:tblPrEx>
          <w:tblCellMar>
            <w:top w:w="0" w:type="dxa"/>
            <w:left w:w="0" w:type="dxa"/>
            <w:bottom w:w="0" w:type="dxa"/>
            <w:right w:w="0" w:type="dxa"/>
          </w:tblCellMar>
        </w:tblPrEx>
        <w:trPr>
          <w:trHeight w:val="809" w:hRule="atLeast"/>
          <w:jc w:val="center"/>
        </w:trPr>
        <w:tc>
          <w:tcPr>
            <w:tcW w:w="4671" w:type="dxa"/>
            <w:vAlign w:val="center"/>
          </w:tcPr>
          <w:p w14:paraId="409AD453">
            <w:pPr>
              <w:widowControl w:val="0"/>
              <w:spacing w:line="360" w:lineRule="auto"/>
              <w:jc w:val="distribute"/>
              <w:rPr>
                <w:rFonts w:hint="eastAsia" w:asciiTheme="minorEastAsia" w:hAnsiTheme="minorEastAsia" w:eastAsiaTheme="minorEastAsia" w:cstheme="minorEastAsia"/>
                <w:color w:val="auto"/>
                <w:kern w:val="2"/>
                <w:sz w:val="28"/>
                <w:highlight w:val="none"/>
                <w:lang w:val="en-US" w:eastAsia="zh-CN" w:bidi="ar-SA"/>
              </w:rPr>
            </w:pPr>
            <w:r>
              <w:rPr>
                <w:rFonts w:hint="eastAsia" w:asciiTheme="minorEastAsia" w:hAnsiTheme="minorEastAsia" w:eastAsiaTheme="minorEastAsia" w:cstheme="minorEastAsia"/>
                <w:color w:val="auto"/>
                <w:kern w:val="2"/>
                <w:sz w:val="28"/>
                <w:highlight w:val="none"/>
                <w:lang w:val="en-US" w:eastAsia="zh-CN" w:bidi="ar-SA"/>
              </w:rPr>
              <w:t>招标文件编制人（签字）：</w:t>
            </w:r>
          </w:p>
        </w:tc>
        <w:tc>
          <w:tcPr>
            <w:tcW w:w="5128" w:type="dxa"/>
            <w:vAlign w:val="center"/>
          </w:tcPr>
          <w:p w14:paraId="1657DBB2">
            <w:pPr>
              <w:widowControl w:val="0"/>
              <w:spacing w:line="360" w:lineRule="auto"/>
              <w:jc w:val="both"/>
              <w:rPr>
                <w:rFonts w:hint="eastAsia" w:asciiTheme="minorEastAsia" w:hAnsiTheme="minorEastAsia" w:eastAsiaTheme="minorEastAsia" w:cstheme="minorEastAsia"/>
                <w:color w:val="auto"/>
                <w:kern w:val="2"/>
                <w:sz w:val="28"/>
                <w:szCs w:val="28"/>
                <w:highlight w:val="none"/>
                <w:lang w:val="en-US" w:eastAsia="zh-CN" w:bidi="ar-SA"/>
              </w:rPr>
            </w:pPr>
          </w:p>
        </w:tc>
      </w:tr>
      <w:tr w14:paraId="50BA2F55">
        <w:tblPrEx>
          <w:tblCellMar>
            <w:top w:w="0" w:type="dxa"/>
            <w:left w:w="0" w:type="dxa"/>
            <w:bottom w:w="0" w:type="dxa"/>
            <w:right w:w="0" w:type="dxa"/>
          </w:tblCellMar>
        </w:tblPrEx>
        <w:trPr>
          <w:trHeight w:val="863" w:hRule="atLeast"/>
          <w:jc w:val="center"/>
        </w:trPr>
        <w:tc>
          <w:tcPr>
            <w:tcW w:w="4671" w:type="dxa"/>
            <w:vAlign w:val="center"/>
          </w:tcPr>
          <w:p w14:paraId="503084AE">
            <w:pPr>
              <w:widowControl w:val="0"/>
              <w:wordWrap w:val="0"/>
              <w:spacing w:line="360" w:lineRule="auto"/>
              <w:jc w:val="distribute"/>
              <w:rPr>
                <w:rFonts w:hint="eastAsia" w:asciiTheme="minorEastAsia" w:hAnsiTheme="minorEastAsia" w:eastAsiaTheme="minorEastAsia" w:cstheme="minorEastAsia"/>
                <w:color w:val="auto"/>
                <w:kern w:val="2"/>
                <w:sz w:val="28"/>
                <w:highlight w:val="none"/>
                <w:lang w:val="en-US" w:eastAsia="zh-CN" w:bidi="ar-SA"/>
              </w:rPr>
            </w:pPr>
            <w:r>
              <w:rPr>
                <w:rFonts w:hint="eastAsia" w:asciiTheme="minorEastAsia" w:hAnsiTheme="minorEastAsia" w:eastAsiaTheme="minorEastAsia" w:cstheme="minorEastAsia"/>
                <w:color w:val="auto"/>
                <w:kern w:val="2"/>
                <w:sz w:val="28"/>
                <w:highlight w:val="none"/>
                <w:lang w:val="en-US" w:eastAsia="zh-CN" w:bidi="ar-SA"/>
              </w:rPr>
              <w:t>招标代理机构项目负责人（签字）：</w:t>
            </w:r>
          </w:p>
        </w:tc>
        <w:tc>
          <w:tcPr>
            <w:tcW w:w="5128" w:type="dxa"/>
            <w:vAlign w:val="center"/>
          </w:tcPr>
          <w:p w14:paraId="1BA134A6">
            <w:pPr>
              <w:widowControl w:val="0"/>
              <w:spacing w:line="360" w:lineRule="auto"/>
              <w:jc w:val="both"/>
              <w:rPr>
                <w:rFonts w:hint="eastAsia" w:asciiTheme="minorEastAsia" w:hAnsiTheme="minorEastAsia" w:eastAsiaTheme="minorEastAsia" w:cstheme="minorEastAsia"/>
                <w:color w:val="auto"/>
                <w:kern w:val="2"/>
                <w:sz w:val="28"/>
                <w:szCs w:val="28"/>
                <w:highlight w:val="none"/>
                <w:lang w:val="en-US" w:eastAsia="zh-CN" w:bidi="ar-SA"/>
              </w:rPr>
            </w:pPr>
          </w:p>
        </w:tc>
      </w:tr>
      <w:tr w14:paraId="0FDD9650">
        <w:tblPrEx>
          <w:tblCellMar>
            <w:top w:w="0" w:type="dxa"/>
            <w:left w:w="0" w:type="dxa"/>
            <w:bottom w:w="0" w:type="dxa"/>
            <w:right w:w="0" w:type="dxa"/>
          </w:tblCellMar>
        </w:tblPrEx>
        <w:trPr>
          <w:trHeight w:val="1047" w:hRule="atLeast"/>
          <w:jc w:val="center"/>
        </w:trPr>
        <w:tc>
          <w:tcPr>
            <w:tcW w:w="4671" w:type="dxa"/>
            <w:vAlign w:val="center"/>
          </w:tcPr>
          <w:p w14:paraId="6A9B15E0">
            <w:pPr>
              <w:widowControl w:val="0"/>
              <w:wordWrap w:val="0"/>
              <w:spacing w:line="360" w:lineRule="auto"/>
              <w:jc w:val="distribute"/>
              <w:rPr>
                <w:rFonts w:hint="eastAsia" w:asciiTheme="minorEastAsia" w:hAnsiTheme="minorEastAsia" w:eastAsiaTheme="minorEastAsia" w:cstheme="minorEastAsia"/>
                <w:color w:val="auto"/>
                <w:kern w:val="2"/>
                <w:sz w:val="28"/>
                <w:highlight w:val="none"/>
                <w:lang w:val="en-US" w:eastAsia="zh-CN" w:bidi="ar-SA"/>
              </w:rPr>
            </w:pPr>
            <w:r>
              <w:rPr>
                <w:rFonts w:hint="eastAsia" w:asciiTheme="minorEastAsia" w:hAnsiTheme="minorEastAsia" w:eastAsiaTheme="minorEastAsia" w:cstheme="minorEastAsia"/>
                <w:color w:val="auto"/>
                <w:kern w:val="2"/>
                <w:sz w:val="28"/>
                <w:highlight w:val="none"/>
                <w:lang w:val="en-US" w:eastAsia="zh-CN" w:bidi="ar-SA"/>
              </w:rPr>
              <w:t>招标文件编制日期：</w:t>
            </w:r>
          </w:p>
        </w:tc>
        <w:tc>
          <w:tcPr>
            <w:tcW w:w="5128" w:type="dxa"/>
            <w:vAlign w:val="center"/>
          </w:tcPr>
          <w:p w14:paraId="37E83246">
            <w:pPr>
              <w:widowControl w:val="0"/>
              <w:spacing w:line="360" w:lineRule="auto"/>
              <w:jc w:val="both"/>
              <w:rPr>
                <w:rFonts w:hint="default" w:asciiTheme="minorEastAsia" w:hAnsiTheme="minorEastAsia" w:eastAsiaTheme="minorEastAsia" w:cstheme="minorEastAsia"/>
                <w:color w:val="auto"/>
                <w:kern w:val="2"/>
                <w:sz w:val="28"/>
                <w:highlight w:val="none"/>
                <w:lang w:val="en-US" w:eastAsia="zh-CN" w:bidi="ar-SA"/>
              </w:rPr>
            </w:pPr>
            <w:r>
              <w:rPr>
                <w:rFonts w:hint="eastAsia" w:asciiTheme="minorEastAsia" w:hAnsiTheme="minorEastAsia" w:eastAsiaTheme="minorEastAsia" w:cstheme="minorEastAsia"/>
                <w:color w:val="auto"/>
                <w:kern w:val="2"/>
                <w:sz w:val="28"/>
                <w:highlight w:val="none"/>
                <w:lang w:val="en-US" w:eastAsia="zh-CN" w:bidi="ar-SA"/>
              </w:rPr>
              <w:t>2026年8月</w:t>
            </w:r>
          </w:p>
        </w:tc>
      </w:tr>
    </w:tbl>
    <w:p w14:paraId="236D9465">
      <w:pPr>
        <w:spacing w:line="360" w:lineRule="auto"/>
        <w:rPr>
          <w:rFonts w:hint="eastAsia" w:asciiTheme="minorEastAsia" w:hAnsiTheme="minorEastAsia" w:eastAsiaTheme="minorEastAsia" w:cstheme="minorEastAsia"/>
          <w:b/>
          <w:color w:val="auto"/>
          <w:sz w:val="28"/>
          <w:szCs w:val="28"/>
          <w:highlight w:val="none"/>
          <w:lang w:eastAsia="zh-CN"/>
        </w:rPr>
      </w:pPr>
      <w:r>
        <w:rPr>
          <w:rFonts w:hint="eastAsia" w:asciiTheme="minorEastAsia" w:hAnsiTheme="minorEastAsia" w:eastAsiaTheme="minorEastAsia" w:cstheme="minorEastAsia"/>
          <w:b/>
          <w:color w:val="auto"/>
          <w:sz w:val="28"/>
          <w:szCs w:val="28"/>
          <w:highlight w:val="none"/>
        </w:rPr>
        <w:br w:type="page"/>
      </w:r>
    </w:p>
    <w:p w14:paraId="76C13196">
      <w:pPr>
        <w:spacing w:line="360" w:lineRule="auto"/>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br w:type="page"/>
      </w:r>
    </w:p>
    <w:p w14:paraId="0C978F91">
      <w:pPr>
        <w:pStyle w:val="47"/>
        <w:tabs>
          <w:tab w:val="left" w:pos="4935"/>
        </w:tabs>
        <w:spacing w:line="360" w:lineRule="auto"/>
        <w:jc w:val="center"/>
        <w:rPr>
          <w:rFonts w:hint="eastAsia" w:asciiTheme="minorEastAsia" w:hAnsiTheme="minorEastAsia" w:eastAsiaTheme="minorEastAsia" w:cstheme="minorEastAsia"/>
          <w:b/>
          <w:color w:val="auto"/>
          <w:sz w:val="28"/>
          <w:szCs w:val="28"/>
          <w:highlight w:val="none"/>
        </w:rPr>
        <w:sectPr>
          <w:footerReference r:id="rId3" w:type="default"/>
          <w:endnotePr>
            <w:numFmt w:val="decimal"/>
          </w:endnotePr>
          <w:pgSz w:w="11905" w:h="16838"/>
          <w:pgMar w:top="1134" w:right="1134" w:bottom="1134" w:left="1134" w:header="850" w:footer="992" w:gutter="0"/>
          <w:pgNumType w:start="1"/>
          <w:cols w:space="0" w:num="1"/>
          <w:rtlGutter w:val="0"/>
          <w:docGrid w:linePitch="312" w:charSpace="0"/>
        </w:sectPr>
      </w:pPr>
    </w:p>
    <w:p w14:paraId="51B6D913">
      <w:pPr>
        <w:pStyle w:val="47"/>
        <w:tabs>
          <w:tab w:val="left" w:pos="4935"/>
        </w:tabs>
        <w:spacing w:line="360" w:lineRule="auto"/>
        <w:jc w:val="center"/>
        <w:rPr>
          <w:rFonts w:hint="eastAsia" w:asciiTheme="minorEastAsia" w:hAnsiTheme="minorEastAsia" w:eastAsiaTheme="minorEastAsia" w:cstheme="minorEastAsia"/>
          <w:b/>
          <w:color w:val="auto"/>
          <w:sz w:val="28"/>
          <w:szCs w:val="28"/>
          <w:highlight w:val="none"/>
        </w:rPr>
      </w:pPr>
    </w:p>
    <w:p w14:paraId="2F914B0F">
      <w:pPr>
        <w:pStyle w:val="47"/>
        <w:tabs>
          <w:tab w:val="left" w:pos="4935"/>
        </w:tabs>
        <w:spacing w:line="360" w:lineRule="auto"/>
        <w:jc w:val="cente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目    录</w:t>
      </w:r>
    </w:p>
    <w:p w14:paraId="049AB5BD">
      <w:pPr>
        <w:pStyle w:val="23"/>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TOC \o "1-4" \h \z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_Toc11491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第一章投标须知</w:t>
      </w:r>
      <w:r>
        <w:rPr>
          <w:color w:val="auto"/>
          <w:highlight w:val="none"/>
        </w:rPr>
        <w:tab/>
      </w:r>
      <w:r>
        <w:rPr>
          <w:color w:val="auto"/>
          <w:highlight w:val="none"/>
        </w:rPr>
        <w:fldChar w:fldCharType="begin"/>
      </w:r>
      <w:r>
        <w:rPr>
          <w:color w:val="auto"/>
          <w:highlight w:val="none"/>
        </w:rPr>
        <w:instrText xml:space="preserve"> PAGEREF _Toc11491 \h </w:instrText>
      </w:r>
      <w:r>
        <w:rPr>
          <w:color w:val="auto"/>
          <w:highlight w:val="none"/>
        </w:rPr>
        <w:fldChar w:fldCharType="separate"/>
      </w:r>
      <w:r>
        <w:rPr>
          <w:color w:val="auto"/>
          <w:highlight w:val="none"/>
        </w:rPr>
        <w:t>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4F04766">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_Toc16709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第一节</w:t>
      </w:r>
      <w:r>
        <w:rPr>
          <w:rFonts w:hint="eastAsia" w:asciiTheme="minorEastAsia" w:hAnsiTheme="minorEastAsia" w:eastAsiaTheme="minorEastAsia" w:cstheme="minorEastAsia"/>
          <w:color w:val="auto"/>
          <w:kern w:val="2"/>
          <w:highlight w:val="none"/>
          <w:lang w:val="en-US" w:eastAsia="zh-CN"/>
        </w:rPr>
        <w:t xml:space="preserve"> </w:t>
      </w:r>
      <w:r>
        <w:rPr>
          <w:rFonts w:hint="eastAsia" w:asciiTheme="minorEastAsia" w:hAnsiTheme="minorEastAsia" w:eastAsiaTheme="minorEastAsia" w:cstheme="minorEastAsia"/>
          <w:color w:val="auto"/>
          <w:kern w:val="2"/>
          <w:highlight w:val="none"/>
        </w:rPr>
        <w:t>投标须知前附表</w:t>
      </w:r>
      <w:r>
        <w:rPr>
          <w:color w:val="auto"/>
          <w:highlight w:val="none"/>
        </w:rPr>
        <w:tab/>
      </w:r>
      <w:r>
        <w:rPr>
          <w:color w:val="auto"/>
          <w:highlight w:val="none"/>
        </w:rPr>
        <w:fldChar w:fldCharType="begin"/>
      </w:r>
      <w:r>
        <w:rPr>
          <w:color w:val="auto"/>
          <w:highlight w:val="none"/>
        </w:rPr>
        <w:instrText xml:space="preserve"> PAGEREF _Toc16709 \h </w:instrText>
      </w:r>
      <w:r>
        <w:rPr>
          <w:color w:val="auto"/>
          <w:highlight w:val="none"/>
        </w:rPr>
        <w:fldChar w:fldCharType="separate"/>
      </w:r>
      <w:r>
        <w:rPr>
          <w:color w:val="auto"/>
          <w:highlight w:val="none"/>
        </w:rPr>
        <w:t>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F54265D">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_Toc6415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szCs w:val="24"/>
          <w:highlight w:val="none"/>
        </w:rPr>
        <w:t>第二节</w:t>
      </w:r>
      <w:r>
        <w:rPr>
          <w:rFonts w:hint="eastAsia" w:asciiTheme="minorEastAsia" w:hAnsiTheme="minorEastAsia" w:eastAsiaTheme="minorEastAsia" w:cstheme="minorEastAsia"/>
          <w:color w:val="auto"/>
          <w:kern w:val="2"/>
          <w:szCs w:val="24"/>
          <w:highlight w:val="none"/>
          <w:lang w:val="en-US" w:eastAsia="zh-CN"/>
        </w:rPr>
        <w:t xml:space="preserve"> </w:t>
      </w:r>
      <w:r>
        <w:rPr>
          <w:rFonts w:hint="eastAsia" w:asciiTheme="minorEastAsia" w:hAnsiTheme="minorEastAsia" w:eastAsiaTheme="minorEastAsia" w:cstheme="minorEastAsia"/>
          <w:color w:val="auto"/>
          <w:kern w:val="2"/>
          <w:szCs w:val="24"/>
          <w:highlight w:val="none"/>
        </w:rPr>
        <w:t>重要事项时间地点一览表.</w:t>
      </w:r>
      <w:r>
        <w:rPr>
          <w:color w:val="auto"/>
          <w:highlight w:val="none"/>
        </w:rPr>
        <w:tab/>
      </w:r>
      <w:r>
        <w:rPr>
          <w:color w:val="auto"/>
          <w:highlight w:val="none"/>
        </w:rPr>
        <w:fldChar w:fldCharType="begin"/>
      </w:r>
      <w:r>
        <w:rPr>
          <w:color w:val="auto"/>
          <w:highlight w:val="none"/>
        </w:rPr>
        <w:instrText xml:space="preserve"> PAGEREF _Toc6415 \h </w:instrText>
      </w:r>
      <w:r>
        <w:rPr>
          <w:color w:val="auto"/>
          <w:highlight w:val="none"/>
        </w:rPr>
        <w:fldChar w:fldCharType="separate"/>
      </w:r>
      <w:r>
        <w:rPr>
          <w:color w:val="auto"/>
          <w:highlight w:val="none"/>
        </w:rPr>
        <w:t>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60062F3">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_Toc26253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szCs w:val="24"/>
          <w:highlight w:val="none"/>
        </w:rPr>
        <w:t>第三节 投标须知正文</w:t>
      </w:r>
      <w:r>
        <w:rPr>
          <w:color w:val="auto"/>
          <w:highlight w:val="none"/>
        </w:rPr>
        <w:tab/>
      </w:r>
      <w:r>
        <w:rPr>
          <w:color w:val="auto"/>
          <w:highlight w:val="none"/>
        </w:rPr>
        <w:fldChar w:fldCharType="begin"/>
      </w:r>
      <w:r>
        <w:rPr>
          <w:color w:val="auto"/>
          <w:highlight w:val="none"/>
        </w:rPr>
        <w:instrText xml:space="preserve"> PAGEREF _Toc26253 \h </w:instrText>
      </w:r>
      <w:r>
        <w:rPr>
          <w:color w:val="auto"/>
          <w:highlight w:val="none"/>
        </w:rPr>
        <w:fldChar w:fldCharType="separate"/>
      </w:r>
      <w:r>
        <w:rPr>
          <w:color w:val="auto"/>
          <w:highlight w:val="none"/>
        </w:rPr>
        <w:t>10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DE969F4">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_Toc20094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szCs w:val="24"/>
          <w:highlight w:val="none"/>
        </w:rPr>
        <w:t>第四节 否决投标条件</w:t>
      </w:r>
      <w:r>
        <w:rPr>
          <w:color w:val="auto"/>
          <w:highlight w:val="none"/>
        </w:rPr>
        <w:tab/>
      </w:r>
      <w:r>
        <w:rPr>
          <w:color w:val="auto"/>
          <w:highlight w:val="none"/>
        </w:rPr>
        <w:fldChar w:fldCharType="begin"/>
      </w:r>
      <w:r>
        <w:rPr>
          <w:color w:val="auto"/>
          <w:highlight w:val="none"/>
        </w:rPr>
        <w:instrText xml:space="preserve"> PAGEREF _Toc20094 \h </w:instrText>
      </w:r>
      <w:r>
        <w:rPr>
          <w:color w:val="auto"/>
          <w:highlight w:val="none"/>
        </w:rPr>
        <w:fldChar w:fldCharType="separate"/>
      </w:r>
      <w:r>
        <w:rPr>
          <w:color w:val="auto"/>
          <w:highlight w:val="none"/>
        </w:rPr>
        <w:t>42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4FF33B9">
      <w:pPr>
        <w:pStyle w:val="23"/>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_Toc13118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第二章 拟签订合同的主要条款</w:t>
      </w:r>
      <w:r>
        <w:rPr>
          <w:color w:val="auto"/>
          <w:highlight w:val="none"/>
        </w:rPr>
        <w:tab/>
      </w:r>
      <w:r>
        <w:rPr>
          <w:color w:val="auto"/>
          <w:highlight w:val="none"/>
        </w:rPr>
        <w:fldChar w:fldCharType="begin"/>
      </w:r>
      <w:r>
        <w:rPr>
          <w:color w:val="auto"/>
          <w:highlight w:val="none"/>
        </w:rPr>
        <w:instrText xml:space="preserve"> PAGEREF _Toc13118 \h </w:instrText>
      </w:r>
      <w:r>
        <w:rPr>
          <w:color w:val="auto"/>
          <w:highlight w:val="none"/>
        </w:rPr>
        <w:fldChar w:fldCharType="separate"/>
      </w:r>
      <w:r>
        <w:rPr>
          <w:color w:val="auto"/>
          <w:highlight w:val="none"/>
        </w:rPr>
        <w:t>49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FDB37B1">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_Toc19637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1 工程承包方式</w:t>
      </w:r>
      <w:r>
        <w:rPr>
          <w:color w:val="auto"/>
          <w:highlight w:val="none"/>
        </w:rPr>
        <w:tab/>
      </w:r>
      <w:r>
        <w:rPr>
          <w:color w:val="auto"/>
          <w:highlight w:val="none"/>
        </w:rPr>
        <w:fldChar w:fldCharType="begin"/>
      </w:r>
      <w:r>
        <w:rPr>
          <w:color w:val="auto"/>
          <w:highlight w:val="none"/>
        </w:rPr>
        <w:instrText xml:space="preserve"> PAGEREF _Toc19637 \h </w:instrText>
      </w:r>
      <w:r>
        <w:rPr>
          <w:color w:val="auto"/>
          <w:highlight w:val="none"/>
        </w:rPr>
        <w:fldChar w:fldCharType="separate"/>
      </w:r>
      <w:r>
        <w:rPr>
          <w:color w:val="auto"/>
          <w:highlight w:val="none"/>
        </w:rPr>
        <w:t>49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BB88F7D">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_Toc17692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highlight w:val="none"/>
        </w:rPr>
        <w:t>2 施工图工程量清单预算的编制原则</w:t>
      </w:r>
      <w:r>
        <w:rPr>
          <w:color w:val="auto"/>
          <w:highlight w:val="none"/>
        </w:rPr>
        <w:tab/>
      </w:r>
      <w:r>
        <w:rPr>
          <w:color w:val="auto"/>
          <w:highlight w:val="none"/>
        </w:rPr>
        <w:fldChar w:fldCharType="begin"/>
      </w:r>
      <w:r>
        <w:rPr>
          <w:color w:val="auto"/>
          <w:highlight w:val="none"/>
        </w:rPr>
        <w:instrText xml:space="preserve"> PAGEREF _Toc17692 \h </w:instrText>
      </w:r>
      <w:r>
        <w:rPr>
          <w:color w:val="auto"/>
          <w:highlight w:val="none"/>
        </w:rPr>
        <w:fldChar w:fldCharType="separate"/>
      </w:r>
      <w:r>
        <w:rPr>
          <w:color w:val="auto"/>
          <w:highlight w:val="none"/>
        </w:rPr>
        <w:t>49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628F498">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_Toc31151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szCs w:val="24"/>
          <w:highlight w:val="none"/>
        </w:rPr>
        <w:t>3 工程结算原则</w:t>
      </w:r>
      <w:r>
        <w:rPr>
          <w:color w:val="auto"/>
          <w:highlight w:val="none"/>
        </w:rPr>
        <w:tab/>
      </w:r>
      <w:r>
        <w:rPr>
          <w:color w:val="auto"/>
          <w:highlight w:val="none"/>
        </w:rPr>
        <w:fldChar w:fldCharType="begin"/>
      </w:r>
      <w:r>
        <w:rPr>
          <w:color w:val="auto"/>
          <w:highlight w:val="none"/>
        </w:rPr>
        <w:instrText xml:space="preserve"> PAGEREF _Toc31151 \h </w:instrText>
      </w:r>
      <w:r>
        <w:rPr>
          <w:color w:val="auto"/>
          <w:highlight w:val="none"/>
        </w:rPr>
        <w:fldChar w:fldCharType="separate"/>
      </w:r>
      <w:r>
        <w:rPr>
          <w:color w:val="auto"/>
          <w:highlight w:val="none"/>
        </w:rPr>
        <w:t>50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91A891C">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_Toc32271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szCs w:val="24"/>
          <w:highlight w:val="none"/>
        </w:rPr>
        <w:t>4 工程付款办法</w:t>
      </w:r>
      <w:r>
        <w:rPr>
          <w:color w:val="auto"/>
          <w:highlight w:val="none"/>
        </w:rPr>
        <w:tab/>
      </w:r>
      <w:r>
        <w:rPr>
          <w:color w:val="auto"/>
          <w:highlight w:val="none"/>
        </w:rPr>
        <w:fldChar w:fldCharType="begin"/>
      </w:r>
      <w:r>
        <w:rPr>
          <w:color w:val="auto"/>
          <w:highlight w:val="none"/>
        </w:rPr>
        <w:instrText xml:space="preserve"> PAGEREF _Toc32271 \h </w:instrText>
      </w:r>
      <w:r>
        <w:rPr>
          <w:color w:val="auto"/>
          <w:highlight w:val="none"/>
        </w:rPr>
        <w:fldChar w:fldCharType="separate"/>
      </w:r>
      <w:r>
        <w:rPr>
          <w:color w:val="auto"/>
          <w:highlight w:val="none"/>
        </w:rPr>
        <w:t>53</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26EC6A3">
      <w:pPr>
        <w:pStyle w:val="23"/>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_Toc22615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第三章 中标人须知</w:t>
      </w:r>
      <w:r>
        <w:rPr>
          <w:color w:val="auto"/>
          <w:highlight w:val="none"/>
        </w:rPr>
        <w:tab/>
      </w:r>
      <w:r>
        <w:rPr>
          <w:color w:val="auto"/>
          <w:highlight w:val="none"/>
        </w:rPr>
        <w:fldChar w:fldCharType="begin"/>
      </w:r>
      <w:r>
        <w:rPr>
          <w:color w:val="auto"/>
          <w:highlight w:val="none"/>
        </w:rPr>
        <w:instrText xml:space="preserve"> PAGEREF _Toc22615 \h </w:instrText>
      </w:r>
      <w:r>
        <w:rPr>
          <w:color w:val="auto"/>
          <w:highlight w:val="none"/>
        </w:rPr>
        <w:fldChar w:fldCharType="separate"/>
      </w:r>
      <w:r>
        <w:rPr>
          <w:color w:val="auto"/>
          <w:highlight w:val="none"/>
        </w:rPr>
        <w:t>72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197D76B">
      <w:pPr>
        <w:pStyle w:val="23"/>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_Toc27189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第四章 投标人提交的其他材料</w:t>
      </w:r>
      <w:r>
        <w:rPr>
          <w:color w:val="auto"/>
          <w:highlight w:val="none"/>
        </w:rPr>
        <w:tab/>
      </w:r>
      <w:r>
        <w:rPr>
          <w:color w:val="auto"/>
          <w:highlight w:val="none"/>
        </w:rPr>
        <w:fldChar w:fldCharType="begin"/>
      </w:r>
      <w:r>
        <w:rPr>
          <w:color w:val="auto"/>
          <w:highlight w:val="none"/>
        </w:rPr>
        <w:instrText xml:space="preserve"> PAGEREF _Toc27189 \h </w:instrText>
      </w:r>
      <w:r>
        <w:rPr>
          <w:color w:val="auto"/>
          <w:highlight w:val="none"/>
        </w:rPr>
        <w:fldChar w:fldCharType="separate"/>
      </w:r>
      <w:r>
        <w:rPr>
          <w:color w:val="auto"/>
          <w:highlight w:val="none"/>
        </w:rPr>
        <w:t>82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5E3397C">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_Toc3500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1</w:t>
      </w:r>
      <w:r>
        <w:rPr>
          <w:rFonts w:hint="eastAsia" w:asciiTheme="minorEastAsia" w:hAnsiTheme="minorEastAsia" w:eastAsiaTheme="minorEastAsia" w:cstheme="minorEastAsia"/>
          <w:bCs/>
          <w:color w:val="auto"/>
          <w:szCs w:val="24"/>
          <w:highlight w:val="none"/>
          <w:lang w:val="en-US" w:eastAsia="zh-CN"/>
        </w:rPr>
        <w:t xml:space="preserve"> </w:t>
      </w:r>
      <w:r>
        <w:rPr>
          <w:rFonts w:hint="eastAsia" w:asciiTheme="minorEastAsia" w:hAnsiTheme="minorEastAsia" w:eastAsiaTheme="minorEastAsia" w:cstheme="minorEastAsia"/>
          <w:bCs/>
          <w:color w:val="auto"/>
          <w:szCs w:val="24"/>
          <w:highlight w:val="none"/>
        </w:rPr>
        <w:t>投标保证</w:t>
      </w:r>
      <w:r>
        <w:rPr>
          <w:color w:val="auto"/>
          <w:highlight w:val="none"/>
        </w:rPr>
        <w:tab/>
      </w:r>
      <w:r>
        <w:rPr>
          <w:color w:val="auto"/>
          <w:highlight w:val="none"/>
        </w:rPr>
        <w:fldChar w:fldCharType="begin"/>
      </w:r>
      <w:r>
        <w:rPr>
          <w:color w:val="auto"/>
          <w:highlight w:val="none"/>
        </w:rPr>
        <w:instrText xml:space="preserve"> PAGEREF _Toc3500 \h </w:instrText>
      </w:r>
      <w:r>
        <w:rPr>
          <w:color w:val="auto"/>
          <w:highlight w:val="none"/>
        </w:rPr>
        <w:fldChar w:fldCharType="separate"/>
      </w:r>
      <w:r>
        <w:rPr>
          <w:color w:val="auto"/>
          <w:highlight w:val="none"/>
        </w:rPr>
        <w:t>82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EAE684C">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_Toc9860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2</w:t>
      </w:r>
      <w:r>
        <w:rPr>
          <w:rFonts w:hint="eastAsia" w:asciiTheme="minorEastAsia" w:hAnsiTheme="minorEastAsia" w:eastAsiaTheme="minorEastAsia" w:cstheme="minorEastAsia"/>
          <w:bCs/>
          <w:color w:val="auto"/>
          <w:szCs w:val="24"/>
          <w:highlight w:val="none"/>
          <w:lang w:val="en-US" w:eastAsia="zh-CN"/>
        </w:rPr>
        <w:t xml:space="preserve"> </w:t>
      </w:r>
      <w:r>
        <w:rPr>
          <w:rFonts w:hint="eastAsia" w:asciiTheme="minorEastAsia" w:hAnsiTheme="minorEastAsia" w:eastAsiaTheme="minorEastAsia" w:cstheme="minorEastAsia"/>
          <w:bCs/>
          <w:color w:val="auto"/>
          <w:szCs w:val="24"/>
          <w:highlight w:val="none"/>
        </w:rPr>
        <w:t>履约保证金</w:t>
      </w:r>
      <w:r>
        <w:rPr>
          <w:color w:val="auto"/>
          <w:highlight w:val="none"/>
        </w:rPr>
        <w:tab/>
      </w:r>
      <w:r>
        <w:rPr>
          <w:color w:val="auto"/>
          <w:highlight w:val="none"/>
        </w:rPr>
        <w:fldChar w:fldCharType="begin"/>
      </w:r>
      <w:r>
        <w:rPr>
          <w:color w:val="auto"/>
          <w:highlight w:val="none"/>
        </w:rPr>
        <w:instrText xml:space="preserve"> PAGEREF _Toc9860 \h </w:instrText>
      </w:r>
      <w:r>
        <w:rPr>
          <w:color w:val="auto"/>
          <w:highlight w:val="none"/>
        </w:rPr>
        <w:fldChar w:fldCharType="separate"/>
      </w:r>
      <w:r>
        <w:rPr>
          <w:color w:val="auto"/>
          <w:highlight w:val="none"/>
        </w:rPr>
        <w:t>83</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56BC859">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_Toc26355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3</w:t>
      </w:r>
      <w:r>
        <w:rPr>
          <w:rFonts w:hint="eastAsia" w:asciiTheme="minorEastAsia" w:hAnsiTheme="minorEastAsia" w:eastAsiaTheme="minorEastAsia" w:cstheme="minorEastAsia"/>
          <w:bCs/>
          <w:color w:val="auto"/>
          <w:szCs w:val="24"/>
          <w:highlight w:val="none"/>
          <w:lang w:val="en-US" w:eastAsia="zh-CN"/>
        </w:rPr>
        <w:t xml:space="preserve"> </w:t>
      </w:r>
      <w:r>
        <w:rPr>
          <w:rFonts w:hint="eastAsia" w:asciiTheme="minorEastAsia" w:hAnsiTheme="minorEastAsia" w:eastAsiaTheme="minorEastAsia" w:cstheme="minorEastAsia"/>
          <w:bCs/>
          <w:color w:val="auto"/>
          <w:szCs w:val="24"/>
          <w:highlight w:val="none"/>
        </w:rPr>
        <w:t>质量保证</w:t>
      </w:r>
      <w:r>
        <w:rPr>
          <w:color w:val="auto"/>
          <w:highlight w:val="none"/>
        </w:rPr>
        <w:tab/>
      </w:r>
      <w:r>
        <w:rPr>
          <w:color w:val="auto"/>
          <w:highlight w:val="none"/>
        </w:rPr>
        <w:fldChar w:fldCharType="begin"/>
      </w:r>
      <w:r>
        <w:rPr>
          <w:color w:val="auto"/>
          <w:highlight w:val="none"/>
        </w:rPr>
        <w:instrText xml:space="preserve"> PAGEREF _Toc26355 \h </w:instrText>
      </w:r>
      <w:r>
        <w:rPr>
          <w:color w:val="auto"/>
          <w:highlight w:val="none"/>
        </w:rPr>
        <w:fldChar w:fldCharType="separate"/>
      </w:r>
      <w:r>
        <w:rPr>
          <w:color w:val="auto"/>
          <w:highlight w:val="none"/>
        </w:rPr>
        <w:t>83</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5FDB539">
      <w:pPr>
        <w:pStyle w:val="23"/>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_Toc1713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第五章 招标工程的技术要求和前期文件</w:t>
      </w:r>
      <w:r>
        <w:rPr>
          <w:color w:val="auto"/>
          <w:highlight w:val="none"/>
        </w:rPr>
        <w:tab/>
      </w:r>
      <w:r>
        <w:rPr>
          <w:color w:val="auto"/>
          <w:highlight w:val="none"/>
        </w:rPr>
        <w:fldChar w:fldCharType="begin"/>
      </w:r>
      <w:r>
        <w:rPr>
          <w:color w:val="auto"/>
          <w:highlight w:val="none"/>
        </w:rPr>
        <w:instrText xml:space="preserve"> PAGEREF _Toc1713 \h </w:instrText>
      </w:r>
      <w:r>
        <w:rPr>
          <w:color w:val="auto"/>
          <w:highlight w:val="none"/>
        </w:rPr>
        <w:fldChar w:fldCharType="separate"/>
      </w:r>
      <w:r>
        <w:rPr>
          <w:color w:val="auto"/>
          <w:highlight w:val="none"/>
        </w:rPr>
        <w:t>85</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E826DAA">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_Toc16012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4"/>
          <w:highlight w:val="none"/>
        </w:rPr>
        <w:t xml:space="preserve">（一） </w:t>
      </w:r>
      <w:r>
        <w:rPr>
          <w:rFonts w:hint="eastAsia" w:asciiTheme="minorEastAsia" w:hAnsiTheme="minorEastAsia" w:eastAsiaTheme="minorEastAsia" w:cstheme="minorEastAsia"/>
          <w:bCs/>
          <w:color w:val="auto"/>
          <w:szCs w:val="24"/>
          <w:highlight w:val="none"/>
        </w:rPr>
        <w:t>工程的技术要求</w:t>
      </w:r>
      <w:r>
        <w:rPr>
          <w:color w:val="auto"/>
          <w:highlight w:val="none"/>
        </w:rPr>
        <w:tab/>
      </w:r>
      <w:r>
        <w:rPr>
          <w:color w:val="auto"/>
          <w:highlight w:val="none"/>
        </w:rPr>
        <w:fldChar w:fldCharType="begin"/>
      </w:r>
      <w:r>
        <w:rPr>
          <w:color w:val="auto"/>
          <w:highlight w:val="none"/>
        </w:rPr>
        <w:instrText xml:space="preserve"> PAGEREF _Toc16012 \h </w:instrText>
      </w:r>
      <w:r>
        <w:rPr>
          <w:color w:val="auto"/>
          <w:highlight w:val="none"/>
        </w:rPr>
        <w:fldChar w:fldCharType="separate"/>
      </w:r>
      <w:r>
        <w:rPr>
          <w:color w:val="auto"/>
          <w:highlight w:val="none"/>
        </w:rPr>
        <w:t>85</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B36D947">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_Toc25386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strike w:val="0"/>
          <w:snapToGrid/>
          <w:color w:val="auto"/>
          <w:kern w:val="0"/>
          <w:szCs w:val="22"/>
          <w:highlight w:val="none"/>
        </w:rPr>
        <w:t xml:space="preserve">（二） </w:t>
      </w:r>
      <w:r>
        <w:rPr>
          <w:rFonts w:asciiTheme="minorEastAsia" w:hAnsiTheme="minorEastAsia" w:eastAsiaTheme="minorEastAsia" w:cstheme="minorEastAsia"/>
          <w:bCs/>
          <w:snapToGrid/>
          <w:color w:val="auto"/>
          <w:kern w:val="0"/>
          <w:szCs w:val="22"/>
          <w:highlight w:val="none"/>
        </w:rPr>
        <w:t>备查要求</w:t>
      </w:r>
      <w:r>
        <w:rPr>
          <w:color w:val="auto"/>
          <w:highlight w:val="none"/>
        </w:rPr>
        <w:tab/>
      </w:r>
      <w:r>
        <w:rPr>
          <w:color w:val="auto"/>
          <w:highlight w:val="none"/>
        </w:rPr>
        <w:fldChar w:fldCharType="begin"/>
      </w:r>
      <w:r>
        <w:rPr>
          <w:color w:val="auto"/>
          <w:highlight w:val="none"/>
        </w:rPr>
        <w:instrText xml:space="preserve"> PAGEREF _Toc25386 \h </w:instrText>
      </w:r>
      <w:r>
        <w:rPr>
          <w:color w:val="auto"/>
          <w:highlight w:val="none"/>
        </w:rPr>
        <w:fldChar w:fldCharType="separate"/>
      </w:r>
      <w:r>
        <w:rPr>
          <w:color w:val="auto"/>
          <w:highlight w:val="none"/>
        </w:rPr>
        <w:t>87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18AF5BB">
      <w:pPr>
        <w:pStyle w:val="23"/>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_Toc7282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lang w:val="en-US" w:eastAsia="zh-CN"/>
        </w:rPr>
        <w:t xml:space="preserve">第六章  </w:t>
      </w:r>
      <w:r>
        <w:rPr>
          <w:rFonts w:hint="eastAsia" w:asciiTheme="minorEastAsia" w:hAnsiTheme="minorEastAsia" w:eastAsiaTheme="minorEastAsia" w:cstheme="minorEastAsia"/>
          <w:color w:val="auto"/>
          <w:kern w:val="44"/>
          <w:szCs w:val="36"/>
          <w:highlight w:val="none"/>
        </w:rPr>
        <w:t>招标文件的附件</w:t>
      </w:r>
      <w:r>
        <w:rPr>
          <w:color w:val="auto"/>
          <w:highlight w:val="none"/>
        </w:rPr>
        <w:tab/>
      </w:r>
      <w:r>
        <w:rPr>
          <w:color w:val="auto"/>
          <w:highlight w:val="none"/>
        </w:rPr>
        <w:fldChar w:fldCharType="begin"/>
      </w:r>
      <w:r>
        <w:rPr>
          <w:color w:val="auto"/>
          <w:highlight w:val="none"/>
        </w:rPr>
        <w:instrText xml:space="preserve"> PAGEREF _Toc7282 \h </w:instrText>
      </w:r>
      <w:r>
        <w:rPr>
          <w:color w:val="auto"/>
          <w:highlight w:val="none"/>
        </w:rPr>
        <w:fldChar w:fldCharType="separate"/>
      </w:r>
      <w:r>
        <w:rPr>
          <w:color w:val="auto"/>
          <w:highlight w:val="none"/>
        </w:rPr>
        <w:t>88</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EC33E3B">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_Toc6178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snapToGrid w:val="0"/>
          <w:color w:val="auto"/>
          <w:szCs w:val="24"/>
          <w:highlight w:val="none"/>
        </w:rPr>
        <w:t>格式一 封面</w:t>
      </w:r>
      <w:r>
        <w:rPr>
          <w:color w:val="auto"/>
          <w:highlight w:val="none"/>
        </w:rPr>
        <w:tab/>
      </w:r>
      <w:r>
        <w:rPr>
          <w:color w:val="auto"/>
          <w:highlight w:val="none"/>
        </w:rPr>
        <w:fldChar w:fldCharType="begin"/>
      </w:r>
      <w:r>
        <w:rPr>
          <w:color w:val="auto"/>
          <w:highlight w:val="none"/>
        </w:rPr>
        <w:instrText xml:space="preserve"> PAGEREF _Toc6178 \h </w:instrText>
      </w:r>
      <w:r>
        <w:rPr>
          <w:color w:val="auto"/>
          <w:highlight w:val="none"/>
        </w:rPr>
        <w:fldChar w:fldCharType="separate"/>
      </w:r>
      <w:r>
        <w:rPr>
          <w:color w:val="auto"/>
          <w:highlight w:val="none"/>
        </w:rPr>
        <w:t>88</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041E86A">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_Toc6057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格式二 《投标函》及《工程项目总价表》</w:t>
      </w:r>
      <w:r>
        <w:rPr>
          <w:color w:val="auto"/>
          <w:highlight w:val="none"/>
        </w:rPr>
        <w:tab/>
      </w:r>
      <w:r>
        <w:rPr>
          <w:color w:val="auto"/>
          <w:highlight w:val="none"/>
        </w:rPr>
        <w:fldChar w:fldCharType="begin"/>
      </w:r>
      <w:r>
        <w:rPr>
          <w:color w:val="auto"/>
          <w:highlight w:val="none"/>
        </w:rPr>
        <w:instrText xml:space="preserve"> PAGEREF _Toc6057 \h </w:instrText>
      </w:r>
      <w:r>
        <w:rPr>
          <w:color w:val="auto"/>
          <w:highlight w:val="none"/>
        </w:rPr>
        <w:fldChar w:fldCharType="separate"/>
      </w:r>
      <w:r>
        <w:rPr>
          <w:color w:val="auto"/>
          <w:highlight w:val="none"/>
        </w:rPr>
        <w:t>89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AB12DCC">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_Toc26662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4"/>
          <w:highlight w:val="none"/>
        </w:rPr>
        <w:t>格式三 各项</w:t>
      </w:r>
      <w:r>
        <w:rPr>
          <w:rFonts w:hint="eastAsia" w:asciiTheme="minorEastAsia" w:hAnsiTheme="minorEastAsia" w:eastAsiaTheme="minorEastAsia" w:cstheme="minorEastAsia"/>
          <w:bCs/>
          <w:color w:val="auto"/>
          <w:szCs w:val="24"/>
          <w:highlight w:val="none"/>
        </w:rPr>
        <w:t>承诺</w:t>
      </w:r>
      <w:r>
        <w:rPr>
          <w:rFonts w:hint="eastAsia" w:asciiTheme="minorEastAsia" w:hAnsiTheme="minorEastAsia" w:eastAsiaTheme="minorEastAsia" w:cstheme="minorEastAsia"/>
          <w:color w:val="auto"/>
          <w:szCs w:val="24"/>
          <w:highlight w:val="none"/>
        </w:rPr>
        <w:t>一览表</w:t>
      </w:r>
      <w:r>
        <w:rPr>
          <w:color w:val="auto"/>
          <w:highlight w:val="none"/>
        </w:rPr>
        <w:tab/>
      </w:r>
      <w:r>
        <w:rPr>
          <w:color w:val="auto"/>
          <w:highlight w:val="none"/>
        </w:rPr>
        <w:fldChar w:fldCharType="begin"/>
      </w:r>
      <w:r>
        <w:rPr>
          <w:color w:val="auto"/>
          <w:highlight w:val="none"/>
        </w:rPr>
        <w:instrText xml:space="preserve"> PAGEREF _Toc26662 \h </w:instrText>
      </w:r>
      <w:r>
        <w:rPr>
          <w:color w:val="auto"/>
          <w:highlight w:val="none"/>
        </w:rPr>
        <w:fldChar w:fldCharType="separate"/>
      </w:r>
      <w:r>
        <w:rPr>
          <w:color w:val="auto"/>
          <w:highlight w:val="none"/>
        </w:rPr>
        <w:t>91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F57CCD4">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_Toc21751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格式四 授权委托书</w:t>
      </w:r>
      <w:r>
        <w:rPr>
          <w:color w:val="auto"/>
          <w:highlight w:val="none"/>
        </w:rPr>
        <w:tab/>
      </w:r>
      <w:r>
        <w:rPr>
          <w:color w:val="auto"/>
          <w:highlight w:val="none"/>
        </w:rPr>
        <w:fldChar w:fldCharType="begin"/>
      </w:r>
      <w:r>
        <w:rPr>
          <w:color w:val="auto"/>
          <w:highlight w:val="none"/>
        </w:rPr>
        <w:instrText xml:space="preserve"> PAGEREF _Toc21751 \h </w:instrText>
      </w:r>
      <w:r>
        <w:rPr>
          <w:color w:val="auto"/>
          <w:highlight w:val="none"/>
        </w:rPr>
        <w:fldChar w:fldCharType="separate"/>
      </w:r>
      <w:r>
        <w:rPr>
          <w:color w:val="auto"/>
          <w:highlight w:val="none"/>
        </w:rPr>
        <w:t>96</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3F8BDED">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_Toc32573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格式五 法定代表人身份证明</w:t>
      </w:r>
      <w:r>
        <w:rPr>
          <w:color w:val="auto"/>
          <w:highlight w:val="none"/>
        </w:rPr>
        <w:tab/>
      </w:r>
      <w:r>
        <w:rPr>
          <w:color w:val="auto"/>
          <w:highlight w:val="none"/>
        </w:rPr>
        <w:fldChar w:fldCharType="begin"/>
      </w:r>
      <w:r>
        <w:rPr>
          <w:color w:val="auto"/>
          <w:highlight w:val="none"/>
        </w:rPr>
        <w:instrText xml:space="preserve"> PAGEREF _Toc32573 \h </w:instrText>
      </w:r>
      <w:r>
        <w:rPr>
          <w:color w:val="auto"/>
          <w:highlight w:val="none"/>
        </w:rPr>
        <w:fldChar w:fldCharType="separate"/>
      </w:r>
      <w:r>
        <w:rPr>
          <w:color w:val="auto"/>
          <w:highlight w:val="none"/>
        </w:rPr>
        <w:t>97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0985389">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_Toc18617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格式六 联合体协议书</w:t>
      </w:r>
      <w:r>
        <w:rPr>
          <w:color w:val="auto"/>
          <w:highlight w:val="none"/>
        </w:rPr>
        <w:tab/>
      </w:r>
      <w:r>
        <w:rPr>
          <w:color w:val="auto"/>
          <w:highlight w:val="none"/>
        </w:rPr>
        <w:fldChar w:fldCharType="begin"/>
      </w:r>
      <w:r>
        <w:rPr>
          <w:color w:val="auto"/>
          <w:highlight w:val="none"/>
        </w:rPr>
        <w:instrText xml:space="preserve"> PAGEREF _Toc18617 \h </w:instrText>
      </w:r>
      <w:r>
        <w:rPr>
          <w:color w:val="auto"/>
          <w:highlight w:val="none"/>
        </w:rPr>
        <w:fldChar w:fldCharType="separate"/>
      </w:r>
      <w:r>
        <w:rPr>
          <w:color w:val="auto"/>
          <w:highlight w:val="none"/>
        </w:rPr>
        <w:t>98</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BB27FEC">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_Toc13905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格式七 投标人基本情况表</w:t>
      </w:r>
      <w:r>
        <w:rPr>
          <w:color w:val="auto"/>
          <w:highlight w:val="none"/>
        </w:rPr>
        <w:tab/>
      </w:r>
      <w:r>
        <w:rPr>
          <w:color w:val="auto"/>
          <w:highlight w:val="none"/>
        </w:rPr>
        <w:fldChar w:fldCharType="begin"/>
      </w:r>
      <w:r>
        <w:rPr>
          <w:color w:val="auto"/>
          <w:highlight w:val="none"/>
        </w:rPr>
        <w:instrText xml:space="preserve"> PAGEREF _Toc13905 \h </w:instrText>
      </w:r>
      <w:r>
        <w:rPr>
          <w:color w:val="auto"/>
          <w:highlight w:val="none"/>
        </w:rPr>
        <w:fldChar w:fldCharType="separate"/>
      </w:r>
      <w:r>
        <w:rPr>
          <w:color w:val="auto"/>
          <w:highlight w:val="none"/>
        </w:rPr>
        <w:t>100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ADEB6A2">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_Toc26261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格式八 项目经理简历表</w:t>
      </w:r>
      <w:r>
        <w:rPr>
          <w:color w:val="auto"/>
          <w:highlight w:val="none"/>
        </w:rPr>
        <w:tab/>
      </w:r>
      <w:r>
        <w:rPr>
          <w:color w:val="auto"/>
          <w:highlight w:val="none"/>
        </w:rPr>
        <w:fldChar w:fldCharType="begin"/>
      </w:r>
      <w:r>
        <w:rPr>
          <w:color w:val="auto"/>
          <w:highlight w:val="none"/>
        </w:rPr>
        <w:instrText xml:space="preserve"> PAGEREF _Toc26261 \h </w:instrText>
      </w:r>
      <w:r>
        <w:rPr>
          <w:color w:val="auto"/>
          <w:highlight w:val="none"/>
        </w:rPr>
        <w:fldChar w:fldCharType="separate"/>
      </w:r>
      <w:r>
        <w:rPr>
          <w:color w:val="auto"/>
          <w:highlight w:val="none"/>
        </w:rPr>
        <w:t>102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A7CA6F3">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_Toc9492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格式九 项目经理任职声明</w:t>
      </w:r>
      <w:r>
        <w:rPr>
          <w:color w:val="auto"/>
          <w:highlight w:val="none"/>
        </w:rPr>
        <w:tab/>
      </w:r>
      <w:r>
        <w:rPr>
          <w:color w:val="auto"/>
          <w:highlight w:val="none"/>
        </w:rPr>
        <w:fldChar w:fldCharType="begin"/>
      </w:r>
      <w:r>
        <w:rPr>
          <w:color w:val="auto"/>
          <w:highlight w:val="none"/>
        </w:rPr>
        <w:instrText xml:space="preserve"> PAGEREF _Toc9492 \h </w:instrText>
      </w:r>
      <w:r>
        <w:rPr>
          <w:color w:val="auto"/>
          <w:highlight w:val="none"/>
        </w:rPr>
        <w:fldChar w:fldCharType="separate"/>
      </w:r>
      <w:r>
        <w:rPr>
          <w:color w:val="auto"/>
          <w:highlight w:val="none"/>
        </w:rPr>
        <w:t>103</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BAE1C5F">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_Toc3171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格式十 项目技术负责人简历表</w:t>
      </w:r>
      <w:r>
        <w:rPr>
          <w:color w:val="auto"/>
          <w:highlight w:val="none"/>
        </w:rPr>
        <w:tab/>
      </w:r>
      <w:r>
        <w:rPr>
          <w:color w:val="auto"/>
          <w:highlight w:val="none"/>
        </w:rPr>
        <w:fldChar w:fldCharType="begin"/>
      </w:r>
      <w:r>
        <w:rPr>
          <w:color w:val="auto"/>
          <w:highlight w:val="none"/>
        </w:rPr>
        <w:instrText xml:space="preserve"> PAGEREF _Toc3171 \h </w:instrText>
      </w:r>
      <w:r>
        <w:rPr>
          <w:color w:val="auto"/>
          <w:highlight w:val="none"/>
        </w:rPr>
        <w:fldChar w:fldCharType="separate"/>
      </w:r>
      <w:r>
        <w:rPr>
          <w:color w:val="auto"/>
          <w:highlight w:val="none"/>
        </w:rPr>
        <w:t>104</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D279C20">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_Toc31748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格式十一 项目设计负责人简历表</w:t>
      </w:r>
      <w:r>
        <w:rPr>
          <w:color w:val="auto"/>
          <w:highlight w:val="none"/>
        </w:rPr>
        <w:tab/>
      </w:r>
      <w:r>
        <w:rPr>
          <w:color w:val="auto"/>
          <w:highlight w:val="none"/>
        </w:rPr>
        <w:fldChar w:fldCharType="begin"/>
      </w:r>
      <w:r>
        <w:rPr>
          <w:color w:val="auto"/>
          <w:highlight w:val="none"/>
        </w:rPr>
        <w:instrText xml:space="preserve"> PAGEREF _Toc31748 \h </w:instrText>
      </w:r>
      <w:r>
        <w:rPr>
          <w:color w:val="auto"/>
          <w:highlight w:val="none"/>
        </w:rPr>
        <w:fldChar w:fldCharType="separate"/>
      </w:r>
      <w:r>
        <w:rPr>
          <w:color w:val="auto"/>
          <w:highlight w:val="none"/>
        </w:rPr>
        <w:t>105</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C79F05F">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_Toc21154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snapToGrid w:val="0"/>
          <w:color w:val="auto"/>
          <w:szCs w:val="24"/>
          <w:highlight w:val="none"/>
        </w:rPr>
        <w:t>格式十</w:t>
      </w:r>
      <w:r>
        <w:rPr>
          <w:rFonts w:hint="eastAsia" w:asciiTheme="minorEastAsia" w:hAnsiTheme="minorEastAsia" w:eastAsiaTheme="minorEastAsia" w:cstheme="minorEastAsia"/>
          <w:snapToGrid w:val="0"/>
          <w:color w:val="auto"/>
          <w:szCs w:val="24"/>
          <w:highlight w:val="none"/>
          <w:lang w:val="en-US" w:eastAsia="zh-CN"/>
        </w:rPr>
        <w:t>二</w:t>
      </w:r>
      <w:r>
        <w:rPr>
          <w:rFonts w:hint="eastAsia" w:asciiTheme="minorEastAsia" w:hAnsiTheme="minorEastAsia" w:eastAsiaTheme="minorEastAsia" w:cstheme="minorEastAsia"/>
          <w:snapToGrid w:val="0"/>
          <w:color w:val="auto"/>
          <w:szCs w:val="24"/>
          <w:highlight w:val="none"/>
        </w:rPr>
        <w:t xml:space="preserve"> 项目管理机构组成表</w:t>
      </w:r>
      <w:r>
        <w:rPr>
          <w:color w:val="auto"/>
          <w:highlight w:val="none"/>
        </w:rPr>
        <w:tab/>
      </w:r>
      <w:r>
        <w:rPr>
          <w:color w:val="auto"/>
          <w:highlight w:val="none"/>
        </w:rPr>
        <w:fldChar w:fldCharType="begin"/>
      </w:r>
      <w:r>
        <w:rPr>
          <w:color w:val="auto"/>
          <w:highlight w:val="none"/>
        </w:rPr>
        <w:instrText xml:space="preserve"> PAGEREF _Toc21154 \h </w:instrText>
      </w:r>
      <w:r>
        <w:rPr>
          <w:color w:val="auto"/>
          <w:highlight w:val="none"/>
        </w:rPr>
        <w:fldChar w:fldCharType="separate"/>
      </w:r>
      <w:r>
        <w:rPr>
          <w:color w:val="auto"/>
          <w:highlight w:val="none"/>
        </w:rPr>
        <w:t>106</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55AE9F4">
      <w:pPr>
        <w:pStyle w:val="2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_Toc23478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格式十</w:t>
      </w:r>
      <w:r>
        <w:rPr>
          <w:rFonts w:hint="eastAsia" w:asciiTheme="minorEastAsia" w:hAnsiTheme="minorEastAsia" w:eastAsiaTheme="minorEastAsia" w:cstheme="minorEastAsia"/>
          <w:bCs/>
          <w:color w:val="auto"/>
          <w:szCs w:val="24"/>
          <w:highlight w:val="none"/>
          <w:lang w:val="en-US" w:eastAsia="zh-CN"/>
        </w:rPr>
        <w:t>三</w:t>
      </w:r>
      <w:r>
        <w:rPr>
          <w:rFonts w:hint="eastAsia" w:asciiTheme="minorEastAsia" w:hAnsiTheme="minorEastAsia" w:eastAsiaTheme="minorEastAsia" w:cstheme="minorEastAsia"/>
          <w:bCs/>
          <w:color w:val="auto"/>
          <w:szCs w:val="24"/>
          <w:highlight w:val="none"/>
        </w:rPr>
        <w:t xml:space="preserve"> 原件一览表</w:t>
      </w:r>
      <w:r>
        <w:rPr>
          <w:color w:val="auto"/>
          <w:highlight w:val="none"/>
        </w:rPr>
        <w:tab/>
      </w:r>
      <w:r>
        <w:rPr>
          <w:color w:val="auto"/>
          <w:highlight w:val="none"/>
        </w:rPr>
        <w:fldChar w:fldCharType="begin"/>
      </w:r>
      <w:r>
        <w:rPr>
          <w:color w:val="auto"/>
          <w:highlight w:val="none"/>
        </w:rPr>
        <w:instrText xml:space="preserve"> PAGEREF _Toc23478 \h </w:instrText>
      </w:r>
      <w:r>
        <w:rPr>
          <w:color w:val="auto"/>
          <w:highlight w:val="none"/>
        </w:rPr>
        <w:fldChar w:fldCharType="separate"/>
      </w:r>
      <w:r>
        <w:rPr>
          <w:color w:val="auto"/>
          <w:highlight w:val="none"/>
        </w:rPr>
        <w:t>107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5B5E8D6">
      <w:pPr>
        <w:pStyle w:val="23"/>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_Toc24928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0"/>
          <w:highlight w:val="none"/>
        </w:rPr>
        <w:t>第</w:t>
      </w:r>
      <w:r>
        <w:rPr>
          <w:rFonts w:hint="eastAsia" w:asciiTheme="minorEastAsia" w:hAnsiTheme="minorEastAsia" w:eastAsiaTheme="minorEastAsia" w:cstheme="minorEastAsia"/>
          <w:color w:val="auto"/>
          <w:kern w:val="44"/>
          <w:szCs w:val="30"/>
          <w:highlight w:val="none"/>
          <w:lang w:val="en-US" w:eastAsia="zh-CN"/>
        </w:rPr>
        <w:t>七</w:t>
      </w:r>
      <w:r>
        <w:rPr>
          <w:rFonts w:hint="eastAsia" w:asciiTheme="minorEastAsia" w:hAnsiTheme="minorEastAsia" w:eastAsiaTheme="minorEastAsia" w:cstheme="minorEastAsia"/>
          <w:color w:val="auto"/>
          <w:kern w:val="44"/>
          <w:szCs w:val="30"/>
          <w:highlight w:val="none"/>
        </w:rPr>
        <w:t>章  廉政合同、履约保函</w:t>
      </w:r>
      <w:r>
        <w:rPr>
          <w:color w:val="auto"/>
          <w:highlight w:val="none"/>
        </w:rPr>
        <w:tab/>
      </w:r>
      <w:r>
        <w:rPr>
          <w:color w:val="auto"/>
          <w:highlight w:val="none"/>
        </w:rPr>
        <w:fldChar w:fldCharType="begin"/>
      </w:r>
      <w:r>
        <w:rPr>
          <w:color w:val="auto"/>
          <w:highlight w:val="none"/>
        </w:rPr>
        <w:instrText xml:space="preserve"> PAGEREF _Toc24928 \h </w:instrText>
      </w:r>
      <w:r>
        <w:rPr>
          <w:color w:val="auto"/>
          <w:highlight w:val="none"/>
        </w:rPr>
        <w:fldChar w:fldCharType="separate"/>
      </w:r>
      <w:r>
        <w:rPr>
          <w:color w:val="auto"/>
          <w:highlight w:val="none"/>
        </w:rPr>
        <w:t>111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423D7F0">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_Toc22176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32"/>
          <w:highlight w:val="none"/>
        </w:rPr>
        <w:t>廉政合同</w:t>
      </w:r>
      <w:r>
        <w:rPr>
          <w:color w:val="auto"/>
          <w:highlight w:val="none"/>
        </w:rPr>
        <w:tab/>
      </w:r>
      <w:r>
        <w:rPr>
          <w:color w:val="auto"/>
          <w:highlight w:val="none"/>
        </w:rPr>
        <w:fldChar w:fldCharType="begin"/>
      </w:r>
      <w:r>
        <w:rPr>
          <w:color w:val="auto"/>
          <w:highlight w:val="none"/>
        </w:rPr>
        <w:instrText xml:space="preserve"> PAGEREF _Toc22176 \h </w:instrText>
      </w:r>
      <w:r>
        <w:rPr>
          <w:color w:val="auto"/>
          <w:highlight w:val="none"/>
        </w:rPr>
        <w:fldChar w:fldCharType="separate"/>
      </w:r>
      <w:r>
        <w:rPr>
          <w:color w:val="auto"/>
          <w:highlight w:val="none"/>
        </w:rPr>
        <w:t>111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9B59F80">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_Toc26962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32"/>
          <w:highlight w:val="none"/>
        </w:rPr>
        <w:t>履约保函</w:t>
      </w:r>
      <w:r>
        <w:rPr>
          <w:color w:val="auto"/>
          <w:highlight w:val="none"/>
        </w:rPr>
        <w:tab/>
      </w:r>
      <w:r>
        <w:rPr>
          <w:color w:val="auto"/>
          <w:highlight w:val="none"/>
        </w:rPr>
        <w:fldChar w:fldCharType="begin"/>
      </w:r>
      <w:r>
        <w:rPr>
          <w:color w:val="auto"/>
          <w:highlight w:val="none"/>
        </w:rPr>
        <w:instrText xml:space="preserve"> PAGEREF _Toc26962 \h </w:instrText>
      </w:r>
      <w:r>
        <w:rPr>
          <w:color w:val="auto"/>
          <w:highlight w:val="none"/>
        </w:rPr>
        <w:fldChar w:fldCharType="separate"/>
      </w:r>
      <w:r>
        <w:rPr>
          <w:color w:val="auto"/>
          <w:highlight w:val="none"/>
        </w:rPr>
        <w:t>114</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1D89DE9">
      <w:pPr>
        <w:pStyle w:val="23"/>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_Toc21409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w:t>
      </w:r>
      <w:r>
        <w:rPr>
          <w:rFonts w:hint="eastAsia" w:asciiTheme="minorEastAsia" w:hAnsiTheme="minorEastAsia" w:eastAsiaTheme="minorEastAsia" w:cstheme="minorEastAsia"/>
          <w:color w:val="auto"/>
          <w:kern w:val="44"/>
          <w:szCs w:val="36"/>
          <w:highlight w:val="none"/>
          <w:lang w:val="en-US" w:eastAsia="zh-CN"/>
        </w:rPr>
        <w:t>八</w:t>
      </w:r>
      <w:r>
        <w:rPr>
          <w:rFonts w:hint="eastAsia" w:asciiTheme="minorEastAsia" w:hAnsiTheme="minorEastAsia" w:eastAsiaTheme="minorEastAsia" w:cstheme="minorEastAsia"/>
          <w:color w:val="auto"/>
          <w:kern w:val="44"/>
          <w:szCs w:val="36"/>
          <w:highlight w:val="none"/>
        </w:rPr>
        <w:t>章  建设工程合同</w:t>
      </w:r>
      <w:r>
        <w:rPr>
          <w:color w:val="auto"/>
          <w:highlight w:val="none"/>
        </w:rPr>
        <w:tab/>
      </w:r>
      <w:r>
        <w:rPr>
          <w:color w:val="auto"/>
          <w:highlight w:val="none"/>
        </w:rPr>
        <w:fldChar w:fldCharType="begin"/>
      </w:r>
      <w:r>
        <w:rPr>
          <w:color w:val="auto"/>
          <w:highlight w:val="none"/>
        </w:rPr>
        <w:instrText xml:space="preserve"> PAGEREF _Toc21409 \h </w:instrText>
      </w:r>
      <w:r>
        <w:rPr>
          <w:color w:val="auto"/>
          <w:highlight w:val="none"/>
        </w:rPr>
        <w:fldChar w:fldCharType="separate"/>
      </w:r>
      <w:r>
        <w:rPr>
          <w:color w:val="auto"/>
          <w:highlight w:val="none"/>
        </w:rPr>
        <w:t>116</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307B97C">
      <w:pPr>
        <w:pStyle w:val="47"/>
        <w:tabs>
          <w:tab w:val="left" w:pos="4935"/>
        </w:tabs>
        <w:spacing w:line="360" w:lineRule="auto"/>
        <w:jc w:val="center"/>
        <w:rPr>
          <w:rFonts w:hint="eastAsia" w:asciiTheme="minorEastAsia" w:hAnsiTheme="minorEastAsia" w:eastAsiaTheme="minorEastAsia" w:cstheme="minorEastAsia"/>
          <w:color w:val="auto"/>
          <w:szCs w:val="21"/>
          <w:highlight w:val="none"/>
        </w:rPr>
        <w:sectPr>
          <w:footerReference r:id="rId4" w:type="default"/>
          <w:endnotePr>
            <w:numFmt w:val="decimal"/>
          </w:endnotePr>
          <w:pgSz w:w="11905" w:h="16838"/>
          <w:pgMar w:top="1134" w:right="1134" w:bottom="1134" w:left="1134" w:header="850" w:footer="992" w:gutter="0"/>
          <w:pgNumType w:start="1"/>
          <w:cols w:space="0" w:num="1"/>
          <w:rtlGutter w:val="0"/>
          <w:docGrid w:linePitch="312" w:charSpace="0"/>
        </w:sectPr>
      </w:pPr>
      <w:r>
        <w:rPr>
          <w:rFonts w:hint="eastAsia" w:asciiTheme="minorEastAsia" w:hAnsiTheme="minorEastAsia" w:eastAsiaTheme="minorEastAsia" w:cstheme="minorEastAsia"/>
          <w:color w:val="auto"/>
          <w:szCs w:val="21"/>
          <w:highlight w:val="none"/>
        </w:rPr>
        <w:fldChar w:fldCharType="end"/>
      </w:r>
    </w:p>
    <w:p w14:paraId="0A0B2040">
      <w:pPr>
        <w:pStyle w:val="48"/>
        <w:keepNext/>
        <w:keepLines/>
        <w:spacing w:line="360" w:lineRule="auto"/>
        <w:jc w:val="center"/>
        <w:rPr>
          <w:rFonts w:hint="eastAsia" w:asciiTheme="minorEastAsia" w:hAnsiTheme="minorEastAsia" w:eastAsiaTheme="minorEastAsia" w:cstheme="minorEastAsia"/>
          <w:b/>
          <w:color w:val="auto"/>
          <w:kern w:val="44"/>
          <w:sz w:val="36"/>
          <w:szCs w:val="36"/>
          <w:highlight w:val="none"/>
        </w:rPr>
      </w:pPr>
      <w:bookmarkStart w:id="0" w:name="_Toc11491"/>
      <w:bookmarkStart w:id="1" w:name="_Hlt111690251"/>
      <w:r>
        <w:rPr>
          <w:rFonts w:hint="eastAsia" w:asciiTheme="minorEastAsia" w:hAnsiTheme="minorEastAsia" w:eastAsiaTheme="minorEastAsia" w:cstheme="minorEastAsia"/>
          <w:b/>
          <w:color w:val="auto"/>
          <w:kern w:val="44"/>
          <w:sz w:val="36"/>
          <w:szCs w:val="36"/>
          <w:highlight w:val="none"/>
        </w:rPr>
        <w:t>第一章投标须知</w:t>
      </w:r>
      <w:bookmarkEnd w:id="0"/>
    </w:p>
    <w:p w14:paraId="538A9106">
      <w:pPr>
        <w:pStyle w:val="49"/>
        <w:keepNext/>
        <w:keepLines/>
        <w:autoSpaceDE/>
        <w:autoSpaceDN/>
        <w:adjustRightInd/>
        <w:spacing w:before="260" w:after="260" w:line="360" w:lineRule="auto"/>
        <w:ind w:firstLine="482" w:firstLineChars="200"/>
        <w:jc w:val="center"/>
        <w:rPr>
          <w:rFonts w:hint="eastAsia" w:asciiTheme="minorEastAsia" w:hAnsiTheme="minorEastAsia" w:eastAsiaTheme="minorEastAsia" w:cstheme="minorEastAsia"/>
          <w:b/>
          <w:color w:val="auto"/>
          <w:kern w:val="2"/>
          <w:highlight w:val="none"/>
        </w:rPr>
      </w:pPr>
      <w:bookmarkStart w:id="2" w:name="_Hlt127175444"/>
      <w:bookmarkEnd w:id="2"/>
      <w:bookmarkStart w:id="3" w:name="_Toc16709"/>
      <w:bookmarkStart w:id="4" w:name="_Hlt120077520"/>
      <w:r>
        <w:rPr>
          <w:rFonts w:hint="eastAsia" w:asciiTheme="minorEastAsia" w:hAnsiTheme="minorEastAsia" w:eastAsiaTheme="minorEastAsia" w:cstheme="minorEastAsia"/>
          <w:b/>
          <w:color w:val="auto"/>
          <w:kern w:val="2"/>
          <w:highlight w:val="none"/>
        </w:rPr>
        <w:t>第一节</w:t>
      </w:r>
      <w:r>
        <w:rPr>
          <w:rFonts w:hint="eastAsia" w:asciiTheme="minorEastAsia" w:hAnsiTheme="minorEastAsia" w:eastAsiaTheme="minorEastAsia" w:cstheme="minorEastAsia"/>
          <w:b/>
          <w:color w:val="auto"/>
          <w:kern w:val="2"/>
          <w:highlight w:val="none"/>
          <w:lang w:val="en-US" w:eastAsia="zh-CN"/>
        </w:rPr>
        <w:t xml:space="preserve"> </w:t>
      </w:r>
      <w:r>
        <w:rPr>
          <w:rFonts w:hint="eastAsia" w:asciiTheme="minorEastAsia" w:hAnsiTheme="minorEastAsia" w:eastAsiaTheme="minorEastAsia" w:cstheme="minorEastAsia"/>
          <w:b/>
          <w:color w:val="auto"/>
          <w:kern w:val="2"/>
          <w:highlight w:val="none"/>
        </w:rPr>
        <w:t>投标须知前附表</w:t>
      </w:r>
      <w:bookmarkEnd w:id="3"/>
    </w:p>
    <w:tbl>
      <w:tblPr>
        <w:tblStyle w:val="31"/>
        <w:tblW w:w="100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809"/>
        <w:gridCol w:w="1708"/>
        <w:gridCol w:w="7541"/>
      </w:tblGrid>
      <w:tr w14:paraId="3DBD73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7"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780CDE9">
            <w:pPr>
              <w:pStyle w:val="47"/>
              <w:spacing w:line="360" w:lineRule="auto"/>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序号</w:t>
            </w:r>
          </w:p>
        </w:tc>
        <w:tc>
          <w:tcPr>
            <w:tcW w:w="1708" w:type="dxa"/>
            <w:tcBorders>
              <w:top w:val="single" w:color="auto" w:sz="4" w:space="0"/>
              <w:left w:val="single" w:color="auto" w:sz="4" w:space="0"/>
              <w:bottom w:val="single" w:color="auto" w:sz="4" w:space="0"/>
              <w:right w:val="single" w:color="auto" w:sz="4" w:space="0"/>
            </w:tcBorders>
            <w:noWrap/>
            <w:vAlign w:val="center"/>
          </w:tcPr>
          <w:p w14:paraId="49AE4A42">
            <w:pPr>
              <w:pStyle w:val="47"/>
              <w:spacing w:line="360" w:lineRule="auto"/>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内容</w:t>
            </w:r>
          </w:p>
        </w:tc>
        <w:tc>
          <w:tcPr>
            <w:tcW w:w="7541" w:type="dxa"/>
            <w:tcBorders>
              <w:top w:val="single" w:color="auto" w:sz="4" w:space="0"/>
              <w:left w:val="single" w:color="auto" w:sz="4" w:space="0"/>
              <w:bottom w:val="single" w:color="auto" w:sz="4" w:space="0"/>
              <w:right w:val="single" w:color="auto" w:sz="4" w:space="0"/>
            </w:tcBorders>
            <w:noWrap/>
            <w:vAlign w:val="center"/>
          </w:tcPr>
          <w:p w14:paraId="42F4043B">
            <w:pPr>
              <w:pStyle w:val="47"/>
              <w:tabs>
                <w:tab w:val="left" w:pos="1180"/>
              </w:tabs>
              <w:spacing w:line="360" w:lineRule="auto"/>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说明与要求</w:t>
            </w:r>
          </w:p>
        </w:tc>
      </w:tr>
      <w:tr w14:paraId="31F70F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7"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5202EDA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1708" w:type="dxa"/>
            <w:tcBorders>
              <w:top w:val="single" w:color="auto" w:sz="4" w:space="0"/>
              <w:left w:val="single" w:color="auto" w:sz="4" w:space="0"/>
              <w:bottom w:val="single" w:color="auto" w:sz="4" w:space="0"/>
              <w:right w:val="single" w:color="auto" w:sz="4" w:space="0"/>
            </w:tcBorders>
            <w:noWrap/>
            <w:vAlign w:val="center"/>
          </w:tcPr>
          <w:p w14:paraId="274784CB">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项目</w:t>
            </w:r>
            <w:r>
              <w:rPr>
                <w:rFonts w:hint="eastAsia" w:ascii="宋体" w:hAnsi="宋体" w:eastAsia="宋体" w:cs="宋体"/>
                <w:color w:val="auto"/>
                <w:highlight w:val="none"/>
              </w:rPr>
              <w:t>名称</w:t>
            </w:r>
          </w:p>
        </w:tc>
        <w:tc>
          <w:tcPr>
            <w:tcW w:w="7541" w:type="dxa"/>
            <w:tcBorders>
              <w:top w:val="single" w:color="auto" w:sz="4" w:space="0"/>
              <w:left w:val="single" w:color="auto" w:sz="4" w:space="0"/>
              <w:bottom w:val="single" w:color="auto" w:sz="4" w:space="0"/>
              <w:right w:val="single" w:color="auto" w:sz="4" w:space="0"/>
            </w:tcBorders>
            <w:noWrap/>
            <w:vAlign w:val="center"/>
          </w:tcPr>
          <w:p w14:paraId="555CDF75">
            <w:pPr>
              <w:bidi w:val="0"/>
              <w:spacing w:line="360" w:lineRule="auto"/>
              <w:rPr>
                <w:rFonts w:hint="eastAsia" w:ascii="宋体" w:hAnsi="宋体" w:eastAsia="宋体" w:cs="宋体"/>
                <w:color w:val="auto"/>
                <w:highlight w:val="none"/>
                <w:lang w:val="en-US" w:eastAsia="zh-CN"/>
              </w:rPr>
            </w:pPr>
            <w:r>
              <w:rPr>
                <w:rFonts w:hint="eastAsia" w:hAnsi="宋体" w:eastAsia="宋体" w:cs="宋体"/>
                <w:color w:val="auto"/>
                <w:highlight w:val="none"/>
                <w:lang w:val="en-US" w:eastAsia="zh-CN"/>
              </w:rPr>
              <w:t>南雄市“银杏染秋”乡村振兴示范带建设项目-油山镇典型村建设项目设计、施工总承包</w:t>
            </w:r>
          </w:p>
        </w:tc>
      </w:tr>
      <w:tr w14:paraId="667E27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1212849E">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1708" w:type="dxa"/>
            <w:tcBorders>
              <w:top w:val="single" w:color="auto" w:sz="4" w:space="0"/>
              <w:left w:val="single" w:color="auto" w:sz="4" w:space="0"/>
              <w:bottom w:val="single" w:color="auto" w:sz="4" w:space="0"/>
              <w:right w:val="single" w:color="auto" w:sz="4" w:space="0"/>
            </w:tcBorders>
            <w:noWrap/>
            <w:vAlign w:val="center"/>
          </w:tcPr>
          <w:p w14:paraId="2DC1AF30">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项目业主</w:t>
            </w:r>
          </w:p>
        </w:tc>
        <w:tc>
          <w:tcPr>
            <w:tcW w:w="7541" w:type="dxa"/>
            <w:tcBorders>
              <w:top w:val="single" w:color="auto" w:sz="4" w:space="0"/>
              <w:left w:val="single" w:color="auto" w:sz="4" w:space="0"/>
              <w:bottom w:val="single" w:color="auto" w:sz="4" w:space="0"/>
              <w:right w:val="single" w:color="auto" w:sz="4" w:space="0"/>
            </w:tcBorders>
            <w:noWrap/>
            <w:vAlign w:val="center"/>
          </w:tcPr>
          <w:p w14:paraId="28071C5D">
            <w:pPr>
              <w:bidi w:val="0"/>
              <w:spacing w:line="360" w:lineRule="auto"/>
              <w:rPr>
                <w:rFonts w:hint="eastAsia" w:ascii="宋体" w:hAnsi="宋体" w:eastAsia="宋体" w:cs="宋体"/>
                <w:color w:val="auto"/>
                <w:highlight w:val="none"/>
                <w:lang w:val="en-US" w:eastAsia="zh-CN"/>
              </w:rPr>
            </w:pPr>
            <w:r>
              <w:rPr>
                <w:rFonts w:hint="eastAsia" w:hAnsi="宋体" w:eastAsia="宋体" w:cs="宋体"/>
                <w:color w:val="auto"/>
                <w:highlight w:val="none"/>
                <w:lang w:val="en-US" w:eastAsia="zh-CN"/>
              </w:rPr>
              <w:t>南雄市乡村振兴服务中心</w:t>
            </w:r>
          </w:p>
        </w:tc>
      </w:tr>
      <w:tr w14:paraId="1B5E56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4CE3855">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1708" w:type="dxa"/>
            <w:tcBorders>
              <w:top w:val="single" w:color="auto" w:sz="4" w:space="0"/>
              <w:left w:val="single" w:color="auto" w:sz="4" w:space="0"/>
              <w:bottom w:val="single" w:color="auto" w:sz="4" w:space="0"/>
              <w:right w:val="single" w:color="auto" w:sz="4" w:space="0"/>
            </w:tcBorders>
            <w:noWrap/>
            <w:vAlign w:val="center"/>
          </w:tcPr>
          <w:p w14:paraId="7DF55BAA">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项目批准部门</w:t>
            </w:r>
          </w:p>
        </w:tc>
        <w:tc>
          <w:tcPr>
            <w:tcW w:w="7541" w:type="dxa"/>
            <w:tcBorders>
              <w:top w:val="single" w:color="auto" w:sz="4" w:space="0"/>
              <w:left w:val="single" w:color="auto" w:sz="4" w:space="0"/>
              <w:bottom w:val="single" w:color="auto" w:sz="4" w:space="0"/>
              <w:right w:val="single" w:color="auto" w:sz="4" w:space="0"/>
            </w:tcBorders>
            <w:noWrap/>
            <w:vAlign w:val="center"/>
          </w:tcPr>
          <w:p w14:paraId="5F2090D9">
            <w:pPr>
              <w:bidi w:val="0"/>
              <w:spacing w:line="360" w:lineRule="auto"/>
              <w:rPr>
                <w:rFonts w:hint="default" w:ascii="宋体" w:hAnsi="宋体" w:eastAsia="宋体" w:cs="宋体"/>
                <w:color w:val="auto"/>
                <w:highlight w:val="none"/>
                <w:lang w:val="en-US" w:eastAsia="zh-CN"/>
              </w:rPr>
            </w:pPr>
            <w:r>
              <w:rPr>
                <w:rFonts w:hint="eastAsia" w:hAnsi="宋体" w:eastAsia="宋体" w:cs="宋体"/>
                <w:color w:val="auto"/>
                <w:highlight w:val="none"/>
                <w:lang w:val="en-US" w:eastAsia="zh-CN"/>
              </w:rPr>
              <w:t>南雄市发展和改革局</w:t>
            </w:r>
          </w:p>
        </w:tc>
      </w:tr>
      <w:tr w14:paraId="031EF7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24D266A">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4</w:t>
            </w:r>
          </w:p>
        </w:tc>
        <w:tc>
          <w:tcPr>
            <w:tcW w:w="1708" w:type="dxa"/>
            <w:tcBorders>
              <w:top w:val="single" w:color="auto" w:sz="4" w:space="0"/>
              <w:left w:val="single" w:color="auto" w:sz="4" w:space="0"/>
              <w:bottom w:val="single" w:color="auto" w:sz="4" w:space="0"/>
              <w:right w:val="single" w:color="auto" w:sz="4" w:space="0"/>
            </w:tcBorders>
            <w:noWrap/>
            <w:vAlign w:val="center"/>
          </w:tcPr>
          <w:p w14:paraId="6C46B387">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项目批准文号</w:t>
            </w:r>
          </w:p>
        </w:tc>
        <w:tc>
          <w:tcPr>
            <w:tcW w:w="7541" w:type="dxa"/>
            <w:tcBorders>
              <w:top w:val="single" w:color="auto" w:sz="4" w:space="0"/>
              <w:left w:val="single" w:color="auto" w:sz="4" w:space="0"/>
              <w:bottom w:val="single" w:color="auto" w:sz="4" w:space="0"/>
              <w:right w:val="single" w:color="auto" w:sz="4" w:space="0"/>
            </w:tcBorders>
            <w:noWrap/>
            <w:vAlign w:val="center"/>
          </w:tcPr>
          <w:p w14:paraId="16174243">
            <w:pPr>
              <w:bidi w:val="0"/>
              <w:spacing w:line="360" w:lineRule="auto"/>
              <w:rPr>
                <w:rFonts w:hint="default" w:ascii="宋体" w:hAnsi="宋体" w:eastAsia="宋体" w:cs="宋体"/>
                <w:color w:val="auto"/>
                <w:highlight w:val="none"/>
                <w:lang w:val="en-US" w:eastAsia="zh-CN"/>
              </w:rPr>
            </w:pPr>
            <w:r>
              <w:rPr>
                <w:rFonts w:hint="eastAsia" w:hAnsi="宋体" w:eastAsia="宋体" w:cs="宋体"/>
                <w:color w:val="auto"/>
                <w:highlight w:val="none"/>
                <w:lang w:val="en-US" w:eastAsia="zh-CN"/>
              </w:rPr>
              <w:t>雄发改投审[2024]106号、雄发改投审[2026]95号、雄发改投审[2026]116号</w:t>
            </w:r>
          </w:p>
        </w:tc>
      </w:tr>
      <w:tr w14:paraId="6DB8AD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389E08B8">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1708" w:type="dxa"/>
            <w:tcBorders>
              <w:top w:val="single" w:color="auto" w:sz="4" w:space="0"/>
              <w:left w:val="single" w:color="auto" w:sz="4" w:space="0"/>
              <w:bottom w:val="single" w:color="auto" w:sz="4" w:space="0"/>
              <w:right w:val="single" w:color="auto" w:sz="4" w:space="0"/>
            </w:tcBorders>
            <w:noWrap/>
            <w:vAlign w:val="center"/>
          </w:tcPr>
          <w:p w14:paraId="09AE85F7">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项目代码</w:t>
            </w:r>
          </w:p>
        </w:tc>
        <w:tc>
          <w:tcPr>
            <w:tcW w:w="7541" w:type="dxa"/>
            <w:tcBorders>
              <w:top w:val="single" w:color="auto" w:sz="4" w:space="0"/>
              <w:left w:val="single" w:color="auto" w:sz="4" w:space="0"/>
              <w:bottom w:val="single" w:color="auto" w:sz="4" w:space="0"/>
              <w:right w:val="single" w:color="auto" w:sz="4" w:space="0"/>
            </w:tcBorders>
            <w:noWrap/>
            <w:vAlign w:val="center"/>
          </w:tcPr>
          <w:p w14:paraId="7732AE4D">
            <w:pPr>
              <w:bidi w:val="0"/>
              <w:spacing w:line="360" w:lineRule="auto"/>
              <w:rPr>
                <w:rFonts w:hint="eastAsia" w:ascii="宋体" w:hAnsi="宋体" w:eastAsia="宋体" w:cs="宋体"/>
                <w:color w:val="auto"/>
                <w:highlight w:val="none"/>
                <w:lang w:val="en-US" w:eastAsia="zh-CN"/>
              </w:rPr>
            </w:pPr>
            <w:r>
              <w:rPr>
                <w:rFonts w:hint="eastAsia" w:hAnsi="宋体" w:eastAsia="宋体" w:cs="宋体"/>
                <w:color w:val="auto"/>
                <w:highlight w:val="none"/>
                <w:lang w:val="en-US" w:eastAsia="zh-CN"/>
              </w:rPr>
              <w:t>2407-440282-20-01-288869</w:t>
            </w:r>
          </w:p>
        </w:tc>
      </w:tr>
      <w:tr w14:paraId="7CB769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78"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2C6D0B3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6</w:t>
            </w:r>
          </w:p>
        </w:tc>
        <w:tc>
          <w:tcPr>
            <w:tcW w:w="1708" w:type="dxa"/>
            <w:tcBorders>
              <w:top w:val="single" w:color="auto" w:sz="4" w:space="0"/>
              <w:left w:val="single" w:color="auto" w:sz="4" w:space="0"/>
              <w:bottom w:val="single" w:color="auto" w:sz="4" w:space="0"/>
              <w:right w:val="single" w:color="auto" w:sz="4" w:space="0"/>
            </w:tcBorders>
            <w:noWrap/>
            <w:vAlign w:val="center"/>
          </w:tcPr>
          <w:p w14:paraId="3DD3F795">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资金来源</w:t>
            </w:r>
          </w:p>
          <w:p w14:paraId="7533B92D">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及出资比例</w:t>
            </w:r>
          </w:p>
        </w:tc>
        <w:tc>
          <w:tcPr>
            <w:tcW w:w="7541" w:type="dxa"/>
            <w:tcBorders>
              <w:top w:val="single" w:color="auto" w:sz="4" w:space="0"/>
              <w:left w:val="single" w:color="auto" w:sz="4" w:space="0"/>
              <w:bottom w:val="single" w:color="auto" w:sz="4" w:space="0"/>
              <w:right w:val="single" w:color="auto" w:sz="4" w:space="0"/>
            </w:tcBorders>
            <w:noWrap/>
            <w:vAlign w:val="center"/>
          </w:tcPr>
          <w:p w14:paraId="75701D46">
            <w:pPr>
              <w:bidi w:val="0"/>
              <w:spacing w:line="360" w:lineRule="auto"/>
              <w:rPr>
                <w:rFonts w:hint="default" w:ascii="宋体" w:hAnsi="宋体" w:eastAsia="宋体" w:cs="宋体"/>
                <w:color w:val="auto"/>
                <w:highlight w:val="none"/>
                <w:lang w:val="en-US" w:eastAsia="zh-CN"/>
              </w:rPr>
            </w:pPr>
            <w:r>
              <w:rPr>
                <w:rFonts w:hint="eastAsia" w:hAnsi="宋体" w:eastAsia="宋体" w:cs="宋体"/>
                <w:color w:val="auto"/>
                <w:highlight w:val="none"/>
                <w:lang w:val="en-US" w:eastAsia="zh-CN"/>
              </w:rPr>
              <w:t>上级财政资金；100%。</w:t>
            </w:r>
          </w:p>
        </w:tc>
      </w:tr>
      <w:tr w14:paraId="2FE462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3C1051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7</w:t>
            </w:r>
          </w:p>
        </w:tc>
        <w:tc>
          <w:tcPr>
            <w:tcW w:w="1708" w:type="dxa"/>
            <w:tcBorders>
              <w:top w:val="single" w:color="auto" w:sz="4" w:space="0"/>
              <w:left w:val="single" w:color="auto" w:sz="4" w:space="0"/>
              <w:bottom w:val="single" w:color="auto" w:sz="4" w:space="0"/>
              <w:right w:val="single" w:color="auto" w:sz="4" w:space="0"/>
            </w:tcBorders>
            <w:noWrap/>
            <w:vAlign w:val="center"/>
          </w:tcPr>
          <w:p w14:paraId="30F2C763">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招标人</w:t>
            </w:r>
          </w:p>
        </w:tc>
        <w:tc>
          <w:tcPr>
            <w:tcW w:w="7541" w:type="dxa"/>
            <w:tcBorders>
              <w:top w:val="single" w:color="auto" w:sz="4" w:space="0"/>
              <w:left w:val="single" w:color="auto" w:sz="4" w:space="0"/>
              <w:bottom w:val="single" w:color="auto" w:sz="4" w:space="0"/>
              <w:right w:val="single" w:color="auto" w:sz="4" w:space="0"/>
            </w:tcBorders>
            <w:noWrap/>
            <w:vAlign w:val="center"/>
          </w:tcPr>
          <w:p w14:paraId="7D027C52">
            <w:pPr>
              <w:bidi w:val="0"/>
              <w:spacing w:line="360" w:lineRule="auto"/>
              <w:rPr>
                <w:rFonts w:hint="eastAsia" w:ascii="宋体" w:hAnsi="宋体" w:eastAsia="宋体" w:cs="宋体"/>
                <w:color w:val="auto"/>
                <w:highlight w:val="none"/>
                <w:lang w:val="en-US" w:eastAsia="zh-CN"/>
              </w:rPr>
            </w:pPr>
            <w:r>
              <w:rPr>
                <w:rFonts w:hint="eastAsia" w:hAnsi="宋体" w:eastAsia="宋体" w:cs="宋体"/>
                <w:color w:val="auto"/>
                <w:highlight w:val="none"/>
                <w:lang w:val="en-US" w:eastAsia="zh-CN"/>
              </w:rPr>
              <w:t>南雄市油山镇人民政府</w:t>
            </w:r>
          </w:p>
        </w:tc>
      </w:tr>
      <w:tr w14:paraId="341DB3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0EF99DD">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8</w:t>
            </w:r>
          </w:p>
        </w:tc>
        <w:tc>
          <w:tcPr>
            <w:tcW w:w="1708" w:type="dxa"/>
            <w:tcBorders>
              <w:top w:val="single" w:color="auto" w:sz="4" w:space="0"/>
              <w:left w:val="single" w:color="auto" w:sz="4" w:space="0"/>
              <w:bottom w:val="single" w:color="auto" w:sz="4" w:space="0"/>
              <w:right w:val="single" w:color="auto" w:sz="4" w:space="0"/>
            </w:tcBorders>
            <w:noWrap/>
            <w:vAlign w:val="center"/>
          </w:tcPr>
          <w:p w14:paraId="63B486E7">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招标代理机构</w:t>
            </w:r>
          </w:p>
        </w:tc>
        <w:tc>
          <w:tcPr>
            <w:tcW w:w="7541" w:type="dxa"/>
            <w:tcBorders>
              <w:top w:val="single" w:color="auto" w:sz="4" w:space="0"/>
              <w:left w:val="single" w:color="auto" w:sz="4" w:space="0"/>
              <w:bottom w:val="single" w:color="auto" w:sz="4" w:space="0"/>
              <w:right w:val="single" w:color="auto" w:sz="4" w:space="0"/>
            </w:tcBorders>
            <w:noWrap/>
            <w:vAlign w:val="center"/>
          </w:tcPr>
          <w:p w14:paraId="16F133CA">
            <w:pPr>
              <w:bidi w:val="0"/>
              <w:spacing w:line="360" w:lineRule="auto"/>
              <w:rPr>
                <w:rFonts w:hint="eastAsia" w:ascii="宋体" w:hAnsi="宋体" w:eastAsia="宋体" w:cs="宋体"/>
                <w:color w:val="auto"/>
                <w:highlight w:val="none"/>
                <w:lang w:val="en-US" w:eastAsia="zh-CN"/>
              </w:rPr>
            </w:pPr>
            <w:r>
              <w:rPr>
                <w:rFonts w:hint="eastAsia" w:hAnsi="宋体" w:eastAsia="宋体" w:cs="宋体"/>
                <w:color w:val="auto"/>
                <w:highlight w:val="none"/>
                <w:lang w:val="en-US" w:eastAsia="zh-CN"/>
              </w:rPr>
              <w:t>广东象龙国际项目管理有限公司</w:t>
            </w:r>
          </w:p>
        </w:tc>
      </w:tr>
      <w:tr w14:paraId="2BF5AC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7341781E">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9</w:t>
            </w:r>
          </w:p>
        </w:tc>
        <w:tc>
          <w:tcPr>
            <w:tcW w:w="1708" w:type="dxa"/>
            <w:tcBorders>
              <w:top w:val="single" w:color="auto" w:sz="4" w:space="0"/>
              <w:left w:val="single" w:color="auto" w:sz="4" w:space="0"/>
              <w:bottom w:val="single" w:color="auto" w:sz="4" w:space="0"/>
              <w:right w:val="single" w:color="auto" w:sz="4" w:space="0"/>
            </w:tcBorders>
            <w:noWrap/>
            <w:vAlign w:val="center"/>
          </w:tcPr>
          <w:p w14:paraId="3F8C2B8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项目总投资</w:t>
            </w:r>
          </w:p>
        </w:tc>
        <w:tc>
          <w:tcPr>
            <w:tcW w:w="7541" w:type="dxa"/>
            <w:tcBorders>
              <w:top w:val="single" w:color="auto" w:sz="4" w:space="0"/>
              <w:left w:val="single" w:color="auto" w:sz="4" w:space="0"/>
              <w:bottom w:val="single" w:color="auto" w:sz="4" w:space="0"/>
              <w:right w:val="single" w:color="auto" w:sz="4" w:space="0"/>
            </w:tcBorders>
            <w:noWrap/>
            <w:vAlign w:val="center"/>
          </w:tcPr>
          <w:p w14:paraId="1F31922D">
            <w:pPr>
              <w:bidi w:val="0"/>
              <w:spacing w:line="360" w:lineRule="auto"/>
              <w:rPr>
                <w:rFonts w:hint="default" w:ascii="宋体" w:hAnsi="宋体" w:eastAsia="宋体" w:cs="宋体"/>
                <w:color w:val="auto"/>
                <w:highlight w:val="none"/>
                <w:lang w:val="en-US" w:eastAsia="zh-CN"/>
              </w:rPr>
            </w:pPr>
            <w:r>
              <w:rPr>
                <w:rFonts w:hint="eastAsia" w:hAnsi="宋体" w:eastAsia="宋体" w:cs="宋体"/>
                <w:color w:val="auto"/>
                <w:highlight w:val="none"/>
                <w:lang w:val="en-US" w:eastAsia="zh-CN"/>
              </w:rPr>
              <w:t>本项目投资概算为485.91万元，其中建安费用424.49万元，工程建设其他费用40.19万元，预备费21.23万元。</w:t>
            </w:r>
          </w:p>
        </w:tc>
      </w:tr>
      <w:tr w14:paraId="35CAAE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1FF009B5">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10</w:t>
            </w:r>
          </w:p>
        </w:tc>
        <w:tc>
          <w:tcPr>
            <w:tcW w:w="1708" w:type="dxa"/>
            <w:tcBorders>
              <w:top w:val="single" w:color="auto" w:sz="4" w:space="0"/>
              <w:left w:val="single" w:color="auto" w:sz="4" w:space="0"/>
              <w:bottom w:val="single" w:color="auto" w:sz="4" w:space="0"/>
              <w:right w:val="single" w:color="auto" w:sz="4" w:space="0"/>
            </w:tcBorders>
            <w:noWrap/>
            <w:vAlign w:val="center"/>
          </w:tcPr>
          <w:p w14:paraId="2DA831A3">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建设地点</w:t>
            </w:r>
          </w:p>
        </w:tc>
        <w:tc>
          <w:tcPr>
            <w:tcW w:w="7541" w:type="dxa"/>
            <w:tcBorders>
              <w:top w:val="single" w:color="auto" w:sz="4" w:space="0"/>
              <w:left w:val="single" w:color="auto" w:sz="4" w:space="0"/>
              <w:bottom w:val="single" w:color="auto" w:sz="4" w:space="0"/>
              <w:right w:val="single" w:color="auto" w:sz="4" w:space="0"/>
            </w:tcBorders>
            <w:noWrap/>
            <w:vAlign w:val="center"/>
          </w:tcPr>
          <w:p w14:paraId="48010CA5">
            <w:pPr>
              <w:bidi w:val="0"/>
              <w:spacing w:line="360" w:lineRule="auto"/>
              <w:rPr>
                <w:rFonts w:hint="eastAsia" w:ascii="宋体" w:hAnsi="宋体" w:eastAsia="宋体" w:cs="宋体"/>
                <w:color w:val="auto"/>
                <w:highlight w:val="none"/>
                <w:lang w:val="en-US" w:eastAsia="zh-CN"/>
              </w:rPr>
            </w:pPr>
            <w:r>
              <w:rPr>
                <w:rFonts w:hint="eastAsia" w:hAnsi="宋体" w:eastAsia="宋体" w:cs="宋体"/>
                <w:i w:val="0"/>
                <w:iCs w:val="0"/>
                <w:caps w:val="0"/>
                <w:color w:val="auto"/>
                <w:spacing w:val="0"/>
                <w:sz w:val="24"/>
                <w:szCs w:val="20"/>
                <w:highlight w:val="none"/>
                <w:shd w:val="clear" w:fill="auto"/>
                <w:lang w:eastAsia="zh-CN"/>
              </w:rPr>
              <w:t>南雄市油山镇</w:t>
            </w:r>
          </w:p>
        </w:tc>
      </w:tr>
      <w:tr w14:paraId="359E8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27"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7DF3B266">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11</w:t>
            </w:r>
          </w:p>
        </w:tc>
        <w:tc>
          <w:tcPr>
            <w:tcW w:w="1708" w:type="dxa"/>
            <w:tcBorders>
              <w:top w:val="single" w:color="auto" w:sz="4" w:space="0"/>
              <w:left w:val="single" w:color="auto" w:sz="4" w:space="0"/>
              <w:bottom w:val="single" w:color="auto" w:sz="4" w:space="0"/>
              <w:right w:val="single" w:color="auto" w:sz="4" w:space="0"/>
            </w:tcBorders>
            <w:noWrap/>
            <w:vAlign w:val="center"/>
          </w:tcPr>
          <w:p w14:paraId="62F59E6B">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项目建设内容</w:t>
            </w:r>
          </w:p>
          <w:p w14:paraId="428D692E">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和规模</w:t>
            </w:r>
          </w:p>
        </w:tc>
        <w:tc>
          <w:tcPr>
            <w:tcW w:w="7541" w:type="dxa"/>
            <w:tcBorders>
              <w:top w:val="single" w:color="auto" w:sz="4" w:space="0"/>
              <w:left w:val="single" w:color="auto" w:sz="4" w:space="0"/>
              <w:bottom w:val="single" w:color="auto" w:sz="4" w:space="0"/>
              <w:right w:val="single" w:color="auto" w:sz="4" w:space="0"/>
            </w:tcBorders>
            <w:noWrap/>
            <w:vAlign w:val="center"/>
          </w:tcPr>
          <w:p w14:paraId="4B12E2A2">
            <w:pPr>
              <w:bidi w:val="0"/>
              <w:spacing w:line="360" w:lineRule="auto"/>
              <w:rPr>
                <w:rFonts w:hint="eastAsia" w:ascii="宋体" w:hAnsi="宋体" w:eastAsia="宋体" w:cs="宋体"/>
                <w:color w:val="auto"/>
                <w:highlight w:val="none"/>
                <w:lang w:val="en-US" w:eastAsia="zh-CN"/>
              </w:rPr>
            </w:pPr>
            <w:r>
              <w:rPr>
                <w:rFonts w:hint="eastAsia" w:hAnsi="宋体" w:eastAsia="宋体" w:cs="宋体"/>
                <w:i w:val="0"/>
                <w:iCs w:val="0"/>
                <w:caps w:val="0"/>
                <w:color w:val="auto"/>
                <w:spacing w:val="0"/>
                <w:sz w:val="24"/>
                <w:szCs w:val="20"/>
                <w:highlight w:val="none"/>
                <w:shd w:val="clear" w:fill="auto"/>
                <w:lang w:eastAsia="zh-CN"/>
              </w:rPr>
              <w:t>实施农房风貌提升改造约5000平方米，路面硬化约9500平方米，道路黑体化约500平方米，建设休闲场所约1000平方米，修建挡墙约3000立方米，修建水沟、暗沟、涵管约670米，建设“四小园”约375米，修建挡土墙、围墙约150米，建设防护栏杆约450米，改建文体广场2个，新建停车场2个，整治池塘3个，进行绿化等。</w:t>
            </w:r>
          </w:p>
        </w:tc>
      </w:tr>
      <w:tr w14:paraId="604893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34"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5A77891D">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12</w:t>
            </w:r>
          </w:p>
        </w:tc>
        <w:tc>
          <w:tcPr>
            <w:tcW w:w="1708" w:type="dxa"/>
            <w:tcBorders>
              <w:top w:val="single" w:color="auto" w:sz="4" w:space="0"/>
              <w:left w:val="single" w:color="auto" w:sz="4" w:space="0"/>
              <w:bottom w:val="single" w:color="auto" w:sz="4" w:space="0"/>
              <w:right w:val="single" w:color="auto" w:sz="4" w:space="0"/>
            </w:tcBorders>
            <w:noWrap/>
            <w:vAlign w:val="center"/>
          </w:tcPr>
          <w:p w14:paraId="28FE0162">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招标范围</w:t>
            </w:r>
          </w:p>
        </w:tc>
        <w:tc>
          <w:tcPr>
            <w:tcW w:w="7541" w:type="dxa"/>
            <w:tcBorders>
              <w:top w:val="single" w:color="auto" w:sz="4" w:space="0"/>
              <w:left w:val="single" w:color="auto" w:sz="4" w:space="0"/>
              <w:bottom w:val="single" w:color="auto" w:sz="4" w:space="0"/>
              <w:right w:val="single" w:color="auto" w:sz="4" w:space="0"/>
            </w:tcBorders>
            <w:noWrap/>
            <w:vAlign w:val="center"/>
          </w:tcPr>
          <w:p w14:paraId="73B9AD67">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本工程所涉及的内容包括但不限于以下（1）～（</w:t>
            </w:r>
            <w:r>
              <w:rPr>
                <w:rFonts w:hint="eastAsia" w:hAnsi="宋体" w:eastAsia="宋体" w:cs="宋体"/>
                <w:color w:val="auto"/>
                <w:highlight w:val="none"/>
                <w:lang w:val="en-US" w:eastAsia="zh-CN"/>
              </w:rPr>
              <w:t>2</w:t>
            </w:r>
            <w:r>
              <w:rPr>
                <w:rFonts w:hint="eastAsia" w:ascii="宋体" w:hAnsi="宋体" w:eastAsia="宋体" w:cs="宋体"/>
                <w:color w:val="auto"/>
                <w:highlight w:val="none"/>
                <w:lang w:val="en-US" w:eastAsia="zh-CN"/>
              </w:rPr>
              <w:t>）：</w:t>
            </w:r>
          </w:p>
          <w:p w14:paraId="056307B2">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（1）设计部分：</w:t>
            </w:r>
            <w:r>
              <w:rPr>
                <w:rFonts w:hint="eastAsia" w:ascii="宋体" w:hAnsi="宋体" w:eastAsia="宋体" w:cs="宋体"/>
                <w:color w:val="auto"/>
                <w:highlight w:val="none"/>
                <w:lang w:val="zh-CN" w:eastAsia="zh-CN"/>
              </w:rPr>
              <w:t>确保项目顺利实施的报建、报批、施工等所需的所有建安工程等设计文件。包括但不限于：施工图设计</w:t>
            </w:r>
            <w:r>
              <w:rPr>
                <w:rFonts w:hint="eastAsia" w:ascii="宋体" w:hAnsi="宋体" w:eastAsia="宋体" w:cs="宋体"/>
                <w:color w:val="auto"/>
                <w:highlight w:val="none"/>
                <w:lang w:val="en-US" w:eastAsia="zh-CN"/>
              </w:rPr>
              <w:t>、提供项目所需相关检测项的明细表和危险性较大的分部分项工程清单及保障安全相关说明、</w:t>
            </w:r>
            <w:r>
              <w:rPr>
                <w:rFonts w:hint="eastAsia" w:ascii="宋体" w:hAnsi="宋体" w:eastAsia="宋体" w:cs="宋体"/>
                <w:color w:val="auto"/>
                <w:highlight w:val="none"/>
                <w:lang w:val="zh-CN" w:eastAsia="zh-CN"/>
              </w:rPr>
              <w:t>工地现场服务、验收过程中的设计指导及配合阶段验收及档案整理、协助施工单位编制竣工图及后续设计服务工作</w:t>
            </w:r>
            <w:r>
              <w:rPr>
                <w:rFonts w:hint="eastAsia" w:ascii="宋体" w:hAnsi="宋体" w:eastAsia="宋体" w:cs="宋体"/>
                <w:color w:val="auto"/>
                <w:highlight w:val="none"/>
                <w:lang w:val="en-US" w:eastAsia="zh-CN"/>
              </w:rPr>
              <w:t>。</w:t>
            </w:r>
          </w:p>
          <w:p w14:paraId="207314B3">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设计文件深度要求必须满足住房和城乡建设部《市政公用工程设计文件编制深度规定（2025版）》和《建筑工程设计文件编制深度规定（2016版）》的要求，各专业还应该满足各专业工程设计文件编制深度规范或规定的要求。</w:t>
            </w:r>
          </w:p>
          <w:p w14:paraId="4D5FC0A0">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w:t>
            </w:r>
            <w:r>
              <w:rPr>
                <w:rFonts w:hint="eastAsia" w:hAnsi="宋体" w:eastAsia="宋体" w:cs="宋体"/>
                <w:color w:val="auto"/>
                <w:highlight w:val="none"/>
                <w:lang w:val="en-US" w:eastAsia="zh-CN"/>
              </w:rPr>
              <w:t>2</w:t>
            </w:r>
            <w:r>
              <w:rPr>
                <w:rFonts w:hint="eastAsia" w:ascii="宋体" w:hAnsi="宋体" w:eastAsia="宋体" w:cs="宋体"/>
                <w:color w:val="auto"/>
                <w:highlight w:val="none"/>
                <w:lang w:val="en-US" w:eastAsia="zh-CN"/>
              </w:rPr>
              <w:t>）施工部分：设计文件及工程量清单范围内的所有工程及配套工程、设施等的施工</w:t>
            </w:r>
            <w:r>
              <w:rPr>
                <w:rFonts w:hint="eastAsia" w:ascii="宋体" w:hAnsi="宋体" w:eastAsia="宋体" w:cs="宋体"/>
                <w:color w:val="auto"/>
                <w:highlight w:val="none"/>
                <w:lang w:val="zh-CN" w:eastAsia="zh-CN"/>
              </w:rPr>
              <w:t>（含竣工验收资料编制整理、备案等），完成并配合发包人结算、负责工程缺陷保修以及发包人要求由施工单位完成的其他工作（发包人另行委托其他单位负责实施的工作内容除外，但需提供一系列协调及配合服务）等</w:t>
            </w:r>
            <w:r>
              <w:rPr>
                <w:rFonts w:hint="eastAsia" w:ascii="宋体" w:hAnsi="宋体" w:eastAsia="宋体" w:cs="宋体"/>
                <w:color w:val="auto"/>
                <w:highlight w:val="none"/>
                <w:lang w:val="en-US" w:eastAsia="zh-CN"/>
              </w:rPr>
              <w:t>。</w:t>
            </w:r>
          </w:p>
        </w:tc>
      </w:tr>
      <w:tr w14:paraId="4CDE6A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4BA5D47">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13</w:t>
            </w:r>
          </w:p>
        </w:tc>
        <w:tc>
          <w:tcPr>
            <w:tcW w:w="1708" w:type="dxa"/>
            <w:tcBorders>
              <w:top w:val="single" w:color="auto" w:sz="4" w:space="0"/>
              <w:left w:val="single" w:color="auto" w:sz="4" w:space="0"/>
              <w:bottom w:val="single" w:color="auto" w:sz="4" w:space="0"/>
              <w:right w:val="single" w:color="auto" w:sz="4" w:space="0"/>
            </w:tcBorders>
            <w:noWrap/>
            <w:vAlign w:val="center"/>
          </w:tcPr>
          <w:p w14:paraId="0B2F559C">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标段划分</w:t>
            </w:r>
          </w:p>
        </w:tc>
        <w:tc>
          <w:tcPr>
            <w:tcW w:w="7541" w:type="dxa"/>
            <w:tcBorders>
              <w:top w:val="single" w:color="auto" w:sz="4" w:space="0"/>
              <w:left w:val="single" w:color="auto" w:sz="4" w:space="0"/>
              <w:bottom w:val="single" w:color="auto" w:sz="4" w:space="0"/>
              <w:right w:val="single" w:color="auto" w:sz="4" w:space="0"/>
            </w:tcBorders>
            <w:noWrap/>
            <w:vAlign w:val="center"/>
          </w:tcPr>
          <w:p w14:paraId="17667584">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本招标项目不划分标段。</w:t>
            </w:r>
          </w:p>
        </w:tc>
      </w:tr>
      <w:tr w14:paraId="52644D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7"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71DC62B">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14</w:t>
            </w:r>
          </w:p>
        </w:tc>
        <w:tc>
          <w:tcPr>
            <w:tcW w:w="1708" w:type="dxa"/>
            <w:tcBorders>
              <w:top w:val="single" w:color="auto" w:sz="4" w:space="0"/>
              <w:left w:val="single" w:color="auto" w:sz="4" w:space="0"/>
              <w:bottom w:val="single" w:color="auto" w:sz="4" w:space="0"/>
              <w:right w:val="single" w:color="auto" w:sz="4" w:space="0"/>
            </w:tcBorders>
            <w:noWrap/>
            <w:vAlign w:val="center"/>
          </w:tcPr>
          <w:p w14:paraId="215D715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工期</w:t>
            </w:r>
          </w:p>
        </w:tc>
        <w:tc>
          <w:tcPr>
            <w:tcW w:w="7541" w:type="dxa"/>
            <w:tcBorders>
              <w:top w:val="single" w:color="auto" w:sz="4" w:space="0"/>
              <w:left w:val="single" w:color="auto" w:sz="4" w:space="0"/>
              <w:bottom w:val="single" w:color="auto" w:sz="4" w:space="0"/>
              <w:right w:val="single" w:color="auto" w:sz="4" w:space="0"/>
            </w:tcBorders>
            <w:noWrap/>
            <w:vAlign w:val="center"/>
          </w:tcPr>
          <w:p w14:paraId="24DE7874">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本项目设计、</w:t>
            </w:r>
            <w:r>
              <w:rPr>
                <w:rFonts w:hint="eastAsia" w:hAnsi="宋体" w:eastAsia="宋体" w:cs="宋体"/>
                <w:color w:val="auto"/>
                <w:highlight w:val="none"/>
                <w:lang w:val="en-US" w:eastAsia="zh-CN"/>
              </w:rPr>
              <w:t>施工总工期210日历天</w:t>
            </w:r>
            <w:r>
              <w:rPr>
                <w:rFonts w:hint="eastAsia" w:ascii="宋体" w:hAnsi="宋体" w:eastAsia="宋体" w:cs="宋体"/>
                <w:color w:val="auto"/>
                <w:highlight w:val="none"/>
              </w:rPr>
              <w:t>，其中：设计工期为</w:t>
            </w:r>
            <w:r>
              <w:rPr>
                <w:rFonts w:hint="eastAsia" w:hAnsi="宋体" w:eastAsia="宋体" w:cs="宋体"/>
                <w:color w:val="auto"/>
                <w:highlight w:val="none"/>
                <w:lang w:val="en-US" w:eastAsia="zh-CN"/>
              </w:rPr>
              <w:t>30</w:t>
            </w:r>
            <w:r>
              <w:rPr>
                <w:rFonts w:hint="eastAsia" w:ascii="宋体" w:hAnsi="宋体" w:eastAsia="宋体" w:cs="宋体"/>
                <w:color w:val="auto"/>
                <w:highlight w:val="none"/>
              </w:rPr>
              <w:t>日历天</w:t>
            </w:r>
            <w:r>
              <w:rPr>
                <w:rFonts w:hint="eastAsia" w:ascii="宋体" w:hAnsi="宋体" w:eastAsia="宋体" w:cs="宋体"/>
                <w:color w:val="auto"/>
                <w:highlight w:val="none"/>
                <w:lang w:eastAsia="zh-CN"/>
              </w:rPr>
              <w:t>、</w:t>
            </w:r>
            <w:r>
              <w:rPr>
                <w:rFonts w:hint="eastAsia" w:hAnsi="宋体" w:eastAsia="宋体" w:cs="宋体"/>
                <w:color w:val="auto"/>
                <w:highlight w:val="none"/>
                <w:lang w:eastAsia="zh-CN"/>
              </w:rPr>
              <w:t>施工工期为 180日历天</w:t>
            </w:r>
            <w:r>
              <w:rPr>
                <w:rFonts w:hint="eastAsia" w:ascii="宋体" w:hAnsi="宋体" w:eastAsia="宋体" w:cs="宋体"/>
                <w:color w:val="auto"/>
                <w:highlight w:val="none"/>
              </w:rPr>
              <w:t>。</w:t>
            </w:r>
          </w:p>
        </w:tc>
      </w:tr>
      <w:tr w14:paraId="0A2981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561"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4E5E7E4">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15</w:t>
            </w:r>
          </w:p>
        </w:tc>
        <w:tc>
          <w:tcPr>
            <w:tcW w:w="1708" w:type="dxa"/>
            <w:tcBorders>
              <w:top w:val="single" w:color="auto" w:sz="4" w:space="0"/>
              <w:left w:val="single" w:color="auto" w:sz="4" w:space="0"/>
              <w:bottom w:val="single" w:color="auto" w:sz="4" w:space="0"/>
              <w:right w:val="single" w:color="auto" w:sz="4" w:space="0"/>
            </w:tcBorders>
            <w:noWrap/>
            <w:vAlign w:val="center"/>
          </w:tcPr>
          <w:p w14:paraId="31AA2064">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质量标准</w:t>
            </w:r>
          </w:p>
        </w:tc>
        <w:tc>
          <w:tcPr>
            <w:tcW w:w="7541" w:type="dxa"/>
            <w:tcBorders>
              <w:top w:val="single" w:color="auto" w:sz="4" w:space="0"/>
              <w:left w:val="single" w:color="auto" w:sz="4" w:space="0"/>
              <w:bottom w:val="single" w:color="auto" w:sz="4" w:space="0"/>
              <w:right w:val="single" w:color="auto" w:sz="4" w:space="0"/>
            </w:tcBorders>
            <w:noWrap/>
            <w:vAlign w:val="center"/>
          </w:tcPr>
          <w:p w14:paraId="01F861A0">
            <w:pPr>
              <w:numPr>
                <w:ilvl w:val="0"/>
                <w:numId w:val="0"/>
              </w:numPr>
              <w:bidi w:val="0"/>
              <w:spacing w:line="360" w:lineRule="auto"/>
              <w:rPr>
                <w:rFonts w:hint="eastAsia" w:ascii="宋体" w:hAnsi="宋体" w:eastAsia="宋体" w:cs="宋体"/>
                <w:color w:val="auto"/>
                <w:highlight w:val="none"/>
              </w:rPr>
            </w:pPr>
            <w:r>
              <w:rPr>
                <w:rFonts w:hint="eastAsia" w:ascii="宋体" w:hAnsi="宋体" w:eastAsia="宋体" w:cs="宋体"/>
                <w:color w:val="auto"/>
                <w:kern w:val="2"/>
                <w:sz w:val="24"/>
                <w:highlight w:val="none"/>
                <w:lang w:val="en-US" w:eastAsia="zh-CN" w:bidi="ar-SA"/>
              </w:rPr>
              <w:t>（1）</w:t>
            </w:r>
            <w:r>
              <w:rPr>
                <w:rFonts w:hint="eastAsia" w:ascii="宋体" w:hAnsi="宋体" w:eastAsia="宋体" w:cs="宋体"/>
                <w:color w:val="auto"/>
                <w:highlight w:val="none"/>
              </w:rPr>
              <w:t>设计：遵照现行国家及行业设计规范，成果通过主管部门及审图机构审查合格。</w:t>
            </w:r>
          </w:p>
          <w:p w14:paraId="1154AF97">
            <w:pPr>
              <w:numPr>
                <w:ilvl w:val="0"/>
                <w:numId w:val="0"/>
              </w:num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hAnsi="宋体" w:eastAsia="宋体" w:cs="宋体"/>
                <w:color w:val="auto"/>
                <w:highlight w:val="none"/>
                <w:lang w:val="en-US" w:eastAsia="zh-CN"/>
              </w:rPr>
              <w:t>2</w:t>
            </w:r>
            <w:r>
              <w:rPr>
                <w:rFonts w:hint="eastAsia" w:ascii="宋体" w:hAnsi="宋体" w:eastAsia="宋体" w:cs="宋体"/>
                <w:color w:val="auto"/>
                <w:highlight w:val="none"/>
              </w:rPr>
              <w:t>）施工：</w:t>
            </w:r>
            <w:r>
              <w:rPr>
                <w:rFonts w:hint="eastAsia" w:ascii="宋体" w:hAnsi="宋体" w:eastAsia="宋体" w:cs="宋体"/>
                <w:color w:val="auto"/>
                <w:highlight w:val="none"/>
                <w:lang w:val="zh-CN"/>
              </w:rPr>
              <w:t>施工质量必须达到国家验收合格标准。</w:t>
            </w:r>
          </w:p>
        </w:tc>
      </w:tr>
      <w:tr w14:paraId="3BDB02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79F774C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16</w:t>
            </w:r>
          </w:p>
        </w:tc>
        <w:tc>
          <w:tcPr>
            <w:tcW w:w="1708" w:type="dxa"/>
            <w:tcBorders>
              <w:top w:val="single" w:color="auto" w:sz="4" w:space="0"/>
              <w:left w:val="single" w:color="auto" w:sz="4" w:space="0"/>
              <w:bottom w:val="single" w:color="auto" w:sz="4" w:space="0"/>
              <w:right w:val="single" w:color="auto" w:sz="4" w:space="0"/>
            </w:tcBorders>
            <w:noWrap/>
            <w:vAlign w:val="center"/>
          </w:tcPr>
          <w:p w14:paraId="6A56A3F8">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工程最高投标限价</w:t>
            </w:r>
          </w:p>
        </w:tc>
        <w:tc>
          <w:tcPr>
            <w:tcW w:w="7541" w:type="dxa"/>
            <w:tcBorders>
              <w:top w:val="single" w:color="auto" w:sz="4" w:space="0"/>
              <w:left w:val="single" w:color="auto" w:sz="4" w:space="0"/>
              <w:bottom w:val="single" w:color="auto" w:sz="4" w:space="0"/>
              <w:right w:val="single" w:color="auto" w:sz="4" w:space="0"/>
            </w:tcBorders>
            <w:noWrap/>
            <w:vAlign w:val="center"/>
          </w:tcPr>
          <w:p w14:paraId="1C376F8D">
            <w:pPr>
              <w:bidi w:val="0"/>
              <w:spacing w:line="360" w:lineRule="auto"/>
              <w:rPr>
                <w:rFonts w:hint="eastAsia" w:ascii="宋体" w:hAnsi="宋体" w:eastAsia="宋体" w:cs="宋体"/>
                <w:color w:val="auto"/>
                <w:highlight w:val="none"/>
              </w:rPr>
            </w:pPr>
            <w:r>
              <w:rPr>
                <w:rFonts w:hint="eastAsia" w:ascii="宋体" w:hAnsi="宋体" w:eastAsia="宋体" w:cs="宋体"/>
                <w:snapToGrid w:val="0"/>
                <w:color w:val="auto"/>
                <w:kern w:val="0"/>
                <w:sz w:val="24"/>
                <w:szCs w:val="24"/>
                <w:highlight w:val="none"/>
              </w:rPr>
              <w:t>本招标项目最高投标限价为人民币：</w:t>
            </w:r>
            <w:r>
              <w:rPr>
                <w:rFonts w:hint="eastAsia" w:hAnsi="宋体" w:eastAsia="宋体" w:cs="宋体"/>
                <w:snapToGrid w:val="0"/>
                <w:color w:val="auto"/>
                <w:kern w:val="0"/>
                <w:sz w:val="24"/>
                <w:szCs w:val="24"/>
                <w:highlight w:val="none"/>
                <w:u w:val="single"/>
                <w:lang w:val="en-US" w:eastAsia="zh-CN"/>
              </w:rPr>
              <w:t>肆佰叁拾叁万伍仟玖佰捌拾壹元玖角玖分</w:t>
            </w:r>
            <w:r>
              <w:rPr>
                <w:rFonts w:hint="eastAsia" w:ascii="宋体" w:hAnsi="宋体" w:eastAsia="宋体" w:cs="宋体"/>
                <w:snapToGrid w:val="0"/>
                <w:color w:val="auto"/>
                <w:kern w:val="0"/>
                <w:sz w:val="24"/>
                <w:szCs w:val="24"/>
                <w:highlight w:val="none"/>
                <w:u w:val="single"/>
              </w:rPr>
              <w:t>（¥</w:t>
            </w:r>
            <w:r>
              <w:rPr>
                <w:rFonts w:hint="eastAsia" w:hAnsi="宋体" w:eastAsia="宋体" w:cs="宋体"/>
                <w:snapToGrid w:val="0"/>
                <w:color w:val="auto"/>
                <w:kern w:val="0"/>
                <w:sz w:val="24"/>
                <w:szCs w:val="24"/>
                <w:highlight w:val="none"/>
                <w:u w:val="single"/>
                <w:lang w:eastAsia="zh-CN"/>
              </w:rPr>
              <w:t>4335981.99</w:t>
            </w:r>
            <w:r>
              <w:rPr>
                <w:rFonts w:hint="eastAsia" w:ascii="宋体" w:hAnsi="宋体" w:eastAsia="宋体" w:cs="宋体"/>
                <w:snapToGrid w:val="0"/>
                <w:color w:val="auto"/>
                <w:kern w:val="0"/>
                <w:sz w:val="24"/>
                <w:szCs w:val="24"/>
                <w:highlight w:val="none"/>
                <w:u w:val="single"/>
              </w:rPr>
              <w:t>元），其中设计费约</w:t>
            </w:r>
            <w:r>
              <w:rPr>
                <w:rFonts w:hint="eastAsia" w:hAnsi="宋体" w:eastAsia="宋体" w:cs="宋体"/>
                <w:snapToGrid w:val="0"/>
                <w:color w:val="auto"/>
                <w:kern w:val="0"/>
                <w:sz w:val="24"/>
                <w:szCs w:val="24"/>
                <w:highlight w:val="none"/>
                <w:u w:val="single"/>
                <w:lang w:val="en-US" w:eastAsia="zh-CN"/>
              </w:rPr>
              <w:t>91000.00</w:t>
            </w:r>
            <w:r>
              <w:rPr>
                <w:rFonts w:hint="eastAsia" w:ascii="宋体" w:hAnsi="宋体" w:eastAsia="宋体" w:cs="宋体"/>
                <w:snapToGrid w:val="0"/>
                <w:color w:val="auto"/>
                <w:kern w:val="0"/>
                <w:sz w:val="24"/>
                <w:szCs w:val="24"/>
                <w:highlight w:val="none"/>
                <w:u w:val="single"/>
              </w:rPr>
              <w:t>元</w:t>
            </w:r>
            <w:r>
              <w:rPr>
                <w:rFonts w:hint="eastAsia" w:ascii="宋体" w:hAnsi="宋体" w:eastAsia="宋体" w:cs="宋体"/>
                <w:snapToGrid w:val="0"/>
                <w:color w:val="auto"/>
                <w:kern w:val="0"/>
                <w:sz w:val="24"/>
                <w:szCs w:val="24"/>
                <w:highlight w:val="none"/>
                <w:u w:val="single"/>
                <w:lang w:eastAsia="zh-CN"/>
              </w:rPr>
              <w:t>、</w:t>
            </w:r>
            <w:r>
              <w:rPr>
                <w:rFonts w:hint="eastAsia" w:ascii="宋体" w:hAnsi="宋体" w:eastAsia="宋体" w:cs="宋体"/>
                <w:snapToGrid w:val="0"/>
                <w:color w:val="auto"/>
                <w:kern w:val="0"/>
                <w:sz w:val="24"/>
                <w:szCs w:val="24"/>
                <w:highlight w:val="none"/>
                <w:u w:val="single"/>
              </w:rPr>
              <w:t>建安工程费</w:t>
            </w:r>
            <w:r>
              <w:rPr>
                <w:rFonts w:hint="eastAsia" w:hAnsi="宋体" w:eastAsia="宋体" w:cs="宋体"/>
                <w:snapToGrid w:val="0"/>
                <w:color w:val="auto"/>
                <w:kern w:val="0"/>
                <w:sz w:val="24"/>
                <w:szCs w:val="24"/>
                <w:highlight w:val="none"/>
                <w:u w:val="single"/>
                <w:lang w:val="en-US" w:eastAsia="zh-CN"/>
              </w:rPr>
              <w:t>4244981.99</w:t>
            </w:r>
            <w:r>
              <w:rPr>
                <w:rFonts w:hint="eastAsia" w:ascii="宋体" w:hAnsi="宋体" w:eastAsia="宋体" w:cs="宋体"/>
                <w:snapToGrid w:val="0"/>
                <w:color w:val="auto"/>
                <w:kern w:val="0"/>
                <w:sz w:val="24"/>
                <w:szCs w:val="24"/>
                <w:highlight w:val="none"/>
                <w:u w:val="single"/>
              </w:rPr>
              <w:t>元。</w:t>
            </w:r>
          </w:p>
        </w:tc>
      </w:tr>
      <w:tr w14:paraId="5516B5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778"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17FE1282">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17</w:t>
            </w:r>
          </w:p>
        </w:tc>
        <w:tc>
          <w:tcPr>
            <w:tcW w:w="1708" w:type="dxa"/>
            <w:tcBorders>
              <w:top w:val="single" w:color="auto" w:sz="4" w:space="0"/>
              <w:left w:val="single" w:color="auto" w:sz="4" w:space="0"/>
              <w:bottom w:val="single" w:color="auto" w:sz="4" w:space="0"/>
              <w:right w:val="single" w:color="auto" w:sz="4" w:space="0"/>
            </w:tcBorders>
            <w:noWrap/>
            <w:vAlign w:val="center"/>
          </w:tcPr>
          <w:p w14:paraId="2E41CA2A">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投标人资格要求</w:t>
            </w:r>
          </w:p>
        </w:tc>
        <w:tc>
          <w:tcPr>
            <w:tcW w:w="7541" w:type="dxa"/>
            <w:tcBorders>
              <w:top w:val="single" w:color="auto" w:sz="4" w:space="0"/>
              <w:left w:val="single" w:color="auto" w:sz="4" w:space="0"/>
              <w:bottom w:val="single" w:color="auto" w:sz="4" w:space="0"/>
              <w:right w:val="single" w:color="auto" w:sz="4" w:space="0"/>
            </w:tcBorders>
            <w:noWrap/>
            <w:vAlign w:val="center"/>
          </w:tcPr>
          <w:p w14:paraId="63A8BB4C">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1.本次招标接受联合体投标，联合体以一个投标人的身份共同投标。</w:t>
            </w:r>
          </w:p>
          <w:p w14:paraId="7435E1A9">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1.1联合体成员数量不超过</w:t>
            </w:r>
            <w:r>
              <w:rPr>
                <w:rFonts w:hint="eastAsia" w:hAnsi="宋体" w:eastAsia="宋体" w:cs="宋体"/>
                <w:color w:val="auto"/>
                <w:highlight w:val="none"/>
                <w:lang w:val="en-US" w:eastAsia="zh-CN"/>
              </w:rPr>
              <w:t>2</w:t>
            </w:r>
            <w:r>
              <w:rPr>
                <w:rFonts w:hint="eastAsia" w:ascii="宋体" w:hAnsi="宋体" w:eastAsia="宋体" w:cs="宋体"/>
                <w:color w:val="auto"/>
                <w:highlight w:val="none"/>
              </w:rPr>
              <w:t>个。</w:t>
            </w:r>
          </w:p>
          <w:p w14:paraId="7CE42ECF">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1.2联合体各方应按招标文件提供的格式签订联合体协议书，明确联合体牵头人和各方权利义务，并承诺就中标项目向招标人承担连带责任。《联合体协议书》作为投标文件的组成部分向招标人提交。</w:t>
            </w:r>
          </w:p>
          <w:p w14:paraId="3062D435">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1.3联合体成员单位均应具备拟承担的工作内容（以《联合体协议书》的约定为准）所规定的资格条件。若同一工作内容由两个或两个以上单位共同承担，该项工作内容按照资质等级较低的单位确定联合体资质等级。  </w:t>
            </w:r>
          </w:p>
          <w:p w14:paraId="7A44A215">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 1.4联合体各方不得再以自己名义单独或参加其他联合体在本招标项目中投标，否则各相关投标均无效。</w:t>
            </w:r>
          </w:p>
          <w:p w14:paraId="23D091A3">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2.资质要求</w:t>
            </w:r>
          </w:p>
          <w:p w14:paraId="4302CE41">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2.1 投标人须具备独立法人资格，按国家法律经营。</w:t>
            </w:r>
          </w:p>
          <w:p w14:paraId="31535FA3">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2.2 投标人须持有建设行政主管部门颁发的企业资质证书。</w:t>
            </w:r>
          </w:p>
          <w:p w14:paraId="3B32A986">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2.3 参加投标的投标人可以是单一独立法人或由不超过</w:t>
            </w:r>
            <w:r>
              <w:rPr>
                <w:rFonts w:hint="eastAsia" w:hAnsi="宋体" w:eastAsia="宋体" w:cs="宋体"/>
                <w:color w:val="auto"/>
                <w:highlight w:val="none"/>
                <w:lang w:val="en-US" w:eastAsia="zh-CN"/>
              </w:rPr>
              <w:t>2</w:t>
            </w:r>
            <w:r>
              <w:rPr>
                <w:rFonts w:hint="eastAsia" w:ascii="宋体" w:hAnsi="宋体" w:eastAsia="宋体" w:cs="宋体"/>
                <w:color w:val="auto"/>
                <w:highlight w:val="none"/>
              </w:rPr>
              <w:t>家独立法人组成的联合体【必须注明其中一家为牵头人，牵头人必须为施工单位】，联合体各方不得再以自己的名义单独</w:t>
            </w:r>
            <w:r>
              <w:rPr>
                <w:rFonts w:hint="eastAsia" w:hAnsi="宋体" w:eastAsia="宋体" w:cs="宋体"/>
                <w:color w:val="auto"/>
                <w:highlight w:val="none"/>
                <w:lang w:val="en-US" w:eastAsia="zh-CN"/>
              </w:rPr>
              <w:t>投标</w:t>
            </w:r>
            <w:r>
              <w:rPr>
                <w:rFonts w:hint="eastAsia" w:ascii="宋体" w:hAnsi="宋体" w:eastAsia="宋体" w:cs="宋体"/>
                <w:color w:val="auto"/>
                <w:highlight w:val="none"/>
              </w:rPr>
              <w:t>，也不得同时参加两个或两个以上的联合体进行本项目的投标。单一独立法人必须至少同时具备以下(1)～(2)资质，组成联合体投标的，联合后必须至少具备以下(1)～(2)资质：</w:t>
            </w:r>
          </w:p>
          <w:p w14:paraId="6205E95E">
            <w:pPr>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（1)施工单位必须同时具备建设行政主管部门颁发的以下资质：具备建设行政主管部门颁发的市政公用工程施工</w:t>
            </w:r>
            <w:r>
              <w:rPr>
                <w:rFonts w:hint="eastAsia" w:hAnsi="宋体" w:eastAsia="宋体" w:cs="宋体"/>
                <w:color w:val="auto"/>
                <w:highlight w:val="none"/>
                <w:lang w:eastAsia="zh-CN"/>
              </w:rPr>
              <w:t>总承包三级</w:t>
            </w:r>
            <w:r>
              <w:rPr>
                <w:rFonts w:hint="eastAsia" w:ascii="宋体" w:hAnsi="宋体" w:eastAsia="宋体" w:cs="宋体"/>
                <w:color w:val="auto"/>
                <w:highlight w:val="none"/>
              </w:rPr>
              <w:t>以上资质，并持有有效</w:t>
            </w:r>
            <w:r>
              <w:rPr>
                <w:rFonts w:hint="eastAsia" w:hAnsi="宋体" w:eastAsia="宋体" w:cs="宋体"/>
                <w:color w:val="auto"/>
                <w:highlight w:val="none"/>
                <w:lang w:val="en-US" w:eastAsia="zh-CN"/>
              </w:rPr>
              <w:t>期内的</w:t>
            </w:r>
            <w:r>
              <w:rPr>
                <w:rFonts w:hint="eastAsia" w:ascii="宋体" w:hAnsi="宋体" w:eastAsia="宋体" w:cs="宋体"/>
                <w:color w:val="auto"/>
                <w:highlight w:val="none"/>
              </w:rPr>
              <w:t>安全生产许可证</w:t>
            </w:r>
            <w:r>
              <w:rPr>
                <w:rFonts w:hint="eastAsia" w:ascii="宋体" w:hAnsi="宋体" w:eastAsia="宋体" w:cs="宋体"/>
                <w:color w:val="auto"/>
                <w:highlight w:val="none"/>
                <w:lang w:eastAsia="zh-CN"/>
              </w:rPr>
              <w:t>；</w:t>
            </w:r>
          </w:p>
          <w:p w14:paraId="12FD3317">
            <w:pPr>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（2）设计单位必须具备建设行政主管部门颁发的以下资质</w:t>
            </w:r>
            <w:r>
              <w:rPr>
                <w:rFonts w:hint="eastAsia" w:hAnsi="宋体" w:eastAsia="宋体" w:cs="宋体"/>
                <w:color w:val="auto"/>
                <w:highlight w:val="none"/>
                <w:lang w:val="en-US" w:eastAsia="zh-CN"/>
              </w:rPr>
              <w:t>之一</w:t>
            </w:r>
            <w:r>
              <w:rPr>
                <w:rFonts w:hint="eastAsia" w:hAnsi="宋体" w:eastAsia="宋体" w:cs="宋体"/>
                <w:color w:val="auto"/>
                <w:highlight w:val="none"/>
                <w:lang w:eastAsia="zh-CN"/>
              </w:rPr>
              <w:t>；</w:t>
            </w:r>
          </w:p>
          <w:p w14:paraId="1E3CED8B">
            <w:pPr>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①工程设计综合甲级资质</w:t>
            </w:r>
            <w:r>
              <w:rPr>
                <w:rFonts w:hint="eastAsia" w:ascii="宋体" w:hAnsi="宋体" w:eastAsia="宋体" w:cs="宋体"/>
                <w:color w:val="auto"/>
                <w:highlight w:val="none"/>
                <w:lang w:eastAsia="zh-CN"/>
              </w:rPr>
              <w:t>；</w:t>
            </w:r>
          </w:p>
          <w:p w14:paraId="00E9D4B9">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②须具备工程设计市政资质以下任意一项:</w:t>
            </w:r>
          </w:p>
          <w:p w14:paraId="0F93D0B1">
            <w:pPr>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a.工程设计市政行业乙级或以上资质</w:t>
            </w:r>
            <w:r>
              <w:rPr>
                <w:rFonts w:hint="eastAsia" w:ascii="宋体" w:hAnsi="宋体" w:eastAsia="宋体" w:cs="宋体"/>
                <w:color w:val="auto"/>
                <w:highlight w:val="none"/>
                <w:lang w:eastAsia="zh-CN"/>
              </w:rPr>
              <w:t>；</w:t>
            </w:r>
          </w:p>
          <w:p w14:paraId="68D5FCF9">
            <w:pPr>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b.工程设计市政行业(燃气工程、轨道交通工程除外)乙级或以上资质</w:t>
            </w:r>
            <w:r>
              <w:rPr>
                <w:rFonts w:hint="eastAsia" w:ascii="宋体" w:hAnsi="宋体" w:eastAsia="宋体" w:cs="宋体"/>
                <w:color w:val="auto"/>
                <w:highlight w:val="none"/>
                <w:lang w:eastAsia="zh-CN"/>
              </w:rPr>
              <w:t>；</w:t>
            </w:r>
          </w:p>
          <w:p w14:paraId="13CCDBE6">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c.工程设计市政行业(排水工程)乙级或以上资质。</w:t>
            </w:r>
          </w:p>
          <w:p w14:paraId="51EE6266">
            <w:pPr>
              <w:pStyle w:val="16"/>
              <w:spacing w:line="360" w:lineRule="auto"/>
              <w:rPr>
                <w:rFonts w:hint="eastAsia"/>
                <w:color w:val="auto"/>
                <w:highlight w:val="none"/>
              </w:rPr>
            </w:pPr>
            <w:r>
              <w:rPr>
                <w:rFonts w:hint="eastAsia" w:ascii="宋体" w:hAnsi="宋体" w:eastAsia="宋体" w:cs="宋体"/>
                <w:color w:val="auto"/>
                <w:kern w:val="2"/>
                <w:sz w:val="24"/>
                <w:highlight w:val="none"/>
                <w:lang w:val="en-US" w:eastAsia="zh-CN" w:bidi="ar-SA"/>
              </w:rPr>
              <w:t>注：如设计单位需要对部分内容进行分包的，设计单位应在征得招标人同意后依法专业分包给具备相关资质的单位并签订分包合同，由设计单位支付相应费用。</w:t>
            </w:r>
          </w:p>
          <w:p w14:paraId="36A045A1">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2.4．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24779AFB">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3．相关人员要求</w:t>
            </w:r>
          </w:p>
          <w:p w14:paraId="25BD498A">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3.1 </w:t>
            </w:r>
            <w:r>
              <w:rPr>
                <w:rFonts w:hint="eastAsia" w:ascii="宋体" w:hAnsi="宋体" w:eastAsia="宋体" w:cs="宋体"/>
                <w:color w:val="auto"/>
                <w:highlight w:val="none"/>
                <w:lang w:eastAsia="zh-CN"/>
              </w:rPr>
              <w:t>拟派项目经理为</w:t>
            </w:r>
            <w:r>
              <w:rPr>
                <w:rFonts w:hint="eastAsia" w:hAnsi="宋体" w:eastAsia="宋体" w:cs="宋体"/>
                <w:color w:val="auto"/>
                <w:highlight w:val="none"/>
                <w:u w:val="single"/>
                <w:lang w:eastAsia="zh-CN"/>
              </w:rPr>
              <w:t>市政公用工程</w:t>
            </w:r>
            <w:r>
              <w:rPr>
                <w:rFonts w:hint="eastAsia" w:ascii="宋体" w:hAnsi="宋体" w:eastAsia="宋体" w:cs="宋体"/>
                <w:color w:val="auto"/>
                <w:highlight w:val="none"/>
                <w:lang w:eastAsia="zh-CN"/>
              </w:rPr>
              <w:t>专业一级或二级注册建造师，其中一级注册建造师应持有国家住建部印发的有效注册证书，二级注册建造师应持有考试取得执业资格的省、自治区、直辖市住建部门核准的有效电子注册证书（二级注册建造师应持有住建部门核准</w:t>
            </w:r>
            <w:r>
              <w:rPr>
                <w:rFonts w:hint="eastAsia" w:hAnsi="宋体" w:eastAsia="宋体" w:cs="宋体"/>
                <w:color w:val="auto"/>
                <w:highlight w:val="none"/>
                <w:lang w:val="en-US" w:eastAsia="zh-CN"/>
              </w:rPr>
              <w:t>颁发</w:t>
            </w:r>
            <w:r>
              <w:rPr>
                <w:rFonts w:hint="eastAsia" w:ascii="宋体" w:hAnsi="宋体" w:eastAsia="宋体" w:cs="宋体"/>
                <w:color w:val="auto"/>
                <w:highlight w:val="none"/>
                <w:lang w:eastAsia="zh-CN"/>
              </w:rPr>
              <w:t>的、在使用有效期内的有效电子证书）。同时均须具备有效</w:t>
            </w:r>
            <w:r>
              <w:rPr>
                <w:rFonts w:hint="eastAsia" w:hAnsi="宋体" w:eastAsia="宋体" w:cs="宋体"/>
                <w:color w:val="auto"/>
                <w:highlight w:val="none"/>
                <w:lang w:val="en-US" w:eastAsia="zh-CN"/>
              </w:rPr>
              <w:t>期内的</w:t>
            </w:r>
            <w:r>
              <w:rPr>
                <w:rFonts w:hint="eastAsia" w:ascii="宋体" w:hAnsi="宋体" w:eastAsia="宋体" w:cs="宋体"/>
                <w:color w:val="auto"/>
                <w:highlight w:val="none"/>
                <w:lang w:eastAsia="zh-CN"/>
              </w:rPr>
              <w:t xml:space="preserve">安全生产考核合格证明（B证，安全生产考核合格证书或“广东省建筑施工企业管理人员安全生产考核信息系统”考核合格信息打印页），且未担任其他在施（包括已中标未开工、已开工未竣工）建设工程项目的项目经理。  </w:t>
            </w:r>
          </w:p>
          <w:p w14:paraId="6583A4AF">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3.2拟派项目技术负责人须具备</w:t>
            </w:r>
            <w:r>
              <w:rPr>
                <w:rFonts w:hint="eastAsia" w:hAnsi="宋体" w:eastAsia="宋体" w:cs="宋体"/>
                <w:color w:val="auto"/>
                <w:highlight w:val="none"/>
                <w:u w:val="single"/>
                <w:lang w:val="en-US" w:eastAsia="zh-CN"/>
              </w:rPr>
              <w:t>市政公用工程</w:t>
            </w:r>
            <w:r>
              <w:rPr>
                <w:rFonts w:hint="eastAsia" w:ascii="宋体" w:hAnsi="宋体" w:eastAsia="宋体" w:cs="宋体"/>
                <w:color w:val="auto"/>
                <w:highlight w:val="none"/>
                <w:lang w:val="en-US" w:eastAsia="zh-CN"/>
              </w:rPr>
              <w:t>相关专业工程师或以上职称</w:t>
            </w:r>
            <w:r>
              <w:rPr>
                <w:rFonts w:hint="eastAsia" w:hAnsi="宋体" w:eastAsia="宋体" w:cs="宋体"/>
                <w:color w:val="auto"/>
                <w:highlight w:val="none"/>
                <w:lang w:val="en-US" w:eastAsia="zh-CN"/>
              </w:rPr>
              <w:t>证书</w:t>
            </w:r>
            <w:r>
              <w:rPr>
                <w:rFonts w:hint="eastAsia" w:ascii="宋体" w:hAnsi="宋体" w:eastAsia="宋体" w:cs="宋体"/>
                <w:color w:val="auto"/>
                <w:highlight w:val="none"/>
                <w:lang w:val="en-US" w:eastAsia="zh-CN"/>
              </w:rPr>
              <w:t>。</w:t>
            </w:r>
          </w:p>
          <w:p w14:paraId="6B952E6D">
            <w:pPr>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拟派专职安全生产管理人员须具备有效</w:t>
            </w:r>
            <w:r>
              <w:rPr>
                <w:rFonts w:hint="eastAsia" w:hAnsi="宋体" w:eastAsia="宋体" w:cs="宋体"/>
                <w:color w:val="auto"/>
                <w:highlight w:val="none"/>
                <w:lang w:val="en-US" w:eastAsia="zh-CN"/>
              </w:rPr>
              <w:t>期内的</w:t>
            </w:r>
            <w:r>
              <w:rPr>
                <w:rFonts w:hint="eastAsia" w:ascii="宋体" w:hAnsi="宋体" w:eastAsia="宋体" w:cs="宋体"/>
                <w:color w:val="auto"/>
                <w:highlight w:val="none"/>
              </w:rPr>
              <w:t>安全生产考核合格证明（C证，安全生产考核合格证书或“广东省建筑施工企业管理人员安全生产考核系统”考核合格信息打印页）</w:t>
            </w:r>
            <w:r>
              <w:rPr>
                <w:rFonts w:hint="eastAsia" w:ascii="宋体" w:hAnsi="宋体" w:eastAsia="宋体" w:cs="宋体"/>
                <w:color w:val="auto"/>
                <w:highlight w:val="none"/>
                <w:lang w:eastAsia="zh-CN"/>
              </w:rPr>
              <w:t>，</w:t>
            </w:r>
            <w:r>
              <w:rPr>
                <w:rFonts w:hint="eastAsia" w:hAnsi="宋体" w:eastAsia="宋体" w:cs="宋体"/>
                <w:color w:val="auto"/>
                <w:highlight w:val="none"/>
                <w:lang w:eastAsia="zh-CN"/>
              </w:rPr>
              <w:t>且不少于1人</w:t>
            </w:r>
            <w:r>
              <w:rPr>
                <w:rFonts w:hint="eastAsia" w:ascii="宋体" w:hAnsi="宋体" w:eastAsia="宋体" w:cs="宋体"/>
                <w:color w:val="auto"/>
                <w:highlight w:val="none"/>
                <w:lang w:eastAsia="zh-CN"/>
              </w:rPr>
              <w:t>。</w:t>
            </w:r>
          </w:p>
          <w:p w14:paraId="66085DDE">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3.4</w:t>
            </w:r>
            <w:r>
              <w:rPr>
                <w:rFonts w:hint="eastAsia" w:hAnsi="宋体" w:eastAsia="宋体" w:cs="宋体"/>
                <w:color w:val="auto"/>
                <w:highlight w:val="none"/>
                <w:lang w:val="en-US" w:eastAsia="zh-CN"/>
              </w:rPr>
              <w:t>拟派设计负责人必须具有二级或以上注册建筑师或注册土木工程师（道路工程）注册执业证书。</w:t>
            </w:r>
          </w:p>
          <w:p w14:paraId="786A2EC1">
            <w:pPr>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w:t>
            </w:r>
            <w:r>
              <w:rPr>
                <w:rFonts w:hint="eastAsia" w:hAnsi="宋体" w:eastAsia="宋体" w:cs="宋体"/>
                <w:color w:val="auto"/>
                <w:highlight w:val="none"/>
                <w:lang w:val="en-US" w:eastAsia="zh-CN"/>
              </w:rPr>
              <w:t>5</w:t>
            </w:r>
            <w:r>
              <w:rPr>
                <w:rFonts w:hint="eastAsia" w:ascii="宋体" w:hAnsi="宋体" w:eastAsia="宋体" w:cs="宋体"/>
                <w:color w:val="auto"/>
                <w:highlight w:val="none"/>
                <w:lang w:eastAsia="zh-CN"/>
              </w:rPr>
              <w:t>投标人（包括组成联合体的所有成员单位）与其拟派往本项目管理机构的所有人员之间必须具备合法、唯一的劳动聘用关系。拟派人员中具备注册执业资格的，其注册单位须与投标人保持一致。</w:t>
            </w:r>
          </w:p>
          <w:p w14:paraId="15C9389E">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4．禁止投标条款：</w:t>
            </w:r>
          </w:p>
          <w:p w14:paraId="4DC39987">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4.1．投标人不得存在下列情形之一：</w:t>
            </w:r>
          </w:p>
          <w:p w14:paraId="55A1C159">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（1）为招标人不具有独立法人资格的附属机构（单位）；</w:t>
            </w:r>
          </w:p>
          <w:p w14:paraId="7E26A68A">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（2）为本招标项目前期准备提供咨询服务的；</w:t>
            </w:r>
          </w:p>
          <w:p w14:paraId="6C37D882">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（3）与本招标项目的其他投标人为同一个单位负责人；</w:t>
            </w:r>
          </w:p>
          <w:p w14:paraId="722D115F">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（4）与本招标项目的其他投标人存在控股、管理关系；</w:t>
            </w:r>
          </w:p>
          <w:p w14:paraId="788E6B4F">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（5）为本招标项目的监理人；</w:t>
            </w:r>
          </w:p>
          <w:p w14:paraId="77BAE21F">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（6）为本招标项目的代建人；</w:t>
            </w:r>
          </w:p>
          <w:p w14:paraId="73B25F38">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（7）为本招标项目的招标代理机构；</w:t>
            </w:r>
          </w:p>
          <w:p w14:paraId="4E96EDE3">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（8）与本招标项目的监理人或代建人或招标代理机构同为一个法定代表人；</w:t>
            </w:r>
          </w:p>
          <w:p w14:paraId="2B46BCDE">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（9）与本招标项目的监理人或代建人或招标代理机构存在控股或参股关系；</w:t>
            </w:r>
          </w:p>
          <w:p w14:paraId="4F229E42">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（10）与本招标项目的监理人或代建人或招标代理机构存在相互任职或工作关系；</w:t>
            </w:r>
          </w:p>
          <w:p w14:paraId="0B91057E">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（11）被依法暂停或者取消投标资格；</w:t>
            </w:r>
          </w:p>
          <w:p w14:paraId="499B7F3F">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（12）被责令停产停业、暂扣或者吊销许可证、暂扣或者吊销执照；</w:t>
            </w:r>
          </w:p>
          <w:p w14:paraId="2734AE16">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（13）进入清算程序，或被宣告破产，或其他丧失履约能力的情形；</w:t>
            </w:r>
          </w:p>
          <w:p w14:paraId="0F62766D">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（14）在最近三年内发生重大工程质量或安全问题（以相关行业主管部门的行政处罚决定或司法机关出具的有关法律文书为准）；</w:t>
            </w:r>
          </w:p>
          <w:p w14:paraId="35D1AB67">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（15）被“信用中国”网站（https://www.creditchina.gov.cn）发布的《法人和非法人组织公共信用信息报告》列入严重失信主体名单的。</w:t>
            </w:r>
          </w:p>
          <w:p w14:paraId="19789BA1">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4.2．招标人拒绝以下名单中的单位参加本次投标：</w:t>
            </w:r>
          </w:p>
          <w:tbl>
            <w:tblPr>
              <w:tblStyle w:val="31"/>
              <w:tblW w:w="7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3198"/>
              <w:gridCol w:w="3424"/>
            </w:tblGrid>
            <w:tr w14:paraId="136AE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660" w:type="dxa"/>
                  <w:noWrap/>
                  <w:vAlign w:val="center"/>
                </w:tcPr>
                <w:p w14:paraId="35CA61A7">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序号</w:t>
                  </w:r>
                </w:p>
              </w:tc>
              <w:tc>
                <w:tcPr>
                  <w:tcW w:w="3198" w:type="dxa"/>
                  <w:noWrap/>
                  <w:vAlign w:val="center"/>
                </w:tcPr>
                <w:p w14:paraId="19F8A836">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单位名称</w:t>
                  </w:r>
                </w:p>
              </w:tc>
              <w:tc>
                <w:tcPr>
                  <w:tcW w:w="3424" w:type="dxa"/>
                  <w:noWrap/>
                  <w:vAlign w:val="center"/>
                </w:tcPr>
                <w:p w14:paraId="01ADDBCC">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拒绝原因</w:t>
                  </w:r>
                </w:p>
              </w:tc>
            </w:tr>
            <w:tr w14:paraId="75CC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60" w:type="dxa"/>
                  <w:noWrap/>
                  <w:vAlign w:val="center"/>
                </w:tcPr>
                <w:p w14:paraId="64B5A091">
                  <w:pPr>
                    <w:keepNext w:val="0"/>
                    <w:keepLines w:val="0"/>
                    <w:pageBreakBefore w:val="0"/>
                    <w:widowControl/>
                    <w:suppressLineNumbers w:val="0"/>
                    <w:kinsoku/>
                    <w:wordWrap/>
                    <w:overflowPunct/>
                    <w:topLinePunct w:val="0"/>
                    <w:autoSpaceDE/>
                    <w:autoSpaceDN/>
                    <w:bidi w:val="0"/>
                    <w:adjustRightInd/>
                    <w:snapToGrid w:val="0"/>
                    <w:spacing w:line="30" w:lineRule="atLeast"/>
                    <w:jc w:val="center"/>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1</w:t>
                  </w:r>
                </w:p>
              </w:tc>
              <w:tc>
                <w:tcPr>
                  <w:tcW w:w="3198" w:type="dxa"/>
                  <w:noWrap/>
                  <w:vAlign w:val="center"/>
                </w:tcPr>
                <w:p w14:paraId="29584F95">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南雄市油山镇人民政府</w:t>
                  </w:r>
                </w:p>
              </w:tc>
              <w:tc>
                <w:tcPr>
                  <w:tcW w:w="3424" w:type="dxa"/>
                  <w:noWrap/>
                  <w:vAlign w:val="center"/>
                </w:tcPr>
                <w:p w14:paraId="3C92B4E3">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为本招标项目的招标人</w:t>
                  </w:r>
                </w:p>
              </w:tc>
            </w:tr>
            <w:tr w14:paraId="2AAED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660" w:type="dxa"/>
                  <w:noWrap/>
                  <w:vAlign w:val="center"/>
                </w:tcPr>
                <w:p w14:paraId="4F859955">
                  <w:pPr>
                    <w:keepNext w:val="0"/>
                    <w:keepLines w:val="0"/>
                    <w:pageBreakBefore w:val="0"/>
                    <w:widowControl/>
                    <w:suppressLineNumbers w:val="0"/>
                    <w:kinsoku/>
                    <w:wordWrap/>
                    <w:overflowPunct/>
                    <w:topLinePunct w:val="0"/>
                    <w:autoSpaceDE/>
                    <w:autoSpaceDN/>
                    <w:bidi w:val="0"/>
                    <w:adjustRightInd/>
                    <w:snapToGrid w:val="0"/>
                    <w:spacing w:line="30" w:lineRule="atLeast"/>
                    <w:jc w:val="center"/>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2</w:t>
                  </w:r>
                </w:p>
              </w:tc>
              <w:tc>
                <w:tcPr>
                  <w:tcW w:w="3198" w:type="dxa"/>
                  <w:noWrap/>
                  <w:vAlign w:val="center"/>
                </w:tcPr>
                <w:p w14:paraId="1C78FC9F">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广东象龙国际项目管理有限公司</w:t>
                  </w:r>
                </w:p>
              </w:tc>
              <w:tc>
                <w:tcPr>
                  <w:tcW w:w="3424" w:type="dxa"/>
                  <w:noWrap/>
                  <w:vAlign w:val="center"/>
                </w:tcPr>
                <w:p w14:paraId="587E0E2E">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为本招标项目的招标代理机构</w:t>
                  </w:r>
                </w:p>
              </w:tc>
            </w:tr>
            <w:tr w14:paraId="59B1D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660" w:type="dxa"/>
                  <w:noWrap/>
                  <w:vAlign w:val="center"/>
                </w:tcPr>
                <w:p w14:paraId="515D1325">
                  <w:pPr>
                    <w:keepNext w:val="0"/>
                    <w:keepLines w:val="0"/>
                    <w:pageBreakBefore w:val="0"/>
                    <w:widowControl/>
                    <w:suppressLineNumbers w:val="0"/>
                    <w:kinsoku/>
                    <w:wordWrap/>
                    <w:overflowPunct/>
                    <w:topLinePunct w:val="0"/>
                    <w:autoSpaceDE/>
                    <w:autoSpaceDN/>
                    <w:bidi w:val="0"/>
                    <w:adjustRightInd/>
                    <w:snapToGrid w:val="0"/>
                    <w:spacing w:line="30" w:lineRule="atLeast"/>
                    <w:jc w:val="center"/>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3</w:t>
                  </w:r>
                </w:p>
              </w:tc>
              <w:tc>
                <w:tcPr>
                  <w:tcW w:w="3198" w:type="dxa"/>
                  <w:noWrap/>
                  <w:vAlign w:val="center"/>
                </w:tcPr>
                <w:p w14:paraId="7D6EF157">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广东省国际工程咨询有限公司</w:t>
                  </w:r>
                </w:p>
              </w:tc>
              <w:tc>
                <w:tcPr>
                  <w:tcW w:w="3424" w:type="dxa"/>
                  <w:noWrap/>
                  <w:vAlign w:val="center"/>
                </w:tcPr>
                <w:p w14:paraId="3EA17DD6">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为本招标项目的可研修编单位</w:t>
                  </w:r>
                </w:p>
              </w:tc>
            </w:tr>
            <w:tr w14:paraId="22CB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60" w:type="dxa"/>
                  <w:noWrap/>
                  <w:vAlign w:val="center"/>
                </w:tcPr>
                <w:p w14:paraId="79E62CCB">
                  <w:pPr>
                    <w:keepNext w:val="0"/>
                    <w:keepLines w:val="0"/>
                    <w:pageBreakBefore w:val="0"/>
                    <w:widowControl/>
                    <w:suppressLineNumbers w:val="0"/>
                    <w:kinsoku/>
                    <w:wordWrap/>
                    <w:overflowPunct/>
                    <w:topLinePunct w:val="0"/>
                    <w:autoSpaceDE/>
                    <w:autoSpaceDN/>
                    <w:bidi w:val="0"/>
                    <w:adjustRightInd/>
                    <w:snapToGrid w:val="0"/>
                    <w:spacing w:line="30" w:lineRule="atLeast"/>
                    <w:jc w:val="center"/>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4</w:t>
                  </w:r>
                </w:p>
              </w:tc>
              <w:tc>
                <w:tcPr>
                  <w:tcW w:w="3198" w:type="dxa"/>
                  <w:noWrap/>
                  <w:vAlign w:val="center"/>
                </w:tcPr>
                <w:p w14:paraId="28BEBA0C">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爱建信达工程咨询有限公司</w:t>
                  </w:r>
                </w:p>
              </w:tc>
              <w:tc>
                <w:tcPr>
                  <w:tcW w:w="3424" w:type="dxa"/>
                  <w:noWrap/>
                  <w:vAlign w:val="center"/>
                </w:tcPr>
                <w:p w14:paraId="09B279B1">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为本招标项目的造价咨询单位</w:t>
                  </w:r>
                </w:p>
              </w:tc>
            </w:tr>
            <w:tr w14:paraId="3694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60" w:type="dxa"/>
                  <w:noWrap/>
                  <w:vAlign w:val="center"/>
                </w:tcPr>
                <w:p w14:paraId="23AD59F8">
                  <w:pPr>
                    <w:keepNext w:val="0"/>
                    <w:keepLines w:val="0"/>
                    <w:pageBreakBefore w:val="0"/>
                    <w:widowControl/>
                    <w:suppressLineNumbers w:val="0"/>
                    <w:kinsoku/>
                    <w:wordWrap/>
                    <w:overflowPunct/>
                    <w:topLinePunct w:val="0"/>
                    <w:autoSpaceDE/>
                    <w:autoSpaceDN/>
                    <w:bidi w:val="0"/>
                    <w:adjustRightInd/>
                    <w:snapToGrid w:val="0"/>
                    <w:spacing w:line="30" w:lineRule="atLeast"/>
                    <w:jc w:val="center"/>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5</w:t>
                  </w:r>
                </w:p>
              </w:tc>
              <w:tc>
                <w:tcPr>
                  <w:tcW w:w="3198" w:type="dxa"/>
                  <w:shd w:val="clear" w:color="auto" w:fill="auto"/>
                  <w:noWrap/>
                  <w:vAlign w:val="center"/>
                </w:tcPr>
                <w:p w14:paraId="29FEDFE6">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kern w:val="2"/>
                      <w:sz w:val="24"/>
                      <w:szCs w:val="24"/>
                      <w:u w:val="none"/>
                      <w:lang w:val="en-US" w:eastAsia="zh-CN" w:bidi="ar-SA"/>
                    </w:rPr>
                  </w:pPr>
                  <w:r>
                    <w:rPr>
                      <w:rFonts w:hint="eastAsia" w:ascii="宋体" w:hAnsi="宋体" w:eastAsia="宋体" w:cs="宋体"/>
                      <w:i w:val="0"/>
                      <w:color w:val="auto"/>
                      <w:sz w:val="24"/>
                      <w:szCs w:val="24"/>
                      <w:u w:val="none"/>
                      <w:lang w:val="en-US" w:eastAsia="zh-CN"/>
                    </w:rPr>
                    <w:t>中咨管理顾问有限责任公司</w:t>
                  </w:r>
                </w:p>
              </w:tc>
              <w:tc>
                <w:tcPr>
                  <w:tcW w:w="3424" w:type="dxa"/>
                  <w:shd w:val="clear" w:color="auto" w:fill="auto"/>
                  <w:noWrap/>
                  <w:vAlign w:val="center"/>
                </w:tcPr>
                <w:p w14:paraId="73CC04A1">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kern w:val="2"/>
                      <w:sz w:val="24"/>
                      <w:szCs w:val="24"/>
                      <w:u w:val="none"/>
                      <w:lang w:val="en-US" w:eastAsia="zh-CN" w:bidi="ar-SA"/>
                    </w:rPr>
                  </w:pPr>
                  <w:r>
                    <w:rPr>
                      <w:rFonts w:hint="eastAsia" w:ascii="宋体" w:hAnsi="宋体" w:eastAsia="宋体" w:cs="宋体"/>
                      <w:i w:val="0"/>
                      <w:color w:val="auto"/>
                      <w:sz w:val="24"/>
                      <w:szCs w:val="24"/>
                      <w:u w:val="none"/>
                      <w:lang w:val="en-US" w:eastAsia="zh-CN"/>
                    </w:rPr>
                    <w:t>为本招标项目的可研编制单位</w:t>
                  </w:r>
                </w:p>
              </w:tc>
            </w:tr>
          </w:tbl>
          <w:p w14:paraId="5B40FCC1">
            <w:pPr>
              <w:bidi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5.省外企业（包括组成联合体的所有成员单位）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2629A8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49A0FD23">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18</w:t>
            </w:r>
          </w:p>
        </w:tc>
        <w:tc>
          <w:tcPr>
            <w:tcW w:w="1708" w:type="dxa"/>
            <w:tcBorders>
              <w:top w:val="single" w:color="auto" w:sz="4" w:space="0"/>
              <w:left w:val="single" w:color="auto" w:sz="4" w:space="0"/>
              <w:bottom w:val="single" w:color="auto" w:sz="4" w:space="0"/>
              <w:right w:val="single" w:color="auto" w:sz="4" w:space="0"/>
            </w:tcBorders>
            <w:noWrap/>
            <w:vAlign w:val="center"/>
          </w:tcPr>
          <w:p w14:paraId="0B2E0E0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投标保证</w:t>
            </w:r>
          </w:p>
        </w:tc>
        <w:tc>
          <w:tcPr>
            <w:tcW w:w="7541" w:type="dxa"/>
            <w:tcBorders>
              <w:top w:val="single" w:color="auto" w:sz="4" w:space="0"/>
              <w:left w:val="single" w:color="auto" w:sz="4" w:space="0"/>
              <w:bottom w:val="single" w:color="auto" w:sz="4" w:space="0"/>
              <w:right w:val="single" w:color="auto" w:sz="4" w:space="0"/>
            </w:tcBorders>
            <w:noWrap/>
            <w:vAlign w:val="center"/>
          </w:tcPr>
          <w:p w14:paraId="13ED4D28">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  1．投标人须缴纳金额为人民币</w:t>
            </w:r>
            <w:r>
              <w:rPr>
                <w:rFonts w:hint="eastAsia" w:hAnsi="宋体" w:eastAsia="宋体" w:cs="宋体"/>
                <w:color w:val="auto"/>
                <w:highlight w:val="none"/>
                <w:u w:val="single"/>
                <w:lang w:val="en-US" w:eastAsia="zh-CN"/>
              </w:rPr>
              <w:t>8万元</w:t>
            </w:r>
            <w:r>
              <w:rPr>
                <w:rFonts w:hint="eastAsia" w:ascii="宋体" w:hAnsi="宋体" w:eastAsia="宋体" w:cs="宋体"/>
                <w:color w:val="auto"/>
                <w:highlight w:val="none"/>
                <w:lang w:val="en-US" w:eastAsia="zh-CN"/>
              </w:rPr>
              <w:t>整</w:t>
            </w:r>
            <w:r>
              <w:rPr>
                <w:rFonts w:hint="eastAsia" w:ascii="宋体" w:hAnsi="宋体" w:eastAsia="宋体" w:cs="宋体"/>
                <w:color w:val="auto"/>
                <w:highlight w:val="none"/>
              </w:rPr>
              <w:t>的投标保证。联合体投标的，由联合体牵头人缴纳。</w:t>
            </w:r>
          </w:p>
          <w:p w14:paraId="62094DE9">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2．投标保证的形式包括投标保证金、投标保证担保、投标保证保险三种，由投标人自主选择。</w:t>
            </w:r>
          </w:p>
          <w:p w14:paraId="0CCE61D8">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采用投标保证金的，投标人在建设工程交易系统获取招标文件完毕后，即可在系统申请缴纳投标保证金，获取本次招标投标保证金缴纳账号。投标人必须于投标保证金到账截止时间（见本章“重要事项时间地点一览表”）前，从其基本账户将投标保证金转账到指定的缴纳账号。逾期到账的、从非投标人基本账户转出的，其投标无效。</w:t>
            </w:r>
          </w:p>
          <w:p w14:paraId="174E2FB2">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采用投标保证担保的，投标人应提交有效的银行保函，银行保函的有效期不得短于投标有效期。投标人必须在投标保证担保截止时间（见本章“重要事项时间地点一览表”）前，使用工程建设交易系统完成网上办理电子保函。</w:t>
            </w:r>
          </w:p>
          <w:p w14:paraId="4518DC67">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采用投标保证保险的，投标人须在投标保证保险投保截止时间（见本章“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50175835">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40D289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1CDE1DF1">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19</w:t>
            </w:r>
          </w:p>
        </w:tc>
        <w:tc>
          <w:tcPr>
            <w:tcW w:w="1708" w:type="dxa"/>
            <w:tcBorders>
              <w:top w:val="single" w:color="auto" w:sz="4" w:space="0"/>
              <w:left w:val="single" w:color="auto" w:sz="4" w:space="0"/>
              <w:bottom w:val="single" w:color="auto" w:sz="4" w:space="0"/>
              <w:right w:val="single" w:color="auto" w:sz="4" w:space="0"/>
            </w:tcBorders>
            <w:noWrap/>
            <w:vAlign w:val="center"/>
          </w:tcPr>
          <w:p w14:paraId="4DBBFD3B">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投标有效期</w:t>
            </w:r>
          </w:p>
        </w:tc>
        <w:tc>
          <w:tcPr>
            <w:tcW w:w="7541" w:type="dxa"/>
            <w:tcBorders>
              <w:top w:val="single" w:color="auto" w:sz="4" w:space="0"/>
              <w:left w:val="single" w:color="auto" w:sz="4" w:space="0"/>
              <w:bottom w:val="single" w:color="auto" w:sz="4" w:space="0"/>
              <w:right w:val="single" w:color="auto" w:sz="4" w:space="0"/>
            </w:tcBorders>
            <w:noWrap/>
            <w:vAlign w:val="center"/>
          </w:tcPr>
          <w:p w14:paraId="5F3C3CCC">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  本次招标的投标有效期为</w:t>
            </w:r>
            <w:r>
              <w:rPr>
                <w:rFonts w:hint="eastAsia" w:ascii="宋体" w:hAnsi="宋体" w:eastAsia="宋体" w:cs="宋体"/>
                <w:color w:val="auto"/>
                <w:highlight w:val="none"/>
                <w:lang w:val="en-US" w:eastAsia="zh-CN"/>
              </w:rPr>
              <w:t>90</w:t>
            </w:r>
            <w:r>
              <w:rPr>
                <w:rFonts w:hint="eastAsia" w:ascii="宋体" w:hAnsi="宋体" w:eastAsia="宋体" w:cs="宋体"/>
                <w:color w:val="auto"/>
                <w:highlight w:val="none"/>
              </w:rPr>
              <w:t>个日历天。</w:t>
            </w:r>
          </w:p>
        </w:tc>
      </w:tr>
      <w:tr w14:paraId="742B93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4E13C134">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20</w:t>
            </w:r>
          </w:p>
        </w:tc>
        <w:tc>
          <w:tcPr>
            <w:tcW w:w="1708" w:type="dxa"/>
            <w:tcBorders>
              <w:top w:val="single" w:color="auto" w:sz="4" w:space="0"/>
              <w:left w:val="single" w:color="auto" w:sz="4" w:space="0"/>
              <w:bottom w:val="single" w:color="auto" w:sz="4" w:space="0"/>
              <w:right w:val="single" w:color="auto" w:sz="4" w:space="0"/>
            </w:tcBorders>
            <w:noWrap/>
            <w:vAlign w:val="center"/>
          </w:tcPr>
          <w:p w14:paraId="1F8EBDA4">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投标文件</w:t>
            </w:r>
          </w:p>
          <w:p w14:paraId="312D36D1">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组成</w:t>
            </w:r>
          </w:p>
        </w:tc>
        <w:tc>
          <w:tcPr>
            <w:tcW w:w="7541" w:type="dxa"/>
            <w:tcBorders>
              <w:top w:val="single" w:color="auto" w:sz="4" w:space="0"/>
              <w:left w:val="single" w:color="auto" w:sz="4" w:space="0"/>
              <w:bottom w:val="single" w:color="auto" w:sz="4" w:space="0"/>
              <w:right w:val="single" w:color="auto" w:sz="4" w:space="0"/>
            </w:tcBorders>
            <w:noWrap/>
            <w:vAlign w:val="center"/>
          </w:tcPr>
          <w:p w14:paraId="6E7F5634">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eastAsia="zh-CN"/>
              </w:rPr>
              <w:t>投标文件包括</w:t>
            </w:r>
            <w:r>
              <w:rPr>
                <w:rFonts w:hint="eastAsia" w:ascii="宋体" w:hAnsi="宋体" w:eastAsia="宋体" w:cs="宋体"/>
                <w:color w:val="auto"/>
                <w:highlight w:val="none"/>
              </w:rPr>
              <w:t>投标标书</w:t>
            </w:r>
            <w:r>
              <w:rPr>
                <w:rFonts w:hint="eastAsia" w:hAnsi="宋体" w:eastAsia="宋体" w:cs="宋体"/>
                <w:color w:val="auto"/>
                <w:highlight w:val="none"/>
                <w:lang w:eastAsia="zh-CN"/>
              </w:rPr>
              <w:t>、</w:t>
            </w:r>
            <w:r>
              <w:rPr>
                <w:rFonts w:hint="eastAsia" w:hAnsi="宋体" w:eastAsia="宋体" w:cs="宋体"/>
                <w:color w:val="auto"/>
                <w:highlight w:val="none"/>
                <w:lang w:val="en-US" w:eastAsia="zh-CN"/>
              </w:rPr>
              <w:t>定标文</w:t>
            </w:r>
            <w:r>
              <w:rPr>
                <w:rFonts w:hint="eastAsia" w:ascii="宋体" w:hAnsi="宋体" w:eastAsia="宋体" w:cs="宋体"/>
                <w:color w:val="auto"/>
                <w:highlight w:val="none"/>
                <w:lang w:val="en-US" w:eastAsia="zh-CN"/>
              </w:rPr>
              <w:t>件两个分册。</w:t>
            </w:r>
          </w:p>
        </w:tc>
      </w:tr>
      <w:tr w14:paraId="363343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255" w:hRule="atLeast"/>
          <w:jc w:val="center"/>
        </w:trPr>
        <w:tc>
          <w:tcPr>
            <w:tcW w:w="809" w:type="dxa"/>
            <w:vMerge w:val="restart"/>
            <w:tcBorders>
              <w:top w:val="single" w:color="auto" w:sz="4" w:space="0"/>
              <w:left w:val="single" w:color="auto" w:sz="4" w:space="0"/>
              <w:right w:val="single" w:color="auto" w:sz="4" w:space="0"/>
            </w:tcBorders>
            <w:noWrap/>
            <w:vAlign w:val="center"/>
          </w:tcPr>
          <w:p w14:paraId="0AB94F57">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21</w:t>
            </w:r>
          </w:p>
        </w:tc>
        <w:tc>
          <w:tcPr>
            <w:tcW w:w="1708" w:type="dxa"/>
            <w:tcBorders>
              <w:top w:val="single" w:color="auto" w:sz="4" w:space="0"/>
              <w:left w:val="single" w:color="auto" w:sz="4" w:space="0"/>
              <w:bottom w:val="single" w:color="auto" w:sz="4" w:space="0"/>
              <w:right w:val="single" w:color="auto" w:sz="4" w:space="0"/>
            </w:tcBorders>
            <w:noWrap/>
            <w:vAlign w:val="center"/>
          </w:tcPr>
          <w:p w14:paraId="7F08709A">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评标委员会</w:t>
            </w:r>
          </w:p>
        </w:tc>
        <w:tc>
          <w:tcPr>
            <w:tcW w:w="7541" w:type="dxa"/>
            <w:tcBorders>
              <w:top w:val="single" w:color="auto" w:sz="4" w:space="0"/>
              <w:left w:val="single" w:color="auto" w:sz="4" w:space="0"/>
              <w:bottom w:val="single" w:color="auto" w:sz="4" w:space="0"/>
              <w:right w:val="single" w:color="auto" w:sz="4" w:space="0"/>
            </w:tcBorders>
            <w:noWrap/>
            <w:vAlign w:val="center"/>
          </w:tcPr>
          <w:p w14:paraId="73DBECB2">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评标委员会由5人组成，其中招标人代表0人，专家5人。专家从广东省综合评标评审专家库（韶关区域）中随机抽取，其中技术类专家3人，经济类专家2人。</w:t>
            </w:r>
          </w:p>
        </w:tc>
      </w:tr>
      <w:tr w14:paraId="30C6AC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41" w:hRule="atLeast"/>
          <w:jc w:val="center"/>
        </w:trPr>
        <w:tc>
          <w:tcPr>
            <w:tcW w:w="809" w:type="dxa"/>
            <w:vMerge w:val="continue"/>
            <w:tcBorders>
              <w:left w:val="single" w:color="auto" w:sz="4" w:space="0"/>
              <w:bottom w:val="single" w:color="auto" w:sz="4" w:space="0"/>
              <w:right w:val="single" w:color="auto" w:sz="4" w:space="0"/>
            </w:tcBorders>
            <w:noWrap/>
            <w:vAlign w:val="center"/>
          </w:tcPr>
          <w:p w14:paraId="6CC66A71">
            <w:pPr>
              <w:bidi w:val="0"/>
              <w:spacing w:line="360" w:lineRule="auto"/>
              <w:jc w:val="center"/>
              <w:rPr>
                <w:rFonts w:hint="eastAsia" w:ascii="宋体" w:hAnsi="宋体" w:eastAsia="宋体" w:cs="宋体"/>
                <w:color w:val="auto"/>
                <w:highlight w:val="none"/>
              </w:rPr>
            </w:pPr>
          </w:p>
        </w:tc>
        <w:tc>
          <w:tcPr>
            <w:tcW w:w="1708" w:type="dxa"/>
            <w:tcBorders>
              <w:top w:val="single" w:color="auto" w:sz="4" w:space="0"/>
              <w:left w:val="single" w:color="auto" w:sz="4" w:space="0"/>
              <w:bottom w:val="single" w:color="auto" w:sz="4" w:space="0"/>
              <w:right w:val="single" w:color="auto" w:sz="4" w:space="0"/>
            </w:tcBorders>
            <w:noWrap/>
            <w:vAlign w:val="center"/>
          </w:tcPr>
          <w:p w14:paraId="27019EBE">
            <w:pPr>
              <w:keepNext w:val="0"/>
              <w:keepLines w:val="0"/>
              <w:pageBreakBefore w:val="0"/>
              <w:widowControl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lang w:eastAsia="zh-CN"/>
              </w:rPr>
              <w:t>定</w:t>
            </w:r>
            <w:r>
              <w:rPr>
                <w:rFonts w:hint="eastAsia" w:ascii="宋体" w:hAnsi="宋体" w:eastAsia="宋体" w:cs="宋体"/>
                <w:color w:val="auto"/>
                <w:sz w:val="24"/>
                <w:szCs w:val="24"/>
                <w:highlight w:val="none"/>
              </w:rPr>
              <w:t>标委员会</w:t>
            </w:r>
          </w:p>
        </w:tc>
        <w:tc>
          <w:tcPr>
            <w:tcW w:w="7541" w:type="dxa"/>
            <w:tcBorders>
              <w:top w:val="single" w:color="auto" w:sz="4" w:space="0"/>
              <w:left w:val="single" w:color="auto" w:sz="4" w:space="0"/>
              <w:bottom w:val="single" w:color="auto" w:sz="4" w:space="0"/>
              <w:right w:val="single" w:color="auto" w:sz="4" w:space="0"/>
            </w:tcBorders>
            <w:noWrap/>
            <w:vAlign w:val="center"/>
          </w:tcPr>
          <w:p w14:paraId="258BEB65">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jc w:val="both"/>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定标委员会的组建由招标人依法依规组建</w:t>
            </w:r>
            <w:r>
              <w:rPr>
                <w:rFonts w:hint="eastAsia" w:ascii="宋体" w:hAnsi="宋体" w:eastAsia="宋体" w:cs="宋体"/>
                <w:color w:val="auto"/>
                <w:highlight w:val="none"/>
                <w:lang w:eastAsia="zh-CN"/>
              </w:rPr>
              <w:t>。</w:t>
            </w:r>
          </w:p>
        </w:tc>
      </w:tr>
      <w:tr w14:paraId="07DCF6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96" w:hRule="atLeast"/>
          <w:jc w:val="center"/>
        </w:trPr>
        <w:tc>
          <w:tcPr>
            <w:tcW w:w="809" w:type="dxa"/>
            <w:vMerge w:val="restart"/>
            <w:tcBorders>
              <w:top w:val="single" w:color="auto" w:sz="4" w:space="0"/>
              <w:left w:val="single" w:color="auto" w:sz="4" w:space="0"/>
              <w:right w:val="single" w:color="auto" w:sz="4" w:space="0"/>
            </w:tcBorders>
            <w:noWrap/>
            <w:vAlign w:val="center"/>
          </w:tcPr>
          <w:p w14:paraId="259A494C">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22</w:t>
            </w:r>
          </w:p>
        </w:tc>
        <w:tc>
          <w:tcPr>
            <w:tcW w:w="1708" w:type="dxa"/>
            <w:tcBorders>
              <w:top w:val="single" w:color="auto" w:sz="4" w:space="0"/>
              <w:left w:val="single" w:color="auto" w:sz="4" w:space="0"/>
              <w:bottom w:val="single" w:color="auto" w:sz="4" w:space="0"/>
              <w:right w:val="single" w:color="auto" w:sz="4" w:space="0"/>
            </w:tcBorders>
            <w:noWrap/>
            <w:vAlign w:val="center"/>
          </w:tcPr>
          <w:p w14:paraId="5C89E496">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评标方法</w:t>
            </w:r>
          </w:p>
        </w:tc>
        <w:tc>
          <w:tcPr>
            <w:tcW w:w="7541" w:type="dxa"/>
            <w:tcBorders>
              <w:top w:val="single" w:color="auto" w:sz="4" w:space="0"/>
              <w:left w:val="single" w:color="auto" w:sz="4" w:space="0"/>
              <w:bottom w:val="single" w:color="auto" w:sz="4" w:space="0"/>
              <w:right w:val="single" w:color="auto" w:sz="4" w:space="0"/>
            </w:tcBorders>
            <w:noWrap/>
            <w:vAlign w:val="center"/>
          </w:tcPr>
          <w:p w14:paraId="56B9C5FA">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  综合评估法</w:t>
            </w:r>
          </w:p>
        </w:tc>
      </w:tr>
      <w:tr w14:paraId="18C71F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96" w:hRule="atLeast"/>
          <w:jc w:val="center"/>
        </w:trPr>
        <w:tc>
          <w:tcPr>
            <w:tcW w:w="809" w:type="dxa"/>
            <w:vMerge w:val="continue"/>
            <w:tcBorders>
              <w:left w:val="single" w:color="auto" w:sz="4" w:space="0"/>
              <w:bottom w:val="single" w:color="auto" w:sz="4" w:space="0"/>
              <w:right w:val="single" w:color="auto" w:sz="4" w:space="0"/>
            </w:tcBorders>
            <w:noWrap/>
            <w:vAlign w:val="center"/>
          </w:tcPr>
          <w:p w14:paraId="2B0A0A9F">
            <w:pPr>
              <w:bidi w:val="0"/>
              <w:spacing w:line="360" w:lineRule="auto"/>
              <w:jc w:val="center"/>
              <w:rPr>
                <w:rFonts w:hint="eastAsia" w:ascii="宋体" w:hAnsi="宋体" w:eastAsia="宋体" w:cs="宋体"/>
                <w:color w:val="auto"/>
                <w:highlight w:val="none"/>
              </w:rPr>
            </w:pPr>
          </w:p>
        </w:tc>
        <w:tc>
          <w:tcPr>
            <w:tcW w:w="1708" w:type="dxa"/>
            <w:tcBorders>
              <w:top w:val="single" w:color="auto" w:sz="4" w:space="0"/>
              <w:left w:val="single" w:color="auto" w:sz="4" w:space="0"/>
              <w:bottom w:val="single" w:color="auto" w:sz="4" w:space="0"/>
              <w:right w:val="single" w:color="auto" w:sz="4" w:space="0"/>
            </w:tcBorders>
            <w:noWrap/>
            <w:vAlign w:val="center"/>
          </w:tcPr>
          <w:p w14:paraId="7E5C941B">
            <w:pPr>
              <w:bidi w:val="0"/>
              <w:spacing w:line="360" w:lineRule="auto"/>
              <w:jc w:val="center"/>
              <w:rPr>
                <w:rFonts w:hint="eastAsia" w:ascii="宋体" w:hAnsi="宋体" w:eastAsia="宋体" w:cs="宋体"/>
                <w:color w:val="auto"/>
                <w:highlight w:val="none"/>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定标办法</w:t>
            </w:r>
          </w:p>
        </w:tc>
        <w:tc>
          <w:tcPr>
            <w:tcW w:w="7541" w:type="dxa"/>
            <w:tcBorders>
              <w:top w:val="single" w:color="auto" w:sz="4" w:space="0"/>
              <w:left w:val="single" w:color="auto" w:sz="4" w:space="0"/>
              <w:bottom w:val="single" w:color="auto" w:sz="4" w:space="0"/>
              <w:right w:val="single" w:color="auto" w:sz="4" w:space="0"/>
            </w:tcBorders>
            <w:noWrap/>
            <w:vAlign w:val="center"/>
          </w:tcPr>
          <w:p w14:paraId="05B0A983">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pacing w:val="0"/>
                <w:kern w:val="2"/>
                <w:position w:val="0"/>
                <w:sz w:val="24"/>
                <w:szCs w:val="24"/>
                <w:highlight w:val="none"/>
                <w:u w:val="none" w:color="auto"/>
                <w:lang w:val="en-US" w:eastAsia="zh-CN" w:bidi="ar-SA"/>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采用评定分离的项目，应选定下列定标办法：</w:t>
            </w:r>
          </w:p>
          <w:p w14:paraId="3EA0CDF2">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jc w:val="both"/>
              <w:textAlignment w:val="auto"/>
              <w:outlineLvl w:val="9"/>
              <w:rPr>
                <w:rFonts w:hint="eastAsia" w:ascii="宋体" w:hAnsi="宋体" w:eastAsia="宋体" w:cs="宋体"/>
                <w:b w:val="0"/>
                <w:bCs w:val="0"/>
                <w:color w:val="auto"/>
                <w:spacing w:val="0"/>
                <w:kern w:val="2"/>
                <w:position w:val="0"/>
                <w:sz w:val="24"/>
                <w:szCs w:val="24"/>
                <w:highlight w:val="none"/>
                <w:u w:val="none" w:color="auto"/>
                <w:lang w:val="en-US" w:eastAsia="zh-CN" w:bidi="ar-SA"/>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☑票决数量法</w:t>
            </w:r>
          </w:p>
          <w:p w14:paraId="3DA4D72B">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jc w:val="both"/>
              <w:textAlignment w:val="auto"/>
              <w:outlineLvl w:val="9"/>
              <w:rPr>
                <w:rFonts w:hint="eastAsia" w:ascii="宋体" w:hAnsi="宋体" w:eastAsia="宋体" w:cs="宋体"/>
                <w:b w:val="0"/>
                <w:bCs w:val="0"/>
                <w:color w:val="auto"/>
                <w:spacing w:val="0"/>
                <w:kern w:val="2"/>
                <w:position w:val="0"/>
                <w:sz w:val="24"/>
                <w:szCs w:val="24"/>
                <w:highlight w:val="none"/>
                <w:u w:val="none" w:color="auto"/>
                <w:lang w:val="en-US" w:eastAsia="zh-CN" w:bidi="ar-SA"/>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□票决计分法</w:t>
            </w:r>
          </w:p>
          <w:p w14:paraId="5ADC661A">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jc w:val="both"/>
              <w:textAlignment w:val="auto"/>
              <w:outlineLvl w:val="9"/>
              <w:rPr>
                <w:rFonts w:hint="eastAsia" w:ascii="宋体" w:hAnsi="宋体" w:eastAsia="宋体" w:cs="宋体"/>
                <w:b w:val="0"/>
                <w:bCs w:val="0"/>
                <w:color w:val="auto"/>
                <w:spacing w:val="0"/>
                <w:kern w:val="2"/>
                <w:position w:val="0"/>
                <w:sz w:val="24"/>
                <w:szCs w:val="24"/>
                <w:highlight w:val="none"/>
                <w:u w:val="none" w:color="auto"/>
                <w:lang w:val="en-US" w:eastAsia="zh-CN" w:bidi="ar-SA"/>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□集体议事法</w:t>
            </w:r>
          </w:p>
          <w:p w14:paraId="69E12A08">
            <w:pPr>
              <w:bidi w:val="0"/>
              <w:spacing w:line="360" w:lineRule="auto"/>
              <w:rPr>
                <w:rFonts w:hint="eastAsia" w:ascii="宋体" w:hAnsi="宋体" w:eastAsia="宋体" w:cs="宋体"/>
                <w:color w:val="auto"/>
                <w:highlight w:val="none"/>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□其他方法：</w:t>
            </w:r>
          </w:p>
        </w:tc>
      </w:tr>
      <w:tr w14:paraId="70281E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28"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0149EE20">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23</w:t>
            </w:r>
          </w:p>
        </w:tc>
        <w:tc>
          <w:tcPr>
            <w:tcW w:w="1708" w:type="dxa"/>
            <w:tcBorders>
              <w:top w:val="single" w:color="auto" w:sz="4" w:space="0"/>
              <w:left w:val="single" w:color="auto" w:sz="4" w:space="0"/>
              <w:bottom w:val="single" w:color="auto" w:sz="4" w:space="0"/>
              <w:right w:val="single" w:color="auto" w:sz="4" w:space="0"/>
            </w:tcBorders>
            <w:noWrap/>
            <w:vAlign w:val="center"/>
          </w:tcPr>
          <w:p w14:paraId="792787B8">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安全文明施工</w:t>
            </w:r>
          </w:p>
        </w:tc>
        <w:tc>
          <w:tcPr>
            <w:tcW w:w="7541" w:type="dxa"/>
            <w:tcBorders>
              <w:top w:val="single" w:color="auto" w:sz="4" w:space="0"/>
              <w:left w:val="single" w:color="auto" w:sz="4" w:space="0"/>
              <w:bottom w:val="single" w:color="auto" w:sz="4" w:space="0"/>
              <w:right w:val="single" w:color="auto" w:sz="4" w:space="0"/>
            </w:tcBorders>
            <w:noWrap/>
            <w:vAlign w:val="center"/>
          </w:tcPr>
          <w:p w14:paraId="4C98B9C6">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本工程安全文明施工须严格执行国家、广东省及韶关市现行相关规范标准。</w:t>
            </w:r>
          </w:p>
        </w:tc>
      </w:tr>
      <w:tr w14:paraId="4FAE7D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096DD9EF">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24</w:t>
            </w:r>
          </w:p>
        </w:tc>
        <w:tc>
          <w:tcPr>
            <w:tcW w:w="1708" w:type="dxa"/>
            <w:tcBorders>
              <w:top w:val="single" w:color="auto" w:sz="4" w:space="0"/>
              <w:left w:val="single" w:color="auto" w:sz="4" w:space="0"/>
              <w:bottom w:val="single" w:color="auto" w:sz="4" w:space="0"/>
              <w:right w:val="single" w:color="auto" w:sz="4" w:space="0"/>
            </w:tcBorders>
            <w:noWrap/>
            <w:vAlign w:val="center"/>
          </w:tcPr>
          <w:p w14:paraId="5F408FC1">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房屋建筑工程</w:t>
            </w:r>
          </w:p>
          <w:p w14:paraId="2DEFDAEF">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绿色建筑标准</w:t>
            </w:r>
          </w:p>
        </w:tc>
        <w:tc>
          <w:tcPr>
            <w:tcW w:w="7541" w:type="dxa"/>
            <w:tcBorders>
              <w:top w:val="single" w:color="auto" w:sz="4" w:space="0"/>
              <w:left w:val="single" w:color="auto" w:sz="4" w:space="0"/>
              <w:bottom w:val="single" w:color="auto" w:sz="4" w:space="0"/>
              <w:right w:val="single" w:color="auto" w:sz="4" w:space="0"/>
            </w:tcBorders>
            <w:noWrap/>
            <w:vAlign w:val="center"/>
          </w:tcPr>
          <w:p w14:paraId="70EAB278">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本招标项目</w:t>
            </w:r>
            <w:r>
              <w:rPr>
                <w:rFonts w:hint="eastAsia" w:ascii="宋体" w:hAnsi="宋体" w:eastAsia="宋体" w:cs="宋体"/>
                <w:color w:val="auto"/>
                <w:highlight w:val="none"/>
                <w:lang w:val="en-US" w:eastAsia="zh-CN"/>
              </w:rPr>
              <w:t>不</w:t>
            </w:r>
            <w:r>
              <w:rPr>
                <w:rFonts w:hint="eastAsia" w:ascii="宋体" w:hAnsi="宋体" w:eastAsia="宋体" w:cs="宋体"/>
                <w:color w:val="auto"/>
                <w:highlight w:val="none"/>
              </w:rPr>
              <w:t>纳入绿色建设实施范围</w:t>
            </w:r>
            <w:r>
              <w:rPr>
                <w:rFonts w:hint="eastAsia" w:ascii="宋体" w:hAnsi="宋体" w:eastAsia="宋体" w:cs="宋体"/>
                <w:color w:val="auto"/>
                <w:highlight w:val="none"/>
                <w:lang w:val="en-US" w:eastAsia="zh-CN"/>
              </w:rPr>
              <w:t>。</w:t>
            </w:r>
          </w:p>
        </w:tc>
      </w:tr>
      <w:tr w14:paraId="4EB766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58DB0188">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25</w:t>
            </w:r>
          </w:p>
        </w:tc>
        <w:tc>
          <w:tcPr>
            <w:tcW w:w="1708" w:type="dxa"/>
            <w:tcBorders>
              <w:top w:val="single" w:color="auto" w:sz="4" w:space="0"/>
              <w:left w:val="single" w:color="auto" w:sz="4" w:space="0"/>
              <w:bottom w:val="single" w:color="auto" w:sz="4" w:space="0"/>
              <w:right w:val="single" w:color="auto" w:sz="4" w:space="0"/>
            </w:tcBorders>
            <w:noWrap/>
            <w:vAlign w:val="center"/>
          </w:tcPr>
          <w:p w14:paraId="7387BCDE">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履约保证金</w:t>
            </w:r>
          </w:p>
        </w:tc>
        <w:tc>
          <w:tcPr>
            <w:tcW w:w="7541" w:type="dxa"/>
            <w:tcBorders>
              <w:top w:val="single" w:color="auto" w:sz="4" w:space="0"/>
              <w:left w:val="single" w:color="auto" w:sz="4" w:space="0"/>
              <w:bottom w:val="single" w:color="auto" w:sz="4" w:space="0"/>
              <w:right w:val="single" w:color="auto" w:sz="4" w:space="0"/>
            </w:tcBorders>
            <w:noWrap/>
            <w:vAlign w:val="center"/>
          </w:tcPr>
          <w:p w14:paraId="26F96C49">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履约保证金为中标价的</w:t>
            </w:r>
            <w:r>
              <w:rPr>
                <w:rFonts w:hint="eastAsia" w:hAnsi="宋体" w:eastAsia="宋体" w:cs="宋体"/>
                <w:color w:val="auto"/>
                <w:highlight w:val="none"/>
                <w:lang w:val="en-US" w:eastAsia="zh-CN"/>
              </w:rPr>
              <w:t>3</w:t>
            </w:r>
            <w:r>
              <w:rPr>
                <w:rFonts w:hint="eastAsia" w:ascii="宋体" w:hAnsi="宋体" w:eastAsia="宋体" w:cs="宋体"/>
                <w:color w:val="auto"/>
                <w:highlight w:val="none"/>
              </w:rPr>
              <w:t>%（在领取中标通知书之日起</w:t>
            </w:r>
            <w:r>
              <w:rPr>
                <w:rFonts w:hint="eastAsia" w:hAnsi="宋体" w:eastAsia="宋体" w:cs="宋体"/>
                <w:color w:val="auto"/>
                <w:highlight w:val="none"/>
                <w:lang w:val="en-US" w:eastAsia="zh-CN"/>
              </w:rPr>
              <w:t>10</w:t>
            </w:r>
            <w:r>
              <w:rPr>
                <w:rFonts w:hint="eastAsia" w:ascii="宋体" w:hAnsi="宋体" w:eastAsia="宋体" w:cs="宋体"/>
                <w:color w:val="auto"/>
                <w:highlight w:val="none"/>
              </w:rPr>
              <w:t>个工作日内、签订合同前缴纳，组成联合体时，由联合体牵头人缴纳）。</w:t>
            </w:r>
          </w:p>
          <w:p w14:paraId="6BC93424">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中标人根据《关于统一在市公共资源交易一体化服务平台缴退工程建设项目履约保证金的通知》办理相关手续，履约保证的形式包括履约保证金、履约保证担保、履约保证保险三种，由中标人自主选择。</w:t>
            </w:r>
          </w:p>
        </w:tc>
      </w:tr>
      <w:tr w14:paraId="29E5CC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FAC644E">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26</w:t>
            </w:r>
          </w:p>
        </w:tc>
        <w:tc>
          <w:tcPr>
            <w:tcW w:w="1708" w:type="dxa"/>
            <w:tcBorders>
              <w:top w:val="single" w:color="auto" w:sz="4" w:space="0"/>
              <w:left w:val="single" w:color="auto" w:sz="4" w:space="0"/>
              <w:bottom w:val="single" w:color="auto" w:sz="4" w:space="0"/>
              <w:right w:val="single" w:color="auto" w:sz="4" w:space="0"/>
            </w:tcBorders>
            <w:noWrap/>
            <w:vAlign w:val="center"/>
          </w:tcPr>
          <w:p w14:paraId="3053B38A">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工程款支付</w:t>
            </w:r>
          </w:p>
        </w:tc>
        <w:tc>
          <w:tcPr>
            <w:tcW w:w="7541" w:type="dxa"/>
            <w:tcBorders>
              <w:top w:val="single" w:color="auto" w:sz="4" w:space="0"/>
              <w:left w:val="single" w:color="auto" w:sz="4" w:space="0"/>
              <w:bottom w:val="single" w:color="auto" w:sz="4" w:space="0"/>
              <w:right w:val="single" w:color="auto" w:sz="4" w:space="0"/>
            </w:tcBorders>
            <w:noWrap/>
            <w:vAlign w:val="center"/>
          </w:tcPr>
          <w:p w14:paraId="1E9EE519">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详见本招标文件“2-4、工程付款办法”</w:t>
            </w:r>
          </w:p>
        </w:tc>
      </w:tr>
      <w:tr w14:paraId="020A33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07F70250">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27</w:t>
            </w:r>
          </w:p>
        </w:tc>
        <w:tc>
          <w:tcPr>
            <w:tcW w:w="1708" w:type="dxa"/>
            <w:tcBorders>
              <w:top w:val="single" w:color="auto" w:sz="4" w:space="0"/>
              <w:left w:val="single" w:color="auto" w:sz="4" w:space="0"/>
              <w:bottom w:val="single" w:color="auto" w:sz="4" w:space="0"/>
              <w:right w:val="single" w:color="auto" w:sz="4" w:space="0"/>
            </w:tcBorders>
            <w:noWrap/>
            <w:vAlign w:val="center"/>
          </w:tcPr>
          <w:p w14:paraId="1B906B9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工程质量保证金</w:t>
            </w:r>
          </w:p>
        </w:tc>
        <w:tc>
          <w:tcPr>
            <w:tcW w:w="7541" w:type="dxa"/>
            <w:tcBorders>
              <w:top w:val="single" w:color="auto" w:sz="4" w:space="0"/>
              <w:left w:val="single" w:color="auto" w:sz="4" w:space="0"/>
              <w:bottom w:val="single" w:color="auto" w:sz="4" w:space="0"/>
              <w:right w:val="single" w:color="auto" w:sz="4" w:space="0"/>
            </w:tcBorders>
            <w:noWrap/>
            <w:vAlign w:val="center"/>
          </w:tcPr>
          <w:p w14:paraId="4A30AB3E">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工程质量保证金总金额为结算价的3%，从工程竣工验收合格之日起计满</w:t>
            </w:r>
            <w:r>
              <w:rPr>
                <w:rFonts w:hint="eastAsia" w:hAnsi="宋体" w:eastAsia="宋体" w:cs="宋体"/>
                <w:color w:val="auto"/>
                <w:highlight w:val="none"/>
                <w:lang w:val="en-US" w:eastAsia="zh-CN"/>
              </w:rPr>
              <w:t>1</w:t>
            </w:r>
            <w:r>
              <w:rPr>
                <w:rFonts w:hint="eastAsia" w:ascii="宋体" w:hAnsi="宋体" w:eastAsia="宋体" w:cs="宋体"/>
                <w:color w:val="auto"/>
                <w:highlight w:val="none"/>
              </w:rPr>
              <w:t>年。</w:t>
            </w:r>
          </w:p>
        </w:tc>
      </w:tr>
      <w:tr w14:paraId="6F4BD1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45"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2CE6E3D7">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28</w:t>
            </w:r>
          </w:p>
        </w:tc>
        <w:tc>
          <w:tcPr>
            <w:tcW w:w="1708" w:type="dxa"/>
            <w:tcBorders>
              <w:top w:val="single" w:color="auto" w:sz="4" w:space="0"/>
              <w:left w:val="single" w:color="auto" w:sz="4" w:space="0"/>
              <w:bottom w:val="single" w:color="auto" w:sz="4" w:space="0"/>
              <w:right w:val="single" w:color="auto" w:sz="4" w:space="0"/>
            </w:tcBorders>
            <w:noWrap/>
            <w:vAlign w:val="center"/>
          </w:tcPr>
          <w:p w14:paraId="255329DD">
            <w:pPr>
              <w:bidi w:val="0"/>
              <w:spacing w:line="360" w:lineRule="auto"/>
              <w:jc w:val="center"/>
              <w:rPr>
                <w:rFonts w:hint="eastAsia" w:ascii="宋体" w:hAnsi="宋体" w:eastAsia="宋体" w:cs="宋体"/>
                <w:color w:val="auto"/>
                <w:highlight w:val="none"/>
                <w:lang w:eastAsia="zh-CN"/>
              </w:rPr>
            </w:pPr>
            <w:r>
              <w:rPr>
                <w:rFonts w:hint="eastAsia" w:hAnsi="宋体" w:eastAsia="宋体" w:cs="宋体"/>
                <w:color w:val="auto"/>
                <w:highlight w:val="none"/>
                <w:lang w:eastAsia="zh-CN"/>
              </w:rPr>
              <w:t>安全生产措施费</w:t>
            </w:r>
          </w:p>
        </w:tc>
        <w:tc>
          <w:tcPr>
            <w:tcW w:w="7541" w:type="dxa"/>
            <w:tcBorders>
              <w:top w:val="single" w:color="auto" w:sz="4" w:space="0"/>
              <w:left w:val="single" w:color="auto" w:sz="4" w:space="0"/>
              <w:bottom w:val="single" w:color="auto" w:sz="4" w:space="0"/>
              <w:right w:val="single" w:color="auto" w:sz="4" w:space="0"/>
            </w:tcBorders>
            <w:noWrap/>
            <w:vAlign w:val="center"/>
          </w:tcPr>
          <w:p w14:paraId="5310C6DB">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按</w:t>
            </w:r>
            <w:r>
              <w:rPr>
                <w:rFonts w:hint="eastAsia" w:asciiTheme="minorEastAsia" w:hAnsiTheme="minorEastAsia" w:eastAsiaTheme="minorEastAsia" w:cstheme="minorEastAsia"/>
                <w:color w:val="auto"/>
                <w:highlight w:val="none"/>
                <w:lang w:eastAsia="zh-CN"/>
              </w:rPr>
              <w:t>《建设工程工程量清单计价标准》（GB/T50500-2024）</w:t>
            </w:r>
            <w:r>
              <w:rPr>
                <w:rFonts w:hint="eastAsia" w:ascii="宋体" w:hAnsi="宋体" w:eastAsia="宋体" w:cs="宋体"/>
                <w:color w:val="auto"/>
                <w:highlight w:val="none"/>
              </w:rPr>
              <w:t>、《广东省建设工程计价依据（2018）》《关于明确建筑工程安全防护、文明施工措施费用具体管理办法的通知》（韶市建</w:t>
            </w:r>
            <w:r>
              <w:rPr>
                <w:rFonts w:ascii="宋体" w:hAnsi="宋体" w:eastAsia="宋体" w:cs="宋体"/>
                <w:color w:val="auto"/>
                <w:sz w:val="24"/>
                <w:szCs w:val="24"/>
                <w:highlight w:val="none"/>
              </w:rPr>
              <w:t>〔</w:t>
            </w:r>
            <w:r>
              <w:rPr>
                <w:rFonts w:hint="eastAsia" w:ascii="宋体" w:hAnsi="宋体" w:eastAsia="宋体" w:cs="宋体"/>
                <w:color w:val="auto"/>
                <w:highlight w:val="none"/>
              </w:rPr>
              <w:t>2015</w:t>
            </w:r>
            <w:r>
              <w:rPr>
                <w:rFonts w:ascii="宋体" w:hAnsi="宋体" w:eastAsia="宋体" w:cs="宋体"/>
                <w:color w:val="auto"/>
                <w:sz w:val="24"/>
                <w:szCs w:val="24"/>
                <w:highlight w:val="none"/>
              </w:rPr>
              <w:t>〕</w:t>
            </w:r>
            <w:r>
              <w:rPr>
                <w:rFonts w:hint="eastAsia" w:ascii="宋体" w:hAnsi="宋体" w:eastAsia="宋体" w:cs="宋体"/>
                <w:color w:val="auto"/>
                <w:highlight w:val="none"/>
              </w:rPr>
              <w:t>26号）等最新规定执行。</w:t>
            </w:r>
          </w:p>
        </w:tc>
      </w:tr>
      <w:tr w14:paraId="00FA79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07" w:hRule="atLeast"/>
          <w:jc w:val="center"/>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E82F3">
            <w:pPr>
              <w:bidi w:val="0"/>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29</w:t>
            </w:r>
          </w:p>
        </w:tc>
        <w:tc>
          <w:tcPr>
            <w:tcW w:w="1708" w:type="dxa"/>
            <w:tcBorders>
              <w:top w:val="single" w:color="auto" w:sz="4" w:space="0"/>
              <w:left w:val="single" w:color="auto" w:sz="4" w:space="0"/>
              <w:bottom w:val="single" w:color="auto" w:sz="4" w:space="0"/>
              <w:right w:val="single" w:color="auto" w:sz="4" w:space="0"/>
            </w:tcBorders>
            <w:noWrap/>
            <w:vAlign w:val="center"/>
          </w:tcPr>
          <w:p w14:paraId="1809C70D">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招标代理费及</w:t>
            </w:r>
            <w:r>
              <w:rPr>
                <w:rFonts w:hint="eastAsia" w:ascii="宋体" w:hAnsi="宋体" w:eastAsia="宋体" w:cs="宋体"/>
                <w:color w:val="auto"/>
                <w:highlight w:val="none"/>
              </w:rPr>
              <w:t>评标专家酬劳</w:t>
            </w:r>
          </w:p>
        </w:tc>
        <w:tc>
          <w:tcPr>
            <w:tcW w:w="7541" w:type="dxa"/>
            <w:tcBorders>
              <w:top w:val="single" w:color="auto" w:sz="4" w:space="0"/>
              <w:left w:val="single" w:color="auto" w:sz="4" w:space="0"/>
              <w:bottom w:val="single" w:color="auto" w:sz="4" w:space="0"/>
              <w:right w:val="single" w:color="auto" w:sz="4" w:space="0"/>
            </w:tcBorders>
            <w:noWrap/>
            <w:vAlign w:val="center"/>
          </w:tcPr>
          <w:p w14:paraId="55D01561">
            <w:pPr>
              <w:bidi w:val="0"/>
              <w:spacing w:line="360" w:lineRule="auto"/>
              <w:ind w:firstLine="240" w:firstLineChars="100"/>
              <w:rPr>
                <w:rFonts w:hint="eastAsia" w:ascii="宋体" w:hAnsi="宋体" w:eastAsia="宋体" w:cs="宋体"/>
                <w:color w:val="auto"/>
                <w:highlight w:val="none"/>
              </w:rPr>
            </w:pPr>
            <w:r>
              <w:rPr>
                <w:rFonts w:hint="eastAsia" w:ascii="宋体" w:hAnsi="宋体" w:eastAsia="宋体" w:cs="宋体"/>
                <w:color w:val="auto"/>
                <w:highlight w:val="none"/>
              </w:rPr>
              <w:t>本项目的招标代理服务费由中标人支付，投标人必须综合考虑此费用，并计入投标成本报价中，不另列；中标人须在中标候选人公示期结束后、领取中标通知书前向招标代理机构支付招标代理服务费，方可领取中标通知书。</w:t>
            </w:r>
          </w:p>
        </w:tc>
      </w:tr>
      <w:tr w14:paraId="38CD7D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6" w:hRule="atLeast"/>
          <w:jc w:val="center"/>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3FF2C">
            <w:pPr>
              <w:bidi w:val="0"/>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30</w:t>
            </w:r>
          </w:p>
        </w:tc>
        <w:tc>
          <w:tcPr>
            <w:tcW w:w="17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608BF0">
            <w:pPr>
              <w:bidi w:val="0"/>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招标文件要求提交的用于评审的证书、证件、凭证原件</w:t>
            </w:r>
          </w:p>
        </w:tc>
        <w:tc>
          <w:tcPr>
            <w:tcW w:w="75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67DDB">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在提交用于评审的证书、证件、证明原件的，投标人应自行将所需原件密封于文件袋（箱）中，并自行准备两张“原件一览表”（详见格式十三，投标人须自行填写，表格可扩展），一张贴于文件袋（箱），一张在递交时由投标人、招标代理人签字。招标代理机构仅代签收，不对文件袋（箱）中资料的数量、内容及真实性负责。评标结束后，招标代理人将退回投标人的原件。若投标人未按要求提交相应证明材料原件或投标文件中证明材料的彩色扫描件与原件不一致，评审时相应证明材料不予认可。</w:t>
            </w:r>
          </w:p>
        </w:tc>
      </w:tr>
      <w:tr w14:paraId="10ED65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340" w:hRule="atLeast"/>
          <w:jc w:val="center"/>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2389B">
            <w:pPr>
              <w:bidi w:val="0"/>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31</w:t>
            </w:r>
          </w:p>
        </w:tc>
        <w:tc>
          <w:tcPr>
            <w:tcW w:w="1708" w:type="dxa"/>
            <w:tcBorders>
              <w:top w:val="single" w:color="auto" w:sz="4" w:space="0"/>
              <w:left w:val="single" w:color="auto" w:sz="4" w:space="0"/>
              <w:bottom w:val="single" w:color="auto" w:sz="4" w:space="0"/>
              <w:right w:val="single" w:color="auto" w:sz="4" w:space="0"/>
            </w:tcBorders>
            <w:noWrap/>
            <w:vAlign w:val="center"/>
          </w:tcPr>
          <w:p w14:paraId="29627470">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招标人</w:t>
            </w:r>
          </w:p>
          <w:p w14:paraId="3E4C2981">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联系方式</w:t>
            </w:r>
          </w:p>
        </w:tc>
        <w:tc>
          <w:tcPr>
            <w:tcW w:w="7541" w:type="dxa"/>
            <w:tcBorders>
              <w:top w:val="single" w:color="auto" w:sz="4" w:space="0"/>
              <w:left w:val="single" w:color="auto" w:sz="4" w:space="0"/>
              <w:bottom w:val="single" w:color="auto" w:sz="4" w:space="0"/>
              <w:right w:val="single" w:color="auto" w:sz="4" w:space="0"/>
            </w:tcBorders>
            <w:noWrap/>
            <w:vAlign w:val="center"/>
          </w:tcPr>
          <w:p w14:paraId="39ADEE16">
            <w:pPr>
              <w:wordWrap w:val="0"/>
              <w:bidi w:val="0"/>
              <w:adjustRightInd w:val="0"/>
              <w:snapToGrid w:val="0"/>
              <w:spacing w:line="360" w:lineRule="auto"/>
              <w:jc w:val="left"/>
              <w:rPr>
                <w:rFonts w:hint="eastAsia" w:ascii="宋体" w:hAnsi="宋体" w:eastAsia="宋体" w:cs="宋体"/>
                <w:snapToGrid w:val="0"/>
                <w:color w:val="auto"/>
                <w:kern w:val="0"/>
                <w:szCs w:val="24"/>
                <w:highlight w:val="none"/>
                <w:lang w:val="en-US" w:eastAsia="zh-CN"/>
              </w:rPr>
            </w:pPr>
            <w:r>
              <w:rPr>
                <w:rFonts w:hint="eastAsia" w:ascii="宋体" w:hAnsi="宋体" w:eastAsia="宋体" w:cs="宋体"/>
                <w:color w:val="auto"/>
                <w:highlight w:val="none"/>
                <w:lang w:val="en-US" w:eastAsia="zh-CN"/>
              </w:rPr>
              <w:t>单</w:t>
            </w:r>
            <w:r>
              <w:rPr>
                <w:rFonts w:hint="eastAsia" w:ascii="宋体" w:hAnsi="宋体" w:eastAsia="宋体" w:cs="宋体"/>
                <w:snapToGrid w:val="0"/>
                <w:color w:val="auto"/>
                <w:kern w:val="0"/>
                <w:szCs w:val="24"/>
                <w:highlight w:val="none"/>
                <w:lang w:val="en-US" w:eastAsia="zh-CN"/>
              </w:rPr>
              <w:t>位名称：</w:t>
            </w:r>
            <w:r>
              <w:rPr>
                <w:rFonts w:hint="eastAsia" w:ascii="宋体" w:hAnsi="宋体" w:eastAsia="宋体" w:cs="宋体"/>
                <w:snapToGrid w:val="0"/>
                <w:color w:val="auto"/>
                <w:kern w:val="0"/>
                <w:szCs w:val="24"/>
                <w:highlight w:val="none"/>
                <w:lang w:val="en-US" w:eastAsia="zh-CN"/>
              </w:rPr>
              <w:tab/>
            </w:r>
            <w:r>
              <w:rPr>
                <w:rFonts w:hint="eastAsia" w:hAnsi="宋体" w:eastAsia="宋体" w:cs="宋体"/>
                <w:i w:val="0"/>
                <w:iCs w:val="0"/>
                <w:caps w:val="0"/>
                <w:snapToGrid w:val="0"/>
                <w:color w:val="auto"/>
                <w:spacing w:val="0"/>
                <w:kern w:val="0"/>
                <w:sz w:val="24"/>
                <w:szCs w:val="24"/>
                <w:highlight w:val="none"/>
                <w:shd w:val="clear" w:fill="auto"/>
                <w:lang w:eastAsia="zh-CN"/>
              </w:rPr>
              <w:t>南雄市油山镇人民政府</w:t>
            </w:r>
          </w:p>
          <w:p w14:paraId="26511528">
            <w:pPr>
              <w:wordWrap w:val="0"/>
              <w:bidi w:val="0"/>
              <w:adjustRightInd w:val="0"/>
              <w:snapToGrid w:val="0"/>
              <w:spacing w:line="360" w:lineRule="auto"/>
              <w:jc w:val="left"/>
              <w:rPr>
                <w:rFonts w:hint="eastAsia" w:ascii="宋体" w:hAnsi="宋体" w:eastAsia="宋体" w:cs="宋体"/>
                <w:color w:val="auto"/>
                <w:highlight w:val="none"/>
                <w:lang w:val="en-US" w:eastAsia="zh-CN"/>
              </w:rPr>
            </w:pPr>
            <w:r>
              <w:rPr>
                <w:rFonts w:hint="eastAsia" w:ascii="宋体" w:hAnsi="宋体" w:eastAsia="宋体" w:cs="宋体"/>
                <w:snapToGrid w:val="0"/>
                <w:color w:val="auto"/>
                <w:kern w:val="0"/>
                <w:szCs w:val="24"/>
                <w:highlight w:val="none"/>
                <w:lang w:val="en-US" w:eastAsia="zh-CN"/>
              </w:rPr>
              <w:t>办公地址：</w:t>
            </w:r>
            <w:r>
              <w:rPr>
                <w:rFonts w:hint="eastAsia" w:ascii="宋体" w:hAnsi="宋体" w:eastAsia="宋体" w:cs="宋体"/>
                <w:i w:val="0"/>
                <w:iCs w:val="0"/>
                <w:caps w:val="0"/>
                <w:snapToGrid w:val="0"/>
                <w:color w:val="auto"/>
                <w:spacing w:val="0"/>
                <w:kern w:val="0"/>
                <w:sz w:val="24"/>
                <w:szCs w:val="24"/>
                <w:highlight w:val="none"/>
                <w:shd w:val="clear" w:fill="auto"/>
                <w:lang w:eastAsia="zh-CN"/>
              </w:rPr>
              <w:t>南雄市油山镇塘新路5号</w:t>
            </w:r>
            <w:r>
              <w:rPr>
                <w:rFonts w:hint="eastAsia" w:ascii="宋体" w:hAnsi="宋体" w:eastAsia="宋体" w:cs="宋体"/>
                <w:i w:val="0"/>
                <w:iCs w:val="0"/>
                <w:caps w:val="0"/>
                <w:snapToGrid w:val="0"/>
                <w:color w:val="auto"/>
                <w:spacing w:val="0"/>
                <w:kern w:val="0"/>
                <w:sz w:val="24"/>
                <w:szCs w:val="24"/>
                <w:highlight w:val="none"/>
                <w:shd w:val="clear" w:fill="auto"/>
                <w:lang w:val="en-US" w:eastAsia="zh-CN"/>
              </w:rPr>
              <w:t>镇政府大楼</w:t>
            </w:r>
            <w:r>
              <w:rPr>
                <w:rFonts w:hint="eastAsia" w:hAnsi="宋体" w:eastAsia="宋体" w:cs="宋体"/>
                <w:snapToGrid w:val="0"/>
                <w:color w:val="auto"/>
                <w:kern w:val="0"/>
                <w:szCs w:val="24"/>
                <w:highlight w:val="none"/>
                <w:lang w:val="en-US" w:eastAsia="zh-CN"/>
              </w:rPr>
              <w:t xml:space="preserve"> </w:t>
            </w:r>
          </w:p>
          <w:p w14:paraId="176869E0">
            <w:pPr>
              <w:bidi w:val="0"/>
              <w:spacing w:line="360" w:lineRule="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联系人（部门）：</w:t>
            </w:r>
            <w:r>
              <w:rPr>
                <w:rFonts w:hint="eastAsia" w:hAnsi="宋体" w:eastAsia="宋体" w:cs="宋体"/>
                <w:color w:val="auto"/>
                <w:highlight w:val="none"/>
                <w:lang w:val="en-US" w:eastAsia="zh-CN"/>
              </w:rPr>
              <w:t>练工</w:t>
            </w:r>
          </w:p>
          <w:p w14:paraId="511CBBFB">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联系电话：</w:t>
            </w:r>
            <w:r>
              <w:rPr>
                <w:rFonts w:hint="eastAsia" w:hAnsi="宋体" w:eastAsia="宋体" w:cs="宋体"/>
                <w:color w:val="auto"/>
                <w:highlight w:val="none"/>
                <w:lang w:val="en-US" w:eastAsia="zh-CN"/>
              </w:rPr>
              <w:t>0751-3712001</w:t>
            </w:r>
          </w:p>
        </w:tc>
      </w:tr>
      <w:tr w14:paraId="1F4ECD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786" w:hRule="atLeast"/>
          <w:jc w:val="center"/>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5BFB7">
            <w:pPr>
              <w:bidi w:val="0"/>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32</w:t>
            </w:r>
          </w:p>
        </w:tc>
        <w:tc>
          <w:tcPr>
            <w:tcW w:w="1708" w:type="dxa"/>
            <w:tcBorders>
              <w:top w:val="single" w:color="auto" w:sz="4" w:space="0"/>
              <w:left w:val="single" w:color="auto" w:sz="4" w:space="0"/>
              <w:bottom w:val="single" w:color="auto" w:sz="4" w:space="0"/>
              <w:right w:val="single" w:color="auto" w:sz="4" w:space="0"/>
            </w:tcBorders>
            <w:noWrap/>
            <w:vAlign w:val="center"/>
          </w:tcPr>
          <w:p w14:paraId="43961663">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招标代理机构</w:t>
            </w:r>
          </w:p>
          <w:p w14:paraId="07C0245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联系方式</w:t>
            </w:r>
          </w:p>
        </w:tc>
        <w:tc>
          <w:tcPr>
            <w:tcW w:w="7541" w:type="dxa"/>
            <w:tcBorders>
              <w:top w:val="single" w:color="auto" w:sz="4" w:space="0"/>
              <w:left w:val="single" w:color="auto" w:sz="4" w:space="0"/>
              <w:bottom w:val="single" w:color="auto" w:sz="4" w:space="0"/>
              <w:right w:val="single" w:color="auto" w:sz="4" w:space="0"/>
            </w:tcBorders>
            <w:noWrap/>
            <w:vAlign w:val="center"/>
          </w:tcPr>
          <w:p w14:paraId="4BDCD3ED">
            <w:pPr>
              <w:keepNext w:val="0"/>
              <w:keepLines w:val="0"/>
              <w:pageBreakBefore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单位名称：</w:t>
            </w:r>
            <w:r>
              <w:rPr>
                <w:rFonts w:hint="eastAsia" w:hAnsi="宋体" w:eastAsia="宋体" w:cs="宋体"/>
                <w:snapToGrid w:val="0"/>
                <w:color w:val="auto"/>
                <w:kern w:val="0"/>
                <w:sz w:val="24"/>
                <w:szCs w:val="24"/>
                <w:highlight w:val="none"/>
                <w:lang w:eastAsia="zh-CN"/>
              </w:rPr>
              <w:t>广东象龙国际项目管理有限公司</w:t>
            </w:r>
          </w:p>
          <w:p w14:paraId="3C15233A">
            <w:pPr>
              <w:keepNext w:val="0"/>
              <w:keepLines w:val="0"/>
              <w:pageBreakBefore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办公地址：</w:t>
            </w:r>
            <w:r>
              <w:rPr>
                <w:rFonts w:hint="eastAsia" w:hAnsi="宋体" w:eastAsia="宋体" w:cs="宋体"/>
                <w:snapToGrid w:val="0"/>
                <w:color w:val="auto"/>
                <w:kern w:val="0"/>
                <w:sz w:val="24"/>
                <w:szCs w:val="24"/>
                <w:highlight w:val="none"/>
                <w:lang w:val="en-US" w:eastAsia="zh-CN"/>
              </w:rPr>
              <w:t>韶关市武江区莞韶城一期黄沙坪创新园第9栋商务楼 303 房</w:t>
            </w:r>
          </w:p>
          <w:p w14:paraId="5BF1B488">
            <w:pPr>
              <w:keepNext w:val="0"/>
              <w:keepLines w:val="0"/>
              <w:pageBreakBefore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联系人：</w:t>
            </w:r>
            <w:r>
              <w:rPr>
                <w:rFonts w:hint="eastAsia" w:hAnsi="宋体" w:eastAsia="宋体" w:cs="宋体"/>
                <w:snapToGrid w:val="0"/>
                <w:color w:val="auto"/>
                <w:kern w:val="0"/>
                <w:sz w:val="24"/>
                <w:szCs w:val="24"/>
                <w:highlight w:val="none"/>
                <w:lang w:val="en-US" w:eastAsia="zh-CN"/>
              </w:rPr>
              <w:t>郑工</w:t>
            </w:r>
          </w:p>
          <w:p w14:paraId="2B325649">
            <w:pPr>
              <w:bidi w:val="0"/>
              <w:spacing w:line="360" w:lineRule="auto"/>
              <w:rPr>
                <w:rFonts w:hint="default" w:ascii="宋体" w:hAnsi="宋体" w:eastAsia="宋体" w:cs="宋体"/>
                <w:color w:val="auto"/>
                <w:highlight w:val="none"/>
                <w:lang w:val="en-US" w:eastAsia="zh-CN"/>
              </w:rPr>
            </w:pPr>
            <w:r>
              <w:rPr>
                <w:rFonts w:hint="eastAsia" w:ascii="宋体" w:hAnsi="宋体" w:eastAsia="宋体" w:cs="宋体"/>
                <w:snapToGrid w:val="0"/>
                <w:color w:val="auto"/>
                <w:kern w:val="0"/>
                <w:sz w:val="24"/>
                <w:szCs w:val="24"/>
                <w:highlight w:val="none"/>
              </w:rPr>
              <w:t>联系电话：</w:t>
            </w:r>
            <w:r>
              <w:rPr>
                <w:rFonts w:hint="eastAsia" w:hAnsi="宋体" w:eastAsia="宋体" w:cs="宋体"/>
                <w:snapToGrid w:val="0"/>
                <w:color w:val="auto"/>
                <w:kern w:val="0"/>
                <w:sz w:val="24"/>
                <w:szCs w:val="24"/>
                <w:highlight w:val="none"/>
                <w:lang w:val="en-US" w:eastAsia="zh-CN"/>
              </w:rPr>
              <w:t>0751-8962686</w:t>
            </w:r>
          </w:p>
        </w:tc>
      </w:tr>
      <w:tr w14:paraId="17AA8A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430" w:hRule="atLeast"/>
          <w:jc w:val="center"/>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D2BF8">
            <w:pPr>
              <w:bidi w:val="0"/>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33</w:t>
            </w:r>
          </w:p>
        </w:tc>
        <w:tc>
          <w:tcPr>
            <w:tcW w:w="1708" w:type="dxa"/>
            <w:tcBorders>
              <w:top w:val="single" w:color="auto" w:sz="4" w:space="0"/>
              <w:left w:val="single" w:color="auto" w:sz="4" w:space="0"/>
              <w:bottom w:val="single" w:color="auto" w:sz="4" w:space="0"/>
              <w:right w:val="single" w:color="auto" w:sz="4" w:space="0"/>
            </w:tcBorders>
            <w:noWrap/>
            <w:vAlign w:val="center"/>
          </w:tcPr>
          <w:p w14:paraId="40104432">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交易场所</w:t>
            </w:r>
          </w:p>
          <w:p w14:paraId="49BD1E6B">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联系方式</w:t>
            </w:r>
          </w:p>
        </w:tc>
        <w:tc>
          <w:tcPr>
            <w:tcW w:w="7541" w:type="dxa"/>
            <w:tcBorders>
              <w:top w:val="single" w:color="auto" w:sz="4" w:space="0"/>
              <w:left w:val="single" w:color="auto" w:sz="4" w:space="0"/>
              <w:bottom w:val="single" w:color="auto" w:sz="4" w:space="0"/>
              <w:right w:val="single" w:color="auto" w:sz="4" w:space="0"/>
            </w:tcBorders>
            <w:noWrap/>
            <w:vAlign w:val="center"/>
          </w:tcPr>
          <w:p w14:paraId="0DED7D11">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单位名称：韶关市公共资源交易中心</w:t>
            </w:r>
          </w:p>
          <w:p w14:paraId="24D57F63">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办公地址：南雄市雄东路1号大润发四楼韶关市公共资源交易中心南雄分中心（公共服务中心内）</w:t>
            </w:r>
          </w:p>
          <w:p w14:paraId="0963FA4A">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联系人（部门）：工程交易股</w:t>
            </w:r>
          </w:p>
          <w:p w14:paraId="46B253F3">
            <w:pPr>
              <w:bidi w:val="0"/>
              <w:spacing w:line="360" w:lineRule="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联系电话：0751-3860729</w:t>
            </w:r>
          </w:p>
        </w:tc>
      </w:tr>
      <w:tr w14:paraId="57B039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395"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5569AA4B">
            <w:pPr>
              <w:bidi w:val="0"/>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34</w:t>
            </w:r>
          </w:p>
        </w:tc>
        <w:tc>
          <w:tcPr>
            <w:tcW w:w="1708" w:type="dxa"/>
            <w:tcBorders>
              <w:top w:val="single" w:color="auto" w:sz="4" w:space="0"/>
              <w:left w:val="single" w:color="auto" w:sz="4" w:space="0"/>
              <w:bottom w:val="single" w:color="auto" w:sz="4" w:space="0"/>
              <w:right w:val="single" w:color="auto" w:sz="4" w:space="0"/>
            </w:tcBorders>
            <w:noWrap/>
            <w:vAlign w:val="center"/>
          </w:tcPr>
          <w:p w14:paraId="25F16557">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行政监督部门</w:t>
            </w:r>
          </w:p>
          <w:p w14:paraId="368588DE">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联系方式</w:t>
            </w:r>
          </w:p>
        </w:tc>
        <w:tc>
          <w:tcPr>
            <w:tcW w:w="7541" w:type="dxa"/>
            <w:tcBorders>
              <w:top w:val="single" w:color="auto" w:sz="4" w:space="0"/>
              <w:left w:val="single" w:color="auto" w:sz="4" w:space="0"/>
              <w:bottom w:val="single" w:color="auto" w:sz="4" w:space="0"/>
              <w:right w:val="single" w:color="auto" w:sz="4" w:space="0"/>
            </w:tcBorders>
            <w:noWrap/>
            <w:vAlign w:val="center"/>
          </w:tcPr>
          <w:p w14:paraId="47DEC464">
            <w:pPr>
              <w:bidi w:val="0"/>
              <w:spacing w:line="360" w:lineRule="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单位名称：</w:t>
            </w:r>
            <w:r>
              <w:rPr>
                <w:rFonts w:hint="eastAsia" w:hAnsi="宋体" w:eastAsia="宋体" w:cs="宋体"/>
                <w:i w:val="0"/>
                <w:iCs w:val="0"/>
                <w:caps w:val="0"/>
                <w:snapToGrid w:val="0"/>
                <w:color w:val="auto"/>
                <w:spacing w:val="0"/>
                <w:kern w:val="0"/>
                <w:sz w:val="24"/>
                <w:szCs w:val="24"/>
                <w:highlight w:val="none"/>
                <w:shd w:val="clear" w:fill="auto"/>
                <w:lang w:val="en-US" w:eastAsia="zh-CN"/>
              </w:rPr>
              <w:t>南雄市农业农村局</w:t>
            </w:r>
          </w:p>
          <w:p w14:paraId="4E375ED5">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办公地址：</w:t>
            </w:r>
            <w:r>
              <w:rPr>
                <w:rFonts w:ascii="宋体" w:hAnsi="宋体" w:eastAsia="宋体" w:cs="宋体"/>
                <w:i w:val="0"/>
                <w:iCs w:val="0"/>
                <w:caps w:val="0"/>
                <w:snapToGrid w:val="0"/>
                <w:color w:val="auto"/>
                <w:spacing w:val="0"/>
                <w:kern w:val="0"/>
                <w:sz w:val="24"/>
                <w:szCs w:val="24"/>
                <w:highlight w:val="none"/>
                <w:shd w:val="clear" w:fill="auto"/>
              </w:rPr>
              <w:t>南雄市雄州街道沿江西路98号</w:t>
            </w:r>
          </w:p>
          <w:p w14:paraId="3F4A5E5C">
            <w:pPr>
              <w:bidi w:val="0"/>
              <w:spacing w:line="360" w:lineRule="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联系人（部门）：政策法规与改革发展股</w:t>
            </w:r>
          </w:p>
          <w:p w14:paraId="7F7E1093">
            <w:pPr>
              <w:bidi w:val="0"/>
              <w:spacing w:line="360" w:lineRule="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联系电话：0751-6929131</w:t>
            </w:r>
          </w:p>
        </w:tc>
      </w:tr>
      <w:bookmarkEnd w:id="4"/>
    </w:tbl>
    <w:p w14:paraId="13A9FF01">
      <w:pPr>
        <w:pStyle w:val="11"/>
        <w:wordWrap w:val="0"/>
        <w:autoSpaceDE/>
        <w:autoSpaceDN/>
        <w:snapToGrid w:val="0"/>
        <w:spacing w:after="260" w:line="360" w:lineRule="auto"/>
        <w:jc w:val="center"/>
        <w:rPr>
          <w:rFonts w:hint="eastAsia" w:asciiTheme="minorEastAsia" w:hAnsiTheme="minorEastAsia" w:eastAsiaTheme="minorEastAsia" w:cstheme="minorEastAsia"/>
          <w:b/>
          <w:color w:val="auto"/>
          <w:kern w:val="2"/>
          <w:highlight w:val="none"/>
        </w:rPr>
      </w:pPr>
      <w:bookmarkStart w:id="5" w:name="_Toc122859103"/>
      <w:bookmarkStart w:id="6" w:name="_Toc122671103"/>
      <w:bookmarkStart w:id="7" w:name="_Toc122769943"/>
      <w:r>
        <w:rPr>
          <w:rFonts w:hint="eastAsia" w:asciiTheme="minorEastAsia" w:hAnsiTheme="minorEastAsia" w:eastAsiaTheme="minorEastAsia" w:cstheme="minorEastAsia"/>
          <w:b/>
          <w:color w:val="auto"/>
          <w:kern w:val="2"/>
          <w:highlight w:val="none"/>
        </w:rPr>
        <w:br w:type="page"/>
      </w:r>
      <w:bookmarkEnd w:id="5"/>
      <w:bookmarkEnd w:id="6"/>
      <w:bookmarkEnd w:id="7"/>
      <w:bookmarkStart w:id="8" w:name="_Toc6415"/>
      <w:r>
        <w:rPr>
          <w:rFonts w:hint="eastAsia" w:asciiTheme="minorEastAsia" w:hAnsiTheme="minorEastAsia" w:eastAsiaTheme="minorEastAsia" w:cstheme="minorEastAsia"/>
          <w:b/>
          <w:color w:val="auto"/>
          <w:kern w:val="2"/>
          <w:szCs w:val="24"/>
          <w:highlight w:val="none"/>
        </w:rPr>
        <w:t>第二节</w:t>
      </w:r>
      <w:r>
        <w:rPr>
          <w:rFonts w:hint="eastAsia" w:asciiTheme="minorEastAsia" w:hAnsiTheme="minorEastAsia" w:eastAsiaTheme="minorEastAsia" w:cstheme="minorEastAsia"/>
          <w:b/>
          <w:color w:val="auto"/>
          <w:kern w:val="2"/>
          <w:szCs w:val="24"/>
          <w:highlight w:val="none"/>
          <w:lang w:val="en-US" w:eastAsia="zh-CN"/>
        </w:rPr>
        <w:t xml:space="preserve">  </w:t>
      </w:r>
      <w:r>
        <w:rPr>
          <w:rFonts w:hint="eastAsia" w:asciiTheme="minorEastAsia" w:hAnsiTheme="minorEastAsia" w:eastAsiaTheme="minorEastAsia" w:cstheme="minorEastAsia"/>
          <w:b/>
          <w:color w:val="auto"/>
          <w:kern w:val="2"/>
          <w:szCs w:val="24"/>
          <w:highlight w:val="none"/>
        </w:rPr>
        <w:t>重要事项时间地点一览表.</w:t>
      </w:r>
      <w:bookmarkEnd w:id="8"/>
    </w:p>
    <w:tbl>
      <w:tblPr>
        <w:tblStyle w:val="31"/>
        <w:tblW w:w="4999"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57" w:type="dxa"/>
          <w:bottom w:w="0" w:type="dxa"/>
          <w:right w:w="57" w:type="dxa"/>
        </w:tblCellMar>
      </w:tblPr>
      <w:tblGrid>
        <w:gridCol w:w="476"/>
        <w:gridCol w:w="1698"/>
        <w:gridCol w:w="7538"/>
      </w:tblGrid>
      <w:tr w14:paraId="0BF05D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773"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5EA6E424">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1</w:t>
            </w:r>
          </w:p>
        </w:tc>
        <w:tc>
          <w:tcPr>
            <w:tcW w:w="874" w:type="pct"/>
            <w:tcBorders>
              <w:top w:val="single" w:color="080000" w:sz="4" w:space="0"/>
              <w:left w:val="nil"/>
              <w:bottom w:val="single" w:color="080000" w:sz="4" w:space="0"/>
              <w:right w:val="single" w:color="080000" w:sz="4" w:space="0"/>
            </w:tcBorders>
            <w:noWrap w:val="0"/>
            <w:vAlign w:val="center"/>
          </w:tcPr>
          <w:p w14:paraId="56550D62">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招标公告</w:t>
            </w:r>
          </w:p>
          <w:p w14:paraId="17222DC9">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发布时间</w:t>
            </w:r>
          </w:p>
        </w:tc>
        <w:tc>
          <w:tcPr>
            <w:tcW w:w="3880" w:type="pct"/>
            <w:tcBorders>
              <w:top w:val="single" w:color="080000" w:sz="4" w:space="0"/>
              <w:left w:val="nil"/>
              <w:bottom w:val="single" w:color="080000" w:sz="4" w:space="0"/>
              <w:right w:val="single" w:color="080000" w:sz="4" w:space="0"/>
            </w:tcBorders>
            <w:noWrap w:val="0"/>
            <w:vAlign w:val="center"/>
          </w:tcPr>
          <w:p w14:paraId="5AB4BCED">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 xml:space="preserve"> 9 </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 xml:space="preserve"> 20 </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 xml:space="preserve"> 20 </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 xml:space="preserve"> 00 </w:t>
            </w:r>
            <w:r>
              <w:rPr>
                <w:rFonts w:hint="eastAsia" w:ascii="宋体" w:hAnsi="宋体" w:eastAsia="宋体" w:cs="宋体"/>
                <w:color w:val="auto"/>
                <w:kern w:val="2"/>
                <w:sz w:val="24"/>
                <w:szCs w:val="24"/>
                <w:highlight w:val="none"/>
                <w:lang w:val="en-US" w:eastAsia="zh-CN" w:bidi="ar"/>
              </w:rPr>
              <w:t>分</w:t>
            </w:r>
          </w:p>
        </w:tc>
      </w:tr>
      <w:tr w14:paraId="12A9BD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783"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6A3AEBD4">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2</w:t>
            </w:r>
          </w:p>
        </w:tc>
        <w:tc>
          <w:tcPr>
            <w:tcW w:w="874" w:type="pct"/>
            <w:tcBorders>
              <w:top w:val="single" w:color="080000" w:sz="4" w:space="0"/>
              <w:left w:val="nil"/>
              <w:bottom w:val="single" w:color="080000" w:sz="4" w:space="0"/>
              <w:right w:val="single" w:color="080000" w:sz="4" w:space="0"/>
            </w:tcBorders>
            <w:noWrap w:val="0"/>
            <w:vAlign w:val="center"/>
          </w:tcPr>
          <w:p w14:paraId="2E5D36EA">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获取招标文件截止时间</w:t>
            </w:r>
          </w:p>
        </w:tc>
        <w:tc>
          <w:tcPr>
            <w:tcW w:w="3880" w:type="pct"/>
            <w:tcBorders>
              <w:top w:val="single" w:color="080000" w:sz="4" w:space="0"/>
              <w:left w:val="nil"/>
              <w:bottom w:val="single" w:color="080000" w:sz="4" w:space="0"/>
              <w:right w:val="single" w:color="080000" w:sz="4" w:space="0"/>
            </w:tcBorders>
            <w:noWrap w:val="0"/>
            <w:vAlign w:val="center"/>
          </w:tcPr>
          <w:p w14:paraId="5CB16199">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 xml:space="preserve"> 10 </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 xml:space="preserve"> 14 </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 xml:space="preserve"> 10 </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 xml:space="preserve"> 30 </w:t>
            </w:r>
            <w:r>
              <w:rPr>
                <w:rFonts w:hint="eastAsia" w:ascii="宋体" w:hAnsi="宋体" w:eastAsia="宋体" w:cs="宋体"/>
                <w:color w:val="auto"/>
                <w:kern w:val="2"/>
                <w:sz w:val="24"/>
                <w:szCs w:val="24"/>
                <w:highlight w:val="none"/>
                <w:lang w:val="en-US" w:eastAsia="zh-CN" w:bidi="ar"/>
              </w:rPr>
              <w:t>分</w:t>
            </w:r>
          </w:p>
        </w:tc>
      </w:tr>
      <w:tr w14:paraId="49C7EE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812"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7C13642A">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3</w:t>
            </w:r>
          </w:p>
        </w:tc>
        <w:tc>
          <w:tcPr>
            <w:tcW w:w="874" w:type="pct"/>
            <w:tcBorders>
              <w:top w:val="single" w:color="080000" w:sz="4" w:space="0"/>
              <w:left w:val="nil"/>
              <w:bottom w:val="single" w:color="080000" w:sz="4" w:space="0"/>
              <w:right w:val="single" w:color="080000" w:sz="4" w:space="0"/>
            </w:tcBorders>
            <w:noWrap w:val="0"/>
            <w:vAlign w:val="center"/>
          </w:tcPr>
          <w:p w14:paraId="20EBC973">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网上提问</w:t>
            </w:r>
          </w:p>
          <w:p w14:paraId="1CBD796D">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截止时间</w:t>
            </w:r>
          </w:p>
        </w:tc>
        <w:tc>
          <w:tcPr>
            <w:tcW w:w="3880" w:type="pct"/>
            <w:tcBorders>
              <w:top w:val="single" w:color="080000" w:sz="4" w:space="0"/>
              <w:left w:val="nil"/>
              <w:bottom w:val="single" w:color="080000" w:sz="4" w:space="0"/>
              <w:right w:val="single" w:color="080000" w:sz="4" w:space="0"/>
            </w:tcBorders>
            <w:noWrap w:val="0"/>
            <w:vAlign w:val="center"/>
          </w:tcPr>
          <w:p w14:paraId="796DA43B">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 xml:space="preserve"> 9 </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 xml:space="preserve"> 29 </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16</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00</w:t>
            </w:r>
            <w:r>
              <w:rPr>
                <w:rFonts w:hint="eastAsia" w:ascii="宋体" w:hAnsi="宋体" w:eastAsia="宋体" w:cs="宋体"/>
                <w:color w:val="auto"/>
                <w:kern w:val="2"/>
                <w:sz w:val="24"/>
                <w:szCs w:val="24"/>
                <w:highlight w:val="none"/>
                <w:lang w:val="en-US" w:eastAsia="zh-CN" w:bidi="ar"/>
              </w:rPr>
              <w:t>分</w:t>
            </w:r>
          </w:p>
        </w:tc>
      </w:tr>
      <w:tr w14:paraId="4DCADC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782"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7A5A7A04">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4</w:t>
            </w:r>
          </w:p>
        </w:tc>
        <w:tc>
          <w:tcPr>
            <w:tcW w:w="874" w:type="pct"/>
            <w:tcBorders>
              <w:top w:val="single" w:color="080000" w:sz="4" w:space="0"/>
              <w:left w:val="nil"/>
              <w:bottom w:val="single" w:color="080000" w:sz="4" w:space="0"/>
              <w:right w:val="single" w:color="080000" w:sz="4" w:space="0"/>
            </w:tcBorders>
            <w:noWrap w:val="0"/>
            <w:vAlign w:val="center"/>
          </w:tcPr>
          <w:p w14:paraId="4F77217E">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网上答疑</w:t>
            </w:r>
          </w:p>
          <w:p w14:paraId="0A60E211">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时间</w:t>
            </w:r>
          </w:p>
        </w:tc>
        <w:tc>
          <w:tcPr>
            <w:tcW w:w="3880" w:type="pct"/>
            <w:tcBorders>
              <w:top w:val="single" w:color="080000" w:sz="4" w:space="0"/>
              <w:left w:val="nil"/>
              <w:bottom w:val="single" w:color="080000" w:sz="4" w:space="0"/>
              <w:right w:val="single" w:color="080000" w:sz="4" w:space="0"/>
            </w:tcBorders>
            <w:noWrap w:val="0"/>
            <w:vAlign w:val="center"/>
          </w:tcPr>
          <w:p w14:paraId="26CA1C66">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 xml:space="preserve"> 9 </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 xml:space="preserve"> 29 </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16</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30</w:t>
            </w:r>
            <w:r>
              <w:rPr>
                <w:rFonts w:hint="eastAsia" w:ascii="宋体" w:hAnsi="宋体" w:eastAsia="宋体" w:cs="宋体"/>
                <w:color w:val="auto"/>
                <w:kern w:val="2"/>
                <w:sz w:val="24"/>
                <w:szCs w:val="24"/>
                <w:highlight w:val="none"/>
                <w:lang w:val="en-US" w:eastAsia="zh-CN" w:bidi="ar"/>
              </w:rPr>
              <w:t>分</w:t>
            </w:r>
            <w:r>
              <w:rPr>
                <w:rFonts w:hint="eastAsia" w:ascii="宋体" w:hAnsi="宋体" w:eastAsia="宋体" w:cs="宋体"/>
                <w:color w:val="auto"/>
                <w:kern w:val="0"/>
                <w:sz w:val="24"/>
                <w:szCs w:val="24"/>
                <w:highlight w:val="none"/>
                <w:lang w:val="en-US" w:eastAsia="zh-CN" w:bidi="ar"/>
              </w:rPr>
              <w:t>至</w:t>
            </w: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 xml:space="preserve"> 10 </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 xml:space="preserve"> 2 </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16</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00</w:t>
            </w:r>
            <w:r>
              <w:rPr>
                <w:rFonts w:hint="eastAsia" w:ascii="宋体" w:hAnsi="宋体" w:eastAsia="宋体" w:cs="宋体"/>
                <w:color w:val="auto"/>
                <w:kern w:val="2"/>
                <w:sz w:val="24"/>
                <w:szCs w:val="24"/>
                <w:highlight w:val="none"/>
                <w:lang w:val="en-US" w:eastAsia="zh-CN" w:bidi="ar"/>
              </w:rPr>
              <w:t>分</w:t>
            </w:r>
          </w:p>
        </w:tc>
      </w:tr>
      <w:tr w14:paraId="70DCF3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1373"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39C64E2B">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5</w:t>
            </w:r>
          </w:p>
        </w:tc>
        <w:tc>
          <w:tcPr>
            <w:tcW w:w="874" w:type="pct"/>
            <w:tcBorders>
              <w:top w:val="single" w:color="080000" w:sz="4" w:space="0"/>
              <w:left w:val="nil"/>
              <w:bottom w:val="single" w:color="080000" w:sz="4" w:space="0"/>
              <w:right w:val="single" w:color="080000" w:sz="4" w:space="0"/>
            </w:tcBorders>
            <w:noWrap w:val="0"/>
            <w:vAlign w:val="center"/>
          </w:tcPr>
          <w:p w14:paraId="27EDACB5">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投标保证缴</w:t>
            </w:r>
          </w:p>
          <w:p w14:paraId="0A790436">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纳截止时间</w:t>
            </w:r>
          </w:p>
        </w:tc>
        <w:tc>
          <w:tcPr>
            <w:tcW w:w="3880" w:type="pct"/>
            <w:tcBorders>
              <w:top w:val="single" w:color="080000" w:sz="4" w:space="0"/>
              <w:left w:val="nil"/>
              <w:bottom w:val="single" w:color="080000" w:sz="4" w:space="0"/>
              <w:right w:val="single" w:color="080000" w:sz="4" w:space="0"/>
            </w:tcBorders>
            <w:noWrap w:val="0"/>
            <w:vAlign w:val="center"/>
          </w:tcPr>
          <w:p w14:paraId="0382910A">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投标保证金到账截止时间：</w:t>
            </w: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 xml:space="preserve"> 10 </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 xml:space="preserve"> 13 </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 xml:space="preserve"> 10 </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 xml:space="preserve"> 30 </w:t>
            </w:r>
            <w:r>
              <w:rPr>
                <w:rFonts w:hint="eastAsia" w:ascii="宋体" w:hAnsi="宋体" w:eastAsia="宋体" w:cs="宋体"/>
                <w:color w:val="auto"/>
                <w:kern w:val="2"/>
                <w:sz w:val="24"/>
                <w:szCs w:val="24"/>
                <w:highlight w:val="none"/>
                <w:lang w:val="en-US" w:eastAsia="zh-CN" w:bidi="ar"/>
              </w:rPr>
              <w:t>分</w:t>
            </w:r>
            <w:r>
              <w:rPr>
                <w:rFonts w:hint="eastAsia" w:ascii="宋体" w:hAnsi="宋体" w:eastAsia="宋体" w:cs="宋体"/>
                <w:color w:val="auto"/>
                <w:kern w:val="0"/>
                <w:sz w:val="24"/>
                <w:szCs w:val="24"/>
                <w:highlight w:val="none"/>
                <w:lang w:val="en-US" w:eastAsia="zh-CN" w:bidi="ar"/>
              </w:rPr>
              <w:t>；</w:t>
            </w:r>
          </w:p>
          <w:p w14:paraId="602D6F8E">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投标保证担保上传截止时间：</w:t>
            </w: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 xml:space="preserve"> 10 </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 xml:space="preserve"> 13 </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 xml:space="preserve"> 10 </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 xml:space="preserve"> 30 </w:t>
            </w:r>
            <w:r>
              <w:rPr>
                <w:rFonts w:hint="eastAsia" w:ascii="宋体" w:hAnsi="宋体" w:eastAsia="宋体" w:cs="宋体"/>
                <w:color w:val="auto"/>
                <w:kern w:val="2"/>
                <w:sz w:val="24"/>
                <w:szCs w:val="24"/>
                <w:highlight w:val="none"/>
                <w:lang w:val="en-US" w:eastAsia="zh-CN" w:bidi="ar"/>
              </w:rPr>
              <w:t>分</w:t>
            </w:r>
            <w:r>
              <w:rPr>
                <w:rFonts w:hint="eastAsia" w:ascii="宋体" w:hAnsi="宋体" w:eastAsia="宋体" w:cs="宋体"/>
                <w:color w:val="auto"/>
                <w:kern w:val="0"/>
                <w:sz w:val="24"/>
                <w:szCs w:val="24"/>
                <w:highlight w:val="none"/>
                <w:lang w:val="en-US" w:eastAsia="zh-CN" w:bidi="ar"/>
              </w:rPr>
              <w:t>；</w:t>
            </w:r>
          </w:p>
          <w:p w14:paraId="39309842">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投标保证保险投保截止时间：</w:t>
            </w: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 xml:space="preserve"> 10 </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 xml:space="preserve"> 13 </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 xml:space="preserve"> 10 </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 xml:space="preserve"> 30 </w:t>
            </w:r>
            <w:r>
              <w:rPr>
                <w:rFonts w:hint="eastAsia" w:ascii="宋体" w:hAnsi="宋体" w:eastAsia="宋体" w:cs="宋体"/>
                <w:color w:val="auto"/>
                <w:kern w:val="2"/>
                <w:sz w:val="24"/>
                <w:szCs w:val="24"/>
                <w:highlight w:val="none"/>
                <w:lang w:val="en-US" w:eastAsia="zh-CN" w:bidi="ar"/>
              </w:rPr>
              <w:t>分</w:t>
            </w:r>
            <w:r>
              <w:rPr>
                <w:rFonts w:hint="eastAsia" w:ascii="宋体" w:hAnsi="宋体" w:eastAsia="宋体" w:cs="宋体"/>
                <w:color w:val="auto"/>
                <w:kern w:val="0"/>
                <w:sz w:val="24"/>
                <w:szCs w:val="24"/>
                <w:highlight w:val="none"/>
                <w:lang w:val="en-US" w:eastAsia="zh-CN" w:bidi="ar"/>
              </w:rPr>
              <w:t>。</w:t>
            </w:r>
          </w:p>
        </w:tc>
      </w:tr>
      <w:tr w14:paraId="6CAA97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821"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1E820BEF">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6</w:t>
            </w:r>
          </w:p>
        </w:tc>
        <w:tc>
          <w:tcPr>
            <w:tcW w:w="874" w:type="pct"/>
            <w:tcBorders>
              <w:top w:val="single" w:color="080000" w:sz="4" w:space="0"/>
              <w:left w:val="nil"/>
              <w:bottom w:val="single" w:color="080000" w:sz="4" w:space="0"/>
              <w:right w:val="single" w:color="080000" w:sz="4" w:space="0"/>
            </w:tcBorders>
            <w:noWrap w:val="0"/>
            <w:vAlign w:val="center"/>
          </w:tcPr>
          <w:p w14:paraId="1259F944">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电子投标</w:t>
            </w:r>
          </w:p>
          <w:p w14:paraId="64BE66BB">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截止时间</w:t>
            </w:r>
          </w:p>
        </w:tc>
        <w:tc>
          <w:tcPr>
            <w:tcW w:w="3880" w:type="pct"/>
            <w:tcBorders>
              <w:top w:val="single" w:color="080000" w:sz="4" w:space="0"/>
              <w:left w:val="nil"/>
              <w:bottom w:val="single" w:color="080000" w:sz="4" w:space="0"/>
              <w:right w:val="single" w:color="080000" w:sz="4" w:space="0"/>
            </w:tcBorders>
            <w:noWrap w:val="0"/>
            <w:vAlign w:val="center"/>
          </w:tcPr>
          <w:p w14:paraId="512BDAA0">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 xml:space="preserve"> 10 </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 xml:space="preserve"> 14 </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 xml:space="preserve"> 10 </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 xml:space="preserve"> 30 </w:t>
            </w:r>
            <w:r>
              <w:rPr>
                <w:rFonts w:hint="eastAsia" w:ascii="宋体" w:hAnsi="宋体" w:eastAsia="宋体" w:cs="宋体"/>
                <w:color w:val="auto"/>
                <w:kern w:val="2"/>
                <w:sz w:val="24"/>
                <w:szCs w:val="24"/>
                <w:highlight w:val="none"/>
                <w:lang w:val="en-US" w:eastAsia="zh-CN" w:bidi="ar"/>
              </w:rPr>
              <w:t>分</w:t>
            </w:r>
          </w:p>
        </w:tc>
      </w:tr>
      <w:tr w14:paraId="453D63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899"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5F5A6E70">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7</w:t>
            </w:r>
          </w:p>
        </w:tc>
        <w:tc>
          <w:tcPr>
            <w:tcW w:w="874" w:type="pct"/>
            <w:tcBorders>
              <w:top w:val="single" w:color="080000" w:sz="4" w:space="0"/>
              <w:left w:val="nil"/>
              <w:bottom w:val="single" w:color="080000" w:sz="4" w:space="0"/>
              <w:right w:val="single" w:color="080000" w:sz="4" w:space="0"/>
            </w:tcBorders>
            <w:noWrap w:val="0"/>
            <w:vAlign w:val="center"/>
          </w:tcPr>
          <w:p w14:paraId="51E3FB37">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投标评审原件(如有)递交时间</w:t>
            </w:r>
          </w:p>
        </w:tc>
        <w:tc>
          <w:tcPr>
            <w:tcW w:w="3880" w:type="pct"/>
            <w:tcBorders>
              <w:top w:val="single" w:color="080000" w:sz="4" w:space="0"/>
              <w:left w:val="nil"/>
              <w:bottom w:val="single" w:color="080000" w:sz="4" w:space="0"/>
              <w:right w:val="single" w:color="080000" w:sz="4" w:space="0"/>
            </w:tcBorders>
            <w:noWrap w:val="0"/>
            <w:vAlign w:val="center"/>
          </w:tcPr>
          <w:p w14:paraId="37ABC518">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 xml:space="preserve"> 10</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 xml:space="preserve"> 14 </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 xml:space="preserve"> 10 </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 xml:space="preserve"> 00 </w:t>
            </w:r>
            <w:r>
              <w:rPr>
                <w:rFonts w:hint="eastAsia" w:ascii="宋体" w:hAnsi="宋体" w:eastAsia="宋体" w:cs="宋体"/>
                <w:color w:val="auto"/>
                <w:kern w:val="2"/>
                <w:sz w:val="24"/>
                <w:szCs w:val="24"/>
                <w:highlight w:val="none"/>
                <w:lang w:val="en-US" w:eastAsia="zh-CN" w:bidi="ar"/>
              </w:rPr>
              <w:t>分</w:t>
            </w:r>
            <w:r>
              <w:rPr>
                <w:rFonts w:hint="eastAsia" w:ascii="宋体" w:hAnsi="宋体" w:eastAsia="宋体" w:cs="宋体"/>
                <w:color w:val="auto"/>
                <w:kern w:val="0"/>
                <w:sz w:val="24"/>
                <w:szCs w:val="24"/>
                <w:highlight w:val="none"/>
                <w:lang w:val="en-US" w:eastAsia="zh-CN" w:bidi="ar"/>
              </w:rPr>
              <w:t>至</w:t>
            </w: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 xml:space="preserve"> 10 </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 xml:space="preserve"> 14 </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 xml:space="preserve"> 10 </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 xml:space="preserve"> 30 </w:t>
            </w:r>
            <w:r>
              <w:rPr>
                <w:rFonts w:hint="eastAsia" w:ascii="宋体" w:hAnsi="宋体" w:eastAsia="宋体" w:cs="宋体"/>
                <w:color w:val="auto"/>
                <w:kern w:val="2"/>
                <w:sz w:val="24"/>
                <w:szCs w:val="24"/>
                <w:highlight w:val="none"/>
                <w:lang w:val="en-US" w:eastAsia="zh-CN" w:bidi="ar"/>
              </w:rPr>
              <w:t>分</w:t>
            </w:r>
          </w:p>
        </w:tc>
      </w:tr>
      <w:tr w14:paraId="503B3D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901"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02BBF418">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8</w:t>
            </w:r>
          </w:p>
        </w:tc>
        <w:tc>
          <w:tcPr>
            <w:tcW w:w="874" w:type="pct"/>
            <w:tcBorders>
              <w:top w:val="single" w:color="080000" w:sz="4" w:space="0"/>
              <w:left w:val="nil"/>
              <w:bottom w:val="single" w:color="080000" w:sz="4" w:space="0"/>
              <w:right w:val="single" w:color="080000" w:sz="4" w:space="0"/>
            </w:tcBorders>
            <w:noWrap w:val="0"/>
            <w:vAlign w:val="center"/>
          </w:tcPr>
          <w:p w14:paraId="4F9F97C9">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投标评审原件(如有)递交地点</w:t>
            </w:r>
          </w:p>
        </w:tc>
        <w:tc>
          <w:tcPr>
            <w:tcW w:w="3880" w:type="pct"/>
            <w:tcBorders>
              <w:top w:val="single" w:color="080000" w:sz="4" w:space="0"/>
              <w:left w:val="nil"/>
              <w:bottom w:val="single" w:color="080000" w:sz="4" w:space="0"/>
              <w:right w:val="single" w:color="080000" w:sz="4" w:space="0"/>
            </w:tcBorders>
            <w:noWrap w:val="0"/>
            <w:vAlign w:val="center"/>
          </w:tcPr>
          <w:p w14:paraId="313D14DF">
            <w:pPr>
              <w:adjustRightInd w:val="0"/>
              <w:snapToGrid w:val="0"/>
              <w:spacing w:line="360" w:lineRule="auto"/>
              <w:ind w:firstLine="240" w:firstLineChars="100"/>
              <w:rPr>
                <w:rFonts w:hint="default"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递交场所：</w:t>
            </w:r>
            <w:r>
              <w:rPr>
                <w:rFonts w:hint="eastAsia" w:ascii="宋体" w:hAnsi="宋体" w:eastAsia="宋体" w:cs="宋体"/>
                <w:snapToGrid w:val="0"/>
                <w:color w:val="auto"/>
                <w:kern w:val="0"/>
                <w:sz w:val="24"/>
                <w:szCs w:val="24"/>
                <w:highlight w:val="none"/>
                <w:u w:val="single"/>
              </w:rPr>
              <w:t>韶关市公共资源交易中心南雄分中心</w:t>
            </w:r>
          </w:p>
          <w:p w14:paraId="61FBF446">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right="0" w:firstLine="240" w:firstLineChars="1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地址：</w:t>
            </w:r>
            <w:r>
              <w:rPr>
                <w:rFonts w:hint="eastAsia" w:ascii="宋体" w:hAnsi="宋体" w:eastAsia="宋体" w:cs="宋体"/>
                <w:snapToGrid w:val="0"/>
                <w:color w:val="auto"/>
                <w:kern w:val="0"/>
                <w:sz w:val="24"/>
                <w:szCs w:val="24"/>
                <w:highlight w:val="none"/>
                <w:u w:val="single"/>
                <w:lang w:val="en-US" w:eastAsia="zh-CN" w:bidi="ar-SA"/>
              </w:rPr>
              <w:t>南雄市雄东路1号(大润发)四楼韶关市公共资源交易中心南雄分中心(南雄市公共服务中心内)。</w:t>
            </w:r>
          </w:p>
        </w:tc>
      </w:tr>
      <w:tr w14:paraId="4096E7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755"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45460177">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9</w:t>
            </w:r>
          </w:p>
        </w:tc>
        <w:tc>
          <w:tcPr>
            <w:tcW w:w="874" w:type="pct"/>
            <w:tcBorders>
              <w:top w:val="single" w:color="080000" w:sz="4" w:space="0"/>
              <w:left w:val="nil"/>
              <w:bottom w:val="single" w:color="080000" w:sz="4" w:space="0"/>
              <w:right w:val="single" w:color="080000" w:sz="4" w:space="0"/>
            </w:tcBorders>
            <w:noWrap w:val="0"/>
            <w:vAlign w:val="center"/>
          </w:tcPr>
          <w:p w14:paraId="03E611E9">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开标时间</w:t>
            </w:r>
          </w:p>
        </w:tc>
        <w:tc>
          <w:tcPr>
            <w:tcW w:w="3880" w:type="pct"/>
            <w:tcBorders>
              <w:top w:val="single" w:color="080000" w:sz="4" w:space="0"/>
              <w:left w:val="nil"/>
              <w:bottom w:val="single" w:color="080000" w:sz="4" w:space="0"/>
              <w:right w:val="single" w:color="080000" w:sz="4" w:space="0"/>
            </w:tcBorders>
            <w:noWrap w:val="0"/>
            <w:vAlign w:val="center"/>
          </w:tcPr>
          <w:p w14:paraId="359B5BB9">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 xml:space="preserve"> 10 </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 xml:space="preserve"> 14 </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 xml:space="preserve"> 10 </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 xml:space="preserve"> 30 </w:t>
            </w:r>
            <w:r>
              <w:rPr>
                <w:rFonts w:hint="eastAsia" w:ascii="宋体" w:hAnsi="宋体" w:eastAsia="宋体" w:cs="宋体"/>
                <w:color w:val="auto"/>
                <w:kern w:val="2"/>
                <w:sz w:val="24"/>
                <w:szCs w:val="24"/>
                <w:highlight w:val="none"/>
                <w:lang w:val="en-US" w:eastAsia="zh-CN" w:bidi="ar"/>
              </w:rPr>
              <w:t>分</w:t>
            </w:r>
          </w:p>
        </w:tc>
      </w:tr>
      <w:tr w14:paraId="73E39F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967"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73C4B1D8">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10</w:t>
            </w:r>
          </w:p>
        </w:tc>
        <w:tc>
          <w:tcPr>
            <w:tcW w:w="874" w:type="pct"/>
            <w:tcBorders>
              <w:top w:val="single" w:color="080000" w:sz="4" w:space="0"/>
              <w:left w:val="nil"/>
              <w:bottom w:val="single" w:color="080000" w:sz="4" w:space="0"/>
              <w:right w:val="single" w:color="080000" w:sz="4" w:space="0"/>
            </w:tcBorders>
            <w:noWrap w:val="0"/>
            <w:vAlign w:val="center"/>
          </w:tcPr>
          <w:p w14:paraId="570F031C">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开标地点</w:t>
            </w:r>
          </w:p>
        </w:tc>
        <w:tc>
          <w:tcPr>
            <w:tcW w:w="3880" w:type="pct"/>
            <w:tcBorders>
              <w:top w:val="single" w:color="080000" w:sz="4" w:space="0"/>
              <w:left w:val="nil"/>
              <w:bottom w:val="single" w:color="080000" w:sz="4" w:space="0"/>
              <w:right w:val="single" w:color="080000" w:sz="4" w:space="0"/>
            </w:tcBorders>
            <w:noWrap w:val="0"/>
            <w:vAlign w:val="center"/>
          </w:tcPr>
          <w:p w14:paraId="51AC5449">
            <w:pPr>
              <w:adjustRightInd w:val="0"/>
              <w:snapToGrid w:val="0"/>
              <w:spacing w:line="360" w:lineRule="auto"/>
              <w:ind w:firstLine="240" w:firstLineChars="100"/>
              <w:rPr>
                <w:rFonts w:hint="default"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递交场所：</w:t>
            </w:r>
            <w:r>
              <w:rPr>
                <w:rFonts w:hint="eastAsia" w:ascii="宋体" w:hAnsi="宋体" w:eastAsia="宋体" w:cs="宋体"/>
                <w:snapToGrid w:val="0"/>
                <w:color w:val="auto"/>
                <w:kern w:val="0"/>
                <w:sz w:val="24"/>
                <w:szCs w:val="24"/>
                <w:highlight w:val="none"/>
                <w:u w:val="single"/>
              </w:rPr>
              <w:t>韶关市公共资源交易中心南雄分中心</w:t>
            </w:r>
          </w:p>
          <w:p w14:paraId="231AFDCC">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leftChars="0" w:right="0" w:firstLine="240" w:firstLineChars="1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地址：</w:t>
            </w:r>
            <w:r>
              <w:rPr>
                <w:rFonts w:hint="eastAsia" w:ascii="宋体" w:hAnsi="宋体" w:eastAsia="宋体" w:cs="宋体"/>
                <w:snapToGrid w:val="0"/>
                <w:color w:val="auto"/>
                <w:kern w:val="0"/>
                <w:sz w:val="24"/>
                <w:szCs w:val="24"/>
                <w:highlight w:val="none"/>
                <w:u w:val="single"/>
                <w:lang w:val="en-US" w:eastAsia="zh-CN" w:bidi="ar-SA"/>
              </w:rPr>
              <w:t>南雄市雄东路1号(大润发)四楼韶关市公共资源交易中心南雄分中心(南雄市公共服务中心内)。</w:t>
            </w:r>
          </w:p>
        </w:tc>
      </w:tr>
      <w:tr w14:paraId="04398B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1419" w:hRule="atLeast"/>
        </w:trPr>
        <w:tc>
          <w:tcPr>
            <w:tcW w:w="1119" w:type="pct"/>
            <w:gridSpan w:val="2"/>
            <w:tcBorders>
              <w:top w:val="single" w:color="080000" w:sz="4" w:space="0"/>
              <w:left w:val="single" w:color="080000" w:sz="4" w:space="0"/>
              <w:bottom w:val="single" w:color="080000" w:sz="4" w:space="0"/>
              <w:right w:val="single" w:color="080000" w:sz="4" w:space="0"/>
            </w:tcBorders>
            <w:noWrap w:val="0"/>
            <w:vAlign w:val="center"/>
          </w:tcPr>
          <w:p w14:paraId="5C5E75D2">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备注</w:t>
            </w:r>
          </w:p>
        </w:tc>
        <w:tc>
          <w:tcPr>
            <w:tcW w:w="3880" w:type="pct"/>
            <w:tcBorders>
              <w:top w:val="single" w:color="080000" w:sz="4" w:space="0"/>
              <w:left w:val="nil"/>
              <w:bottom w:val="single" w:color="080000" w:sz="4" w:space="0"/>
              <w:right w:val="single" w:color="080000" w:sz="4" w:space="0"/>
            </w:tcBorders>
            <w:noWrap w:val="0"/>
            <w:vAlign w:val="center"/>
          </w:tcPr>
          <w:p w14:paraId="5D601815">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240" w:firstLineChars="1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投标人应按有关计划时间安排办理企业CA认证、企业入库等，自行下载招标文件等资料文件、招标答疑书等。若由于投标人自身原因未能及时取得上述资料的，由此发生的任何责任由投标人自负。</w:t>
            </w:r>
          </w:p>
        </w:tc>
      </w:tr>
    </w:tbl>
    <w:p w14:paraId="64B54B44">
      <w:pPr>
        <w:pStyle w:val="11"/>
        <w:wordWrap w:val="0"/>
        <w:autoSpaceDE/>
        <w:autoSpaceDN/>
        <w:snapToGrid w:val="0"/>
        <w:spacing w:after="260" w:line="360" w:lineRule="auto"/>
        <w:jc w:val="center"/>
        <w:rPr>
          <w:rFonts w:hint="eastAsia" w:asciiTheme="minorEastAsia" w:hAnsiTheme="minorEastAsia" w:eastAsiaTheme="minorEastAsia" w:cstheme="minorEastAsia"/>
          <w:color w:val="auto"/>
          <w:sz w:val="24"/>
          <w:szCs w:val="28"/>
          <w:highlight w:val="none"/>
          <w:u w:val="single"/>
        </w:rPr>
      </w:pPr>
      <w:r>
        <w:rPr>
          <w:rFonts w:hint="eastAsia" w:asciiTheme="minorEastAsia" w:hAnsiTheme="minorEastAsia" w:eastAsiaTheme="minorEastAsia" w:cstheme="minorEastAsia"/>
          <w:color w:val="auto"/>
          <w:sz w:val="24"/>
          <w:highlight w:val="none"/>
        </w:rPr>
        <w:br w:type="page"/>
      </w:r>
      <w:bookmarkStart w:id="9" w:name="_Hlt69669159"/>
      <w:bookmarkEnd w:id="9"/>
      <w:bookmarkStart w:id="10" w:name="_Hlt69698705"/>
      <w:bookmarkStart w:id="11" w:name="_Hlt69698754"/>
      <w:bookmarkStart w:id="12" w:name="_Toc26253"/>
      <w:r>
        <w:rPr>
          <w:rFonts w:hint="eastAsia" w:asciiTheme="minorEastAsia" w:hAnsiTheme="minorEastAsia" w:eastAsiaTheme="minorEastAsia" w:cstheme="minorEastAsia"/>
          <w:b/>
          <w:color w:val="auto"/>
          <w:kern w:val="2"/>
          <w:szCs w:val="24"/>
          <w:highlight w:val="none"/>
        </w:rPr>
        <w:t>第三节</w:t>
      </w:r>
      <w:bookmarkStart w:id="13" w:name="_Hlt87793819"/>
      <w:bookmarkEnd w:id="13"/>
      <w:r>
        <w:rPr>
          <w:rFonts w:hint="eastAsia" w:asciiTheme="minorEastAsia" w:hAnsiTheme="minorEastAsia" w:eastAsiaTheme="minorEastAsia" w:cstheme="minorEastAsia"/>
          <w:b/>
          <w:color w:val="auto"/>
          <w:kern w:val="2"/>
          <w:szCs w:val="24"/>
          <w:highlight w:val="none"/>
        </w:rPr>
        <w:t xml:space="preserve"> 投标须知正文</w:t>
      </w:r>
      <w:bookmarkEnd w:id="10"/>
      <w:bookmarkEnd w:id="11"/>
      <w:bookmarkEnd w:id="12"/>
    </w:p>
    <w:p w14:paraId="3959C17F">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i w:val="0"/>
          <w:iCs w:val="0"/>
          <w:caps w:val="0"/>
          <w:color w:val="auto"/>
          <w:spacing w:val="0"/>
          <w:sz w:val="24"/>
          <w:szCs w:val="24"/>
          <w:highlight w:val="none"/>
          <w:u w:val="single"/>
          <w:shd w:val="clear" w:fill="auto"/>
        </w:rPr>
        <w:t>南雄市“银杏染秋”乡村振兴示范带建设项目</w:t>
      </w:r>
      <w:r>
        <w:rPr>
          <w:rFonts w:hint="eastAsia" w:ascii="宋体" w:hAnsi="宋体" w:eastAsia="宋体" w:cs="宋体"/>
          <w:snapToGrid w:val="0"/>
          <w:color w:val="auto"/>
          <w:kern w:val="0"/>
          <w:sz w:val="24"/>
          <w:szCs w:val="24"/>
          <w:highlight w:val="none"/>
        </w:rPr>
        <w:t>经</w:t>
      </w:r>
      <w:r>
        <w:rPr>
          <w:rFonts w:hint="eastAsia" w:hAnsi="宋体" w:eastAsia="宋体" w:cs="宋体"/>
          <w:color w:val="auto"/>
          <w:sz w:val="24"/>
          <w:szCs w:val="24"/>
          <w:highlight w:val="none"/>
          <w:u w:val="single"/>
          <w:lang w:val="en-US" w:eastAsia="zh-CN"/>
        </w:rPr>
        <w:t>南雄市发展和改革局</w:t>
      </w:r>
      <w:r>
        <w:rPr>
          <w:rFonts w:hint="eastAsia" w:ascii="宋体" w:hAnsi="宋体" w:eastAsia="宋体" w:cs="宋体"/>
          <w:color w:val="auto"/>
          <w:sz w:val="24"/>
          <w:szCs w:val="24"/>
          <w:highlight w:val="none"/>
        </w:rPr>
        <w:t>以</w:t>
      </w:r>
      <w:r>
        <w:rPr>
          <w:rFonts w:hint="eastAsia" w:ascii="宋体" w:hAnsi="宋体" w:eastAsia="宋体" w:cs="宋体"/>
          <w:color w:val="auto"/>
          <w:sz w:val="24"/>
          <w:szCs w:val="24"/>
          <w:highlight w:val="none"/>
          <w:u w:val="single"/>
          <w:lang w:eastAsia="zh-CN"/>
        </w:rPr>
        <w:t>《</w:t>
      </w:r>
      <w:r>
        <w:rPr>
          <w:rFonts w:hint="eastAsia" w:hAnsi="宋体" w:eastAsia="宋体" w:cs="宋体"/>
          <w:color w:val="auto"/>
          <w:sz w:val="24"/>
          <w:szCs w:val="24"/>
          <w:highlight w:val="none"/>
          <w:u w:val="single"/>
          <w:lang w:val="en-US" w:eastAsia="zh-CN"/>
        </w:rPr>
        <w:t>关于南雄市“银杏染秋”乡村振兴示范带建设项目可行性研究报告的批复</w:t>
      </w:r>
      <w:r>
        <w:rPr>
          <w:rFonts w:hint="eastAsia" w:ascii="宋体" w:hAnsi="宋体" w:eastAsia="宋体" w:cs="宋体"/>
          <w:color w:val="auto"/>
          <w:sz w:val="24"/>
          <w:szCs w:val="24"/>
          <w:highlight w:val="none"/>
          <w:u w:val="single"/>
          <w:lang w:eastAsia="zh-CN"/>
        </w:rPr>
        <w:t>》</w:t>
      </w:r>
      <w:r>
        <w:rPr>
          <w:rFonts w:hint="eastAsia" w:hAnsi="宋体" w:eastAsia="宋体" w:cs="宋体"/>
          <w:color w:val="auto"/>
          <w:sz w:val="24"/>
          <w:szCs w:val="24"/>
          <w:highlight w:val="none"/>
          <w:u w:val="single"/>
          <w:lang w:eastAsia="zh-CN"/>
        </w:rPr>
        <w:t>（雄发改投审[2024]106号）、《关于同意调整南雄市“银杏染秋”乡村振兴示范带建设项目可行性研究报告的批复》（雄发改投审[2026]95号）、《关于南雄市"银杏染秋”乡村振兴示范带建设项目-油山镇典型村建设项目初步设计概算的批复》（雄发改投审[2026]116号）</w:t>
      </w:r>
      <w:r>
        <w:rPr>
          <w:rFonts w:hint="eastAsia" w:ascii="宋体" w:hAnsi="宋体" w:eastAsia="宋体" w:cs="宋体"/>
          <w:color w:val="auto"/>
          <w:sz w:val="24"/>
          <w:szCs w:val="24"/>
          <w:highlight w:val="none"/>
        </w:rPr>
        <w:t>批准建设，项目代码</w:t>
      </w:r>
      <w:r>
        <w:rPr>
          <w:rFonts w:hint="eastAsia" w:hAnsi="宋体" w:eastAsia="宋体" w:cs="宋体"/>
          <w:bCs/>
          <w:i w:val="0"/>
          <w:iCs w:val="0"/>
          <w:caps w:val="0"/>
          <w:snapToGrid w:val="0"/>
          <w:color w:val="auto"/>
          <w:spacing w:val="0"/>
          <w:kern w:val="0"/>
          <w:sz w:val="24"/>
          <w:szCs w:val="24"/>
          <w:highlight w:val="none"/>
          <w:u w:val="single"/>
          <w:shd w:val="clear" w:fill="auto"/>
          <w:lang w:eastAsia="zh-CN"/>
        </w:rPr>
        <w:t>2407-440282-20-01-288869</w:t>
      </w:r>
      <w:r>
        <w:rPr>
          <w:rFonts w:hint="eastAsia" w:ascii="宋体" w:hAnsi="宋体" w:eastAsia="宋体" w:cs="宋体"/>
          <w:color w:val="auto"/>
          <w:sz w:val="24"/>
          <w:szCs w:val="24"/>
          <w:highlight w:val="none"/>
        </w:rPr>
        <w:t>。本项目业主为</w:t>
      </w:r>
      <w:r>
        <w:rPr>
          <w:rFonts w:hint="eastAsia" w:hAnsi="宋体" w:eastAsia="宋体" w:cs="宋体"/>
          <w:bCs/>
          <w:i w:val="0"/>
          <w:iCs w:val="0"/>
          <w:caps w:val="0"/>
          <w:snapToGrid w:val="0"/>
          <w:color w:val="auto"/>
          <w:spacing w:val="0"/>
          <w:kern w:val="0"/>
          <w:sz w:val="24"/>
          <w:szCs w:val="24"/>
          <w:highlight w:val="none"/>
          <w:u w:val="single"/>
          <w:shd w:val="clear" w:fill="auto"/>
          <w:lang w:eastAsia="zh-CN"/>
        </w:rPr>
        <w:t>南雄市乡村振兴服务中心</w:t>
      </w:r>
      <w:r>
        <w:rPr>
          <w:rFonts w:hint="eastAsia" w:ascii="宋体" w:hAnsi="宋体" w:eastAsia="宋体" w:cs="宋体"/>
          <w:color w:val="auto"/>
          <w:sz w:val="24"/>
          <w:szCs w:val="24"/>
          <w:highlight w:val="none"/>
        </w:rPr>
        <w:t>，</w:t>
      </w:r>
      <w:r>
        <w:rPr>
          <w:rFonts w:hint="eastAsia" w:ascii="宋体" w:hAnsi="宋体" w:eastAsia="宋体" w:cs="宋体"/>
          <w:b w:val="0"/>
          <w:bCs/>
          <w:snapToGrid w:val="0"/>
          <w:color w:val="auto"/>
          <w:kern w:val="0"/>
          <w:sz w:val="24"/>
          <w:szCs w:val="24"/>
          <w:highlight w:val="none"/>
          <w:lang w:val="en-US" w:eastAsia="zh-CN" w:bidi="ar-SA"/>
        </w:rPr>
        <w:t>项目建设所需资金</w:t>
      </w:r>
      <w:r>
        <w:rPr>
          <w:rFonts w:hint="eastAsia" w:hAnsi="宋体" w:eastAsia="宋体" w:cs="宋体"/>
          <w:bCs/>
          <w:snapToGrid w:val="0"/>
          <w:color w:val="auto"/>
          <w:kern w:val="0"/>
          <w:sz w:val="24"/>
          <w:szCs w:val="24"/>
          <w:highlight w:val="none"/>
          <w:u w:val="single"/>
          <w:lang w:val="en-US" w:eastAsia="zh-CN"/>
        </w:rPr>
        <w:t>上级财政资金</w:t>
      </w:r>
      <w:r>
        <w:rPr>
          <w:rFonts w:hint="eastAsia" w:ascii="宋体" w:hAnsi="宋体" w:eastAsia="宋体" w:cs="宋体"/>
          <w:color w:val="auto"/>
          <w:sz w:val="24"/>
          <w:szCs w:val="24"/>
          <w:highlight w:val="none"/>
        </w:rPr>
        <w:t>，出资比例为</w:t>
      </w:r>
      <w:r>
        <w:rPr>
          <w:rFonts w:hint="eastAsia" w:ascii="宋体" w:hAnsi="宋体" w:eastAsia="宋体" w:cs="宋体"/>
          <w:color w:val="auto"/>
          <w:sz w:val="24"/>
          <w:szCs w:val="24"/>
          <w:highlight w:val="none"/>
          <w:u w:val="single"/>
        </w:rPr>
        <w:t>100%</w:t>
      </w:r>
      <w:r>
        <w:rPr>
          <w:rFonts w:hint="eastAsia" w:ascii="宋体" w:hAnsi="宋体" w:eastAsia="宋体" w:cs="宋体"/>
          <w:color w:val="auto"/>
          <w:sz w:val="24"/>
          <w:szCs w:val="24"/>
          <w:highlight w:val="none"/>
        </w:rPr>
        <w:t>，招标人为</w:t>
      </w:r>
      <w:r>
        <w:rPr>
          <w:rFonts w:hint="eastAsia" w:hAnsi="宋体" w:eastAsia="宋体" w:cs="宋体"/>
          <w:bCs/>
          <w:i w:val="0"/>
          <w:iCs w:val="0"/>
          <w:caps w:val="0"/>
          <w:snapToGrid w:val="0"/>
          <w:color w:val="auto"/>
          <w:spacing w:val="0"/>
          <w:kern w:val="0"/>
          <w:sz w:val="24"/>
          <w:szCs w:val="24"/>
          <w:highlight w:val="none"/>
          <w:u w:val="single"/>
          <w:shd w:val="clear"/>
          <w:lang w:eastAsia="zh-CN"/>
        </w:rPr>
        <w:t>南雄市油山镇人民政府</w:t>
      </w:r>
      <w:r>
        <w:rPr>
          <w:rFonts w:hint="eastAsia" w:ascii="宋体" w:hAnsi="宋体" w:eastAsia="宋体" w:cs="宋体"/>
          <w:color w:val="auto"/>
          <w:sz w:val="24"/>
          <w:szCs w:val="24"/>
          <w:highlight w:val="none"/>
        </w:rPr>
        <w:t>，招标代理机构为</w:t>
      </w:r>
      <w:r>
        <w:rPr>
          <w:rFonts w:hint="eastAsia" w:hAnsi="宋体" w:eastAsia="宋体" w:cs="宋体"/>
          <w:color w:val="auto"/>
          <w:sz w:val="24"/>
          <w:szCs w:val="24"/>
          <w:highlight w:val="none"/>
          <w:u w:val="single"/>
          <w:lang w:eastAsia="zh-CN"/>
        </w:rPr>
        <w:t>广东象龙国际项目管理有限公司</w:t>
      </w:r>
      <w:r>
        <w:rPr>
          <w:rFonts w:hint="eastAsia" w:ascii="宋体" w:hAnsi="宋体" w:eastAsia="宋体" w:cs="宋体"/>
          <w:color w:val="auto"/>
          <w:sz w:val="24"/>
          <w:szCs w:val="24"/>
          <w:highlight w:val="none"/>
        </w:rPr>
        <w:t>。</w:t>
      </w:r>
      <w:r>
        <w:rPr>
          <w:rFonts w:hint="eastAsia" w:ascii="宋体" w:hAnsi="宋体" w:eastAsia="宋体" w:cs="宋体"/>
          <w:snapToGrid w:val="0"/>
          <w:color w:val="auto"/>
          <w:kern w:val="0"/>
          <w:sz w:val="24"/>
          <w:szCs w:val="24"/>
          <w:highlight w:val="none"/>
        </w:rPr>
        <w:t>项目已具备招标条件，现对该项目的</w:t>
      </w:r>
      <w:r>
        <w:rPr>
          <w:rFonts w:hint="eastAsia" w:ascii="宋体" w:hAnsi="宋体" w:eastAsia="宋体" w:cs="宋体"/>
          <w:snapToGrid w:val="0"/>
          <w:color w:val="auto"/>
          <w:kern w:val="0"/>
          <w:sz w:val="24"/>
          <w:szCs w:val="24"/>
          <w:highlight w:val="none"/>
          <w:u w:val="single"/>
          <w:lang w:val="en-US" w:eastAsia="zh-CN"/>
        </w:rPr>
        <w:t>油山镇典型村建设项目</w:t>
      </w:r>
      <w:r>
        <w:rPr>
          <w:rFonts w:hint="eastAsia" w:ascii="宋体" w:hAnsi="宋体" w:eastAsia="宋体" w:cs="宋体"/>
          <w:snapToGrid w:val="0"/>
          <w:color w:val="auto"/>
          <w:kern w:val="0"/>
          <w:sz w:val="24"/>
          <w:szCs w:val="24"/>
          <w:highlight w:val="none"/>
          <w:u w:val="single"/>
        </w:rPr>
        <w:t>设计</w:t>
      </w:r>
      <w:r>
        <w:rPr>
          <w:rFonts w:hint="eastAsia" w:ascii="宋体" w:hAnsi="宋体" w:eastAsia="宋体" w:cs="宋体"/>
          <w:snapToGrid w:val="0"/>
          <w:color w:val="auto"/>
          <w:kern w:val="0"/>
          <w:sz w:val="24"/>
          <w:szCs w:val="24"/>
          <w:highlight w:val="none"/>
          <w:u w:val="single"/>
          <w:lang w:eastAsia="zh-CN"/>
        </w:rPr>
        <w:t>、</w:t>
      </w:r>
      <w:r>
        <w:rPr>
          <w:rFonts w:hint="eastAsia" w:ascii="宋体" w:hAnsi="宋体" w:eastAsia="宋体" w:cs="宋体"/>
          <w:snapToGrid w:val="0"/>
          <w:color w:val="auto"/>
          <w:kern w:val="0"/>
          <w:sz w:val="24"/>
          <w:szCs w:val="24"/>
          <w:highlight w:val="none"/>
          <w:u w:val="single"/>
        </w:rPr>
        <w:t>施工总承包</w:t>
      </w:r>
      <w:r>
        <w:rPr>
          <w:rFonts w:hint="eastAsia" w:ascii="宋体" w:hAnsi="宋体" w:eastAsia="宋体" w:cs="宋体"/>
          <w:snapToGrid w:val="0"/>
          <w:color w:val="auto"/>
          <w:kern w:val="0"/>
          <w:sz w:val="24"/>
          <w:szCs w:val="24"/>
          <w:highlight w:val="none"/>
        </w:rPr>
        <w:t>进行公开招标。</w:t>
      </w:r>
    </w:p>
    <w:p w14:paraId="6197F2E1">
      <w:pPr>
        <w:pStyle w:val="49"/>
        <w:keepNext/>
        <w:keepLines/>
        <w:spacing w:line="360" w:lineRule="auto"/>
        <w:ind w:firstLine="480"/>
        <w:jc w:val="both"/>
        <w:rPr>
          <w:rFonts w:hint="eastAsia" w:asciiTheme="minorEastAsia" w:hAnsiTheme="minorEastAsia" w:eastAsiaTheme="minorEastAsia" w:cstheme="minorEastAsia"/>
          <w:b/>
          <w:bCs/>
          <w:snapToGrid w:val="0"/>
          <w:color w:val="auto"/>
          <w:highlight w:val="none"/>
        </w:rPr>
      </w:pPr>
      <w:bookmarkStart w:id="14" w:name="_Hlt74474735"/>
      <w:bookmarkEnd w:id="14"/>
      <w:bookmarkStart w:id="15" w:name="_Hlt78795222"/>
      <w:bookmarkEnd w:id="15"/>
      <w:bookmarkStart w:id="16" w:name="_Hlt119991399"/>
      <w:bookmarkEnd w:id="16"/>
      <w:bookmarkStart w:id="17" w:name="_Hlt87948285"/>
      <w:bookmarkEnd w:id="17"/>
      <w:bookmarkStart w:id="18" w:name="_Hlt109358474"/>
      <w:bookmarkEnd w:id="18"/>
      <w:bookmarkStart w:id="19" w:name="_Toc23054"/>
      <w:bookmarkStart w:id="20" w:name="_Toc24563"/>
      <w:bookmarkStart w:id="21" w:name="_Toc1134"/>
      <w:bookmarkStart w:id="22" w:name="_Toc31976"/>
      <w:bookmarkStart w:id="23" w:name="_Toc4081"/>
      <w:bookmarkStart w:id="24" w:name="_Toc18453"/>
      <w:bookmarkStart w:id="25" w:name="_Toc25252"/>
      <w:bookmarkStart w:id="26" w:name="_Toc574"/>
      <w:bookmarkStart w:id="27" w:name="_Toc30732"/>
      <w:r>
        <w:rPr>
          <w:rFonts w:hint="eastAsia" w:asciiTheme="minorEastAsia" w:hAnsiTheme="minorEastAsia" w:eastAsiaTheme="minorEastAsia" w:cstheme="minorEastAsia"/>
          <w:b/>
          <w:color w:val="auto"/>
          <w:kern w:val="2"/>
          <w:highlight w:val="none"/>
        </w:rPr>
        <w:t>1、 工程概况综合说明</w:t>
      </w:r>
      <w:bookmarkEnd w:id="19"/>
      <w:bookmarkEnd w:id="20"/>
      <w:bookmarkEnd w:id="21"/>
      <w:bookmarkEnd w:id="22"/>
      <w:bookmarkEnd w:id="23"/>
      <w:bookmarkEnd w:id="24"/>
      <w:bookmarkEnd w:id="25"/>
      <w:bookmarkEnd w:id="26"/>
      <w:bookmarkEnd w:id="27"/>
    </w:p>
    <w:p w14:paraId="20A82846">
      <w:pPr>
        <w:pStyle w:val="50"/>
        <w:wordWrap w:val="0"/>
        <w:adjustRightInd w:val="0"/>
        <w:snapToGrid w:val="0"/>
        <w:spacing w:line="360" w:lineRule="auto"/>
        <w:ind w:firstLine="48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bCs/>
          <w:color w:val="auto"/>
          <w:sz w:val="24"/>
          <w:highlight w:val="none"/>
        </w:rPr>
        <w:t>1.1</w:t>
      </w:r>
      <w:r>
        <w:rPr>
          <w:rFonts w:hint="eastAsia" w:asciiTheme="minorEastAsia" w:hAnsiTheme="minorEastAsia" w:eastAsiaTheme="minorEastAsia" w:cstheme="minorEastAsia"/>
          <w:color w:val="auto"/>
          <w:sz w:val="24"/>
          <w:highlight w:val="none"/>
        </w:rPr>
        <w:t xml:space="preserve"> 工程概况</w:t>
      </w:r>
    </w:p>
    <w:p w14:paraId="2A22D848">
      <w:pPr>
        <w:pStyle w:val="50"/>
        <w:wordWrap w:val="0"/>
        <w:adjustRightInd w:val="0"/>
        <w:snapToGrid w:val="0"/>
        <w:spacing w:line="360" w:lineRule="auto"/>
        <w:ind w:firstLine="480"/>
        <w:jc w:val="left"/>
        <w:rPr>
          <w:rFonts w:hint="eastAsia" w:asciiTheme="minorEastAsia" w:hAnsiTheme="minorEastAsia" w:eastAsiaTheme="minorEastAsia" w:cstheme="minorEastAsia"/>
          <w:color w:val="auto"/>
          <w:sz w:val="24"/>
          <w:szCs w:val="18"/>
          <w:highlight w:val="none"/>
          <w:u w:val="single"/>
        </w:rPr>
      </w:pPr>
      <w:r>
        <w:rPr>
          <w:rFonts w:hint="eastAsia" w:asciiTheme="minorEastAsia" w:hAnsiTheme="minorEastAsia" w:eastAsiaTheme="minorEastAsia" w:cstheme="minorEastAsia"/>
          <w:b/>
          <w:bCs/>
          <w:color w:val="auto"/>
          <w:sz w:val="24"/>
          <w:highlight w:val="none"/>
        </w:rPr>
        <w:t>1.1.1</w:t>
      </w:r>
      <w:r>
        <w:rPr>
          <w:rFonts w:hint="eastAsia" w:asciiTheme="minorEastAsia" w:hAnsiTheme="minorEastAsia" w:eastAsiaTheme="minorEastAsia" w:cstheme="minorEastAsia"/>
          <w:color w:val="auto"/>
          <w:sz w:val="24"/>
          <w:highlight w:val="none"/>
        </w:rPr>
        <w:t xml:space="preserve"> 建设地点</w:t>
      </w:r>
      <w:r>
        <w:rPr>
          <w:rFonts w:hint="eastAsia" w:asciiTheme="minorEastAsia" w:hAnsiTheme="minorEastAsia" w:eastAsiaTheme="minorEastAsia" w:cstheme="minorEastAsia"/>
          <w:color w:val="auto"/>
          <w:sz w:val="24"/>
          <w:highlight w:val="none"/>
          <w:lang w:eastAsia="zh-CN"/>
        </w:rPr>
        <w:t>：</w:t>
      </w:r>
      <w:r>
        <w:rPr>
          <w:rFonts w:hint="eastAsia" w:ascii="宋体" w:hAnsi="宋体" w:eastAsia="宋体" w:cs="Times New Roman"/>
          <w:color w:val="auto"/>
          <w:sz w:val="24"/>
          <w:szCs w:val="24"/>
          <w:highlight w:val="none"/>
          <w:u w:val="none"/>
        </w:rPr>
        <w:t>详见投标人须知前附表。</w:t>
      </w:r>
    </w:p>
    <w:p w14:paraId="5CA903A7">
      <w:pPr>
        <w:pStyle w:val="47"/>
        <w:spacing w:line="360" w:lineRule="auto"/>
        <w:ind w:firstLine="482" w:firstLineChars="200"/>
        <w:rPr>
          <w:rFonts w:hint="eastAsia" w:asciiTheme="minorEastAsia" w:hAnsiTheme="minorEastAsia" w:eastAsiaTheme="minorEastAsia" w:cstheme="minorEastAsia"/>
          <w:color w:val="auto"/>
          <w:szCs w:val="24"/>
          <w:highlight w:val="none"/>
          <w:u w:val="single"/>
          <w:lang w:val="en-US" w:eastAsia="zh-CN"/>
        </w:rPr>
      </w:pPr>
      <w:r>
        <w:rPr>
          <w:rFonts w:hint="eastAsia" w:asciiTheme="minorEastAsia" w:hAnsiTheme="minorEastAsia" w:eastAsiaTheme="minorEastAsia" w:cstheme="minorEastAsia"/>
          <w:b/>
          <w:bCs/>
          <w:color w:val="auto"/>
          <w:kern w:val="2"/>
          <w:sz w:val="24"/>
          <w:szCs w:val="24"/>
          <w:highlight w:val="none"/>
          <w:lang w:val="en-US" w:eastAsia="zh-CN" w:bidi="ar-SA"/>
        </w:rPr>
        <w:t>1.1.2</w:t>
      </w:r>
      <w:r>
        <w:rPr>
          <w:rFonts w:hint="eastAsia" w:asciiTheme="minorEastAsia" w:hAnsiTheme="minorEastAsia" w:eastAsiaTheme="minorEastAsia" w:cstheme="minorEastAsia"/>
          <w:color w:val="auto"/>
          <w:szCs w:val="24"/>
          <w:highlight w:val="none"/>
          <w:u w:val="none"/>
        </w:rPr>
        <w:t xml:space="preserve"> 建设内容和规模：</w:t>
      </w:r>
      <w:r>
        <w:rPr>
          <w:rFonts w:hint="eastAsia" w:ascii="宋体" w:hAnsi="宋体" w:eastAsia="宋体" w:cs="Times New Roman"/>
          <w:color w:val="auto"/>
          <w:sz w:val="24"/>
          <w:szCs w:val="24"/>
          <w:highlight w:val="none"/>
          <w:u w:val="none"/>
        </w:rPr>
        <w:t>详见投标人须知前附表。</w:t>
      </w:r>
    </w:p>
    <w:p w14:paraId="2A89E065">
      <w:pPr>
        <w:pStyle w:val="47"/>
        <w:spacing w:line="360" w:lineRule="auto"/>
        <w:ind w:firstLine="482" w:firstLineChars="200"/>
        <w:rPr>
          <w:rFonts w:hint="eastAsia" w:asciiTheme="minorEastAsia" w:hAnsiTheme="minorEastAsia" w:eastAsiaTheme="minorEastAsia" w:cstheme="minorEastAsia"/>
          <w:color w:val="auto"/>
          <w:szCs w:val="24"/>
          <w:highlight w:val="none"/>
          <w:u w:val="single"/>
          <w:lang w:val="en-US" w:eastAsia="zh-CN"/>
        </w:rPr>
      </w:pPr>
      <w:r>
        <w:rPr>
          <w:rFonts w:hint="eastAsia" w:asciiTheme="minorEastAsia" w:hAnsiTheme="minorEastAsia" w:eastAsiaTheme="minorEastAsia" w:cstheme="minorEastAsia"/>
          <w:b/>
          <w:bCs/>
          <w:color w:val="auto"/>
          <w:kern w:val="2"/>
          <w:sz w:val="24"/>
          <w:szCs w:val="24"/>
          <w:highlight w:val="none"/>
          <w:lang w:val="en-US" w:eastAsia="zh-CN" w:bidi="ar-SA"/>
        </w:rPr>
        <w:t>1.1.3</w:t>
      </w:r>
      <w:r>
        <w:rPr>
          <w:rFonts w:hint="eastAsia" w:asciiTheme="minorEastAsia" w:hAnsiTheme="minorEastAsia" w:eastAsiaTheme="minorEastAsia" w:cstheme="minorEastAsia"/>
          <w:b/>
          <w:bCs/>
          <w:color w:val="auto"/>
          <w:kern w:val="2"/>
          <w:sz w:val="24"/>
          <w:szCs w:val="24"/>
          <w:highlight w:val="none"/>
          <w:u w:val="none"/>
          <w:lang w:val="en-US" w:eastAsia="zh-CN" w:bidi="ar-SA"/>
        </w:rPr>
        <w:t xml:space="preserve"> </w:t>
      </w:r>
      <w:r>
        <w:rPr>
          <w:rFonts w:hint="eastAsia" w:asciiTheme="minorEastAsia" w:hAnsiTheme="minorEastAsia" w:eastAsiaTheme="minorEastAsia" w:cstheme="minorEastAsia"/>
          <w:color w:val="auto"/>
          <w:szCs w:val="24"/>
          <w:highlight w:val="none"/>
          <w:u w:val="none"/>
        </w:rPr>
        <w:t>项目总投资：</w:t>
      </w:r>
      <w:bookmarkStart w:id="28" w:name="_Toc20999"/>
      <w:r>
        <w:rPr>
          <w:rFonts w:hint="eastAsia" w:ascii="宋体" w:hAnsi="宋体" w:eastAsia="宋体" w:cs="Times New Roman"/>
          <w:color w:val="auto"/>
          <w:sz w:val="24"/>
          <w:szCs w:val="24"/>
          <w:highlight w:val="none"/>
          <w:u w:val="none"/>
        </w:rPr>
        <w:t>详见投标人须知前附表。</w:t>
      </w:r>
    </w:p>
    <w:p w14:paraId="37F8AD91">
      <w:pPr>
        <w:widowControl/>
        <w:spacing w:line="360" w:lineRule="auto"/>
        <w:ind w:left="511" w:leftChars="213"/>
        <w:rPr>
          <w:rFonts w:hint="eastAsia" w:asciiTheme="minorEastAsia" w:hAnsiTheme="minorEastAsia" w:eastAsiaTheme="minorEastAsia" w:cstheme="minorEastAsia"/>
          <w:snapToGrid w:val="0"/>
          <w:color w:val="auto"/>
          <w:kern w:val="0"/>
          <w:highlight w:val="none"/>
          <w:u w:val="single"/>
        </w:rPr>
      </w:pPr>
      <w:r>
        <w:rPr>
          <w:rFonts w:hint="eastAsia" w:asciiTheme="minorEastAsia" w:hAnsiTheme="minorEastAsia" w:eastAsiaTheme="minorEastAsia" w:cstheme="minorEastAsia"/>
          <w:b/>
          <w:bCs/>
          <w:snapToGrid w:val="0"/>
          <w:color w:val="auto"/>
          <w:kern w:val="0"/>
          <w:highlight w:val="none"/>
        </w:rPr>
        <w:t>1.2</w:t>
      </w:r>
      <w:r>
        <w:rPr>
          <w:rFonts w:hint="eastAsia" w:asciiTheme="minorEastAsia" w:hAnsiTheme="minorEastAsia" w:eastAsiaTheme="minorEastAsia" w:cstheme="minorEastAsia"/>
          <w:snapToGrid w:val="0"/>
          <w:color w:val="auto"/>
          <w:kern w:val="0"/>
          <w:highlight w:val="none"/>
        </w:rPr>
        <w:t xml:space="preserve"> 标段划分：</w:t>
      </w:r>
      <w:bookmarkEnd w:id="28"/>
      <w:r>
        <w:rPr>
          <w:rFonts w:hint="eastAsia" w:asciiTheme="minorEastAsia" w:hAnsiTheme="minorEastAsia" w:eastAsiaTheme="minorEastAsia" w:cstheme="minorEastAsia"/>
          <w:snapToGrid w:val="0"/>
          <w:color w:val="auto"/>
          <w:kern w:val="0"/>
          <w:szCs w:val="24"/>
          <w:highlight w:val="none"/>
          <w:u w:val="single"/>
        </w:rPr>
        <w:t>本招标项目不划分标段。</w:t>
      </w:r>
    </w:p>
    <w:p w14:paraId="3302462C">
      <w:pPr>
        <w:pStyle w:val="47"/>
        <w:tabs>
          <w:tab w:val="left" w:pos="7020"/>
        </w:tabs>
        <w:spacing w:line="360" w:lineRule="auto"/>
        <w:ind w:firstLine="482"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szCs w:val="24"/>
          <w:highlight w:val="none"/>
        </w:rPr>
        <w:t>1.3</w:t>
      </w:r>
      <w:r>
        <w:rPr>
          <w:rFonts w:hint="eastAsia" w:asciiTheme="minorEastAsia" w:hAnsiTheme="minorEastAsia" w:eastAsiaTheme="minorEastAsia" w:cstheme="minorEastAsia"/>
          <w:color w:val="auto"/>
          <w:szCs w:val="24"/>
          <w:highlight w:val="none"/>
        </w:rPr>
        <w:t xml:space="preserve"> 监理单位：</w:t>
      </w:r>
      <w:r>
        <w:rPr>
          <w:rFonts w:hint="eastAsia" w:asciiTheme="minorEastAsia" w:hAnsiTheme="minorEastAsia" w:eastAsiaTheme="minorEastAsia" w:cstheme="minorEastAsia"/>
          <w:color w:val="auto"/>
          <w:szCs w:val="18"/>
          <w:highlight w:val="none"/>
          <w:u w:val="single"/>
        </w:rPr>
        <w:t>待定</w:t>
      </w:r>
      <w:r>
        <w:rPr>
          <w:rFonts w:hint="eastAsia" w:asciiTheme="minorEastAsia" w:hAnsiTheme="minorEastAsia" w:eastAsiaTheme="minorEastAsia" w:cstheme="minorEastAsia"/>
          <w:color w:val="auto"/>
          <w:szCs w:val="18"/>
          <w:highlight w:val="none"/>
        </w:rPr>
        <w:t>。</w:t>
      </w:r>
    </w:p>
    <w:p w14:paraId="7530DDF6">
      <w:pPr>
        <w:pStyle w:val="47"/>
        <w:spacing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1.4</w:t>
      </w:r>
      <w:r>
        <w:rPr>
          <w:rFonts w:hint="eastAsia" w:asciiTheme="minorEastAsia" w:hAnsiTheme="minorEastAsia" w:eastAsiaTheme="minorEastAsia" w:cstheme="minorEastAsia"/>
          <w:color w:val="auto"/>
          <w:szCs w:val="24"/>
          <w:highlight w:val="none"/>
        </w:rPr>
        <w:t xml:space="preserve"> 投标费用：</w:t>
      </w:r>
      <w:r>
        <w:rPr>
          <w:rFonts w:hint="eastAsia" w:asciiTheme="minorEastAsia" w:hAnsiTheme="minorEastAsia" w:eastAsiaTheme="minorEastAsia" w:cstheme="minorEastAsia"/>
          <w:color w:val="auto"/>
          <w:szCs w:val="24"/>
          <w:highlight w:val="none"/>
          <w:u w:val="single"/>
        </w:rPr>
        <w:t>投标人应承担所有准备和参加投标的相关费用，不论投标结果如何，招标人均无义务和责任承担这些费用</w:t>
      </w:r>
      <w:r>
        <w:rPr>
          <w:rFonts w:hint="eastAsia" w:asciiTheme="minorEastAsia" w:hAnsiTheme="minorEastAsia" w:eastAsiaTheme="minorEastAsia" w:cstheme="minorEastAsia"/>
          <w:color w:val="auto"/>
          <w:szCs w:val="24"/>
          <w:highlight w:val="none"/>
        </w:rPr>
        <w:t>。</w:t>
      </w:r>
      <w:bookmarkStart w:id="29" w:name="_Toc106184808"/>
    </w:p>
    <w:p w14:paraId="3EB48DDC">
      <w:pPr>
        <w:pStyle w:val="49"/>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30" w:name="_Toc17359"/>
      <w:bookmarkStart w:id="31" w:name="_Toc18851"/>
      <w:bookmarkStart w:id="32" w:name="_Toc18668"/>
      <w:bookmarkStart w:id="33" w:name="_Toc7700"/>
      <w:bookmarkStart w:id="34" w:name="_Toc22550"/>
      <w:bookmarkStart w:id="35" w:name="_Toc121"/>
      <w:bookmarkStart w:id="36" w:name="_Toc12190"/>
      <w:bookmarkStart w:id="37" w:name="_Toc32400"/>
      <w:bookmarkStart w:id="38" w:name="_Toc14958"/>
      <w:r>
        <w:rPr>
          <w:rFonts w:hint="eastAsia" w:asciiTheme="minorEastAsia" w:hAnsiTheme="minorEastAsia" w:eastAsiaTheme="minorEastAsia" w:cstheme="minorEastAsia"/>
          <w:b/>
          <w:color w:val="auto"/>
          <w:kern w:val="2"/>
          <w:highlight w:val="none"/>
        </w:rPr>
        <w:t>2 、招标范围</w:t>
      </w:r>
      <w:bookmarkEnd w:id="29"/>
      <w:bookmarkEnd w:id="30"/>
      <w:bookmarkEnd w:id="31"/>
      <w:bookmarkEnd w:id="32"/>
      <w:bookmarkEnd w:id="33"/>
      <w:bookmarkEnd w:id="34"/>
      <w:bookmarkEnd w:id="35"/>
      <w:bookmarkEnd w:id="36"/>
      <w:bookmarkEnd w:id="37"/>
      <w:bookmarkEnd w:id="38"/>
    </w:p>
    <w:p w14:paraId="358B4272">
      <w:pPr>
        <w:pStyle w:val="52"/>
        <w:spacing w:line="360" w:lineRule="auto"/>
        <w:rPr>
          <w:rFonts w:hint="eastAsia" w:asciiTheme="minorEastAsia" w:hAnsiTheme="minorEastAsia" w:eastAsiaTheme="minorEastAsia" w:cstheme="minorEastAsia"/>
          <w:color w:val="auto"/>
          <w:highlight w:val="none"/>
        </w:rPr>
      </w:pPr>
      <w:bookmarkStart w:id="39" w:name="_Hlt91408212"/>
      <w:bookmarkEnd w:id="39"/>
      <w:r>
        <w:rPr>
          <w:rFonts w:hint="eastAsia" w:asciiTheme="minorEastAsia" w:hAnsiTheme="minorEastAsia" w:eastAsiaTheme="minorEastAsia" w:cstheme="minorEastAsia"/>
          <w:b/>
          <w:bCs/>
          <w:color w:val="auto"/>
          <w:sz w:val="24"/>
          <w:szCs w:val="24"/>
          <w:highlight w:val="none"/>
        </w:rPr>
        <w:t>2.1</w:t>
      </w:r>
      <w:r>
        <w:rPr>
          <w:rFonts w:hint="eastAsia" w:asciiTheme="minorEastAsia" w:hAnsiTheme="minorEastAsia" w:eastAsiaTheme="minorEastAsia" w:cstheme="minorEastAsia"/>
          <w:color w:val="auto"/>
          <w:sz w:val="24"/>
          <w:szCs w:val="24"/>
          <w:highlight w:val="none"/>
        </w:rPr>
        <w:t>招标范围：</w:t>
      </w:r>
      <w:r>
        <w:rPr>
          <w:rFonts w:hint="eastAsia" w:asciiTheme="minorEastAsia" w:hAnsiTheme="minorEastAsia" w:eastAsiaTheme="minorEastAsia" w:cstheme="minorEastAsia"/>
          <w:color w:val="auto"/>
          <w:sz w:val="24"/>
          <w:highlight w:val="none"/>
        </w:rPr>
        <w:t>本工程所涉及的内容包括但不限于以下（1）～（</w:t>
      </w:r>
      <w:r>
        <w:rPr>
          <w:rFonts w:hint="eastAsia" w:asciiTheme="minorEastAsia" w:hAnsiTheme="minorEastAsia" w:eastAsiaTheme="minorEastAsia" w:cstheme="minorEastAsia"/>
          <w:color w:val="auto"/>
          <w:sz w:val="24"/>
          <w:highlight w:val="none"/>
          <w:lang w:val="en-US" w:eastAsia="zh-CN"/>
        </w:rPr>
        <w:t>2</w:t>
      </w:r>
      <w:r>
        <w:rPr>
          <w:rFonts w:hint="eastAsia" w:asciiTheme="minorEastAsia" w:hAnsiTheme="minorEastAsia" w:eastAsiaTheme="minorEastAsia" w:cstheme="minorEastAsia"/>
          <w:color w:val="auto"/>
          <w:sz w:val="24"/>
          <w:highlight w:val="none"/>
        </w:rPr>
        <w:t>）：</w:t>
      </w:r>
    </w:p>
    <w:p w14:paraId="5DE91771">
      <w:pPr>
        <w:pStyle w:val="47"/>
        <w:numPr>
          <w:ilvl w:val="0"/>
          <w:numId w:val="0"/>
        </w:numPr>
        <w:spacing w:line="360" w:lineRule="auto"/>
        <w:ind w:leftChars="0" w:firstLine="240" w:firstLineChars="100"/>
        <w:jc w:val="left"/>
        <w:rPr>
          <w:rFonts w:hint="eastAsia" w:asciiTheme="minorEastAsia" w:hAnsiTheme="minorEastAsia" w:eastAsiaTheme="minorEastAsia" w:cstheme="minorEastAsia"/>
          <w:snapToGrid w:val="0"/>
          <w:color w:val="auto"/>
          <w:kern w:val="0"/>
          <w:sz w:val="24"/>
          <w:szCs w:val="24"/>
          <w:highlight w:val="none"/>
        </w:rPr>
      </w:pPr>
      <w:bookmarkStart w:id="40" w:name="_Toc13988"/>
      <w:bookmarkStart w:id="41" w:name="_Toc7799"/>
      <w:bookmarkStart w:id="42" w:name="_Toc4645"/>
      <w:bookmarkStart w:id="43" w:name="_Toc27886"/>
      <w:bookmarkStart w:id="44" w:name="_Toc32739"/>
      <w:bookmarkStart w:id="45" w:name="_Toc26845"/>
      <w:bookmarkStart w:id="46" w:name="_Toc2350"/>
      <w:bookmarkStart w:id="47" w:name="_Toc1366"/>
      <w:bookmarkStart w:id="48" w:name="_Toc2217"/>
      <w:bookmarkStart w:id="49" w:name="_Toc708"/>
      <w:bookmarkStart w:id="50" w:name="_Toc21803"/>
      <w:r>
        <w:rPr>
          <w:rFonts w:hint="eastAsia" w:asciiTheme="minorEastAsia" w:hAnsiTheme="minorEastAsia" w:eastAsiaTheme="minorEastAsia" w:cstheme="minorEastAsia"/>
          <w:snapToGrid w:val="0"/>
          <w:color w:val="auto"/>
          <w:kern w:val="0"/>
          <w:sz w:val="24"/>
          <w:szCs w:val="24"/>
          <w:highlight w:val="none"/>
          <w:lang w:eastAsia="zh-CN"/>
        </w:rPr>
        <w:t>（</w:t>
      </w:r>
      <w:r>
        <w:rPr>
          <w:rFonts w:hint="eastAsia" w:asciiTheme="minorEastAsia" w:hAnsiTheme="minorEastAsia" w:eastAsiaTheme="minorEastAsia" w:cstheme="minorEastAsia"/>
          <w:snapToGrid w:val="0"/>
          <w:color w:val="auto"/>
          <w:kern w:val="0"/>
          <w:sz w:val="24"/>
          <w:szCs w:val="24"/>
          <w:highlight w:val="none"/>
          <w:lang w:val="en-US" w:eastAsia="zh-CN"/>
        </w:rPr>
        <w:t>1）</w:t>
      </w:r>
      <w:r>
        <w:rPr>
          <w:rFonts w:hint="eastAsia" w:asciiTheme="minorEastAsia" w:hAnsiTheme="minorEastAsia" w:eastAsiaTheme="minorEastAsia" w:cstheme="minorEastAsia"/>
          <w:snapToGrid w:val="0"/>
          <w:color w:val="auto"/>
          <w:kern w:val="0"/>
          <w:sz w:val="24"/>
          <w:szCs w:val="24"/>
          <w:highlight w:val="none"/>
        </w:rPr>
        <w:t>设计部分：</w:t>
      </w:r>
      <w:r>
        <w:rPr>
          <w:rFonts w:hint="eastAsia" w:asciiTheme="minorEastAsia" w:hAnsiTheme="minorEastAsia" w:eastAsiaTheme="minorEastAsia" w:cstheme="minorEastAsia"/>
          <w:snapToGrid w:val="0"/>
          <w:color w:val="auto"/>
          <w:kern w:val="0"/>
          <w:sz w:val="24"/>
          <w:szCs w:val="24"/>
          <w:highlight w:val="none"/>
          <w:lang w:val="zh-CN"/>
        </w:rPr>
        <w:t>确保项目顺利实施的报建、报批、施工等所需的所有建安工程等设计文件。包括但不限于：施工图设计、</w:t>
      </w:r>
      <w:r>
        <w:rPr>
          <w:rFonts w:hint="eastAsia" w:asciiTheme="minorEastAsia" w:hAnsiTheme="minorEastAsia" w:eastAsiaTheme="minorEastAsia" w:cstheme="minorEastAsia"/>
          <w:snapToGrid w:val="0"/>
          <w:color w:val="auto"/>
          <w:kern w:val="0"/>
          <w:sz w:val="24"/>
          <w:szCs w:val="24"/>
          <w:highlight w:val="none"/>
        </w:rPr>
        <w:t>提供项目所需相关检测项的明细表和危险性较大的分部分项工程清单及保障安全相关说明</w:t>
      </w:r>
      <w:r>
        <w:rPr>
          <w:rFonts w:hint="eastAsia" w:asciiTheme="minorEastAsia" w:hAnsiTheme="minorEastAsia" w:eastAsiaTheme="minorEastAsia" w:cstheme="minorEastAsia"/>
          <w:snapToGrid w:val="0"/>
          <w:color w:val="auto"/>
          <w:kern w:val="0"/>
          <w:sz w:val="24"/>
          <w:szCs w:val="24"/>
          <w:highlight w:val="none"/>
          <w:lang w:eastAsia="zh-CN"/>
        </w:rPr>
        <w:t>、</w:t>
      </w:r>
      <w:r>
        <w:rPr>
          <w:rFonts w:hint="eastAsia" w:asciiTheme="minorEastAsia" w:hAnsiTheme="minorEastAsia" w:eastAsiaTheme="minorEastAsia" w:cstheme="minorEastAsia"/>
          <w:snapToGrid w:val="0"/>
          <w:color w:val="auto"/>
          <w:kern w:val="0"/>
          <w:sz w:val="24"/>
          <w:szCs w:val="24"/>
          <w:highlight w:val="none"/>
          <w:lang w:val="zh-CN"/>
        </w:rPr>
        <w:t>工地现场服务、验收过程中的设计指导及配合阶段验收及档案整理、协助施工单位编制竣工图及后续设计服务工作</w:t>
      </w:r>
      <w:r>
        <w:rPr>
          <w:rFonts w:hint="eastAsia" w:asciiTheme="minorEastAsia" w:hAnsiTheme="minorEastAsia" w:eastAsiaTheme="minorEastAsia" w:cstheme="minorEastAsia"/>
          <w:snapToGrid w:val="0"/>
          <w:color w:val="auto"/>
          <w:kern w:val="0"/>
          <w:sz w:val="24"/>
          <w:szCs w:val="24"/>
          <w:highlight w:val="none"/>
        </w:rPr>
        <w:t>。</w:t>
      </w:r>
    </w:p>
    <w:p w14:paraId="057F954A">
      <w:pPr>
        <w:pStyle w:val="47"/>
        <w:spacing w:line="360" w:lineRule="auto"/>
        <w:ind w:firstLine="241" w:firstLineChars="100"/>
        <w:jc w:val="lef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b/>
          <w:bCs/>
          <w:snapToGrid w:val="0"/>
          <w:color w:val="auto"/>
          <w:kern w:val="0"/>
          <w:sz w:val="24"/>
          <w:szCs w:val="24"/>
          <w:highlight w:val="none"/>
        </w:rPr>
        <w:t>注：设计文件深度要求必须满足</w:t>
      </w:r>
      <w:r>
        <w:rPr>
          <w:rFonts w:hint="eastAsia" w:asciiTheme="minorEastAsia" w:hAnsiTheme="minorEastAsia" w:eastAsiaTheme="minorEastAsia" w:cstheme="minorEastAsia"/>
          <w:b/>
          <w:bCs/>
          <w:snapToGrid w:val="0"/>
          <w:color w:val="auto"/>
          <w:kern w:val="0"/>
          <w:sz w:val="24"/>
          <w:szCs w:val="24"/>
          <w:highlight w:val="none"/>
          <w:lang w:eastAsia="zh-CN"/>
        </w:rPr>
        <w:t>住房和城乡建设部</w:t>
      </w:r>
      <w:r>
        <w:rPr>
          <w:rFonts w:hint="eastAsia" w:asciiTheme="minorEastAsia" w:hAnsiTheme="minorEastAsia" w:eastAsiaTheme="minorEastAsia" w:cstheme="minorEastAsia"/>
          <w:b/>
          <w:bCs/>
          <w:snapToGrid w:val="0"/>
          <w:color w:val="auto"/>
          <w:kern w:val="0"/>
          <w:sz w:val="24"/>
          <w:szCs w:val="24"/>
          <w:highlight w:val="none"/>
        </w:rPr>
        <w:t>《市政公用工程设计文件编制深度规定（20</w:t>
      </w:r>
      <w:r>
        <w:rPr>
          <w:rFonts w:hint="eastAsia" w:asciiTheme="minorEastAsia" w:hAnsiTheme="minorEastAsia" w:eastAsiaTheme="minorEastAsia" w:cstheme="minorEastAsia"/>
          <w:b/>
          <w:bCs/>
          <w:snapToGrid w:val="0"/>
          <w:color w:val="auto"/>
          <w:kern w:val="0"/>
          <w:sz w:val="24"/>
          <w:szCs w:val="24"/>
          <w:highlight w:val="none"/>
          <w:lang w:val="en-US" w:eastAsia="zh-CN"/>
        </w:rPr>
        <w:t>25</w:t>
      </w:r>
      <w:r>
        <w:rPr>
          <w:rFonts w:hint="eastAsia" w:asciiTheme="minorEastAsia" w:hAnsiTheme="minorEastAsia" w:eastAsiaTheme="minorEastAsia" w:cstheme="minorEastAsia"/>
          <w:b/>
          <w:bCs/>
          <w:snapToGrid w:val="0"/>
          <w:color w:val="auto"/>
          <w:kern w:val="0"/>
          <w:sz w:val="24"/>
          <w:szCs w:val="24"/>
          <w:highlight w:val="none"/>
        </w:rPr>
        <w:t>版）》和《建筑工程设计文件编制深度规定（2016版）》的要求，各专业还应该满足各专业工程设计文件编制深度规范或规定的要求</w:t>
      </w:r>
      <w:r>
        <w:rPr>
          <w:rFonts w:hint="eastAsia" w:asciiTheme="minorEastAsia" w:hAnsiTheme="minorEastAsia" w:eastAsiaTheme="minorEastAsia" w:cstheme="minorEastAsia"/>
          <w:snapToGrid w:val="0"/>
          <w:color w:val="auto"/>
          <w:kern w:val="0"/>
          <w:sz w:val="24"/>
          <w:szCs w:val="24"/>
          <w:highlight w:val="none"/>
        </w:rPr>
        <w:t>。</w:t>
      </w:r>
    </w:p>
    <w:p w14:paraId="1C81C4B2">
      <w:pPr>
        <w:pStyle w:val="47"/>
        <w:spacing w:line="360" w:lineRule="auto"/>
        <w:ind w:firstLine="240" w:firstLineChars="100"/>
        <w:jc w:val="left"/>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sz w:val="24"/>
          <w:szCs w:val="24"/>
          <w:highlight w:val="none"/>
        </w:rPr>
        <w:t>（</w:t>
      </w:r>
      <w:r>
        <w:rPr>
          <w:rFonts w:hint="eastAsia" w:asciiTheme="minorEastAsia" w:hAnsiTheme="minorEastAsia" w:eastAsiaTheme="minorEastAsia" w:cstheme="minorEastAsia"/>
          <w:snapToGrid w:val="0"/>
          <w:color w:val="auto"/>
          <w:kern w:val="0"/>
          <w:sz w:val="24"/>
          <w:szCs w:val="24"/>
          <w:highlight w:val="none"/>
          <w:lang w:val="en-US" w:eastAsia="zh-CN"/>
        </w:rPr>
        <w:t>2</w:t>
      </w:r>
      <w:r>
        <w:rPr>
          <w:rFonts w:hint="eastAsia" w:asciiTheme="minorEastAsia" w:hAnsiTheme="minorEastAsia" w:eastAsiaTheme="minorEastAsia" w:cstheme="minorEastAsia"/>
          <w:snapToGrid w:val="0"/>
          <w:color w:val="auto"/>
          <w:kern w:val="0"/>
          <w:sz w:val="24"/>
          <w:szCs w:val="24"/>
          <w:highlight w:val="none"/>
        </w:rPr>
        <w:t>）施工部分：设计文件及工程量清单范围内的所有工程及配套工程、设施等的施工</w:t>
      </w:r>
      <w:r>
        <w:rPr>
          <w:rFonts w:hint="eastAsia" w:hAnsi="宋体" w:cs="Calibri"/>
          <w:bCs/>
          <w:color w:val="auto"/>
          <w:sz w:val="24"/>
          <w:szCs w:val="24"/>
          <w:highlight w:val="none"/>
          <w:lang w:val="zh-CN"/>
        </w:rPr>
        <w:t>（含竣工验收资料编制整理、备案等），完成并配合发包人结算、负责工程缺陷保修以及发包人要求由施工单位完成的其他工作（发包人另行委托其他单位负责实施的工作内容除外，但需提供一系列协调及配合服务）等</w:t>
      </w:r>
      <w:r>
        <w:rPr>
          <w:rFonts w:hint="eastAsia" w:asciiTheme="minorEastAsia" w:hAnsiTheme="minorEastAsia" w:eastAsiaTheme="minorEastAsia" w:cstheme="minorEastAsia"/>
          <w:snapToGrid w:val="0"/>
          <w:color w:val="auto"/>
          <w:kern w:val="0"/>
          <w:sz w:val="24"/>
          <w:szCs w:val="24"/>
          <w:highlight w:val="none"/>
        </w:rPr>
        <w:t>。</w:t>
      </w:r>
      <w:bookmarkEnd w:id="40"/>
      <w:bookmarkEnd w:id="41"/>
      <w:bookmarkEnd w:id="42"/>
    </w:p>
    <w:p w14:paraId="4C6ED494">
      <w:pPr>
        <w:pStyle w:val="47"/>
        <w:keepNext/>
        <w:keepLines/>
        <w:spacing w:line="360" w:lineRule="auto"/>
        <w:ind w:firstLineChars="200"/>
        <w:jc w:val="both"/>
        <w:rPr>
          <w:rFonts w:hint="eastAsia" w:asciiTheme="minorEastAsia" w:hAnsiTheme="minorEastAsia" w:eastAsiaTheme="minorEastAsia" w:cstheme="minorEastAsia"/>
          <w:b w:val="0"/>
          <w:snapToGrid w:val="0"/>
          <w:color w:val="auto"/>
          <w:kern w:val="2"/>
          <w:highlight w:val="none"/>
        </w:rPr>
      </w:pPr>
      <w:r>
        <w:rPr>
          <w:rFonts w:hint="eastAsia" w:asciiTheme="minorEastAsia" w:hAnsiTheme="minorEastAsia" w:eastAsiaTheme="minorEastAsia" w:cstheme="minorEastAsia"/>
          <w:b w:val="0"/>
          <w:snapToGrid w:val="0"/>
          <w:color w:val="auto"/>
          <w:kern w:val="2"/>
          <w:highlight w:val="none"/>
        </w:rPr>
        <w:t>3</w:t>
      </w:r>
      <w:bookmarkStart w:id="51" w:name="_Hlt66187826"/>
      <w:bookmarkEnd w:id="51"/>
      <w:r>
        <w:rPr>
          <w:rFonts w:hint="eastAsia" w:asciiTheme="minorEastAsia" w:hAnsiTheme="minorEastAsia" w:eastAsiaTheme="minorEastAsia" w:cstheme="minorEastAsia"/>
          <w:b w:val="0"/>
          <w:snapToGrid w:val="0"/>
          <w:color w:val="auto"/>
          <w:kern w:val="2"/>
          <w:highlight w:val="none"/>
        </w:rPr>
        <w:t>、工期</w:t>
      </w:r>
      <w:bookmarkEnd w:id="43"/>
      <w:bookmarkEnd w:id="44"/>
      <w:bookmarkEnd w:id="45"/>
      <w:bookmarkEnd w:id="46"/>
      <w:bookmarkEnd w:id="47"/>
      <w:bookmarkEnd w:id="48"/>
      <w:bookmarkEnd w:id="49"/>
      <w:bookmarkEnd w:id="50"/>
    </w:p>
    <w:p w14:paraId="1D49252B">
      <w:pPr>
        <w:pStyle w:val="47"/>
        <w:spacing w:line="360" w:lineRule="auto"/>
        <w:ind w:firstLine="480" w:firstLineChars="200"/>
        <w:rPr>
          <w:rFonts w:hint="eastAsia" w:asciiTheme="minorEastAsia" w:hAnsiTheme="minorEastAsia" w:eastAsiaTheme="minorEastAsia" w:cstheme="minorEastAsia"/>
          <w:snapToGrid w:val="0"/>
          <w:color w:val="auto"/>
          <w:szCs w:val="20"/>
          <w:highlight w:val="none"/>
        </w:rPr>
      </w:pPr>
      <w:r>
        <w:rPr>
          <w:rFonts w:hint="eastAsia" w:asciiTheme="minorEastAsia" w:hAnsiTheme="minorEastAsia" w:eastAsiaTheme="minorEastAsia" w:cstheme="minorEastAsia"/>
          <w:b w:val="0"/>
          <w:bCs w:val="0"/>
          <w:snapToGrid w:val="0"/>
          <w:color w:val="auto"/>
          <w:highlight w:val="none"/>
        </w:rPr>
        <w:t>3.1</w:t>
      </w:r>
      <w:r>
        <w:rPr>
          <w:rFonts w:hint="eastAsia" w:asciiTheme="minorEastAsia" w:hAnsiTheme="minorEastAsia" w:eastAsiaTheme="minorEastAsia" w:cstheme="minorEastAsia"/>
          <w:snapToGrid w:val="0"/>
          <w:color w:val="auto"/>
          <w:highlight w:val="none"/>
        </w:rPr>
        <w:t xml:space="preserve"> 本工程工期为：</w:t>
      </w:r>
      <w:r>
        <w:rPr>
          <w:rFonts w:hint="eastAsia" w:asciiTheme="minorEastAsia" w:hAnsiTheme="minorEastAsia" w:eastAsiaTheme="minorEastAsia" w:cstheme="minorEastAsia"/>
          <w:snapToGrid w:val="0"/>
          <w:color w:val="auto"/>
          <w:kern w:val="0"/>
          <w:sz w:val="24"/>
          <w:szCs w:val="24"/>
          <w:highlight w:val="none"/>
          <w:lang w:val="en-US" w:eastAsia="zh-CN"/>
        </w:rPr>
        <w:t>本项目设计、施工总工期</w:t>
      </w:r>
      <w:r>
        <w:rPr>
          <w:rFonts w:hint="eastAsia" w:asciiTheme="minorEastAsia" w:hAnsiTheme="minorEastAsia" w:eastAsiaTheme="minorEastAsia" w:cstheme="minorEastAsia"/>
          <w:snapToGrid w:val="0"/>
          <w:color w:val="auto"/>
          <w:kern w:val="0"/>
          <w:sz w:val="24"/>
          <w:szCs w:val="24"/>
          <w:highlight w:val="none"/>
          <w:u w:val="single"/>
          <w:lang w:val="en-US" w:eastAsia="zh-CN"/>
        </w:rPr>
        <w:t xml:space="preserve"> 210 </w:t>
      </w:r>
      <w:r>
        <w:rPr>
          <w:rFonts w:hint="eastAsia" w:asciiTheme="minorEastAsia" w:hAnsiTheme="minorEastAsia" w:eastAsiaTheme="minorEastAsia" w:cstheme="minorEastAsia"/>
          <w:snapToGrid w:val="0"/>
          <w:color w:val="auto"/>
          <w:kern w:val="0"/>
          <w:sz w:val="24"/>
          <w:szCs w:val="24"/>
          <w:highlight w:val="none"/>
        </w:rPr>
        <w:t>日历天，其中：设计工期为</w:t>
      </w:r>
      <w:r>
        <w:rPr>
          <w:rFonts w:hint="eastAsia" w:asciiTheme="minorEastAsia" w:hAnsiTheme="minorEastAsia" w:eastAsiaTheme="minorEastAsia" w:cstheme="minorEastAsia"/>
          <w:snapToGrid w:val="0"/>
          <w:color w:val="auto"/>
          <w:kern w:val="0"/>
          <w:sz w:val="24"/>
          <w:szCs w:val="24"/>
          <w:highlight w:val="none"/>
          <w:u w:val="single"/>
          <w:lang w:val="en-US" w:eastAsia="zh-CN"/>
        </w:rPr>
        <w:t xml:space="preserve"> 30</w:t>
      </w:r>
      <w:r>
        <w:rPr>
          <w:rFonts w:hint="eastAsia" w:asciiTheme="minorEastAsia" w:hAnsiTheme="minorEastAsia" w:eastAsiaTheme="minorEastAsia" w:cstheme="minorEastAsia"/>
          <w:snapToGrid w:val="0"/>
          <w:color w:val="auto"/>
          <w:kern w:val="0"/>
          <w:sz w:val="24"/>
          <w:szCs w:val="24"/>
          <w:highlight w:val="none"/>
        </w:rPr>
        <w:t>日历天</w:t>
      </w:r>
      <w:r>
        <w:rPr>
          <w:rFonts w:hint="eastAsia" w:asciiTheme="minorEastAsia" w:hAnsiTheme="minorEastAsia" w:eastAsiaTheme="minorEastAsia" w:cstheme="minorEastAsia"/>
          <w:snapToGrid w:val="0"/>
          <w:color w:val="auto"/>
          <w:kern w:val="0"/>
          <w:sz w:val="24"/>
          <w:szCs w:val="24"/>
          <w:highlight w:val="none"/>
          <w:lang w:eastAsia="zh-CN"/>
        </w:rPr>
        <w:t>、</w:t>
      </w:r>
      <w:r>
        <w:rPr>
          <w:rFonts w:hint="eastAsia" w:asciiTheme="minorEastAsia" w:hAnsiTheme="minorEastAsia" w:eastAsiaTheme="minorEastAsia" w:cstheme="minorEastAsia"/>
          <w:snapToGrid w:val="0"/>
          <w:color w:val="auto"/>
          <w:kern w:val="0"/>
          <w:sz w:val="24"/>
          <w:szCs w:val="24"/>
          <w:highlight w:val="none"/>
        </w:rPr>
        <w:t>施工工期为</w:t>
      </w:r>
      <w:r>
        <w:rPr>
          <w:rFonts w:hint="eastAsia" w:asciiTheme="minorEastAsia" w:hAnsiTheme="minorEastAsia" w:eastAsiaTheme="minorEastAsia" w:cstheme="minorEastAsia"/>
          <w:snapToGrid w:val="0"/>
          <w:color w:val="auto"/>
          <w:kern w:val="0"/>
          <w:sz w:val="24"/>
          <w:szCs w:val="24"/>
          <w:highlight w:val="none"/>
          <w:u w:val="single"/>
          <w:lang w:val="en-US" w:eastAsia="zh-CN"/>
        </w:rPr>
        <w:t>180</w:t>
      </w:r>
      <w:r>
        <w:rPr>
          <w:rFonts w:hint="eastAsia" w:asciiTheme="minorEastAsia" w:hAnsiTheme="minorEastAsia" w:eastAsiaTheme="minorEastAsia" w:cstheme="minorEastAsia"/>
          <w:snapToGrid w:val="0"/>
          <w:color w:val="auto"/>
          <w:kern w:val="0"/>
          <w:sz w:val="24"/>
          <w:szCs w:val="24"/>
          <w:highlight w:val="none"/>
        </w:rPr>
        <w:t>日历天。</w:t>
      </w:r>
      <w:r>
        <w:rPr>
          <w:rFonts w:hint="eastAsia" w:asciiTheme="minorEastAsia" w:hAnsiTheme="minorEastAsia" w:eastAsiaTheme="minorEastAsia" w:cstheme="minorEastAsia"/>
          <w:snapToGrid w:val="0"/>
          <w:color w:val="auto"/>
          <w:kern w:val="2"/>
          <w:highlight w:val="none"/>
        </w:rPr>
        <w:t>中标人必须在所要求的工期内</w:t>
      </w:r>
      <w:r>
        <w:rPr>
          <w:rFonts w:hint="eastAsia" w:asciiTheme="minorEastAsia" w:hAnsiTheme="minorEastAsia" w:eastAsiaTheme="minorEastAsia" w:cstheme="minorEastAsia"/>
          <w:snapToGrid w:val="0"/>
          <w:color w:val="auto"/>
          <w:kern w:val="2"/>
          <w:highlight w:val="none"/>
          <w:lang w:eastAsia="zh-CN"/>
        </w:rPr>
        <w:t>完成招标范围内的全部内容</w:t>
      </w:r>
      <w:r>
        <w:rPr>
          <w:rFonts w:hint="eastAsia" w:asciiTheme="minorEastAsia" w:hAnsiTheme="minorEastAsia" w:eastAsiaTheme="minorEastAsia" w:cstheme="minorEastAsia"/>
          <w:snapToGrid w:val="0"/>
          <w:color w:val="auto"/>
          <w:kern w:val="2"/>
          <w:highlight w:val="none"/>
        </w:rPr>
        <w:t>。</w:t>
      </w:r>
    </w:p>
    <w:p w14:paraId="4BCB15A2">
      <w:pPr>
        <w:pStyle w:val="47"/>
        <w:spacing w:line="360" w:lineRule="auto"/>
        <w:ind w:firstLine="480" w:firstLineChars="200"/>
        <w:rPr>
          <w:rFonts w:hint="eastAsia" w:asciiTheme="minorEastAsia" w:hAnsiTheme="minorEastAsia" w:eastAsiaTheme="minorEastAsia" w:cstheme="minorEastAsia"/>
          <w:color w:val="auto"/>
          <w:highlight w:val="none"/>
          <w:lang w:val="zh-CN"/>
        </w:rPr>
      </w:pPr>
      <w:r>
        <w:rPr>
          <w:rFonts w:hint="eastAsia" w:asciiTheme="minorEastAsia" w:hAnsiTheme="minorEastAsia" w:eastAsiaTheme="minorEastAsia" w:cstheme="minorEastAsia"/>
          <w:b w:val="0"/>
          <w:bCs/>
          <w:color w:val="auto"/>
          <w:kern w:val="44"/>
          <w:highlight w:val="none"/>
        </w:rPr>
        <w:t>3.</w:t>
      </w:r>
      <w:r>
        <w:rPr>
          <w:rFonts w:hint="eastAsia" w:asciiTheme="minorEastAsia" w:hAnsiTheme="minorEastAsia" w:eastAsiaTheme="minorEastAsia" w:cstheme="minorEastAsia"/>
          <w:b w:val="0"/>
          <w:bCs/>
          <w:color w:val="auto"/>
          <w:kern w:val="44"/>
          <w:highlight w:val="none"/>
          <w:lang w:val="en-US" w:eastAsia="zh-CN"/>
        </w:rPr>
        <w:t>2</w:t>
      </w:r>
      <w:r>
        <w:rPr>
          <w:rFonts w:hint="eastAsia" w:asciiTheme="minorEastAsia" w:hAnsiTheme="minorEastAsia" w:eastAsiaTheme="minorEastAsia" w:cstheme="minorEastAsia"/>
          <w:color w:val="auto"/>
          <w:highlight w:val="none"/>
        </w:rPr>
        <w:t>设计工期自</w:t>
      </w:r>
      <w:r>
        <w:rPr>
          <w:rFonts w:hint="eastAsia" w:asciiTheme="minorEastAsia" w:hAnsiTheme="minorEastAsia" w:eastAsiaTheme="minorEastAsia" w:cstheme="minorEastAsia"/>
          <w:color w:val="auto"/>
          <w:szCs w:val="24"/>
          <w:highlight w:val="none"/>
        </w:rPr>
        <w:t>中标通知书发出之日</w:t>
      </w:r>
      <w:r>
        <w:rPr>
          <w:rFonts w:hint="eastAsia" w:asciiTheme="minorEastAsia" w:hAnsiTheme="minorEastAsia" w:eastAsiaTheme="minorEastAsia" w:cstheme="minorEastAsia"/>
          <w:color w:val="auto"/>
          <w:highlight w:val="none"/>
        </w:rPr>
        <w:t>起计算，至提交符合招标人及审图机构要求的施工图设计文件之日止（每一步设计工作，必须以招标人及有关部门审核批准后方可实施）</w:t>
      </w:r>
      <w:r>
        <w:rPr>
          <w:rFonts w:hint="eastAsia" w:asciiTheme="minorEastAsia" w:hAnsiTheme="minorEastAsia" w:eastAsiaTheme="minorEastAsia" w:cstheme="minorEastAsia"/>
          <w:color w:val="auto"/>
          <w:highlight w:val="none"/>
          <w:lang w:val="zh-CN"/>
        </w:rPr>
        <w:t>。</w:t>
      </w:r>
    </w:p>
    <w:p w14:paraId="5689BC32">
      <w:pPr>
        <w:pStyle w:val="47"/>
        <w:spacing w:line="360" w:lineRule="auto"/>
        <w:ind w:firstLine="480" w:firstLineChars="200"/>
        <w:rPr>
          <w:rFonts w:hint="eastAsia" w:asciiTheme="minorEastAsia" w:hAnsiTheme="minorEastAsia" w:eastAsiaTheme="minorEastAsia" w:cstheme="minorEastAsia"/>
          <w:b/>
          <w:color w:val="auto"/>
          <w:szCs w:val="24"/>
          <w:highlight w:val="none"/>
        </w:rPr>
      </w:pPr>
      <w:r>
        <w:rPr>
          <w:rFonts w:hint="eastAsia" w:asciiTheme="minorEastAsia" w:hAnsiTheme="minorEastAsia" w:eastAsiaTheme="minorEastAsia" w:cstheme="minorEastAsia"/>
          <w:b w:val="0"/>
          <w:bCs w:val="0"/>
          <w:color w:val="auto"/>
          <w:highlight w:val="none"/>
        </w:rPr>
        <w:t>3</w:t>
      </w:r>
      <w:r>
        <w:rPr>
          <w:rFonts w:hint="eastAsia" w:asciiTheme="minorEastAsia" w:hAnsiTheme="minorEastAsia" w:eastAsiaTheme="minorEastAsia" w:cstheme="minorEastAsia"/>
          <w:b w:val="0"/>
          <w:bCs w:val="0"/>
          <w:color w:val="auto"/>
          <w:highlight w:val="none"/>
          <w:lang w:val="zh-CN"/>
        </w:rPr>
        <w:t>.</w:t>
      </w:r>
      <w:r>
        <w:rPr>
          <w:rFonts w:hint="eastAsia" w:asciiTheme="minorEastAsia" w:hAnsiTheme="minorEastAsia" w:eastAsiaTheme="minorEastAsia" w:cstheme="minorEastAsia"/>
          <w:b w:val="0"/>
          <w:bCs w:val="0"/>
          <w:color w:val="auto"/>
          <w:highlight w:val="none"/>
          <w:lang w:val="en-US" w:eastAsia="zh-CN"/>
        </w:rPr>
        <w:t>3</w:t>
      </w:r>
      <w:r>
        <w:rPr>
          <w:rFonts w:hint="eastAsia" w:asciiTheme="minorEastAsia" w:hAnsiTheme="minorEastAsia" w:eastAsiaTheme="minorEastAsia" w:cstheme="minorEastAsia"/>
          <w:b w:val="0"/>
          <w:bCs w:val="0"/>
          <w:color w:val="auto"/>
          <w:highlight w:val="none"/>
          <w:lang w:val="zh-CN"/>
        </w:rPr>
        <w:t xml:space="preserve"> </w:t>
      </w:r>
      <w:r>
        <w:rPr>
          <w:rFonts w:hint="eastAsia" w:asciiTheme="minorEastAsia" w:hAnsiTheme="minorEastAsia" w:eastAsiaTheme="minorEastAsia" w:cstheme="minorEastAsia"/>
          <w:color w:val="auto"/>
          <w:highlight w:val="none"/>
          <w:lang w:val="zh-CN"/>
        </w:rPr>
        <w:t>施工工期从开工令签发之日起计，至竣工验收之日止。</w:t>
      </w:r>
      <w:bookmarkStart w:id="52" w:name="_Toc11872"/>
    </w:p>
    <w:p w14:paraId="1FEB7EBD">
      <w:pPr>
        <w:pStyle w:val="49"/>
        <w:keepNext/>
        <w:keepLines/>
        <w:spacing w:line="360" w:lineRule="auto"/>
        <w:ind w:firstLine="482" w:firstLineChars="200"/>
        <w:jc w:val="both"/>
        <w:rPr>
          <w:rFonts w:hint="eastAsia" w:asciiTheme="minorEastAsia" w:hAnsiTheme="minorEastAsia" w:eastAsiaTheme="minorEastAsia" w:cstheme="minorEastAsia"/>
          <w:b/>
          <w:color w:val="auto"/>
          <w:kern w:val="2"/>
          <w:szCs w:val="24"/>
          <w:highlight w:val="none"/>
        </w:rPr>
      </w:pPr>
      <w:bookmarkStart w:id="53" w:name="_Toc19644"/>
      <w:bookmarkStart w:id="54" w:name="_Toc2499"/>
      <w:bookmarkStart w:id="55" w:name="_Toc13379"/>
      <w:bookmarkStart w:id="56" w:name="_Toc19842"/>
      <w:bookmarkStart w:id="57" w:name="_Toc3312"/>
      <w:bookmarkStart w:id="58" w:name="_Toc30034"/>
      <w:bookmarkStart w:id="59" w:name="_Toc24539"/>
      <w:bookmarkStart w:id="60" w:name="_Toc1889"/>
      <w:r>
        <w:rPr>
          <w:rFonts w:hint="eastAsia" w:asciiTheme="minorEastAsia" w:hAnsiTheme="minorEastAsia" w:eastAsiaTheme="minorEastAsia" w:cstheme="minorEastAsia"/>
          <w:b/>
          <w:color w:val="auto"/>
          <w:kern w:val="2"/>
          <w:highlight w:val="none"/>
        </w:rPr>
        <w:t>4 、投标人资质及条件要求</w:t>
      </w:r>
      <w:bookmarkEnd w:id="52"/>
      <w:bookmarkEnd w:id="53"/>
      <w:bookmarkEnd w:id="54"/>
      <w:bookmarkEnd w:id="55"/>
      <w:bookmarkEnd w:id="56"/>
      <w:bookmarkEnd w:id="57"/>
      <w:bookmarkEnd w:id="58"/>
      <w:bookmarkEnd w:id="59"/>
      <w:bookmarkEnd w:id="60"/>
      <w:bookmarkStart w:id="61" w:name="_Hlt74496495"/>
      <w:bookmarkEnd w:id="61"/>
    </w:p>
    <w:p w14:paraId="0464EC1A">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4.1.本次招标接受联合体投标，联合体以一个投标人的身份共同投标。</w:t>
      </w:r>
    </w:p>
    <w:p w14:paraId="20A8EC9C">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4.1.1联合体成员数量不超过</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val="en-US" w:eastAsia="zh-CN"/>
        </w:rPr>
        <w:t>个。</w:t>
      </w:r>
    </w:p>
    <w:p w14:paraId="5D3E5476">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4.1.2联合体各方应按招标文件提供的格式签订联合体协议书，明确联合体牵头人和各方权利义务，并承诺就中标项目向招标人承担连带责任。《联合体协议书》作为投标文件的组成部分向招标人提交。</w:t>
      </w:r>
    </w:p>
    <w:p w14:paraId="2380E705">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4.1.3联合体成员单位均应具备拟承担的工作内容（以《联合体协议书》的约定为准）所规定的资格条件。若同一工作内容由两个或两个以上单位共同承担，该项工作内容按照资质等级较低的单位确定联合体资质等级。  </w:t>
      </w:r>
    </w:p>
    <w:p w14:paraId="41A1ABF0">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4.1.4联合体各方不得再以自己名义单独或参加其他联合体在本招标项目中投标，否则各相关投标均无效。</w:t>
      </w:r>
    </w:p>
    <w:p w14:paraId="41498600">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4.2.资质要求</w:t>
      </w:r>
    </w:p>
    <w:p w14:paraId="7351EB0D">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4.2.1 投标人须具备独立法人资格，按国家法律经营。</w:t>
      </w:r>
    </w:p>
    <w:p w14:paraId="4E5E5E03">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4.2.2 投标人须持有建设行政主管部门颁发的企业资质证书。</w:t>
      </w:r>
    </w:p>
    <w:p w14:paraId="62647174">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4.2.3 参加投标的投标人可以是单一独立法人或由不超过2家独立法人组成的联合体【必须注明其中一家为牵头人，牵头人必须为施工单位】，联合体各方不得再以自己的名义单独投标，也不得同时参加两个或两个以上的联合体进行本项目的投标。单一独立法人必须至少同时具备以下(1)～(2)资质，组成联合体投标的，联合后必须至少具备以下(1)～(2)资质：</w:t>
      </w:r>
    </w:p>
    <w:p w14:paraId="62BD859B">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（1)施工单位必须同时具备建设行政主管部门颁发的以下资质：具备建设行政主管部门颁发的市政公用工程施工总承包三级以上资质，并持有有效期内的安全生产许可证；</w:t>
      </w:r>
    </w:p>
    <w:p w14:paraId="0C9F84DF">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（2）设计单位必须具备建设行政主管部门颁发的以下资质之一；</w:t>
      </w:r>
    </w:p>
    <w:p w14:paraId="65EF60A6">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①工程设计综合甲级资质；</w:t>
      </w:r>
    </w:p>
    <w:p w14:paraId="3C6E7DB6">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②须具备工程设计市政资质以下任意一项:</w:t>
      </w:r>
    </w:p>
    <w:p w14:paraId="52336F66">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a.工程设计市政行业乙级或以上资质；</w:t>
      </w:r>
    </w:p>
    <w:p w14:paraId="3032CF7E">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b.工程设计市政行业(燃气工程、轨道交通工程除外)乙级或以上资质；</w:t>
      </w:r>
    </w:p>
    <w:p w14:paraId="322F26E8">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c.工程设计市政行业(排水工程)乙级或以上资质。</w:t>
      </w:r>
    </w:p>
    <w:p w14:paraId="12C7AF0E">
      <w:pPr>
        <w:pStyle w:val="50"/>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注：如设计单位需要对部分内容进行分包的，设计单位应在征得招标人同意后依法专业分包给具备相关资质的单位并签订分包合同，由设计单位支付相应费用。</w:t>
      </w:r>
    </w:p>
    <w:p w14:paraId="7BEEBF98">
      <w:pPr>
        <w:pStyle w:val="50"/>
        <w:pageBreakBefore w:val="0"/>
        <w:kinsoku/>
        <w:wordWrap w:val="0"/>
        <w:overflowPunct/>
        <w:topLinePunct w:val="0"/>
        <w:bidi w:val="0"/>
        <w:adjustRightInd w:val="0"/>
        <w:snapToGrid w:val="0"/>
        <w:spacing w:line="360" w:lineRule="auto"/>
        <w:ind w:firstLine="480"/>
        <w:jc w:val="left"/>
        <w:textAlignment w:val="auto"/>
        <w:rPr>
          <w:rFonts w:hint="eastAsia" w:ascii="宋体" w:hAnsi="宋体" w:eastAsia="宋体" w:cs="宋体"/>
          <w:strike/>
          <w:color w:val="auto"/>
          <w:sz w:val="24"/>
          <w:szCs w:val="24"/>
          <w:highlight w:val="none"/>
          <w:lang w:val="zh-CN"/>
        </w:rPr>
      </w:pPr>
      <w:r>
        <w:rPr>
          <w:rFonts w:hint="eastAsia" w:ascii="宋体" w:hAnsi="宋体" w:eastAsia="宋体" w:cs="宋体"/>
          <w:b/>
          <w:bCs/>
          <w:color w:val="auto"/>
          <w:kern w:val="0"/>
          <w:sz w:val="24"/>
          <w:szCs w:val="24"/>
          <w:highlight w:val="none"/>
        </w:rPr>
        <w:t>4.2.4</w:t>
      </w:r>
      <w:r>
        <w:rPr>
          <w:rFonts w:hint="eastAsia" w:ascii="宋体" w:hAnsi="宋体" w:eastAsia="宋体" w:cs="宋体"/>
          <w:color w:val="auto"/>
          <w:sz w:val="24"/>
          <w:szCs w:val="24"/>
          <w:highlight w:val="none"/>
          <w:lang w:val="zh-CN"/>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387206DB">
      <w:pPr>
        <w:pStyle w:val="50"/>
        <w:pageBreakBefore w:val="0"/>
        <w:kinsoku/>
        <w:wordWrap w:val="0"/>
        <w:overflowPunct/>
        <w:topLinePunct w:val="0"/>
        <w:bidi w:val="0"/>
        <w:adjustRightInd w:val="0"/>
        <w:snapToGrid w:val="0"/>
        <w:spacing w:line="360" w:lineRule="auto"/>
        <w:ind w:firstLine="48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rPr>
        <w:t>4.3</w:t>
      </w:r>
      <w:r>
        <w:rPr>
          <w:rFonts w:hint="eastAsia" w:ascii="宋体" w:hAnsi="宋体" w:eastAsia="宋体" w:cs="宋体"/>
          <w:snapToGrid w:val="0"/>
          <w:color w:val="auto"/>
          <w:kern w:val="0"/>
          <w:sz w:val="24"/>
          <w:szCs w:val="24"/>
          <w:highlight w:val="none"/>
        </w:rPr>
        <w:t>相关人员要求</w:t>
      </w:r>
    </w:p>
    <w:p w14:paraId="2B86988A">
      <w:pPr>
        <w:pStyle w:val="50"/>
        <w:pageBreakBefore w:val="0"/>
        <w:kinsoku/>
        <w:wordWrap w:val="0"/>
        <w:overflowPunct/>
        <w:topLinePunct w:val="0"/>
        <w:bidi w:val="0"/>
        <w:adjustRightInd w:val="0"/>
        <w:snapToGrid w:val="0"/>
        <w:spacing w:line="360" w:lineRule="auto"/>
        <w:ind w:firstLine="482" w:firstLineChars="200"/>
        <w:jc w:val="left"/>
        <w:textAlignment w:val="auto"/>
        <w:rPr>
          <w:rFonts w:hint="eastAsia" w:ascii="宋体" w:hAnsi="宋体" w:eastAsia="宋体" w:cs="宋体"/>
          <w:strike w:val="0"/>
          <w:dstrike w:val="0"/>
          <w:color w:val="auto"/>
          <w:kern w:val="0"/>
          <w:sz w:val="24"/>
          <w:szCs w:val="24"/>
          <w:highlight w:val="none"/>
        </w:rPr>
      </w:pPr>
      <w:r>
        <w:rPr>
          <w:rFonts w:hint="eastAsia" w:ascii="宋体" w:hAnsi="宋体" w:eastAsia="宋体" w:cs="宋体"/>
          <w:b/>
          <w:bCs/>
          <w:color w:val="auto"/>
          <w:kern w:val="0"/>
          <w:sz w:val="24"/>
          <w:szCs w:val="24"/>
          <w:highlight w:val="none"/>
        </w:rPr>
        <w:t>4.3.1</w:t>
      </w:r>
      <w:r>
        <w:rPr>
          <w:rFonts w:hint="eastAsia" w:ascii="宋体" w:hAnsi="宋体" w:eastAsia="宋体" w:cs="宋体"/>
          <w:strike w:val="0"/>
          <w:dstrike w:val="0"/>
          <w:color w:val="auto"/>
          <w:sz w:val="24"/>
          <w:szCs w:val="24"/>
          <w:highlight w:val="none"/>
        </w:rPr>
        <w:t>拟派项目经理为</w:t>
      </w:r>
      <w:r>
        <w:rPr>
          <w:rFonts w:hint="eastAsia" w:ascii="宋体" w:hAnsi="宋体" w:cs="宋体"/>
          <w:strike w:val="0"/>
          <w:dstrike w:val="0"/>
          <w:color w:val="auto"/>
          <w:sz w:val="24"/>
          <w:szCs w:val="24"/>
          <w:highlight w:val="none"/>
          <w:u w:val="single"/>
          <w:lang w:eastAsia="zh-CN"/>
        </w:rPr>
        <w:t>市政公用工程</w:t>
      </w:r>
      <w:r>
        <w:rPr>
          <w:rFonts w:hint="eastAsia" w:ascii="宋体" w:hAnsi="宋体" w:eastAsia="宋体" w:cs="宋体"/>
          <w:strike w:val="0"/>
          <w:dstrike w:val="0"/>
          <w:color w:val="auto"/>
          <w:sz w:val="24"/>
          <w:szCs w:val="24"/>
          <w:highlight w:val="none"/>
        </w:rPr>
        <w:t>专业一级或二级注册建造师，其中一级注册建造师应持有国家住建部印发的有效注册证书，二级注册建造师应持有考试取得执业资格的省、自治区、直辖市住建部门核准的有效电子注册证书（二级注册建造师应持有住建部门核准</w:t>
      </w:r>
      <w:r>
        <w:rPr>
          <w:rFonts w:hint="eastAsia" w:ascii="宋体" w:hAnsi="宋体" w:cs="宋体"/>
          <w:strike w:val="0"/>
          <w:dstrike w:val="0"/>
          <w:color w:val="auto"/>
          <w:sz w:val="24"/>
          <w:szCs w:val="24"/>
          <w:highlight w:val="none"/>
          <w:lang w:val="en-US" w:eastAsia="zh-CN"/>
        </w:rPr>
        <w:t>颁发</w:t>
      </w:r>
      <w:r>
        <w:rPr>
          <w:rFonts w:hint="eastAsia" w:ascii="宋体" w:hAnsi="宋体" w:eastAsia="宋体" w:cs="宋体"/>
          <w:strike w:val="0"/>
          <w:dstrike w:val="0"/>
          <w:color w:val="auto"/>
          <w:sz w:val="24"/>
          <w:szCs w:val="24"/>
          <w:highlight w:val="none"/>
        </w:rPr>
        <w:t>的、在使用有效期内的有效电子证书）。同时均须具备有效</w:t>
      </w:r>
      <w:r>
        <w:rPr>
          <w:rFonts w:hint="eastAsia" w:ascii="宋体" w:hAnsi="宋体" w:cs="宋体"/>
          <w:strike w:val="0"/>
          <w:dstrike w:val="0"/>
          <w:color w:val="auto"/>
          <w:sz w:val="24"/>
          <w:szCs w:val="24"/>
          <w:highlight w:val="none"/>
          <w:lang w:val="en-US" w:eastAsia="zh-CN"/>
        </w:rPr>
        <w:t>期内的</w:t>
      </w:r>
      <w:r>
        <w:rPr>
          <w:rFonts w:hint="eastAsia" w:ascii="宋体" w:hAnsi="宋体" w:eastAsia="宋体" w:cs="宋体"/>
          <w:strike w:val="0"/>
          <w:dstrike w:val="0"/>
          <w:color w:val="auto"/>
          <w:sz w:val="24"/>
          <w:szCs w:val="24"/>
          <w:highlight w:val="none"/>
        </w:rPr>
        <w:t>安全生产考核合格证明（B证，安全生产考核合格证书或“广东省建筑施工企业管理人员安全生产考核信息系统”考核合格信息打印页），且未担任其他在施（包括已中标未开工、已开工未竣工）建设工程项目的项目经理。</w:t>
      </w:r>
    </w:p>
    <w:p w14:paraId="4D90BBC8">
      <w:pPr>
        <w:pStyle w:val="47"/>
        <w:pageBreakBefore w:val="0"/>
        <w:widowControl/>
        <w:kinsoku/>
        <w:overflowPunct/>
        <w:topLinePunct w:val="0"/>
        <w:bidi w:val="0"/>
        <w:spacing w:before="75" w:after="75" w:line="360" w:lineRule="auto"/>
        <w:ind w:left="247" w:leftChars="103"/>
        <w:jc w:val="left"/>
        <w:textAlignment w:val="auto"/>
        <w:rPr>
          <w:rFonts w:hint="eastAsia" w:ascii="宋体" w:hAnsi="宋体" w:eastAsia="宋体" w:cs="宋体"/>
          <w:strike w:val="0"/>
          <w:dstrike w:val="0"/>
          <w:color w:val="auto"/>
          <w:kern w:val="0"/>
          <w:sz w:val="24"/>
          <w:szCs w:val="24"/>
          <w:highlight w:val="none"/>
        </w:rPr>
      </w:pPr>
      <w:r>
        <w:rPr>
          <w:rFonts w:hint="eastAsia" w:ascii="宋体" w:hAnsi="宋体" w:eastAsia="宋体" w:cs="宋体"/>
          <w:b/>
          <w:bCs/>
          <w:color w:val="auto"/>
          <w:kern w:val="0"/>
          <w:sz w:val="24"/>
          <w:szCs w:val="24"/>
          <w:highlight w:val="none"/>
        </w:rPr>
        <w:t>4.</w:t>
      </w:r>
      <w:r>
        <w:rPr>
          <w:rFonts w:hint="eastAsia" w:ascii="宋体" w:hAnsi="宋体" w:eastAsia="宋体" w:cs="宋体"/>
          <w:b/>
          <w:bCs/>
          <w:snapToGrid w:val="0"/>
          <w:color w:val="auto"/>
          <w:kern w:val="0"/>
          <w:sz w:val="24"/>
          <w:szCs w:val="24"/>
          <w:highlight w:val="none"/>
        </w:rPr>
        <w:t>3.2</w:t>
      </w:r>
      <w:r>
        <w:rPr>
          <w:rFonts w:hint="eastAsia" w:ascii="宋体" w:hAnsi="宋体" w:eastAsia="宋体" w:cs="宋体"/>
          <w:strike w:val="0"/>
          <w:dstrike w:val="0"/>
          <w:snapToGrid w:val="0"/>
          <w:color w:val="auto"/>
          <w:kern w:val="0"/>
          <w:sz w:val="24"/>
          <w:szCs w:val="24"/>
          <w:highlight w:val="none"/>
        </w:rPr>
        <w:t>拟派项目技术负责人须具备</w:t>
      </w:r>
      <w:r>
        <w:rPr>
          <w:rFonts w:hint="eastAsia" w:hAnsi="宋体" w:cs="宋体"/>
          <w:strike w:val="0"/>
          <w:dstrike w:val="0"/>
          <w:snapToGrid w:val="0"/>
          <w:color w:val="auto"/>
          <w:kern w:val="0"/>
          <w:sz w:val="24"/>
          <w:szCs w:val="24"/>
          <w:highlight w:val="none"/>
          <w:u w:val="single"/>
          <w:lang w:val="en-US" w:eastAsia="zh-CN"/>
        </w:rPr>
        <w:t>市政公用工程</w:t>
      </w:r>
      <w:r>
        <w:rPr>
          <w:rFonts w:hint="eastAsia" w:ascii="宋体" w:hAnsi="宋体" w:eastAsia="宋体" w:cs="宋体"/>
          <w:strike w:val="0"/>
          <w:dstrike w:val="0"/>
          <w:color w:val="auto"/>
          <w:kern w:val="0"/>
          <w:sz w:val="24"/>
          <w:szCs w:val="24"/>
          <w:highlight w:val="none"/>
          <w:u w:val="none"/>
          <w:lang w:val="en-US" w:eastAsia="zh-CN"/>
        </w:rPr>
        <w:t>相关</w:t>
      </w:r>
      <w:r>
        <w:rPr>
          <w:rFonts w:hint="eastAsia" w:ascii="宋体" w:hAnsi="宋体" w:eastAsia="宋体" w:cs="宋体"/>
          <w:strike w:val="0"/>
          <w:dstrike w:val="0"/>
          <w:color w:val="auto"/>
          <w:kern w:val="0"/>
          <w:sz w:val="24"/>
          <w:szCs w:val="24"/>
          <w:highlight w:val="none"/>
        </w:rPr>
        <w:t>专业</w:t>
      </w:r>
      <w:r>
        <w:rPr>
          <w:rFonts w:hint="eastAsia" w:ascii="宋体" w:hAnsi="宋体" w:eastAsia="宋体" w:cs="宋体"/>
          <w:strike w:val="0"/>
          <w:dstrike w:val="0"/>
          <w:color w:val="auto"/>
          <w:sz w:val="24"/>
          <w:szCs w:val="24"/>
          <w:highlight w:val="none"/>
        </w:rPr>
        <w:t>工程师</w:t>
      </w:r>
      <w:r>
        <w:rPr>
          <w:rFonts w:hint="eastAsia" w:ascii="宋体" w:hAnsi="宋体" w:eastAsia="宋体" w:cs="宋体"/>
          <w:strike w:val="0"/>
          <w:dstrike w:val="0"/>
          <w:color w:val="auto"/>
          <w:sz w:val="24"/>
          <w:szCs w:val="24"/>
          <w:highlight w:val="none"/>
          <w:lang w:val="en-US" w:eastAsia="zh-CN"/>
        </w:rPr>
        <w:t>或</w:t>
      </w:r>
      <w:r>
        <w:rPr>
          <w:rFonts w:hint="eastAsia" w:ascii="宋体" w:hAnsi="宋体" w:eastAsia="宋体" w:cs="宋体"/>
          <w:strike w:val="0"/>
          <w:dstrike w:val="0"/>
          <w:color w:val="auto"/>
          <w:sz w:val="24"/>
          <w:szCs w:val="24"/>
          <w:highlight w:val="none"/>
        </w:rPr>
        <w:t>以上职称</w:t>
      </w:r>
      <w:r>
        <w:rPr>
          <w:rFonts w:hint="eastAsia" w:hAnsi="宋体" w:cs="宋体"/>
          <w:strike w:val="0"/>
          <w:dstrike w:val="0"/>
          <w:color w:val="auto"/>
          <w:sz w:val="24"/>
          <w:szCs w:val="24"/>
          <w:highlight w:val="none"/>
          <w:lang w:val="en-US" w:eastAsia="zh-CN"/>
        </w:rPr>
        <w:t>证书</w:t>
      </w:r>
      <w:r>
        <w:rPr>
          <w:rFonts w:hint="eastAsia" w:ascii="宋体" w:hAnsi="宋体" w:eastAsia="宋体" w:cs="宋体"/>
          <w:strike w:val="0"/>
          <w:dstrike w:val="0"/>
          <w:color w:val="auto"/>
          <w:kern w:val="0"/>
          <w:sz w:val="24"/>
          <w:szCs w:val="24"/>
          <w:highlight w:val="none"/>
        </w:rPr>
        <w:t>。</w:t>
      </w:r>
    </w:p>
    <w:p w14:paraId="74512376">
      <w:pPr>
        <w:pStyle w:val="50"/>
        <w:pageBreakBefore w:val="0"/>
        <w:kinsoku/>
        <w:wordWrap w:val="0"/>
        <w:overflowPunct/>
        <w:topLinePunct w:val="0"/>
        <w:bidi w:val="0"/>
        <w:adjustRightInd w:val="0"/>
        <w:snapToGrid w:val="0"/>
        <w:spacing w:line="360" w:lineRule="auto"/>
        <w:ind w:firstLine="241"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rPr>
        <w:t>4.</w:t>
      </w:r>
      <w:r>
        <w:rPr>
          <w:rFonts w:hint="eastAsia" w:ascii="宋体" w:hAnsi="宋体" w:eastAsia="宋体" w:cs="宋体"/>
          <w:b/>
          <w:bCs/>
          <w:snapToGrid w:val="0"/>
          <w:color w:val="auto"/>
          <w:kern w:val="0"/>
          <w:sz w:val="24"/>
          <w:szCs w:val="24"/>
          <w:highlight w:val="none"/>
        </w:rPr>
        <w:t>3.3</w:t>
      </w:r>
      <w:r>
        <w:rPr>
          <w:rFonts w:hint="eastAsia" w:ascii="宋体" w:hAnsi="宋体" w:eastAsia="宋体" w:cs="宋体"/>
          <w:snapToGrid w:val="0"/>
          <w:color w:val="auto"/>
          <w:kern w:val="0"/>
          <w:sz w:val="24"/>
          <w:szCs w:val="24"/>
          <w:highlight w:val="none"/>
        </w:rPr>
        <w:t>拟派专职安全生产管理人员须具备有效安全生产考核合格证明（C证，安全生产考核合格证书或广东省建筑施工企业管理人员安全生产考核系统考核合格信息打印页），</w:t>
      </w:r>
      <w:r>
        <w:rPr>
          <w:rFonts w:hint="eastAsia" w:ascii="宋体" w:hAnsi="宋体" w:cs="宋体"/>
          <w:snapToGrid w:val="0"/>
          <w:color w:val="auto"/>
          <w:kern w:val="0"/>
          <w:sz w:val="24"/>
          <w:szCs w:val="24"/>
          <w:highlight w:val="none"/>
          <w:lang w:eastAsia="zh-CN"/>
        </w:rPr>
        <w:t>且不少于1人</w:t>
      </w:r>
      <w:r>
        <w:rPr>
          <w:rFonts w:hint="eastAsia" w:ascii="宋体" w:hAnsi="宋体" w:eastAsia="宋体" w:cs="宋体"/>
          <w:snapToGrid w:val="0"/>
          <w:color w:val="auto"/>
          <w:kern w:val="0"/>
          <w:sz w:val="24"/>
          <w:szCs w:val="24"/>
          <w:highlight w:val="none"/>
        </w:rPr>
        <w:t>。</w:t>
      </w:r>
    </w:p>
    <w:p w14:paraId="373703E7">
      <w:pPr>
        <w:pStyle w:val="50"/>
        <w:pageBreakBefore w:val="0"/>
        <w:kinsoku/>
        <w:wordWrap w:val="0"/>
        <w:overflowPunct/>
        <w:topLinePunct w:val="0"/>
        <w:bidi w:val="0"/>
        <w:adjustRightInd w:val="0"/>
        <w:snapToGrid w:val="0"/>
        <w:spacing w:line="360" w:lineRule="auto"/>
        <w:ind w:firstLine="480"/>
        <w:jc w:val="left"/>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bCs/>
          <w:color w:val="auto"/>
          <w:kern w:val="0"/>
          <w:sz w:val="24"/>
          <w:szCs w:val="24"/>
          <w:highlight w:val="none"/>
        </w:rPr>
        <w:t>4.</w:t>
      </w:r>
      <w:r>
        <w:rPr>
          <w:rFonts w:hint="eastAsia" w:ascii="宋体" w:hAnsi="宋体" w:eastAsia="宋体" w:cs="宋体"/>
          <w:b/>
          <w:bCs/>
          <w:snapToGrid w:val="0"/>
          <w:color w:val="auto"/>
          <w:kern w:val="0"/>
          <w:sz w:val="24"/>
          <w:szCs w:val="24"/>
          <w:highlight w:val="none"/>
        </w:rPr>
        <w:t>3.4</w:t>
      </w:r>
      <w:r>
        <w:rPr>
          <w:rFonts w:hint="eastAsia" w:ascii="宋体" w:hAnsi="宋体" w:eastAsia="宋体" w:cs="宋体"/>
          <w:color w:val="auto"/>
          <w:sz w:val="24"/>
          <w:szCs w:val="24"/>
          <w:highlight w:val="none"/>
        </w:rPr>
        <w:t>拟派设计负责人必须具有二级或以上注册建筑师或注册土木工程师（道路工程）注册执业证书</w:t>
      </w:r>
      <w:r>
        <w:rPr>
          <w:rFonts w:hint="eastAsia" w:ascii="宋体" w:hAnsi="宋体" w:eastAsia="宋体" w:cs="宋体"/>
          <w:b w:val="0"/>
          <w:bCs w:val="0"/>
          <w:snapToGrid w:val="0"/>
          <w:color w:val="auto"/>
          <w:kern w:val="0"/>
          <w:sz w:val="24"/>
          <w:szCs w:val="24"/>
          <w:highlight w:val="none"/>
          <w:lang w:val="en-US" w:eastAsia="zh-CN"/>
        </w:rPr>
        <w:t>。</w:t>
      </w:r>
    </w:p>
    <w:p w14:paraId="46F86CED">
      <w:pPr>
        <w:pageBreakBefore w:val="0"/>
        <w:kinsoku/>
        <w:wordWrap w:val="0"/>
        <w:overflowPunct/>
        <w:topLinePunct w:val="0"/>
        <w:bidi w:val="0"/>
        <w:adjustRightInd w:val="0"/>
        <w:snapToGrid w:val="0"/>
        <w:spacing w:line="360" w:lineRule="auto"/>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rPr>
        <w:t>4.</w:t>
      </w:r>
      <w:r>
        <w:rPr>
          <w:rFonts w:hint="eastAsia" w:ascii="宋体" w:hAnsi="宋体" w:eastAsia="宋体" w:cs="宋体"/>
          <w:b/>
          <w:bCs/>
          <w:snapToGrid w:val="0"/>
          <w:color w:val="auto"/>
          <w:kern w:val="0"/>
          <w:sz w:val="24"/>
          <w:szCs w:val="24"/>
          <w:highlight w:val="none"/>
        </w:rPr>
        <w:t>3.</w:t>
      </w:r>
      <w:r>
        <w:rPr>
          <w:rFonts w:hint="eastAsia" w:hAnsi="宋体" w:eastAsia="宋体" w:cs="宋体"/>
          <w:b/>
          <w:bCs/>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投标人（包括组成联合体的所有成员单位）与其拟派往本项目管理机构的所有人员之间必须具备合法、唯一的劳动聘用关系。拟派人员中具备注册执业资格的，其注册单位须与投标人保持一致。</w:t>
      </w:r>
    </w:p>
    <w:p w14:paraId="47DA48DA">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color w:val="auto"/>
          <w:kern w:val="0"/>
          <w:szCs w:val="24"/>
          <w:highlight w:val="none"/>
        </w:rPr>
        <w:t>4.4</w:t>
      </w:r>
      <w:r>
        <w:rPr>
          <w:rFonts w:hint="eastAsia" w:asciiTheme="minorEastAsia" w:hAnsiTheme="minorEastAsia" w:eastAsiaTheme="minorEastAsia" w:cstheme="minorEastAsia"/>
          <w:snapToGrid w:val="0"/>
          <w:color w:val="auto"/>
          <w:kern w:val="0"/>
          <w:szCs w:val="24"/>
          <w:highlight w:val="none"/>
        </w:rPr>
        <w:t>禁止投标条款：</w:t>
      </w:r>
    </w:p>
    <w:p w14:paraId="4A4EB074">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color w:val="auto"/>
          <w:kern w:val="0"/>
          <w:szCs w:val="24"/>
          <w:highlight w:val="none"/>
        </w:rPr>
        <w:t>4.4.1</w:t>
      </w:r>
      <w:r>
        <w:rPr>
          <w:rFonts w:hint="eastAsia" w:asciiTheme="minorEastAsia" w:hAnsiTheme="minorEastAsia" w:eastAsiaTheme="minorEastAsia" w:cstheme="minorEastAsia"/>
          <w:snapToGrid w:val="0"/>
          <w:color w:val="auto"/>
          <w:kern w:val="0"/>
          <w:szCs w:val="24"/>
          <w:highlight w:val="none"/>
        </w:rPr>
        <w:t>投标人不得存在下列情形之一：</w:t>
      </w:r>
    </w:p>
    <w:p w14:paraId="0CC29F9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（1）为招标人不具有独立法人资格的附属机构（单位）；</w:t>
      </w:r>
    </w:p>
    <w:p w14:paraId="4BC742A6">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（2）为本招标项目前期准备提供咨询服务的；</w:t>
      </w:r>
    </w:p>
    <w:p w14:paraId="0C4406B3">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（3）与本招标项目的其他投标人为同一个单位负责人；</w:t>
      </w:r>
    </w:p>
    <w:p w14:paraId="32746652">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（4）与本招标项目的其他投标人存在控股、管理关系；</w:t>
      </w:r>
    </w:p>
    <w:p w14:paraId="5D0149B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（5）为本招标项目的监理人；</w:t>
      </w:r>
    </w:p>
    <w:p w14:paraId="4F018B53">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（6）为本招标项目的代建人；</w:t>
      </w:r>
    </w:p>
    <w:p w14:paraId="0DD591D5">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（7）为本招标项目的招标代理机构；</w:t>
      </w:r>
    </w:p>
    <w:p w14:paraId="6FE73510">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（8）与本招标项目的监理人或代建人或招标代理机构同为一个法定代表人；</w:t>
      </w:r>
    </w:p>
    <w:p w14:paraId="0C15F119">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（9）与本招标项目的监理人或代建人或招标代理机构存在控股或参股关系；</w:t>
      </w:r>
    </w:p>
    <w:p w14:paraId="04BAED46">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（10）与本招标项目的监理人或代建人或招标代理机构存在相互任职或工作关系；</w:t>
      </w:r>
    </w:p>
    <w:p w14:paraId="78159E10">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（11）被依法暂停或者取消投标资格；</w:t>
      </w:r>
    </w:p>
    <w:p w14:paraId="142376F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（12）被责令停产停业、暂扣或者吊销许可证、暂扣或者吊销执照；</w:t>
      </w:r>
    </w:p>
    <w:p w14:paraId="1CEFC632">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（13）进入清算程序，或被宣告破产，或其他丧失履约能力的情形；</w:t>
      </w:r>
    </w:p>
    <w:p w14:paraId="0ACF323E">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（14）在最近三年内发生重大工程质量或安全问题（以相关行业主管部门的行政处罚决定或司法机关出具的有关法律文书为准）；</w:t>
      </w:r>
    </w:p>
    <w:p w14:paraId="6FC0E969">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（15）被“信用中国”网站（https://www.creditchina.gov.cn）发布的《法人和非法人组织公共信用信息报告》列入严重失信主体名单的。</w:t>
      </w:r>
    </w:p>
    <w:p w14:paraId="2B413508">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4.4.2</w:t>
      </w:r>
      <w:r>
        <w:rPr>
          <w:rFonts w:hint="eastAsia" w:asciiTheme="minorEastAsia" w:hAnsiTheme="minorEastAsia" w:eastAsiaTheme="minorEastAsia" w:cstheme="minorEastAsia"/>
          <w:snapToGrid w:val="0"/>
          <w:color w:val="auto"/>
          <w:kern w:val="0"/>
          <w:szCs w:val="24"/>
          <w:highlight w:val="none"/>
        </w:rPr>
        <w:t>招标人拒绝以下名单中的单位参加本次投标：</w:t>
      </w:r>
    </w:p>
    <w:tbl>
      <w:tblPr>
        <w:tblStyle w:val="31"/>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3986"/>
        <w:gridCol w:w="3881"/>
      </w:tblGrid>
      <w:tr w14:paraId="09F6F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11" w:type="dxa"/>
            <w:noWrap/>
            <w:vAlign w:val="center"/>
          </w:tcPr>
          <w:p w14:paraId="255216E7">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序号</w:t>
            </w:r>
          </w:p>
        </w:tc>
        <w:tc>
          <w:tcPr>
            <w:tcW w:w="3986" w:type="dxa"/>
            <w:noWrap/>
            <w:vAlign w:val="center"/>
          </w:tcPr>
          <w:p w14:paraId="3E77DB95">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单位名称</w:t>
            </w:r>
          </w:p>
        </w:tc>
        <w:tc>
          <w:tcPr>
            <w:tcW w:w="3881" w:type="dxa"/>
            <w:noWrap/>
            <w:vAlign w:val="center"/>
          </w:tcPr>
          <w:p w14:paraId="3AAEBD61">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拒绝原因</w:t>
            </w:r>
          </w:p>
        </w:tc>
      </w:tr>
      <w:tr w14:paraId="1A54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11" w:type="dxa"/>
            <w:noWrap/>
            <w:vAlign w:val="center"/>
          </w:tcPr>
          <w:p w14:paraId="211BD737">
            <w:pPr>
              <w:keepNext w:val="0"/>
              <w:keepLines w:val="0"/>
              <w:pageBreakBefore w:val="0"/>
              <w:widowControl/>
              <w:suppressLineNumbers w:val="0"/>
              <w:kinsoku/>
              <w:wordWrap/>
              <w:overflowPunct/>
              <w:topLinePunct w:val="0"/>
              <w:autoSpaceDE/>
              <w:autoSpaceDN/>
              <w:bidi w:val="0"/>
              <w:adjustRightInd/>
              <w:snapToGrid w:val="0"/>
              <w:spacing w:line="30" w:lineRule="atLeast"/>
              <w:jc w:val="center"/>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1</w:t>
            </w:r>
          </w:p>
        </w:tc>
        <w:tc>
          <w:tcPr>
            <w:tcW w:w="3986" w:type="dxa"/>
            <w:noWrap/>
            <w:vAlign w:val="center"/>
          </w:tcPr>
          <w:p w14:paraId="7C9C046A">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南雄市油山镇人民政府</w:t>
            </w:r>
          </w:p>
        </w:tc>
        <w:tc>
          <w:tcPr>
            <w:tcW w:w="3881" w:type="dxa"/>
            <w:noWrap/>
            <w:vAlign w:val="center"/>
          </w:tcPr>
          <w:p w14:paraId="2582AE6E">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为本招标项目的招标人</w:t>
            </w:r>
          </w:p>
        </w:tc>
      </w:tr>
      <w:tr w14:paraId="1688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11" w:type="dxa"/>
            <w:noWrap/>
            <w:vAlign w:val="center"/>
          </w:tcPr>
          <w:p w14:paraId="3E375091">
            <w:pPr>
              <w:keepNext w:val="0"/>
              <w:keepLines w:val="0"/>
              <w:pageBreakBefore w:val="0"/>
              <w:widowControl/>
              <w:suppressLineNumbers w:val="0"/>
              <w:kinsoku/>
              <w:wordWrap/>
              <w:overflowPunct/>
              <w:topLinePunct w:val="0"/>
              <w:autoSpaceDE/>
              <w:autoSpaceDN/>
              <w:bidi w:val="0"/>
              <w:adjustRightInd/>
              <w:snapToGrid w:val="0"/>
              <w:spacing w:line="30" w:lineRule="atLeast"/>
              <w:jc w:val="center"/>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2</w:t>
            </w:r>
          </w:p>
        </w:tc>
        <w:tc>
          <w:tcPr>
            <w:tcW w:w="3986" w:type="dxa"/>
            <w:noWrap/>
            <w:vAlign w:val="center"/>
          </w:tcPr>
          <w:p w14:paraId="3151947E">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广东象龙国际项目管理有限公司</w:t>
            </w:r>
          </w:p>
        </w:tc>
        <w:tc>
          <w:tcPr>
            <w:tcW w:w="3881" w:type="dxa"/>
            <w:noWrap/>
            <w:vAlign w:val="center"/>
          </w:tcPr>
          <w:p w14:paraId="379EB2A8">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为本招标项目的招标代理机构</w:t>
            </w:r>
          </w:p>
        </w:tc>
      </w:tr>
      <w:tr w14:paraId="7211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11" w:type="dxa"/>
            <w:noWrap/>
            <w:vAlign w:val="center"/>
          </w:tcPr>
          <w:p w14:paraId="1BEAC803">
            <w:pPr>
              <w:keepNext w:val="0"/>
              <w:keepLines w:val="0"/>
              <w:pageBreakBefore w:val="0"/>
              <w:widowControl/>
              <w:suppressLineNumbers w:val="0"/>
              <w:kinsoku/>
              <w:wordWrap/>
              <w:overflowPunct/>
              <w:topLinePunct w:val="0"/>
              <w:autoSpaceDE/>
              <w:autoSpaceDN/>
              <w:bidi w:val="0"/>
              <w:adjustRightInd/>
              <w:snapToGrid w:val="0"/>
              <w:spacing w:line="30" w:lineRule="atLeast"/>
              <w:jc w:val="center"/>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3</w:t>
            </w:r>
          </w:p>
        </w:tc>
        <w:tc>
          <w:tcPr>
            <w:tcW w:w="3986" w:type="dxa"/>
            <w:noWrap/>
            <w:vAlign w:val="center"/>
          </w:tcPr>
          <w:p w14:paraId="307DF75C">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广东省国际工程咨询有限公司</w:t>
            </w:r>
          </w:p>
        </w:tc>
        <w:tc>
          <w:tcPr>
            <w:tcW w:w="3881" w:type="dxa"/>
            <w:noWrap/>
            <w:vAlign w:val="center"/>
          </w:tcPr>
          <w:p w14:paraId="6562011A">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为本招标项目的可研修编单位</w:t>
            </w:r>
          </w:p>
        </w:tc>
      </w:tr>
      <w:tr w14:paraId="74FA2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11" w:type="dxa"/>
            <w:noWrap/>
            <w:vAlign w:val="center"/>
          </w:tcPr>
          <w:p w14:paraId="008E06AD">
            <w:pPr>
              <w:keepNext w:val="0"/>
              <w:keepLines w:val="0"/>
              <w:pageBreakBefore w:val="0"/>
              <w:widowControl/>
              <w:suppressLineNumbers w:val="0"/>
              <w:kinsoku/>
              <w:wordWrap/>
              <w:overflowPunct/>
              <w:topLinePunct w:val="0"/>
              <w:autoSpaceDE/>
              <w:autoSpaceDN/>
              <w:bidi w:val="0"/>
              <w:adjustRightInd/>
              <w:snapToGrid w:val="0"/>
              <w:spacing w:line="30" w:lineRule="atLeast"/>
              <w:jc w:val="center"/>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4</w:t>
            </w:r>
          </w:p>
        </w:tc>
        <w:tc>
          <w:tcPr>
            <w:tcW w:w="3986" w:type="dxa"/>
            <w:noWrap/>
            <w:vAlign w:val="center"/>
          </w:tcPr>
          <w:p w14:paraId="20418662">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爱建信达工程咨询有限公司</w:t>
            </w:r>
          </w:p>
        </w:tc>
        <w:tc>
          <w:tcPr>
            <w:tcW w:w="3881" w:type="dxa"/>
            <w:noWrap/>
            <w:vAlign w:val="center"/>
          </w:tcPr>
          <w:p w14:paraId="08862075">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为本招标项目的造价咨询单位</w:t>
            </w:r>
          </w:p>
        </w:tc>
      </w:tr>
      <w:tr w14:paraId="45EFD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11" w:type="dxa"/>
            <w:noWrap/>
            <w:vAlign w:val="center"/>
          </w:tcPr>
          <w:p w14:paraId="4D14825D">
            <w:pPr>
              <w:keepNext w:val="0"/>
              <w:keepLines w:val="0"/>
              <w:pageBreakBefore w:val="0"/>
              <w:widowControl/>
              <w:suppressLineNumbers w:val="0"/>
              <w:kinsoku/>
              <w:wordWrap/>
              <w:overflowPunct/>
              <w:topLinePunct w:val="0"/>
              <w:autoSpaceDE/>
              <w:autoSpaceDN/>
              <w:bidi w:val="0"/>
              <w:adjustRightInd/>
              <w:snapToGrid w:val="0"/>
              <w:spacing w:line="30" w:lineRule="atLeast"/>
              <w:jc w:val="center"/>
              <w:textAlignment w:val="center"/>
              <w:rPr>
                <w:rFonts w:hint="default"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5</w:t>
            </w:r>
          </w:p>
        </w:tc>
        <w:tc>
          <w:tcPr>
            <w:tcW w:w="3986" w:type="dxa"/>
            <w:shd w:val="clear" w:color="auto" w:fill="auto"/>
            <w:noWrap/>
            <w:vAlign w:val="center"/>
          </w:tcPr>
          <w:p w14:paraId="625C1D46">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kern w:val="2"/>
                <w:sz w:val="24"/>
                <w:szCs w:val="24"/>
                <w:u w:val="none"/>
                <w:lang w:val="en-US" w:eastAsia="zh-CN" w:bidi="ar-SA"/>
              </w:rPr>
            </w:pPr>
            <w:r>
              <w:rPr>
                <w:rFonts w:hint="eastAsia" w:ascii="宋体" w:hAnsi="宋体" w:eastAsia="宋体" w:cs="宋体"/>
                <w:i w:val="0"/>
                <w:color w:val="auto"/>
                <w:sz w:val="24"/>
                <w:szCs w:val="24"/>
                <w:u w:val="none"/>
                <w:lang w:val="en-US" w:eastAsia="zh-CN"/>
              </w:rPr>
              <w:t>中咨管理顾问有限责任公司</w:t>
            </w:r>
          </w:p>
        </w:tc>
        <w:tc>
          <w:tcPr>
            <w:tcW w:w="3881" w:type="dxa"/>
            <w:shd w:val="clear" w:color="auto" w:fill="auto"/>
            <w:noWrap/>
            <w:vAlign w:val="center"/>
          </w:tcPr>
          <w:p w14:paraId="242D2E1B">
            <w:pPr>
              <w:keepNext w:val="0"/>
              <w:keepLines w:val="0"/>
              <w:pageBreakBefore w:val="0"/>
              <w:widowControl/>
              <w:suppressLineNumbers w:val="0"/>
              <w:kinsoku/>
              <w:wordWrap/>
              <w:overflowPunct/>
              <w:topLinePunct w:val="0"/>
              <w:autoSpaceDE/>
              <w:autoSpaceDN/>
              <w:bidi w:val="0"/>
              <w:adjustRightInd/>
              <w:snapToGrid w:val="0"/>
              <w:spacing w:line="30" w:lineRule="atLeast"/>
              <w:jc w:val="left"/>
              <w:textAlignment w:val="center"/>
              <w:rPr>
                <w:rFonts w:hint="eastAsia" w:ascii="宋体" w:hAnsi="宋体" w:eastAsia="宋体" w:cs="宋体"/>
                <w:i w:val="0"/>
                <w:color w:val="auto"/>
                <w:kern w:val="2"/>
                <w:sz w:val="24"/>
                <w:szCs w:val="24"/>
                <w:u w:val="none"/>
                <w:lang w:val="en-US" w:eastAsia="zh-CN" w:bidi="ar-SA"/>
              </w:rPr>
            </w:pPr>
            <w:r>
              <w:rPr>
                <w:rFonts w:hint="eastAsia" w:ascii="宋体" w:hAnsi="宋体" w:eastAsia="宋体" w:cs="宋体"/>
                <w:i w:val="0"/>
                <w:color w:val="auto"/>
                <w:sz w:val="24"/>
                <w:szCs w:val="24"/>
                <w:u w:val="none"/>
                <w:lang w:val="en-US" w:eastAsia="zh-CN"/>
              </w:rPr>
              <w:t>为本招标项目</w:t>
            </w:r>
            <w:bookmarkStart w:id="614" w:name="_GoBack"/>
            <w:bookmarkEnd w:id="614"/>
            <w:r>
              <w:rPr>
                <w:rFonts w:hint="eastAsia" w:ascii="宋体" w:hAnsi="宋体" w:eastAsia="宋体" w:cs="宋体"/>
                <w:i w:val="0"/>
                <w:color w:val="auto"/>
                <w:sz w:val="24"/>
                <w:szCs w:val="24"/>
                <w:u w:val="none"/>
                <w:lang w:val="en-US" w:eastAsia="zh-CN"/>
              </w:rPr>
              <w:t>的可研编制单位</w:t>
            </w:r>
          </w:p>
        </w:tc>
      </w:tr>
    </w:tbl>
    <w:p w14:paraId="07136E5D">
      <w:pPr>
        <w:wordWrap w:val="0"/>
        <w:adjustRightInd w:val="0"/>
        <w:snapToGrid w:val="0"/>
        <w:spacing w:line="360" w:lineRule="auto"/>
        <w:ind w:firstLine="482" w:firstLineChars="200"/>
        <w:jc w:val="lef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4.5</w:t>
      </w:r>
      <w:r>
        <w:rPr>
          <w:rFonts w:hint="eastAsia" w:asciiTheme="minorEastAsia" w:hAnsiTheme="minorEastAsia" w:eastAsiaTheme="minorEastAsia" w:cstheme="minorEastAsia"/>
          <w:snapToGrid w:val="0"/>
          <w:color w:val="auto"/>
          <w:kern w:val="0"/>
          <w:szCs w:val="24"/>
          <w:highlight w:val="none"/>
        </w:rPr>
        <w:t>省外企业（包括组成联合体的所有成员单位）</w:t>
      </w:r>
      <w:r>
        <w:rPr>
          <w:rFonts w:hint="eastAsia" w:asciiTheme="minorEastAsia" w:hAnsiTheme="minorEastAsia" w:eastAsiaTheme="minorEastAsia" w:cstheme="minorEastAsia"/>
          <w:color w:val="auto"/>
          <w:sz w:val="24"/>
          <w:szCs w:val="24"/>
          <w:highlight w:val="none"/>
        </w:rPr>
        <w:t>及其拟派往本项目管理机构的所有人员均</w:t>
      </w:r>
      <w:r>
        <w:rPr>
          <w:rFonts w:hint="eastAsia" w:asciiTheme="minorEastAsia" w:hAnsiTheme="minorEastAsia" w:eastAsiaTheme="minorEastAsia" w:cstheme="minorEastAsia"/>
          <w:snapToGrid w:val="0"/>
          <w:color w:val="auto"/>
          <w:kern w:val="0"/>
          <w:szCs w:val="24"/>
          <w:highlight w:val="none"/>
        </w:rPr>
        <w:t>须按照《广东省住房和城乡建设厅关于取消省外建筑企业和人员进粤信息备案有关工作的通知》（粤建市﹝2015﹞52号）规定在“进粤企业和人员诚信信息登记平台”录入相关信息并通过数据规范检查。</w:t>
      </w:r>
    </w:p>
    <w:p w14:paraId="034A7CEB">
      <w:pPr>
        <w:pStyle w:val="49"/>
        <w:keepNext/>
        <w:keepLines/>
        <w:spacing w:line="360" w:lineRule="auto"/>
        <w:ind w:firstLine="482" w:firstLineChars="200"/>
        <w:jc w:val="both"/>
        <w:rPr>
          <w:rFonts w:hint="eastAsia" w:asciiTheme="minorEastAsia" w:hAnsiTheme="minorEastAsia" w:eastAsiaTheme="minorEastAsia" w:cstheme="minorEastAsia"/>
          <w:b/>
          <w:color w:val="auto"/>
          <w:kern w:val="2"/>
          <w:highlight w:val="none"/>
        </w:rPr>
      </w:pPr>
      <w:bookmarkStart w:id="62" w:name="_Toc2707"/>
      <w:bookmarkStart w:id="63" w:name="_Toc18979"/>
      <w:bookmarkStart w:id="64" w:name="_Toc3094"/>
      <w:bookmarkStart w:id="65" w:name="_Toc17645"/>
      <w:bookmarkStart w:id="66" w:name="_Toc1090"/>
      <w:bookmarkStart w:id="67" w:name="_Toc8294"/>
      <w:bookmarkStart w:id="68" w:name="_Toc24391"/>
      <w:bookmarkStart w:id="69" w:name="_Toc3588"/>
      <w:bookmarkStart w:id="70" w:name="_Toc20378"/>
      <w:r>
        <w:rPr>
          <w:rFonts w:hint="eastAsia" w:asciiTheme="minorEastAsia" w:hAnsiTheme="minorEastAsia" w:eastAsiaTheme="minorEastAsia" w:cstheme="minorEastAsia"/>
          <w:b/>
          <w:color w:val="auto"/>
          <w:kern w:val="2"/>
          <w:highlight w:val="none"/>
        </w:rPr>
        <w:t>5 、工程招标内容及要求</w:t>
      </w:r>
      <w:bookmarkEnd w:id="62"/>
      <w:bookmarkEnd w:id="63"/>
      <w:bookmarkEnd w:id="64"/>
      <w:bookmarkEnd w:id="65"/>
      <w:bookmarkEnd w:id="66"/>
      <w:bookmarkEnd w:id="67"/>
      <w:bookmarkEnd w:id="68"/>
      <w:bookmarkEnd w:id="69"/>
      <w:bookmarkEnd w:id="70"/>
    </w:p>
    <w:p w14:paraId="6A5F6DE1">
      <w:pPr>
        <w:pStyle w:val="47"/>
        <w:numPr>
          <w:ilvl w:val="0"/>
          <w:numId w:val="0"/>
        </w:numPr>
        <w:spacing w:line="360" w:lineRule="auto"/>
        <w:ind w:firstLine="480" w:firstLineChars="200"/>
        <w:rPr>
          <w:rFonts w:hint="eastAsia" w:hAnsi="宋体" w:cs="Calibri"/>
          <w:bCs/>
          <w:color w:val="auto"/>
          <w:sz w:val="24"/>
          <w:szCs w:val="24"/>
          <w:highlight w:val="none"/>
          <w:u w:val="none"/>
        </w:rPr>
      </w:pPr>
      <w:r>
        <w:rPr>
          <w:rFonts w:hint="eastAsia" w:ascii="宋体" w:hAnsi="宋体" w:eastAsia="宋体" w:cs="Calibri"/>
          <w:bCs/>
          <w:color w:val="auto"/>
          <w:sz w:val="24"/>
          <w:szCs w:val="24"/>
          <w:highlight w:val="none"/>
          <w:u w:val="none"/>
          <w:lang w:val="en-US" w:eastAsia="zh-CN"/>
        </w:rPr>
        <w:t>5.1</w:t>
      </w:r>
      <w:r>
        <w:rPr>
          <w:rFonts w:hint="eastAsia" w:ascii="宋体" w:hAnsi="宋体" w:eastAsia="宋体" w:cs="Calibri"/>
          <w:bCs/>
          <w:color w:val="auto"/>
          <w:sz w:val="24"/>
          <w:szCs w:val="24"/>
          <w:highlight w:val="none"/>
          <w:u w:val="none"/>
          <w:lang w:val="zh-CN"/>
        </w:rPr>
        <w:t>本工程所涉及的内容包括但不限于以下（1）～（</w:t>
      </w:r>
      <w:r>
        <w:rPr>
          <w:rFonts w:hint="eastAsia" w:hAnsi="宋体" w:cs="Calibri"/>
          <w:bCs/>
          <w:color w:val="auto"/>
          <w:sz w:val="24"/>
          <w:szCs w:val="24"/>
          <w:highlight w:val="none"/>
          <w:u w:val="none"/>
          <w:lang w:val="en-US" w:eastAsia="zh-CN"/>
        </w:rPr>
        <w:t>2</w:t>
      </w:r>
      <w:r>
        <w:rPr>
          <w:rFonts w:hint="eastAsia" w:ascii="宋体" w:hAnsi="宋体" w:eastAsia="宋体" w:cs="Calibri"/>
          <w:bCs/>
          <w:color w:val="auto"/>
          <w:sz w:val="24"/>
          <w:szCs w:val="24"/>
          <w:highlight w:val="none"/>
          <w:u w:val="none"/>
          <w:lang w:val="zh-CN"/>
        </w:rPr>
        <w:t>）：</w:t>
      </w:r>
    </w:p>
    <w:p w14:paraId="4E4E7587">
      <w:pPr>
        <w:pStyle w:val="47"/>
        <w:numPr>
          <w:ilvl w:val="0"/>
          <w:numId w:val="0"/>
        </w:numPr>
        <w:spacing w:line="360" w:lineRule="auto"/>
        <w:ind w:firstLine="480" w:firstLineChars="200"/>
        <w:rPr>
          <w:rFonts w:hint="eastAsia" w:hAnsi="宋体" w:cs="Calibri"/>
          <w:bCs/>
          <w:color w:val="auto"/>
          <w:sz w:val="24"/>
          <w:szCs w:val="24"/>
          <w:highlight w:val="none"/>
          <w:u w:val="none"/>
        </w:rPr>
      </w:pPr>
      <w:r>
        <w:rPr>
          <w:rFonts w:hint="eastAsia" w:hAnsi="宋体" w:cs="Calibri"/>
          <w:bCs/>
          <w:color w:val="auto"/>
          <w:sz w:val="24"/>
          <w:szCs w:val="24"/>
          <w:highlight w:val="none"/>
          <w:u w:val="none"/>
        </w:rPr>
        <w:t>（</w:t>
      </w:r>
      <w:r>
        <w:rPr>
          <w:rFonts w:hint="eastAsia" w:hAnsi="宋体" w:cs="Calibri"/>
          <w:bCs/>
          <w:color w:val="auto"/>
          <w:sz w:val="24"/>
          <w:szCs w:val="24"/>
          <w:highlight w:val="none"/>
          <w:u w:val="none"/>
          <w:lang w:val="en-US" w:eastAsia="zh-CN"/>
        </w:rPr>
        <w:t>1</w:t>
      </w:r>
      <w:r>
        <w:rPr>
          <w:rFonts w:hint="eastAsia" w:hAnsi="宋体" w:cs="Calibri"/>
          <w:bCs/>
          <w:color w:val="auto"/>
          <w:sz w:val="24"/>
          <w:szCs w:val="24"/>
          <w:highlight w:val="none"/>
          <w:u w:val="none"/>
        </w:rPr>
        <w:t>）设计部分：</w:t>
      </w:r>
      <w:r>
        <w:rPr>
          <w:rFonts w:hint="eastAsia" w:hAnsi="宋体" w:cs="宋体"/>
          <w:snapToGrid w:val="0"/>
          <w:color w:val="auto"/>
          <w:kern w:val="0"/>
          <w:sz w:val="24"/>
          <w:szCs w:val="24"/>
          <w:highlight w:val="none"/>
          <w:u w:val="none"/>
          <w:lang w:val="zh-CN"/>
        </w:rPr>
        <w:t>确保项目顺利实施的报建、报批、施工等所需的所有建安工程等设计文件。包括但不限于：施工图设计、</w:t>
      </w:r>
      <w:r>
        <w:rPr>
          <w:rFonts w:hint="eastAsia" w:ascii="宋体" w:hAnsi="宋体" w:eastAsia="宋体" w:cs="宋体"/>
          <w:snapToGrid w:val="0"/>
          <w:color w:val="auto"/>
          <w:kern w:val="0"/>
          <w:sz w:val="24"/>
          <w:szCs w:val="24"/>
          <w:highlight w:val="none"/>
          <w:u w:val="none"/>
        </w:rPr>
        <w:t>提供项目所需相关检测项的明细表和危险性较大的分部分项工程清单及保障安全相关说明</w:t>
      </w:r>
      <w:r>
        <w:rPr>
          <w:rFonts w:hint="eastAsia" w:ascii="宋体" w:hAnsi="宋体" w:eastAsia="宋体" w:cs="宋体"/>
          <w:snapToGrid w:val="0"/>
          <w:color w:val="auto"/>
          <w:kern w:val="0"/>
          <w:sz w:val="24"/>
          <w:szCs w:val="24"/>
          <w:highlight w:val="none"/>
          <w:u w:val="none"/>
          <w:lang w:eastAsia="zh-CN"/>
        </w:rPr>
        <w:t>、</w:t>
      </w:r>
      <w:r>
        <w:rPr>
          <w:rFonts w:hint="eastAsia" w:hAnsi="宋体" w:cs="宋体"/>
          <w:snapToGrid w:val="0"/>
          <w:color w:val="auto"/>
          <w:kern w:val="0"/>
          <w:sz w:val="24"/>
          <w:szCs w:val="24"/>
          <w:highlight w:val="none"/>
          <w:u w:val="none"/>
          <w:lang w:val="zh-CN"/>
        </w:rPr>
        <w:t>工地现场服务、验收过程中的设计指导及配合阶段验收及档案整理、协助施工单位编制竣工图及后续设计服务工作</w:t>
      </w:r>
      <w:r>
        <w:rPr>
          <w:rFonts w:hint="eastAsia" w:hAnsi="宋体" w:cs="Calibri"/>
          <w:bCs/>
          <w:color w:val="auto"/>
          <w:sz w:val="24"/>
          <w:szCs w:val="24"/>
          <w:highlight w:val="none"/>
          <w:u w:val="none"/>
        </w:rPr>
        <w:t>。</w:t>
      </w:r>
    </w:p>
    <w:p w14:paraId="4F3E1C6F">
      <w:pPr>
        <w:pStyle w:val="47"/>
        <w:numPr>
          <w:ilvl w:val="0"/>
          <w:numId w:val="0"/>
        </w:numPr>
        <w:spacing w:line="360" w:lineRule="auto"/>
        <w:ind w:firstLine="480" w:firstLineChars="200"/>
        <w:rPr>
          <w:rFonts w:hint="eastAsia" w:hAnsi="宋体" w:cs="Calibri"/>
          <w:bCs/>
          <w:color w:val="auto"/>
          <w:sz w:val="24"/>
          <w:szCs w:val="24"/>
          <w:highlight w:val="none"/>
          <w:u w:val="none"/>
          <w:lang w:val="zh-CN"/>
        </w:rPr>
      </w:pPr>
      <w:r>
        <w:rPr>
          <w:rFonts w:hint="eastAsia" w:hAnsi="宋体" w:cs="Calibri"/>
          <w:bCs/>
          <w:color w:val="auto"/>
          <w:sz w:val="24"/>
          <w:szCs w:val="24"/>
          <w:highlight w:val="none"/>
          <w:u w:val="none"/>
          <w:lang w:val="zh-CN"/>
        </w:rPr>
        <w:t>（</w:t>
      </w:r>
      <w:r>
        <w:rPr>
          <w:rFonts w:hint="eastAsia" w:hAnsi="宋体" w:cs="Calibri"/>
          <w:bCs/>
          <w:color w:val="auto"/>
          <w:sz w:val="24"/>
          <w:szCs w:val="24"/>
          <w:highlight w:val="none"/>
          <w:u w:val="none"/>
          <w:lang w:val="en-US" w:eastAsia="zh-CN"/>
        </w:rPr>
        <w:t>2</w:t>
      </w:r>
      <w:r>
        <w:rPr>
          <w:rFonts w:hint="eastAsia" w:hAnsi="宋体" w:cs="Calibri"/>
          <w:bCs/>
          <w:color w:val="auto"/>
          <w:sz w:val="24"/>
          <w:szCs w:val="24"/>
          <w:highlight w:val="none"/>
          <w:u w:val="none"/>
          <w:lang w:val="zh-CN"/>
        </w:rPr>
        <w:t>）施工部分：</w:t>
      </w:r>
      <w:r>
        <w:rPr>
          <w:rFonts w:hint="eastAsia" w:ascii="宋体" w:hAnsi="宋体" w:eastAsia="宋体" w:cs="宋体"/>
          <w:snapToGrid w:val="0"/>
          <w:color w:val="auto"/>
          <w:kern w:val="0"/>
          <w:sz w:val="24"/>
          <w:szCs w:val="24"/>
          <w:highlight w:val="none"/>
          <w:u w:val="none"/>
        </w:rPr>
        <w:t>设计文件及工程量清单范围内的所有工程及配套工程、设施等的施工</w:t>
      </w:r>
      <w:r>
        <w:rPr>
          <w:rFonts w:hint="eastAsia" w:hAnsi="宋体" w:cs="Calibri"/>
          <w:bCs/>
          <w:color w:val="auto"/>
          <w:sz w:val="24"/>
          <w:szCs w:val="24"/>
          <w:highlight w:val="none"/>
          <w:u w:val="none"/>
          <w:lang w:val="zh-CN"/>
        </w:rPr>
        <w:t>（含竣工验收资料编制整理、备案等），完成并配合发包人结算、负责工程缺陷保修以及发包人要求由施工单位完成的其他工作（发包人另行委托其他单位负责实施的工作内容除外，但需提供一系列协调及配合服务）等。</w:t>
      </w:r>
    </w:p>
    <w:p w14:paraId="192CBC0C">
      <w:pPr>
        <w:pStyle w:val="47"/>
        <w:numPr>
          <w:ilvl w:val="0"/>
          <w:numId w:val="0"/>
        </w:numPr>
        <w:spacing w:line="360" w:lineRule="auto"/>
        <w:ind w:firstLine="480" w:firstLineChars="200"/>
        <w:rPr>
          <w:rFonts w:hint="eastAsia" w:hAnsi="宋体" w:cs="Calibri"/>
          <w:bCs/>
          <w:color w:val="auto"/>
          <w:sz w:val="24"/>
          <w:szCs w:val="24"/>
          <w:highlight w:val="none"/>
          <w:lang w:val="zh-CN"/>
        </w:rPr>
      </w:pPr>
      <w:r>
        <w:rPr>
          <w:rFonts w:hint="eastAsia" w:hAnsi="宋体" w:cs="Calibri"/>
          <w:bCs/>
          <w:color w:val="auto"/>
          <w:sz w:val="24"/>
          <w:szCs w:val="24"/>
          <w:highlight w:val="none"/>
          <w:lang w:val="en-US" w:eastAsia="zh-CN"/>
        </w:rPr>
        <w:t>5.2</w:t>
      </w:r>
      <w:r>
        <w:rPr>
          <w:rFonts w:hint="eastAsia" w:hAnsi="宋体" w:cs="Calibri"/>
          <w:bCs/>
          <w:color w:val="auto"/>
          <w:sz w:val="24"/>
          <w:szCs w:val="24"/>
          <w:highlight w:val="none"/>
          <w:lang w:val="zh-CN"/>
        </w:rPr>
        <w:t>设计要求：</w:t>
      </w:r>
    </w:p>
    <w:p w14:paraId="183D90A7">
      <w:pPr>
        <w:pStyle w:val="47"/>
        <w:numPr>
          <w:ilvl w:val="0"/>
          <w:numId w:val="0"/>
        </w:numPr>
        <w:spacing w:line="360" w:lineRule="auto"/>
        <w:ind w:firstLine="480" w:firstLineChars="200"/>
        <w:rPr>
          <w:rFonts w:hint="eastAsia" w:hAnsi="宋体" w:cs="Calibri"/>
          <w:bCs/>
          <w:color w:val="auto"/>
          <w:sz w:val="24"/>
          <w:szCs w:val="24"/>
          <w:highlight w:val="none"/>
          <w:lang w:val="zh-CN"/>
        </w:rPr>
      </w:pPr>
      <w:r>
        <w:rPr>
          <w:rFonts w:hint="eastAsia" w:hAnsi="宋体" w:cs="Calibri"/>
          <w:bCs/>
          <w:color w:val="auto"/>
          <w:sz w:val="24"/>
          <w:szCs w:val="24"/>
          <w:highlight w:val="none"/>
          <w:lang w:val="en-US" w:eastAsia="zh-CN"/>
        </w:rPr>
        <w:t>5.2.1设计质量要求：</w:t>
      </w:r>
      <w:r>
        <w:rPr>
          <w:rFonts w:hint="eastAsia" w:hAnsi="宋体" w:cs="Calibri"/>
          <w:bCs/>
          <w:color w:val="auto"/>
          <w:sz w:val="24"/>
          <w:szCs w:val="24"/>
          <w:highlight w:val="none"/>
          <w:lang w:val="zh-CN"/>
        </w:rPr>
        <w:t>符合国家或行业颁布的现行有效的有关设计的规范要求，并必须通过有关部门的审查及经有资质的审图机构审查合格。</w:t>
      </w:r>
    </w:p>
    <w:p w14:paraId="52B5D221">
      <w:pPr>
        <w:pStyle w:val="47"/>
        <w:numPr>
          <w:ilvl w:val="0"/>
          <w:numId w:val="0"/>
        </w:numPr>
        <w:spacing w:line="360" w:lineRule="auto"/>
        <w:ind w:firstLine="480" w:firstLineChars="200"/>
        <w:rPr>
          <w:rFonts w:hint="eastAsia" w:hAnsi="宋体" w:cs="Calibri"/>
          <w:bCs/>
          <w:color w:val="auto"/>
          <w:sz w:val="24"/>
          <w:szCs w:val="24"/>
          <w:highlight w:val="none"/>
          <w:lang w:val="zh-CN"/>
        </w:rPr>
      </w:pPr>
      <w:r>
        <w:rPr>
          <w:rFonts w:hint="eastAsia" w:hAnsi="宋体" w:cs="Calibri"/>
          <w:bCs/>
          <w:color w:val="auto"/>
          <w:sz w:val="24"/>
          <w:szCs w:val="24"/>
          <w:highlight w:val="none"/>
          <w:lang w:val="en-US" w:eastAsia="zh-CN"/>
        </w:rPr>
        <w:t>5.2.2</w:t>
      </w:r>
      <w:r>
        <w:rPr>
          <w:rFonts w:hint="eastAsia" w:hAnsi="宋体" w:cs="Calibri"/>
          <w:bCs/>
          <w:color w:val="auto"/>
          <w:sz w:val="24"/>
          <w:szCs w:val="24"/>
          <w:highlight w:val="none"/>
          <w:lang w:val="zh-CN"/>
        </w:rPr>
        <w:t>本工程各个阶段的设计成果必须经发包人及有关审批部门同意后方可进行下一工序的设计工作，若</w:t>
      </w:r>
      <w:r>
        <w:rPr>
          <w:rFonts w:hint="eastAsia" w:hAnsi="宋体" w:cs="Calibri"/>
          <w:bCs/>
          <w:color w:val="auto"/>
          <w:sz w:val="24"/>
          <w:szCs w:val="24"/>
          <w:highlight w:val="none"/>
          <w:u w:val="none"/>
          <w:lang w:val="zh-CN"/>
        </w:rPr>
        <w:t>发包人</w:t>
      </w:r>
      <w:r>
        <w:rPr>
          <w:rFonts w:hint="eastAsia" w:hAnsi="宋体" w:cs="Calibri"/>
          <w:bCs/>
          <w:color w:val="auto"/>
          <w:sz w:val="24"/>
          <w:szCs w:val="24"/>
          <w:highlight w:val="none"/>
          <w:lang w:val="zh-CN"/>
        </w:rPr>
        <w:t>或有关审批部门在审批过程中提出的设计修改或变更，设计单位必须无条件进行修改或变更，</w:t>
      </w:r>
      <w:r>
        <w:rPr>
          <w:rFonts w:hint="eastAsia" w:hAnsi="宋体" w:cs="Calibri"/>
          <w:bCs/>
          <w:color w:val="auto"/>
          <w:sz w:val="24"/>
          <w:szCs w:val="24"/>
          <w:highlight w:val="none"/>
          <w:u w:val="none"/>
          <w:lang w:val="zh-CN"/>
        </w:rPr>
        <w:t>发包人</w:t>
      </w:r>
      <w:r>
        <w:rPr>
          <w:rFonts w:hint="eastAsia" w:hAnsi="宋体" w:cs="Calibri"/>
          <w:bCs/>
          <w:color w:val="auto"/>
          <w:sz w:val="24"/>
          <w:szCs w:val="24"/>
          <w:highlight w:val="none"/>
          <w:lang w:val="zh-CN"/>
        </w:rPr>
        <w:t>不再支付由此而增加的设计费用。本工程施工图设计必须先经</w:t>
      </w:r>
      <w:r>
        <w:rPr>
          <w:rFonts w:hint="eastAsia" w:hAnsi="宋体" w:cs="Calibri"/>
          <w:bCs/>
          <w:color w:val="auto"/>
          <w:sz w:val="24"/>
          <w:szCs w:val="24"/>
          <w:highlight w:val="none"/>
          <w:u w:val="none"/>
          <w:lang w:val="zh-CN"/>
        </w:rPr>
        <w:t>发包人</w:t>
      </w:r>
      <w:r>
        <w:rPr>
          <w:rFonts w:hint="eastAsia" w:hAnsi="宋体" w:cs="Calibri"/>
          <w:bCs/>
          <w:color w:val="auto"/>
          <w:sz w:val="24"/>
          <w:szCs w:val="24"/>
          <w:highlight w:val="none"/>
          <w:lang w:val="zh-CN"/>
        </w:rPr>
        <w:t>确认才能送审，并经</w:t>
      </w:r>
      <w:r>
        <w:rPr>
          <w:rFonts w:hint="eastAsia" w:hAnsi="宋体" w:cs="Calibri"/>
          <w:bCs/>
          <w:color w:val="auto"/>
          <w:sz w:val="24"/>
          <w:szCs w:val="24"/>
          <w:highlight w:val="none"/>
          <w:u w:val="none"/>
          <w:lang w:val="zh-CN"/>
        </w:rPr>
        <w:t>发包人</w:t>
      </w:r>
      <w:r>
        <w:rPr>
          <w:rFonts w:hint="eastAsia" w:hAnsi="宋体" w:cs="Calibri"/>
          <w:bCs/>
          <w:color w:val="auto"/>
          <w:sz w:val="24"/>
          <w:szCs w:val="24"/>
          <w:highlight w:val="none"/>
          <w:lang w:val="zh-CN"/>
        </w:rPr>
        <w:t>委托的有资质的审图机构审查合格。若</w:t>
      </w:r>
      <w:r>
        <w:rPr>
          <w:rFonts w:hint="eastAsia" w:hAnsi="宋体" w:cs="Calibri"/>
          <w:bCs/>
          <w:color w:val="auto"/>
          <w:sz w:val="24"/>
          <w:szCs w:val="24"/>
          <w:highlight w:val="none"/>
          <w:u w:val="none"/>
          <w:lang w:val="zh-CN"/>
        </w:rPr>
        <w:t>发包人</w:t>
      </w:r>
      <w:r>
        <w:rPr>
          <w:rFonts w:hint="eastAsia" w:hAnsi="宋体" w:cs="Calibri"/>
          <w:bCs/>
          <w:color w:val="auto"/>
          <w:sz w:val="24"/>
          <w:szCs w:val="24"/>
          <w:highlight w:val="none"/>
          <w:lang w:val="zh-CN"/>
        </w:rPr>
        <w:t>或审图机构在审查过程中提出的设计修改或变更，设计单位必须无条件进行修改或优化设计，</w:t>
      </w:r>
      <w:r>
        <w:rPr>
          <w:rFonts w:hint="eastAsia" w:hAnsi="宋体" w:cs="Calibri"/>
          <w:bCs/>
          <w:color w:val="auto"/>
          <w:sz w:val="24"/>
          <w:szCs w:val="24"/>
          <w:highlight w:val="none"/>
          <w:u w:val="none"/>
          <w:lang w:val="zh-CN"/>
        </w:rPr>
        <w:t>发包人</w:t>
      </w:r>
      <w:r>
        <w:rPr>
          <w:rFonts w:hint="eastAsia" w:hAnsi="宋体" w:cs="Calibri"/>
          <w:bCs/>
          <w:color w:val="auto"/>
          <w:sz w:val="24"/>
          <w:szCs w:val="24"/>
          <w:highlight w:val="none"/>
          <w:lang w:val="zh-CN"/>
        </w:rPr>
        <w:t>不再支付由此而增加的设计费用。</w:t>
      </w:r>
    </w:p>
    <w:p w14:paraId="44FA2FFF">
      <w:pPr>
        <w:pStyle w:val="47"/>
        <w:numPr>
          <w:ilvl w:val="0"/>
          <w:numId w:val="0"/>
        </w:numPr>
        <w:spacing w:line="360" w:lineRule="auto"/>
        <w:ind w:firstLine="480" w:firstLineChars="200"/>
        <w:rPr>
          <w:rFonts w:hint="eastAsia" w:ascii="宋体" w:hAnsi="宋体" w:eastAsia="宋体" w:cs="Calibri"/>
          <w:bCs/>
          <w:color w:val="auto"/>
          <w:sz w:val="24"/>
          <w:szCs w:val="24"/>
          <w:highlight w:val="none"/>
          <w:lang w:val="en-US" w:eastAsia="zh-CN"/>
        </w:rPr>
      </w:pPr>
      <w:r>
        <w:rPr>
          <w:rFonts w:hint="eastAsia" w:ascii="宋体" w:hAnsi="宋体" w:eastAsia="宋体" w:cs="Calibri"/>
          <w:bCs/>
          <w:color w:val="auto"/>
          <w:sz w:val="24"/>
          <w:szCs w:val="24"/>
          <w:highlight w:val="none"/>
          <w:lang w:val="en-US" w:eastAsia="zh-CN"/>
        </w:rPr>
        <w:t>5.</w:t>
      </w:r>
      <w:r>
        <w:rPr>
          <w:rFonts w:hint="eastAsia" w:hAnsi="宋体" w:cs="Calibri"/>
          <w:bCs/>
          <w:color w:val="auto"/>
          <w:sz w:val="24"/>
          <w:szCs w:val="24"/>
          <w:highlight w:val="none"/>
          <w:lang w:val="en-US" w:eastAsia="zh-CN"/>
        </w:rPr>
        <w:t>2</w:t>
      </w:r>
      <w:r>
        <w:rPr>
          <w:rFonts w:hint="eastAsia" w:ascii="宋体" w:hAnsi="宋体" w:eastAsia="宋体" w:cs="Calibri"/>
          <w:bCs/>
          <w:color w:val="auto"/>
          <w:sz w:val="24"/>
          <w:szCs w:val="24"/>
          <w:highlight w:val="none"/>
          <w:lang w:val="en-US" w:eastAsia="zh-CN"/>
        </w:rPr>
        <w:t>.3关于设计深度的要求</w:t>
      </w:r>
    </w:p>
    <w:p w14:paraId="2E1924CD">
      <w:pPr>
        <w:pStyle w:val="47"/>
        <w:numPr>
          <w:ilvl w:val="0"/>
          <w:numId w:val="0"/>
        </w:numPr>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szCs w:val="24"/>
          <w:highlight w:val="none"/>
        </w:rPr>
        <w:t>按国家及地方现行的设计文件深度规定等有关技术标准、设计规范（标准）要求。</w:t>
      </w: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rPr>
        <w:t>各专业设计应同步进行，涉及单位应指定总体设计人统筹布局，做好各项设施的协调和衔接、位置预留，不得留待施工中临时变更。</w:t>
      </w:r>
    </w:p>
    <w:p w14:paraId="62D0E49E">
      <w:pPr>
        <w:pStyle w:val="47"/>
        <w:numPr>
          <w:ilvl w:val="0"/>
          <w:numId w:val="0"/>
        </w:numPr>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sz w:val="24"/>
          <w:szCs w:val="24"/>
          <w:highlight w:val="none"/>
        </w:rPr>
        <w:t xml:space="preserve">对技术复杂或造价、规模较大的主要分项工程应作方案比较。 </w:t>
      </w:r>
    </w:p>
    <w:p w14:paraId="712991DD">
      <w:pPr>
        <w:pStyle w:val="47"/>
        <w:numPr>
          <w:ilvl w:val="0"/>
          <w:numId w:val="0"/>
        </w:numPr>
        <w:spacing w:line="360" w:lineRule="auto"/>
        <w:ind w:left="0" w:leftChars="0"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（4）初步设计文件的深度，应当满足主要设备材料订货、征地拆迁及编制施工图设计文件的需要。</w:t>
      </w:r>
    </w:p>
    <w:p w14:paraId="2A9B3380">
      <w:pPr>
        <w:pStyle w:val="47"/>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施工图设计文件的深度，应当满足设备材料采购，非标准设备制作和施工的需要，并注明建设工程合理使用年限。</w:t>
      </w:r>
    </w:p>
    <w:p w14:paraId="4B17CC89">
      <w:pPr>
        <w:pStyle w:val="47"/>
        <w:numPr>
          <w:ilvl w:val="0"/>
          <w:numId w:val="0"/>
        </w:numPr>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（6）</w:t>
      </w:r>
      <w:r>
        <w:rPr>
          <w:rFonts w:hint="eastAsia" w:ascii="宋体" w:hAnsi="宋体" w:eastAsia="宋体" w:cs="宋体"/>
          <w:color w:val="auto"/>
          <w:sz w:val="24"/>
          <w:szCs w:val="24"/>
          <w:highlight w:val="none"/>
        </w:rPr>
        <w:t>相关的配套外部接口方案均需取得政府主管部门或规划部门认可。</w:t>
      </w:r>
    </w:p>
    <w:p w14:paraId="7696347F">
      <w:pPr>
        <w:pStyle w:val="47"/>
        <w:numPr>
          <w:ilvl w:val="0"/>
          <w:numId w:val="0"/>
        </w:numPr>
        <w:spacing w:line="360" w:lineRule="auto"/>
        <w:ind w:left="0" w:leftChars="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施工图设计文件应考虑交通维护、临时施工便道、基坑支护、对周边建筑物的影响等因素，以指导现场施工及过程</w:t>
      </w:r>
      <w:r>
        <w:rPr>
          <w:rFonts w:hint="eastAsia" w:hAnsi="宋体" w:cs="宋体"/>
          <w:color w:val="auto"/>
          <w:sz w:val="24"/>
          <w:szCs w:val="24"/>
          <w:highlight w:val="none"/>
          <w:lang w:val="en-US" w:eastAsia="zh-CN"/>
        </w:rPr>
        <w:t>审查</w:t>
      </w:r>
      <w:r>
        <w:rPr>
          <w:rFonts w:hint="eastAsia" w:ascii="宋体" w:hAnsi="宋体" w:eastAsia="宋体" w:cs="宋体"/>
          <w:color w:val="auto"/>
          <w:sz w:val="24"/>
          <w:szCs w:val="24"/>
          <w:highlight w:val="none"/>
        </w:rPr>
        <w:t>。</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color w:val="auto"/>
          <w:sz w:val="24"/>
          <w:szCs w:val="24"/>
          <w:highlight w:val="none"/>
        </w:rPr>
        <w:t xml:space="preserve"> </w:t>
      </w:r>
    </w:p>
    <w:p w14:paraId="59CDE3F4">
      <w:pPr>
        <w:pStyle w:val="47"/>
        <w:numPr>
          <w:ilvl w:val="0"/>
          <w:numId w:val="0"/>
        </w:numPr>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lang w:val="en-US" w:eastAsia="zh-CN"/>
        </w:rPr>
        <w:t>5.</w:t>
      </w:r>
      <w:r>
        <w:rPr>
          <w:rFonts w:hint="eastAsia"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.4</w:t>
      </w:r>
      <w:r>
        <w:rPr>
          <w:rFonts w:hint="eastAsia" w:ascii="宋体" w:hAnsi="宋体" w:eastAsia="宋体" w:cs="宋体"/>
          <w:snapToGrid w:val="0"/>
          <w:color w:val="auto"/>
          <w:kern w:val="0"/>
          <w:sz w:val="24"/>
          <w:szCs w:val="24"/>
          <w:highlight w:val="none"/>
        </w:rPr>
        <w:t>设计后期配合工作</w:t>
      </w:r>
    </w:p>
    <w:p w14:paraId="565042A2">
      <w:pPr>
        <w:pStyle w:val="47"/>
        <w:numPr>
          <w:ilvl w:val="0"/>
          <w:numId w:val="0"/>
        </w:numPr>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施工图设计完成并经有关单位审查后，才能进入施工阶段，设计单位必须按投标文件的承诺至少派1名参与并熟悉本项目设计、有现场处理经验的设计代表驻现场配合，</w:t>
      </w:r>
      <w:r>
        <w:rPr>
          <w:rFonts w:hint="eastAsia" w:hAnsi="宋体" w:cs="Calibri"/>
          <w:bCs/>
          <w:color w:val="auto"/>
          <w:sz w:val="24"/>
          <w:szCs w:val="24"/>
          <w:highlight w:val="none"/>
          <w:u w:val="none"/>
          <w:lang w:val="zh-CN"/>
        </w:rPr>
        <w:t>发包人</w:t>
      </w:r>
      <w:r>
        <w:rPr>
          <w:rFonts w:hint="eastAsia" w:ascii="宋体" w:hAnsi="宋体" w:eastAsia="宋体" w:cs="宋体"/>
          <w:snapToGrid w:val="0"/>
          <w:color w:val="auto"/>
          <w:kern w:val="0"/>
          <w:sz w:val="24"/>
          <w:szCs w:val="24"/>
          <w:highlight w:val="none"/>
        </w:rPr>
        <w:t>不另外支付配合施工费用。</w:t>
      </w:r>
    </w:p>
    <w:p w14:paraId="34D0A104">
      <w:pPr>
        <w:pStyle w:val="47"/>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设计单位配合施工、监理及业主单位的工作内容如下：</w:t>
      </w:r>
    </w:p>
    <w:p w14:paraId="25AA0568">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施工图设计（技术）交底；</w:t>
      </w:r>
    </w:p>
    <w:p w14:paraId="571867D6">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配合勘察单位现场交桩；</w:t>
      </w:r>
    </w:p>
    <w:p w14:paraId="10470199">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变更设计和所有补充设计；</w:t>
      </w:r>
    </w:p>
    <w:p w14:paraId="0E6F012B">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会签设计变更审批表；</w:t>
      </w:r>
    </w:p>
    <w:p w14:paraId="51B05D7D">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参加处理施工中发生的工程质量和安全事故；</w:t>
      </w:r>
    </w:p>
    <w:p w14:paraId="3E1B2B82">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参加隐蔽工程及工程竣工验收；</w:t>
      </w:r>
    </w:p>
    <w:p w14:paraId="101C07DE">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解决与设计有关的施工问题；</w:t>
      </w:r>
    </w:p>
    <w:p w14:paraId="194A6016">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配合质量检测；</w:t>
      </w:r>
    </w:p>
    <w:p w14:paraId="12798512">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参加审查施工单位的施工组织设计和专项施工方案；</w:t>
      </w:r>
    </w:p>
    <w:p w14:paraId="7F6EE7B1">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参加本项目建设有关会议。</w:t>
      </w:r>
    </w:p>
    <w:p w14:paraId="6EF578DF">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在监理招标期间配合建设及相关单位解释及完善施工图相关内容。</w:t>
      </w:r>
    </w:p>
    <w:p w14:paraId="602CE3F2">
      <w:pPr>
        <w:pStyle w:val="47"/>
        <w:numPr>
          <w:ilvl w:val="0"/>
          <w:numId w:val="0"/>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（3）设计工作技术总结</w:t>
      </w:r>
    </w:p>
    <w:p w14:paraId="187F9012">
      <w:pPr>
        <w:pStyle w:val="47"/>
        <w:numPr>
          <w:ilvl w:val="0"/>
          <w:numId w:val="0"/>
        </w:numPr>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snapToGrid w:val="0"/>
          <w:color w:val="auto"/>
          <w:kern w:val="0"/>
          <w:sz w:val="24"/>
          <w:szCs w:val="24"/>
          <w:highlight w:val="none"/>
        </w:rPr>
        <w:t>对设计文件及施工过程中发生的补充设计进行检查，并提出设计文件质量检查报告，在竣工验收前交</w:t>
      </w:r>
      <w:r>
        <w:rPr>
          <w:rFonts w:hint="eastAsia" w:hAnsi="宋体" w:cs="Calibri"/>
          <w:bCs/>
          <w:color w:val="auto"/>
          <w:sz w:val="24"/>
          <w:szCs w:val="24"/>
          <w:highlight w:val="none"/>
          <w:u w:val="none"/>
          <w:lang w:val="zh-CN"/>
        </w:rPr>
        <w:t>发包人</w:t>
      </w:r>
      <w:r>
        <w:rPr>
          <w:rFonts w:hint="eastAsia" w:ascii="宋体" w:hAnsi="宋体" w:eastAsia="宋体" w:cs="宋体"/>
          <w:snapToGrid w:val="0"/>
          <w:color w:val="auto"/>
          <w:kern w:val="0"/>
          <w:sz w:val="24"/>
          <w:szCs w:val="24"/>
          <w:highlight w:val="none"/>
        </w:rPr>
        <w:t>。工程完工后，</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snapToGrid w:val="0"/>
          <w:color w:val="auto"/>
          <w:kern w:val="0"/>
          <w:sz w:val="24"/>
          <w:szCs w:val="24"/>
          <w:highlight w:val="none"/>
        </w:rPr>
        <w:t>应组织设计技术工作人员将全部资料进行整理并撰写工程技术总结，并于竣工后一个月内完成，交</w:t>
      </w:r>
      <w:r>
        <w:rPr>
          <w:rFonts w:hint="eastAsia" w:hAnsi="宋体" w:cs="Calibri"/>
          <w:bCs/>
          <w:color w:val="auto"/>
          <w:sz w:val="24"/>
          <w:szCs w:val="24"/>
          <w:highlight w:val="none"/>
          <w:u w:val="none"/>
          <w:lang w:val="zh-CN"/>
        </w:rPr>
        <w:t>发包人</w:t>
      </w:r>
      <w:r>
        <w:rPr>
          <w:rFonts w:hint="eastAsia" w:ascii="宋体" w:hAnsi="宋体" w:eastAsia="宋体" w:cs="宋体"/>
          <w:snapToGrid w:val="0"/>
          <w:color w:val="auto"/>
          <w:kern w:val="0"/>
          <w:sz w:val="24"/>
          <w:szCs w:val="24"/>
          <w:highlight w:val="none"/>
        </w:rPr>
        <w:t>。</w:t>
      </w:r>
    </w:p>
    <w:p w14:paraId="70A287A6">
      <w:pPr>
        <w:pStyle w:val="47"/>
        <w:numPr>
          <w:ilvl w:val="0"/>
          <w:numId w:val="0"/>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w:t>
      </w:r>
      <w:r>
        <w:rPr>
          <w:rFonts w:hint="eastAsia"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限额设计要求：</w:t>
      </w:r>
    </w:p>
    <w:p w14:paraId="1D822CE1">
      <w:pPr>
        <w:pStyle w:val="47"/>
        <w:numPr>
          <w:ilvl w:val="0"/>
          <w:numId w:val="0"/>
        </w:numPr>
        <w:spacing w:line="360" w:lineRule="auto"/>
        <w:ind w:firstLine="480"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lang w:eastAsia="zh-CN"/>
        </w:rPr>
        <w:t>（</w:t>
      </w:r>
      <w:r>
        <w:rPr>
          <w:rFonts w:hint="eastAsia" w:ascii="宋体" w:hAnsi="宋体" w:eastAsia="宋体" w:cs="宋体"/>
          <w:b w:val="0"/>
          <w:bCs w:val="0"/>
          <w:snapToGrid w:val="0"/>
          <w:color w:val="auto"/>
          <w:kern w:val="0"/>
          <w:sz w:val="24"/>
          <w:szCs w:val="24"/>
          <w:highlight w:val="none"/>
          <w:lang w:val="en-US" w:eastAsia="zh-CN"/>
        </w:rPr>
        <w:t>1）</w:t>
      </w:r>
      <w:r>
        <w:rPr>
          <w:rFonts w:hint="eastAsia" w:asciiTheme="minorEastAsia" w:hAnsiTheme="minorEastAsia" w:eastAsiaTheme="minorEastAsia" w:cstheme="minorEastAsia"/>
          <w:snapToGrid w:val="0"/>
          <w:color w:val="auto"/>
          <w:kern w:val="0"/>
          <w:szCs w:val="24"/>
          <w:highlight w:val="none"/>
        </w:rPr>
        <w:t>施工图预算中的建安工程费预算价不得超过经发改部门审定的概算建安工程费</w:t>
      </w:r>
      <w:r>
        <w:rPr>
          <w:rFonts w:hint="eastAsia" w:asciiTheme="minorEastAsia" w:hAnsiTheme="minorEastAsia" w:eastAsiaTheme="minorEastAsia" w:cstheme="minorEastAsia"/>
          <w:color w:val="auto"/>
          <w:szCs w:val="24"/>
          <w:highlight w:val="none"/>
        </w:rPr>
        <w:t>且不得超过建安工程费的中标价</w:t>
      </w:r>
      <w:r>
        <w:rPr>
          <w:rFonts w:hint="eastAsia" w:ascii="宋体" w:hAnsi="宋体" w:eastAsia="宋体" w:cs="宋体"/>
          <w:b w:val="0"/>
          <w:bCs w:val="0"/>
          <w:snapToGrid w:val="0"/>
          <w:color w:val="auto"/>
          <w:kern w:val="0"/>
          <w:sz w:val="24"/>
          <w:szCs w:val="24"/>
          <w:highlight w:val="none"/>
        </w:rPr>
        <w:t>。</w:t>
      </w:r>
    </w:p>
    <w:p w14:paraId="4F122CAC">
      <w:pPr>
        <w:pStyle w:val="47"/>
        <w:numPr>
          <w:ilvl w:val="0"/>
          <w:numId w:val="0"/>
        </w:numPr>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lang w:eastAsia="zh-CN"/>
        </w:rPr>
        <w:t>（</w:t>
      </w:r>
      <w:r>
        <w:rPr>
          <w:rFonts w:hint="eastAsia" w:ascii="宋体" w:hAnsi="宋体" w:eastAsia="宋体" w:cs="宋体"/>
          <w:b w:val="0"/>
          <w:bCs w:val="0"/>
          <w:snapToGrid w:val="0"/>
          <w:color w:val="auto"/>
          <w:kern w:val="0"/>
          <w:sz w:val="24"/>
          <w:szCs w:val="24"/>
          <w:highlight w:val="none"/>
          <w:lang w:val="en-US" w:eastAsia="zh-CN"/>
        </w:rPr>
        <w:t>2）</w:t>
      </w:r>
      <w:r>
        <w:rPr>
          <w:rFonts w:hint="eastAsia" w:ascii="宋体" w:hAnsi="宋体" w:eastAsia="宋体" w:cs="宋体"/>
          <w:b w:val="0"/>
          <w:bCs w:val="0"/>
          <w:snapToGrid w:val="0"/>
          <w:color w:val="auto"/>
          <w:kern w:val="0"/>
          <w:sz w:val="24"/>
          <w:szCs w:val="24"/>
          <w:highlight w:val="none"/>
        </w:rPr>
        <w:t>施工图预算作为</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b w:val="0"/>
          <w:bCs w:val="0"/>
          <w:snapToGrid w:val="0"/>
          <w:color w:val="auto"/>
          <w:kern w:val="0"/>
          <w:sz w:val="24"/>
          <w:szCs w:val="24"/>
          <w:highlight w:val="none"/>
        </w:rPr>
        <w:t>自我核算是否符合限</w:t>
      </w:r>
      <w:r>
        <w:rPr>
          <w:rFonts w:hint="eastAsia" w:ascii="宋体" w:hAnsi="宋体" w:eastAsia="宋体" w:cs="宋体"/>
          <w:snapToGrid w:val="0"/>
          <w:color w:val="auto"/>
          <w:kern w:val="0"/>
          <w:sz w:val="24"/>
          <w:szCs w:val="24"/>
          <w:highlight w:val="none"/>
        </w:rPr>
        <w:t>额设计要求的依据。若</w:t>
      </w:r>
      <w:r>
        <w:rPr>
          <w:rFonts w:hint="eastAsia" w:ascii="宋体" w:hAnsi="宋体" w:eastAsia="宋体" w:cs="宋体"/>
          <w:snapToGrid w:val="0"/>
          <w:color w:val="auto"/>
          <w:kern w:val="0"/>
          <w:sz w:val="24"/>
          <w:szCs w:val="24"/>
          <w:highlight w:val="none"/>
          <w:lang w:eastAsia="zh-CN"/>
        </w:rPr>
        <w:t>第三方</w:t>
      </w:r>
      <w:r>
        <w:rPr>
          <w:rFonts w:hint="eastAsia" w:ascii="宋体" w:hAnsi="宋体" w:eastAsia="宋体" w:cs="宋体"/>
          <w:snapToGrid w:val="0"/>
          <w:color w:val="auto"/>
          <w:kern w:val="0"/>
          <w:sz w:val="24"/>
          <w:szCs w:val="24"/>
          <w:highlight w:val="none"/>
        </w:rPr>
        <w:t>造价咨询单位按施工图编制或审核的建安工程费高于</w:t>
      </w:r>
      <w:r>
        <w:rPr>
          <w:rFonts w:hint="eastAsia" w:ascii="宋体" w:hAnsi="宋体" w:eastAsia="宋体" w:cs="宋体"/>
          <w:color w:val="auto"/>
          <w:sz w:val="24"/>
          <w:szCs w:val="24"/>
          <w:highlight w:val="none"/>
        </w:rPr>
        <w:t>建安工程费的中标价</w:t>
      </w:r>
      <w:r>
        <w:rPr>
          <w:rFonts w:hint="eastAsia" w:ascii="宋体" w:hAnsi="宋体" w:eastAsia="宋体" w:cs="宋体"/>
          <w:snapToGrid w:val="0"/>
          <w:color w:val="auto"/>
          <w:kern w:val="0"/>
          <w:sz w:val="24"/>
          <w:szCs w:val="24"/>
          <w:highlight w:val="none"/>
        </w:rPr>
        <w:t>时，</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snapToGrid w:val="0"/>
          <w:color w:val="auto"/>
          <w:kern w:val="0"/>
          <w:sz w:val="24"/>
          <w:szCs w:val="24"/>
          <w:highlight w:val="none"/>
        </w:rPr>
        <w:t>必须无条件对施工图进行修改，直至满足限额设计要求，</w:t>
      </w:r>
      <w:r>
        <w:rPr>
          <w:rFonts w:hint="eastAsia" w:hAnsi="宋体" w:cs="Calibri"/>
          <w:bCs/>
          <w:color w:val="auto"/>
          <w:sz w:val="24"/>
          <w:szCs w:val="24"/>
          <w:highlight w:val="none"/>
          <w:u w:val="none"/>
          <w:lang w:val="zh-CN"/>
        </w:rPr>
        <w:t>发包人</w:t>
      </w:r>
      <w:r>
        <w:rPr>
          <w:rFonts w:hint="eastAsia" w:ascii="宋体" w:hAnsi="宋体" w:eastAsia="宋体" w:cs="宋体"/>
          <w:color w:val="auto"/>
          <w:sz w:val="24"/>
          <w:szCs w:val="24"/>
          <w:highlight w:val="none"/>
        </w:rPr>
        <w:t>不另行增加设计费</w:t>
      </w:r>
      <w:r>
        <w:rPr>
          <w:rFonts w:hint="eastAsia" w:ascii="宋体" w:hAnsi="宋体" w:eastAsia="宋体" w:cs="宋体"/>
          <w:snapToGrid w:val="0"/>
          <w:color w:val="auto"/>
          <w:kern w:val="0"/>
          <w:sz w:val="24"/>
          <w:szCs w:val="24"/>
          <w:highlight w:val="none"/>
        </w:rPr>
        <w:t>。由此造成造价咨询单位重复编制或审核施工图预算的费用由</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snapToGrid w:val="0"/>
          <w:color w:val="auto"/>
          <w:kern w:val="0"/>
          <w:sz w:val="24"/>
          <w:szCs w:val="24"/>
          <w:highlight w:val="none"/>
        </w:rPr>
        <w:t>承担，结算时在设计费中扣除。</w:t>
      </w:r>
    </w:p>
    <w:p w14:paraId="438D5531">
      <w:pPr>
        <w:pStyle w:val="47"/>
        <w:numPr>
          <w:ilvl w:val="0"/>
          <w:numId w:val="0"/>
        </w:numPr>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snapToGrid w:val="0"/>
          <w:color w:val="auto"/>
          <w:kern w:val="0"/>
          <w:sz w:val="24"/>
          <w:szCs w:val="24"/>
          <w:highlight w:val="none"/>
        </w:rPr>
        <w:t>不得为了用完设计限额额度，擅自扩大建设规模、增加建设内容、提高建设标准的行为，因此导致造价增加由</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snapToGrid w:val="0"/>
          <w:color w:val="auto"/>
          <w:kern w:val="0"/>
          <w:sz w:val="24"/>
          <w:szCs w:val="24"/>
          <w:highlight w:val="none"/>
        </w:rPr>
        <w:t>负责及承担费用。</w:t>
      </w:r>
    </w:p>
    <w:p w14:paraId="028B7A17">
      <w:pPr>
        <w:pStyle w:val="47"/>
        <w:numPr>
          <w:ilvl w:val="0"/>
          <w:numId w:val="0"/>
        </w:numPr>
        <w:spacing w:line="360" w:lineRule="auto"/>
        <w:ind w:firstLine="480"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lang w:val="en-US" w:eastAsia="zh-CN"/>
        </w:rPr>
        <w:t>5.</w:t>
      </w:r>
      <w:r>
        <w:rPr>
          <w:rFonts w:hint="eastAsia" w:hAnsi="宋体" w:cs="宋体"/>
          <w:b w:val="0"/>
          <w:bCs w:val="0"/>
          <w:snapToGrid w:val="0"/>
          <w:color w:val="auto"/>
          <w:kern w:val="0"/>
          <w:sz w:val="24"/>
          <w:szCs w:val="24"/>
          <w:highlight w:val="none"/>
          <w:lang w:val="en-US" w:eastAsia="zh-CN"/>
        </w:rPr>
        <w:t>2</w:t>
      </w:r>
      <w:r>
        <w:rPr>
          <w:rFonts w:hint="eastAsia" w:ascii="宋体" w:hAnsi="宋体" w:eastAsia="宋体" w:cs="宋体"/>
          <w:b w:val="0"/>
          <w:bCs w:val="0"/>
          <w:snapToGrid w:val="0"/>
          <w:color w:val="auto"/>
          <w:kern w:val="0"/>
          <w:sz w:val="24"/>
          <w:szCs w:val="24"/>
          <w:highlight w:val="none"/>
          <w:lang w:val="en-US" w:eastAsia="zh-CN"/>
        </w:rPr>
        <w:t>.</w:t>
      </w:r>
      <w:r>
        <w:rPr>
          <w:rFonts w:hint="eastAsia" w:hAnsi="宋体" w:cs="宋体"/>
          <w:b w:val="0"/>
          <w:bCs w:val="0"/>
          <w:snapToGrid w:val="0"/>
          <w:color w:val="auto"/>
          <w:kern w:val="0"/>
          <w:sz w:val="24"/>
          <w:szCs w:val="24"/>
          <w:highlight w:val="none"/>
          <w:lang w:val="en-US" w:eastAsia="zh-CN"/>
        </w:rPr>
        <w:t>6</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b w:val="0"/>
          <w:bCs w:val="0"/>
          <w:snapToGrid w:val="0"/>
          <w:color w:val="auto"/>
          <w:kern w:val="0"/>
          <w:sz w:val="24"/>
          <w:szCs w:val="24"/>
          <w:highlight w:val="none"/>
        </w:rPr>
        <w:t>在设计前，要充分进行市场调查，主要材料、设备在满足设计规范及建设标准的情况下，尽量采用造价管理机构发布的信息价中有相应型号、规格的标准材料，若必须采用非标准材料的，必须经</w:t>
      </w:r>
      <w:r>
        <w:rPr>
          <w:rFonts w:hint="eastAsia" w:hAnsi="宋体" w:cs="Calibri"/>
          <w:bCs/>
          <w:color w:val="auto"/>
          <w:sz w:val="24"/>
          <w:szCs w:val="24"/>
          <w:highlight w:val="none"/>
          <w:u w:val="none"/>
          <w:lang w:val="zh-CN"/>
        </w:rPr>
        <w:t>发包人</w:t>
      </w:r>
      <w:r>
        <w:rPr>
          <w:rFonts w:hint="eastAsia" w:ascii="宋体" w:hAnsi="宋体" w:eastAsia="宋体" w:cs="宋体"/>
          <w:b w:val="0"/>
          <w:bCs w:val="0"/>
          <w:snapToGrid w:val="0"/>
          <w:color w:val="auto"/>
          <w:kern w:val="0"/>
          <w:sz w:val="24"/>
          <w:szCs w:val="24"/>
          <w:highlight w:val="none"/>
        </w:rPr>
        <w:t>同意，否则参照信息价中相近且低于其标准的材料信息价作为该项材料的结算价。</w:t>
      </w:r>
    </w:p>
    <w:p w14:paraId="7534DBDA">
      <w:pPr>
        <w:pStyle w:val="47"/>
        <w:numPr>
          <w:ilvl w:val="0"/>
          <w:numId w:val="0"/>
        </w:numPr>
        <w:spacing w:line="360" w:lineRule="auto"/>
        <w:ind w:firstLine="480"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lang w:val="en-US" w:eastAsia="zh-CN"/>
        </w:rPr>
        <w:t>5.</w:t>
      </w:r>
      <w:r>
        <w:rPr>
          <w:rFonts w:hint="eastAsia" w:hAnsi="宋体" w:cs="宋体"/>
          <w:b w:val="0"/>
          <w:bCs w:val="0"/>
          <w:snapToGrid w:val="0"/>
          <w:color w:val="auto"/>
          <w:kern w:val="0"/>
          <w:sz w:val="24"/>
          <w:szCs w:val="24"/>
          <w:highlight w:val="none"/>
          <w:lang w:val="en-US" w:eastAsia="zh-CN"/>
        </w:rPr>
        <w:t>2</w:t>
      </w:r>
      <w:r>
        <w:rPr>
          <w:rFonts w:hint="eastAsia" w:ascii="宋体" w:hAnsi="宋体" w:eastAsia="宋体" w:cs="宋体"/>
          <w:b w:val="0"/>
          <w:bCs w:val="0"/>
          <w:snapToGrid w:val="0"/>
          <w:color w:val="auto"/>
          <w:kern w:val="0"/>
          <w:sz w:val="24"/>
          <w:szCs w:val="24"/>
          <w:highlight w:val="none"/>
          <w:lang w:val="en-US" w:eastAsia="zh-CN"/>
        </w:rPr>
        <w:t>.</w:t>
      </w:r>
      <w:r>
        <w:rPr>
          <w:rFonts w:hint="eastAsia" w:hAnsi="宋体" w:cs="宋体"/>
          <w:b w:val="0"/>
          <w:bCs w:val="0"/>
          <w:snapToGrid w:val="0"/>
          <w:color w:val="auto"/>
          <w:kern w:val="0"/>
          <w:sz w:val="24"/>
          <w:szCs w:val="24"/>
          <w:highlight w:val="none"/>
          <w:lang w:val="en-US" w:eastAsia="zh-CN"/>
        </w:rPr>
        <w:t>7</w:t>
      </w:r>
      <w:r>
        <w:rPr>
          <w:rFonts w:hint="eastAsia" w:ascii="宋体" w:hAnsi="宋体" w:eastAsia="宋体" w:cs="宋体"/>
          <w:b w:val="0"/>
          <w:bCs w:val="0"/>
          <w:snapToGrid w:val="0"/>
          <w:color w:val="auto"/>
          <w:kern w:val="0"/>
          <w:sz w:val="24"/>
          <w:szCs w:val="24"/>
          <w:highlight w:val="none"/>
        </w:rPr>
        <w:t>设计时需要考虑与周边地块的开发相结合。</w:t>
      </w:r>
    </w:p>
    <w:p w14:paraId="04332047">
      <w:pPr>
        <w:pStyle w:val="47"/>
        <w:numPr>
          <w:ilvl w:val="0"/>
          <w:numId w:val="0"/>
        </w:numPr>
        <w:spacing w:line="360" w:lineRule="auto"/>
        <w:ind w:firstLine="480" w:firstLineChars="200"/>
        <w:rPr>
          <w:rFonts w:hint="eastAsia" w:hAnsi="宋体" w:cs="Calibri"/>
          <w:bCs/>
          <w:color w:val="auto"/>
          <w:sz w:val="24"/>
          <w:szCs w:val="24"/>
          <w:highlight w:val="none"/>
          <w:lang w:val="en-US" w:eastAsia="zh-CN"/>
        </w:rPr>
      </w:pPr>
      <w:r>
        <w:rPr>
          <w:rFonts w:hint="eastAsia" w:hAnsi="宋体" w:cs="Calibri"/>
          <w:bCs/>
          <w:color w:val="auto"/>
          <w:sz w:val="24"/>
          <w:szCs w:val="24"/>
          <w:highlight w:val="none"/>
          <w:lang w:val="en-US" w:eastAsia="zh-CN"/>
        </w:rPr>
        <w:t>5.2.8设计成果文件要求：</w:t>
      </w:r>
    </w:p>
    <w:p w14:paraId="5E569659">
      <w:pPr>
        <w:pStyle w:val="47"/>
        <w:numPr>
          <w:ilvl w:val="0"/>
          <w:numId w:val="0"/>
        </w:num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color w:val="auto"/>
          <w:sz w:val="24"/>
          <w:szCs w:val="24"/>
          <w:highlight w:val="none"/>
        </w:rPr>
        <w:t>按合同约定、招标文件内容要求、法律法规及国家强制性标准要求提供完整的设计文件</w:t>
      </w:r>
      <w:r>
        <w:rPr>
          <w:rFonts w:hint="eastAsia" w:ascii="宋体" w:hAnsi="宋体" w:eastAsia="宋体" w:cs="宋体"/>
          <w:color w:val="auto"/>
          <w:sz w:val="24"/>
          <w:szCs w:val="24"/>
          <w:highlight w:val="none"/>
          <w:lang w:eastAsia="zh-CN"/>
        </w:rPr>
        <w:t>。</w:t>
      </w:r>
    </w:p>
    <w:p w14:paraId="560882FC">
      <w:pPr>
        <w:pStyle w:val="47"/>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bCs/>
          <w:color w:val="auto"/>
          <w:sz w:val="24"/>
          <w:szCs w:val="24"/>
          <w:highlight w:val="none"/>
          <w:lang w:val="en-US" w:eastAsia="zh-CN"/>
        </w:rPr>
        <w:t>要求提供施工图设计文件12套。提供的所有资料均含电子版（含CAD及PDF文件格式）。</w:t>
      </w:r>
    </w:p>
    <w:p w14:paraId="67A28990">
      <w:pPr>
        <w:pStyle w:val="47"/>
        <w:numPr>
          <w:ilvl w:val="0"/>
          <w:numId w:val="0"/>
        </w:numPr>
        <w:spacing w:line="360" w:lineRule="auto"/>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5.</w:t>
      </w:r>
      <w:r>
        <w:rPr>
          <w:rFonts w:hint="eastAsia" w:hAnsi="宋体" w:cs="宋体"/>
          <w:bCs/>
          <w:color w:val="auto"/>
          <w:sz w:val="24"/>
          <w:szCs w:val="24"/>
          <w:highlight w:val="none"/>
          <w:lang w:val="en-US" w:eastAsia="zh-CN"/>
        </w:rPr>
        <w:t>2</w:t>
      </w:r>
      <w:r>
        <w:rPr>
          <w:rFonts w:hint="eastAsia" w:ascii="宋体" w:hAnsi="宋体" w:eastAsia="宋体" w:cs="宋体"/>
          <w:bCs/>
          <w:color w:val="auto"/>
          <w:sz w:val="24"/>
          <w:szCs w:val="24"/>
          <w:highlight w:val="none"/>
          <w:lang w:val="en-US" w:eastAsia="zh-CN"/>
        </w:rPr>
        <w:t>.</w:t>
      </w:r>
      <w:r>
        <w:rPr>
          <w:rFonts w:hint="eastAsia" w:hAnsi="宋体" w:cs="宋体"/>
          <w:bCs/>
          <w:color w:val="auto"/>
          <w:sz w:val="24"/>
          <w:szCs w:val="24"/>
          <w:highlight w:val="none"/>
          <w:lang w:val="en-US" w:eastAsia="zh-CN"/>
        </w:rPr>
        <w:t>9</w:t>
      </w:r>
      <w:r>
        <w:rPr>
          <w:rFonts w:hint="eastAsia" w:ascii="宋体" w:hAnsi="宋体" w:eastAsia="宋体" w:cs="宋体"/>
          <w:bCs/>
          <w:color w:val="auto"/>
          <w:sz w:val="24"/>
          <w:szCs w:val="24"/>
          <w:highlight w:val="none"/>
          <w:lang w:val="en-US" w:eastAsia="zh-CN"/>
        </w:rPr>
        <w:t>本工程各个阶段的设计成果必须经</w:t>
      </w:r>
      <w:r>
        <w:rPr>
          <w:rFonts w:hint="eastAsia" w:hAnsi="宋体" w:cs="Calibri"/>
          <w:bCs/>
          <w:color w:val="auto"/>
          <w:sz w:val="24"/>
          <w:szCs w:val="24"/>
          <w:highlight w:val="none"/>
          <w:u w:val="none"/>
          <w:lang w:val="zh-CN"/>
        </w:rPr>
        <w:t>发包人</w:t>
      </w:r>
      <w:r>
        <w:rPr>
          <w:rFonts w:hint="eastAsia" w:ascii="宋体" w:hAnsi="宋体" w:eastAsia="宋体" w:cs="宋体"/>
          <w:bCs/>
          <w:color w:val="auto"/>
          <w:sz w:val="24"/>
          <w:szCs w:val="24"/>
          <w:highlight w:val="none"/>
          <w:lang w:val="en-US" w:eastAsia="zh-CN"/>
        </w:rPr>
        <w:t>及有关审批部门同意后方可进行下一工序的设计工作，若</w:t>
      </w:r>
      <w:r>
        <w:rPr>
          <w:rFonts w:hint="eastAsia" w:hAnsi="宋体" w:cs="Calibri"/>
          <w:bCs/>
          <w:color w:val="auto"/>
          <w:sz w:val="24"/>
          <w:szCs w:val="24"/>
          <w:highlight w:val="none"/>
          <w:u w:val="none"/>
          <w:lang w:val="zh-CN"/>
        </w:rPr>
        <w:t>发包人</w:t>
      </w:r>
      <w:r>
        <w:rPr>
          <w:rFonts w:hint="eastAsia" w:ascii="宋体" w:hAnsi="宋体" w:eastAsia="宋体" w:cs="宋体"/>
          <w:bCs/>
          <w:color w:val="auto"/>
          <w:sz w:val="24"/>
          <w:szCs w:val="24"/>
          <w:highlight w:val="none"/>
          <w:lang w:val="en-US" w:eastAsia="zh-CN"/>
        </w:rPr>
        <w:t>或有关审批部门在审批过程中提出的设计修改或变更，</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bCs/>
          <w:color w:val="auto"/>
          <w:sz w:val="24"/>
          <w:szCs w:val="24"/>
          <w:highlight w:val="none"/>
          <w:lang w:val="en-US" w:eastAsia="zh-CN"/>
        </w:rPr>
        <w:t>必须无条件进行修改或变更，</w:t>
      </w:r>
      <w:r>
        <w:rPr>
          <w:rFonts w:hint="eastAsia" w:hAnsi="宋体" w:cs="Calibri"/>
          <w:bCs/>
          <w:color w:val="auto"/>
          <w:sz w:val="24"/>
          <w:szCs w:val="24"/>
          <w:highlight w:val="none"/>
          <w:u w:val="none"/>
          <w:lang w:val="zh-CN"/>
        </w:rPr>
        <w:t>发包人</w:t>
      </w:r>
      <w:r>
        <w:rPr>
          <w:rFonts w:hint="eastAsia" w:ascii="宋体" w:hAnsi="宋体" w:eastAsia="宋体" w:cs="宋体"/>
          <w:bCs/>
          <w:color w:val="auto"/>
          <w:sz w:val="24"/>
          <w:szCs w:val="24"/>
          <w:highlight w:val="none"/>
          <w:lang w:val="en-US" w:eastAsia="zh-CN"/>
        </w:rPr>
        <w:t>不再支付由此而增加的设计费用。本工程施工图设计必须先经</w:t>
      </w:r>
      <w:r>
        <w:rPr>
          <w:rFonts w:hint="eastAsia" w:hAnsi="宋体" w:cs="Calibri"/>
          <w:bCs/>
          <w:color w:val="auto"/>
          <w:sz w:val="24"/>
          <w:szCs w:val="24"/>
          <w:highlight w:val="none"/>
          <w:u w:val="none"/>
          <w:lang w:val="zh-CN"/>
        </w:rPr>
        <w:t>发包人</w:t>
      </w:r>
      <w:r>
        <w:rPr>
          <w:rFonts w:hint="eastAsia" w:ascii="宋体" w:hAnsi="宋体" w:eastAsia="宋体" w:cs="宋体"/>
          <w:bCs/>
          <w:color w:val="auto"/>
          <w:sz w:val="24"/>
          <w:szCs w:val="24"/>
          <w:highlight w:val="none"/>
          <w:lang w:val="en-US" w:eastAsia="zh-CN"/>
        </w:rPr>
        <w:t>确认才能送审，并经</w:t>
      </w:r>
      <w:r>
        <w:rPr>
          <w:rFonts w:hint="eastAsia" w:hAnsi="宋体" w:cs="Calibri"/>
          <w:bCs/>
          <w:color w:val="auto"/>
          <w:sz w:val="24"/>
          <w:szCs w:val="24"/>
          <w:highlight w:val="none"/>
          <w:u w:val="none"/>
          <w:lang w:val="zh-CN"/>
        </w:rPr>
        <w:t>发包人</w:t>
      </w:r>
      <w:r>
        <w:rPr>
          <w:rFonts w:hint="eastAsia" w:ascii="宋体" w:hAnsi="宋体" w:eastAsia="宋体" w:cs="宋体"/>
          <w:bCs/>
          <w:color w:val="auto"/>
          <w:sz w:val="24"/>
          <w:szCs w:val="24"/>
          <w:highlight w:val="none"/>
          <w:lang w:val="en-US" w:eastAsia="zh-CN"/>
        </w:rPr>
        <w:t>委托的有资质的审图机构审查合格。若</w:t>
      </w:r>
      <w:r>
        <w:rPr>
          <w:rFonts w:hint="eastAsia" w:hAnsi="宋体" w:cs="Calibri"/>
          <w:bCs/>
          <w:color w:val="auto"/>
          <w:sz w:val="24"/>
          <w:szCs w:val="24"/>
          <w:highlight w:val="none"/>
          <w:u w:val="none"/>
          <w:lang w:val="zh-CN"/>
        </w:rPr>
        <w:t>发包人</w:t>
      </w:r>
      <w:r>
        <w:rPr>
          <w:rFonts w:hint="eastAsia" w:ascii="宋体" w:hAnsi="宋体" w:eastAsia="宋体" w:cs="宋体"/>
          <w:bCs/>
          <w:color w:val="auto"/>
          <w:sz w:val="24"/>
          <w:szCs w:val="24"/>
          <w:highlight w:val="none"/>
          <w:lang w:val="en-US" w:eastAsia="zh-CN"/>
        </w:rPr>
        <w:t>或审图机构在审查过程中提出的设计修改或变更，</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bCs/>
          <w:color w:val="auto"/>
          <w:sz w:val="24"/>
          <w:szCs w:val="24"/>
          <w:highlight w:val="none"/>
          <w:lang w:val="en-US" w:eastAsia="zh-CN"/>
        </w:rPr>
        <w:t>必须无条件进行修改或优化设计，</w:t>
      </w:r>
      <w:r>
        <w:rPr>
          <w:rFonts w:hint="eastAsia" w:hAnsi="宋体" w:cs="Calibri"/>
          <w:bCs/>
          <w:color w:val="auto"/>
          <w:sz w:val="24"/>
          <w:szCs w:val="24"/>
          <w:highlight w:val="none"/>
          <w:u w:val="none"/>
          <w:lang w:val="zh-CN"/>
        </w:rPr>
        <w:t>发包人</w:t>
      </w:r>
      <w:r>
        <w:rPr>
          <w:rFonts w:hint="eastAsia" w:ascii="宋体" w:hAnsi="宋体" w:eastAsia="宋体" w:cs="宋体"/>
          <w:bCs/>
          <w:color w:val="auto"/>
          <w:sz w:val="24"/>
          <w:szCs w:val="24"/>
          <w:highlight w:val="none"/>
          <w:lang w:val="en-US" w:eastAsia="zh-CN"/>
        </w:rPr>
        <w:t>不再支付由此而增加的设计费用。</w:t>
      </w:r>
    </w:p>
    <w:p w14:paraId="697466A0">
      <w:pPr>
        <w:pStyle w:val="47"/>
        <w:numPr>
          <w:ilvl w:val="0"/>
          <w:numId w:val="0"/>
        </w:numPr>
        <w:spacing w:line="360" w:lineRule="auto"/>
        <w:ind w:firstLine="480" w:firstLineChars="200"/>
        <w:rPr>
          <w:rFonts w:hint="eastAsia" w:hAnsi="宋体" w:cs="Calibri"/>
          <w:bCs/>
          <w:color w:val="auto"/>
          <w:sz w:val="24"/>
          <w:szCs w:val="24"/>
          <w:highlight w:val="none"/>
          <w:lang w:val="zh-CN"/>
        </w:rPr>
      </w:pPr>
      <w:r>
        <w:rPr>
          <w:rFonts w:hint="eastAsia" w:hAnsi="宋体" w:cs="Calibri"/>
          <w:bCs/>
          <w:color w:val="auto"/>
          <w:sz w:val="24"/>
          <w:szCs w:val="24"/>
          <w:highlight w:val="none"/>
          <w:lang w:val="en-US" w:eastAsia="zh-CN"/>
        </w:rPr>
        <w:t>5.3</w:t>
      </w:r>
      <w:r>
        <w:rPr>
          <w:rFonts w:hint="eastAsia" w:hAnsi="宋体" w:cs="Calibri"/>
          <w:bCs/>
          <w:color w:val="auto"/>
          <w:sz w:val="24"/>
          <w:szCs w:val="24"/>
          <w:highlight w:val="none"/>
          <w:lang w:val="zh-CN"/>
        </w:rPr>
        <w:t>施工要求：</w:t>
      </w:r>
    </w:p>
    <w:p w14:paraId="33FDD9E0">
      <w:pPr>
        <w:pStyle w:val="47"/>
        <w:numPr>
          <w:ilvl w:val="0"/>
          <w:numId w:val="0"/>
        </w:numPr>
        <w:spacing w:line="360" w:lineRule="auto"/>
        <w:ind w:firstLine="480" w:firstLineChars="200"/>
        <w:rPr>
          <w:rFonts w:hint="eastAsia" w:hAnsi="宋体" w:cs="Calibri"/>
          <w:bCs/>
          <w:color w:val="auto"/>
          <w:sz w:val="24"/>
          <w:szCs w:val="24"/>
          <w:highlight w:val="none"/>
          <w:lang w:val="zh-CN"/>
        </w:rPr>
      </w:pPr>
      <w:r>
        <w:rPr>
          <w:rFonts w:hint="eastAsia" w:hAnsi="宋体" w:cs="Calibri"/>
          <w:bCs/>
          <w:color w:val="auto"/>
          <w:sz w:val="24"/>
          <w:szCs w:val="24"/>
          <w:highlight w:val="none"/>
          <w:lang w:val="en-US" w:eastAsia="zh-CN"/>
        </w:rPr>
        <w:t>5.3.1施工质量要求：</w:t>
      </w:r>
      <w:r>
        <w:rPr>
          <w:rFonts w:hint="eastAsia" w:hAnsi="宋体" w:cs="Calibri"/>
          <w:bCs/>
          <w:color w:val="auto"/>
          <w:sz w:val="24"/>
          <w:szCs w:val="24"/>
          <w:highlight w:val="none"/>
          <w:lang w:val="zh-CN"/>
        </w:rPr>
        <w:t>施工质量必须达到国家验收合格标准。</w:t>
      </w:r>
    </w:p>
    <w:p w14:paraId="482507B4">
      <w:pPr>
        <w:pStyle w:val="47"/>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若因</w:t>
      </w:r>
      <w:r>
        <w:rPr>
          <w:rFonts w:hint="eastAsia" w:hAnsi="宋体" w:cs="Calibri"/>
          <w:bCs/>
          <w:color w:val="auto"/>
          <w:sz w:val="24"/>
          <w:szCs w:val="24"/>
          <w:highlight w:val="none"/>
          <w:lang w:val="en-US" w:eastAsia="zh-CN"/>
        </w:rPr>
        <w:t>施工单位</w:t>
      </w:r>
      <w:r>
        <w:rPr>
          <w:rFonts w:hint="eastAsia" w:ascii="宋体" w:hAnsi="宋体" w:eastAsia="宋体" w:cs="宋体"/>
          <w:color w:val="auto"/>
          <w:sz w:val="24"/>
          <w:szCs w:val="24"/>
          <w:highlight w:val="none"/>
        </w:rPr>
        <w:t>原因，</w:t>
      </w:r>
      <w:r>
        <w:rPr>
          <w:rFonts w:hint="eastAsia" w:ascii="宋体" w:hAnsi="宋体" w:eastAsia="宋体" w:cs="宋体"/>
          <w:color w:val="auto"/>
          <w:sz w:val="24"/>
          <w:szCs w:val="24"/>
          <w:highlight w:val="none"/>
          <w:lang w:val="en-US" w:eastAsia="zh-CN"/>
        </w:rPr>
        <w:t>工程在竣工</w:t>
      </w:r>
      <w:r>
        <w:rPr>
          <w:rFonts w:hint="eastAsia" w:ascii="宋体" w:hAnsi="宋体" w:eastAsia="宋体" w:cs="宋体"/>
          <w:color w:val="auto"/>
          <w:sz w:val="24"/>
          <w:szCs w:val="24"/>
          <w:highlight w:val="none"/>
        </w:rPr>
        <w:t>验收时没有达到</w:t>
      </w:r>
      <w:r>
        <w:rPr>
          <w:rFonts w:hint="eastAsia" w:ascii="宋体" w:hAnsi="宋体" w:eastAsia="宋体" w:cs="宋体"/>
          <w:color w:val="auto"/>
          <w:sz w:val="24"/>
          <w:szCs w:val="24"/>
          <w:highlight w:val="none"/>
          <w:lang w:val="zh-CN"/>
        </w:rPr>
        <w:t>国家验收合格标准</w:t>
      </w:r>
      <w:r>
        <w:rPr>
          <w:rFonts w:hint="eastAsia" w:ascii="宋体" w:hAnsi="宋体" w:eastAsia="宋体" w:cs="宋体"/>
          <w:color w:val="auto"/>
          <w:sz w:val="24"/>
          <w:szCs w:val="24"/>
          <w:highlight w:val="none"/>
        </w:rPr>
        <w:t>，</w:t>
      </w:r>
      <w:r>
        <w:rPr>
          <w:rFonts w:hint="eastAsia" w:hAnsi="宋体" w:cs="Calibri"/>
          <w:bCs/>
          <w:color w:val="auto"/>
          <w:sz w:val="24"/>
          <w:szCs w:val="24"/>
          <w:highlight w:val="none"/>
          <w:lang w:val="en-US" w:eastAsia="zh-CN"/>
        </w:rPr>
        <w:t>施工单位</w:t>
      </w:r>
      <w:r>
        <w:rPr>
          <w:rFonts w:hint="eastAsia" w:ascii="宋体" w:hAnsi="宋体" w:eastAsia="宋体" w:cs="宋体"/>
          <w:color w:val="auto"/>
          <w:sz w:val="24"/>
          <w:szCs w:val="24"/>
          <w:highlight w:val="none"/>
        </w:rPr>
        <w:t>按合同价款的1％向</w:t>
      </w:r>
      <w:r>
        <w:rPr>
          <w:rFonts w:hint="eastAsia" w:hAnsi="宋体" w:cs="Calibri"/>
          <w:bCs/>
          <w:color w:val="auto"/>
          <w:sz w:val="24"/>
          <w:szCs w:val="24"/>
          <w:highlight w:val="none"/>
          <w:u w:val="none"/>
          <w:lang w:val="zh-CN"/>
        </w:rPr>
        <w:t>发包人</w:t>
      </w:r>
      <w:r>
        <w:rPr>
          <w:rFonts w:hint="eastAsia" w:ascii="宋体" w:hAnsi="宋体" w:eastAsia="宋体" w:cs="宋体"/>
          <w:color w:val="auto"/>
          <w:sz w:val="24"/>
          <w:szCs w:val="24"/>
          <w:highlight w:val="none"/>
        </w:rPr>
        <w:t>返纳质量违约金。</w:t>
      </w:r>
    </w:p>
    <w:p w14:paraId="3F059BF9">
      <w:pPr>
        <w:pStyle w:val="47"/>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.3</w:t>
      </w:r>
      <w:r>
        <w:rPr>
          <w:rFonts w:hint="eastAsia" w:hAnsi="宋体" w:cs="Calibri"/>
          <w:bCs/>
          <w:color w:val="auto"/>
          <w:sz w:val="24"/>
          <w:szCs w:val="24"/>
          <w:highlight w:val="none"/>
          <w:lang w:val="en-US" w:eastAsia="zh-CN"/>
        </w:rPr>
        <w:t>施工单位</w:t>
      </w:r>
      <w:r>
        <w:rPr>
          <w:rFonts w:hint="eastAsia" w:ascii="宋体" w:hAnsi="宋体" w:eastAsia="宋体" w:cs="宋体"/>
          <w:color w:val="auto"/>
          <w:sz w:val="24"/>
          <w:szCs w:val="24"/>
          <w:highlight w:val="none"/>
        </w:rPr>
        <w:t>在施工中如果工程质量不符合设计要求或有关规定，</w:t>
      </w:r>
      <w:r>
        <w:rPr>
          <w:rFonts w:hint="eastAsia" w:hAnsi="宋体" w:cs="Calibri"/>
          <w:bCs/>
          <w:color w:val="auto"/>
          <w:sz w:val="24"/>
          <w:szCs w:val="24"/>
          <w:highlight w:val="none"/>
          <w:u w:val="none"/>
          <w:lang w:val="zh-CN"/>
        </w:rPr>
        <w:t>发包人</w:t>
      </w:r>
      <w:r>
        <w:rPr>
          <w:rFonts w:hint="eastAsia" w:ascii="宋体" w:hAnsi="宋体" w:eastAsia="宋体" w:cs="宋体"/>
          <w:color w:val="auto"/>
          <w:sz w:val="24"/>
          <w:szCs w:val="24"/>
          <w:highlight w:val="none"/>
        </w:rPr>
        <w:t>或监理单位要求停工和返工的必须立即执行，并承担由此产生的各种费用，工期不予顺延。</w:t>
      </w:r>
    </w:p>
    <w:p w14:paraId="08B9090B">
      <w:pPr>
        <w:pStyle w:val="47"/>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保修期限按中华人民共和国国务院令第279号文《建设工程质量管理条例》规定执行，在保修期内因施工质量问题而造成返修，一切费用由</w:t>
      </w:r>
      <w:r>
        <w:rPr>
          <w:rFonts w:hint="eastAsia" w:hAnsi="宋体" w:cs="Calibri"/>
          <w:bCs/>
          <w:color w:val="auto"/>
          <w:sz w:val="24"/>
          <w:szCs w:val="24"/>
          <w:highlight w:val="none"/>
          <w:lang w:val="en-US" w:eastAsia="zh-CN"/>
        </w:rPr>
        <w:t>施工单位</w:t>
      </w:r>
      <w:r>
        <w:rPr>
          <w:rFonts w:hint="eastAsia" w:ascii="宋体" w:hAnsi="宋体" w:eastAsia="宋体" w:cs="宋体"/>
          <w:color w:val="auto"/>
          <w:sz w:val="24"/>
          <w:szCs w:val="24"/>
          <w:highlight w:val="none"/>
        </w:rPr>
        <w:t>负责。</w:t>
      </w:r>
      <w:r>
        <w:rPr>
          <w:rFonts w:hint="eastAsia" w:hAnsi="宋体" w:cs="Calibri"/>
          <w:bCs/>
          <w:color w:val="auto"/>
          <w:sz w:val="24"/>
          <w:szCs w:val="24"/>
          <w:highlight w:val="none"/>
          <w:lang w:val="en-US" w:eastAsia="zh-CN"/>
        </w:rPr>
        <w:t>施工单位</w:t>
      </w:r>
      <w:r>
        <w:rPr>
          <w:rFonts w:hint="eastAsia" w:ascii="宋体" w:hAnsi="宋体" w:eastAsia="宋体" w:cs="宋体"/>
          <w:color w:val="auto"/>
          <w:sz w:val="24"/>
          <w:szCs w:val="24"/>
          <w:highlight w:val="none"/>
        </w:rPr>
        <w:t>在向</w:t>
      </w:r>
      <w:r>
        <w:rPr>
          <w:rFonts w:hint="eastAsia" w:hAnsi="宋体" w:cs="Calibri"/>
          <w:bCs/>
          <w:color w:val="auto"/>
          <w:sz w:val="24"/>
          <w:szCs w:val="24"/>
          <w:highlight w:val="none"/>
          <w:u w:val="none"/>
          <w:lang w:val="zh-CN"/>
        </w:rPr>
        <w:t>发包人</w:t>
      </w:r>
      <w:r>
        <w:rPr>
          <w:rFonts w:hint="eastAsia" w:ascii="宋体" w:hAnsi="宋体" w:eastAsia="宋体" w:cs="宋体"/>
          <w:color w:val="auto"/>
          <w:sz w:val="24"/>
          <w:szCs w:val="24"/>
          <w:highlight w:val="none"/>
        </w:rPr>
        <w:t>提交竣工验收报告时，应当向</w:t>
      </w:r>
      <w:r>
        <w:rPr>
          <w:rFonts w:hint="eastAsia" w:hAnsi="宋体" w:cs="Calibri"/>
          <w:bCs/>
          <w:color w:val="auto"/>
          <w:sz w:val="24"/>
          <w:szCs w:val="24"/>
          <w:highlight w:val="none"/>
          <w:u w:val="none"/>
          <w:lang w:val="zh-CN"/>
        </w:rPr>
        <w:t>发包人</w:t>
      </w:r>
      <w:r>
        <w:rPr>
          <w:rFonts w:hint="eastAsia" w:ascii="宋体" w:hAnsi="宋体" w:eastAsia="宋体" w:cs="宋体"/>
          <w:color w:val="auto"/>
          <w:sz w:val="24"/>
          <w:szCs w:val="24"/>
          <w:highlight w:val="none"/>
        </w:rPr>
        <w:t>出具质量保修书。质量保修书中应当明确建设工程的保修范围、保修期限和保修责任等。</w:t>
      </w:r>
    </w:p>
    <w:p w14:paraId="51DF5496">
      <w:pPr>
        <w:pStyle w:val="47"/>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项目使用的主要材料质量要求必须符合本项目达到验收合格标准的要求。主要材料必须先提供样板给</w:t>
      </w:r>
      <w:r>
        <w:rPr>
          <w:rFonts w:hint="eastAsia" w:hAnsi="宋体" w:cs="Calibri"/>
          <w:bCs/>
          <w:color w:val="auto"/>
          <w:sz w:val="24"/>
          <w:szCs w:val="24"/>
          <w:highlight w:val="none"/>
          <w:u w:val="none"/>
          <w:lang w:val="zh-CN"/>
        </w:rPr>
        <w:t>发包人</w:t>
      </w:r>
      <w:r>
        <w:rPr>
          <w:rFonts w:hint="eastAsia" w:ascii="宋体" w:hAnsi="宋体" w:eastAsia="宋体" w:cs="宋体"/>
          <w:color w:val="auto"/>
          <w:sz w:val="24"/>
          <w:szCs w:val="24"/>
          <w:highlight w:val="none"/>
        </w:rPr>
        <w:t>确定其颜色、等级等，并经发包人委托的检测机构检测合格方可使用。</w:t>
      </w:r>
      <w:bookmarkStart w:id="71" w:name="OLE_LINK2"/>
      <w:bookmarkStart w:id="72" w:name="OLE_LINK1"/>
    </w:p>
    <w:p w14:paraId="4EB7646E">
      <w:pPr>
        <w:pStyle w:val="47"/>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为保证施工现场的环境卫生，</w:t>
      </w:r>
      <w:r>
        <w:rPr>
          <w:rFonts w:hint="eastAsia" w:hAnsi="宋体" w:cs="Calibri"/>
          <w:bCs/>
          <w:color w:val="auto"/>
          <w:sz w:val="24"/>
          <w:szCs w:val="24"/>
          <w:highlight w:val="none"/>
          <w:lang w:val="en-US" w:eastAsia="zh-CN"/>
        </w:rPr>
        <w:t>施工单位</w:t>
      </w:r>
      <w:r>
        <w:rPr>
          <w:rFonts w:hint="eastAsia" w:ascii="宋体" w:hAnsi="宋体" w:eastAsia="宋体" w:cs="宋体"/>
          <w:color w:val="auto"/>
          <w:sz w:val="24"/>
          <w:szCs w:val="24"/>
          <w:highlight w:val="none"/>
        </w:rPr>
        <w:t>在本工程施工过程中，所有的车辆必须按</w:t>
      </w:r>
      <w:r>
        <w:rPr>
          <w:rFonts w:hint="eastAsia" w:hAnsi="宋体" w:cs="Calibri"/>
          <w:bCs/>
          <w:color w:val="auto"/>
          <w:sz w:val="24"/>
          <w:szCs w:val="24"/>
          <w:highlight w:val="none"/>
          <w:u w:val="none"/>
          <w:lang w:val="zh-CN"/>
        </w:rPr>
        <w:t>发包人</w:t>
      </w:r>
      <w:r>
        <w:rPr>
          <w:rFonts w:hint="eastAsia" w:ascii="宋体" w:hAnsi="宋体" w:eastAsia="宋体" w:cs="宋体"/>
          <w:color w:val="auto"/>
          <w:sz w:val="24"/>
          <w:szCs w:val="24"/>
          <w:highlight w:val="none"/>
        </w:rPr>
        <w:t>规定的行车路线行驶。并负责施工现场及受施工影响周边道路的卫生。</w:t>
      </w:r>
    </w:p>
    <w:p w14:paraId="79E7A847">
      <w:pPr>
        <w:pStyle w:val="47"/>
        <w:numPr>
          <w:ilvl w:val="0"/>
          <w:numId w:val="0"/>
        </w:numPr>
        <w:spacing w:line="360" w:lineRule="auto"/>
        <w:ind w:firstLine="480"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lang w:val="en-US" w:eastAsia="zh-CN"/>
        </w:rPr>
        <w:t>5.</w:t>
      </w:r>
      <w:r>
        <w:rPr>
          <w:rFonts w:hint="eastAsia" w:hAnsi="宋体" w:cs="宋体"/>
          <w:b w:val="0"/>
          <w:bCs w:val="0"/>
          <w:snapToGrid w:val="0"/>
          <w:color w:val="auto"/>
          <w:kern w:val="0"/>
          <w:sz w:val="24"/>
          <w:szCs w:val="24"/>
          <w:highlight w:val="none"/>
          <w:lang w:val="en-US" w:eastAsia="zh-CN"/>
        </w:rPr>
        <w:t>3</w:t>
      </w:r>
      <w:r>
        <w:rPr>
          <w:rFonts w:hint="eastAsia" w:ascii="宋体" w:hAnsi="宋体" w:eastAsia="宋体" w:cs="宋体"/>
          <w:b w:val="0"/>
          <w:bCs w:val="0"/>
          <w:snapToGrid w:val="0"/>
          <w:color w:val="auto"/>
          <w:kern w:val="0"/>
          <w:sz w:val="24"/>
          <w:szCs w:val="24"/>
          <w:highlight w:val="none"/>
          <w:lang w:val="en-US" w:eastAsia="zh-CN"/>
        </w:rPr>
        <w:t>.7</w:t>
      </w:r>
      <w:r>
        <w:rPr>
          <w:rFonts w:hint="eastAsia" w:hAnsi="宋体" w:cs="Calibri"/>
          <w:bCs/>
          <w:color w:val="auto"/>
          <w:sz w:val="24"/>
          <w:szCs w:val="24"/>
          <w:highlight w:val="none"/>
          <w:lang w:val="en-US" w:eastAsia="zh-CN"/>
        </w:rPr>
        <w:t>施工单位</w:t>
      </w:r>
      <w:r>
        <w:rPr>
          <w:rFonts w:hint="eastAsia" w:ascii="宋体" w:hAnsi="宋体" w:eastAsia="宋体" w:cs="宋体"/>
          <w:b w:val="0"/>
          <w:bCs w:val="0"/>
          <w:snapToGrid w:val="0"/>
          <w:color w:val="auto"/>
          <w:kern w:val="0"/>
          <w:sz w:val="24"/>
          <w:szCs w:val="24"/>
          <w:highlight w:val="none"/>
        </w:rPr>
        <w:t>在施工期间应严格遵守国家、广东省、韶关市有关绿色施工、文明施工、噪音扬尘、消防爆破、环境卫生、渣土清运、治安保卫等方面的规定，并建立相应规章制度和保障措施。否则由此造成的经济损失和法律责任，均由</w:t>
      </w:r>
      <w:r>
        <w:rPr>
          <w:rFonts w:hint="eastAsia" w:hAnsi="宋体" w:cs="Calibri"/>
          <w:bCs/>
          <w:color w:val="auto"/>
          <w:sz w:val="24"/>
          <w:szCs w:val="24"/>
          <w:highlight w:val="none"/>
          <w:lang w:val="en-US" w:eastAsia="zh-CN"/>
        </w:rPr>
        <w:t>施工单位</w:t>
      </w:r>
      <w:r>
        <w:rPr>
          <w:rFonts w:hint="eastAsia" w:ascii="宋体" w:hAnsi="宋体" w:eastAsia="宋体" w:cs="宋体"/>
          <w:b w:val="0"/>
          <w:bCs w:val="0"/>
          <w:snapToGrid w:val="0"/>
          <w:color w:val="auto"/>
          <w:kern w:val="0"/>
          <w:sz w:val="24"/>
          <w:szCs w:val="24"/>
          <w:highlight w:val="none"/>
        </w:rPr>
        <w:t>承担。</w:t>
      </w:r>
    </w:p>
    <w:p w14:paraId="7B32C9A0">
      <w:pPr>
        <w:pStyle w:val="47"/>
        <w:numPr>
          <w:ilvl w:val="0"/>
          <w:numId w:val="0"/>
        </w:numPr>
        <w:spacing w:line="360" w:lineRule="auto"/>
        <w:ind w:firstLine="480"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lang w:val="en-US" w:eastAsia="zh-CN"/>
        </w:rPr>
        <w:t>5.</w:t>
      </w:r>
      <w:r>
        <w:rPr>
          <w:rFonts w:hint="eastAsia" w:hAnsi="宋体" w:cs="宋体"/>
          <w:b w:val="0"/>
          <w:bCs w:val="0"/>
          <w:snapToGrid w:val="0"/>
          <w:color w:val="auto"/>
          <w:kern w:val="0"/>
          <w:sz w:val="24"/>
          <w:szCs w:val="24"/>
          <w:highlight w:val="none"/>
          <w:lang w:val="en-US" w:eastAsia="zh-CN"/>
        </w:rPr>
        <w:t>3</w:t>
      </w:r>
      <w:r>
        <w:rPr>
          <w:rFonts w:hint="eastAsia" w:ascii="宋体" w:hAnsi="宋体" w:eastAsia="宋体" w:cs="宋体"/>
          <w:b w:val="0"/>
          <w:bCs w:val="0"/>
          <w:snapToGrid w:val="0"/>
          <w:color w:val="auto"/>
          <w:kern w:val="0"/>
          <w:sz w:val="24"/>
          <w:szCs w:val="24"/>
          <w:highlight w:val="none"/>
          <w:lang w:val="en-US" w:eastAsia="zh-CN"/>
        </w:rPr>
        <w:t>.8</w:t>
      </w:r>
      <w:r>
        <w:rPr>
          <w:rFonts w:hint="eastAsia" w:hAnsi="宋体" w:cs="Calibri"/>
          <w:bCs/>
          <w:color w:val="auto"/>
          <w:sz w:val="24"/>
          <w:szCs w:val="24"/>
          <w:highlight w:val="none"/>
          <w:lang w:val="en-US" w:eastAsia="zh-CN"/>
        </w:rPr>
        <w:t>施工单位</w:t>
      </w:r>
      <w:r>
        <w:rPr>
          <w:rFonts w:hint="eastAsia" w:ascii="宋体" w:hAnsi="宋体" w:eastAsia="宋体" w:cs="宋体"/>
          <w:b w:val="0"/>
          <w:bCs w:val="0"/>
          <w:snapToGrid w:val="0"/>
          <w:color w:val="auto"/>
          <w:kern w:val="0"/>
          <w:sz w:val="24"/>
          <w:szCs w:val="24"/>
          <w:highlight w:val="none"/>
        </w:rPr>
        <w:t>应按安全施工有关规定，采取严格、科学的安全防护措施，确保施工和人员（包括第三者）的安全，承担由于自身安全防护措施不力所造成的安全事故责任和发生的费用。</w:t>
      </w:r>
    </w:p>
    <w:p w14:paraId="4D02345E">
      <w:pPr>
        <w:pStyle w:val="54"/>
        <w:widowControl/>
        <w:spacing w:line="360" w:lineRule="auto"/>
        <w:ind w:firstLine="48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lang w:val="en-US" w:eastAsia="zh-CN"/>
        </w:rPr>
        <w:t>5.</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w:t>
      </w:r>
      <w:bookmarkEnd w:id="71"/>
      <w:bookmarkEnd w:id="72"/>
    </w:p>
    <w:p w14:paraId="167ACD15">
      <w:pPr>
        <w:adjustRightInd w:val="0"/>
        <w:snapToGrid w:val="0"/>
        <w:spacing w:line="360" w:lineRule="auto"/>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5.</w:t>
      </w:r>
      <w:r>
        <w:rPr>
          <w:rFonts w:hint="eastAsia" w:asciiTheme="minorEastAsia" w:hAnsiTheme="minorEastAsia" w:eastAsiaTheme="minorEastAsia" w:cstheme="minorEastAsia"/>
          <w:b/>
          <w:bCs/>
          <w:snapToGrid w:val="0"/>
          <w:color w:val="auto"/>
          <w:kern w:val="0"/>
          <w:szCs w:val="24"/>
          <w:highlight w:val="none"/>
          <w:lang w:val="en-US" w:eastAsia="zh-CN"/>
        </w:rPr>
        <w:t>5</w:t>
      </w:r>
      <w:r>
        <w:rPr>
          <w:rFonts w:hint="eastAsia" w:asciiTheme="minorEastAsia" w:hAnsiTheme="minorEastAsia" w:eastAsiaTheme="minorEastAsia" w:cstheme="minorEastAsia"/>
          <w:snapToGrid w:val="0"/>
          <w:color w:val="auto"/>
          <w:kern w:val="0"/>
          <w:szCs w:val="24"/>
          <w:highlight w:val="none"/>
        </w:rPr>
        <w:t>凡参加本次招标的投标人被视为已充分认识和理解了任何与本工程有关的影响事项和困难等情况。</w:t>
      </w:r>
    </w:p>
    <w:p w14:paraId="55107AC2">
      <w:pPr>
        <w:adjustRightInd w:val="0"/>
        <w:snapToGrid w:val="0"/>
        <w:spacing w:line="360" w:lineRule="auto"/>
        <w:ind w:firstLine="482" w:firstLineChars="200"/>
        <w:rPr>
          <w:rFonts w:hint="eastAsia" w:asciiTheme="minorEastAsia" w:hAnsiTheme="minorEastAsia" w:eastAsiaTheme="minorEastAsia" w:cstheme="minorEastAsia"/>
          <w:b/>
          <w:bCs/>
          <w:snapToGrid w:val="0"/>
          <w:color w:val="auto"/>
          <w:kern w:val="0"/>
          <w:szCs w:val="24"/>
          <w:highlight w:val="none"/>
          <w:u w:val="single"/>
        </w:rPr>
      </w:pPr>
      <w:r>
        <w:rPr>
          <w:rFonts w:hint="eastAsia" w:asciiTheme="minorEastAsia" w:hAnsiTheme="minorEastAsia" w:eastAsiaTheme="minorEastAsia" w:cstheme="minorEastAsia"/>
          <w:b/>
          <w:bCs/>
          <w:snapToGrid w:val="0"/>
          <w:color w:val="auto"/>
          <w:kern w:val="0"/>
          <w:szCs w:val="24"/>
          <w:highlight w:val="none"/>
          <w:u w:val="single"/>
        </w:rPr>
        <w:t>（注：上述招标内容具体参见</w:t>
      </w:r>
      <w:r>
        <w:rPr>
          <w:rFonts w:hint="eastAsia" w:asciiTheme="minorEastAsia" w:hAnsiTheme="minorEastAsia" w:eastAsiaTheme="minorEastAsia" w:cstheme="minorEastAsia"/>
          <w:b/>
          <w:bCs/>
          <w:snapToGrid w:val="0"/>
          <w:color w:val="auto"/>
          <w:kern w:val="0"/>
          <w:szCs w:val="24"/>
          <w:highlight w:val="none"/>
          <w:u w:val="single"/>
          <w:lang w:val="en-US" w:eastAsia="zh-CN"/>
        </w:rPr>
        <w:t>可行性研究报告</w:t>
      </w:r>
      <w:r>
        <w:rPr>
          <w:rFonts w:hint="eastAsia" w:asciiTheme="minorEastAsia" w:hAnsiTheme="minorEastAsia" w:eastAsiaTheme="minorEastAsia" w:cstheme="minorEastAsia"/>
          <w:b/>
          <w:bCs/>
          <w:snapToGrid w:val="0"/>
          <w:color w:val="auto"/>
          <w:kern w:val="0"/>
          <w:szCs w:val="24"/>
          <w:highlight w:val="none"/>
          <w:u w:val="single"/>
        </w:rPr>
        <w:t>，同时招标人在实施过程中可根据实际情况对工程规模、任务内容等进行合理、适当调整。）</w:t>
      </w:r>
    </w:p>
    <w:p w14:paraId="674C4623">
      <w:pPr>
        <w:adjustRightInd w:val="0"/>
        <w:snapToGrid w:val="0"/>
        <w:spacing w:line="360" w:lineRule="auto"/>
        <w:ind w:firstLine="480" w:firstLineChars="200"/>
        <w:rPr>
          <w:rFonts w:hint="eastAsia" w:asciiTheme="minorEastAsia" w:hAnsiTheme="minorEastAsia" w:eastAsiaTheme="minorEastAsia" w:cstheme="minorEastAsia"/>
          <w:color w:val="auto"/>
          <w:highlight w:val="none"/>
        </w:rPr>
      </w:pPr>
      <w:bookmarkStart w:id="73" w:name="_Hlt74496537"/>
      <w:bookmarkEnd w:id="73"/>
      <w:bookmarkStart w:id="74" w:name="_Hlt120502666"/>
      <w:bookmarkEnd w:id="74"/>
      <w:bookmarkStart w:id="75" w:name="_Hlt88974078"/>
      <w:bookmarkEnd w:id="75"/>
      <w:bookmarkStart w:id="76" w:name="_Hlt121563076"/>
      <w:bookmarkEnd w:id="76"/>
      <w:bookmarkStart w:id="77" w:name="_Hlt74493474"/>
      <w:bookmarkEnd w:id="77"/>
      <w:bookmarkStart w:id="78" w:name="_Hlt69356505"/>
      <w:bookmarkEnd w:id="78"/>
      <w:bookmarkStart w:id="79" w:name="_Hlt111690342"/>
      <w:bookmarkEnd w:id="79"/>
      <w:bookmarkStart w:id="80" w:name="_Hlt69699204"/>
      <w:bookmarkEnd w:id="80"/>
    </w:p>
    <w:p w14:paraId="57DC44F7">
      <w:pPr>
        <w:pStyle w:val="49"/>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81" w:name="_Toc8809"/>
      <w:bookmarkStart w:id="82" w:name="_Toc16432"/>
      <w:bookmarkStart w:id="83" w:name="_Toc24793"/>
      <w:bookmarkStart w:id="84" w:name="_Toc17958"/>
      <w:bookmarkStart w:id="85" w:name="_Toc10812"/>
      <w:bookmarkStart w:id="86" w:name="_Toc20827"/>
      <w:bookmarkStart w:id="87" w:name="_Toc3193"/>
      <w:bookmarkStart w:id="88" w:name="_Toc12891"/>
      <w:bookmarkStart w:id="89" w:name="_Toc19911"/>
      <w:r>
        <w:rPr>
          <w:rFonts w:hint="eastAsia" w:asciiTheme="minorEastAsia" w:hAnsiTheme="minorEastAsia" w:eastAsiaTheme="minorEastAsia" w:cstheme="minorEastAsia"/>
          <w:b/>
          <w:color w:val="auto"/>
          <w:kern w:val="2"/>
          <w:highlight w:val="none"/>
        </w:rPr>
        <w:t>6 、招标工程施工条件及现场踏勘</w:t>
      </w:r>
      <w:bookmarkEnd w:id="81"/>
      <w:bookmarkEnd w:id="82"/>
      <w:bookmarkEnd w:id="83"/>
      <w:bookmarkEnd w:id="84"/>
      <w:bookmarkEnd w:id="85"/>
      <w:bookmarkEnd w:id="86"/>
      <w:bookmarkEnd w:id="87"/>
      <w:bookmarkEnd w:id="88"/>
      <w:bookmarkEnd w:id="89"/>
    </w:p>
    <w:p w14:paraId="202351E2">
      <w:pPr>
        <w:pStyle w:val="55"/>
        <w:spacing w:line="360" w:lineRule="auto"/>
        <w:ind w:firstLine="48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6.1本工程招标人仅在征地红线范围内提供场地，其他一切场地费用由中标人自行负责（含临时道路）。</w:t>
      </w:r>
    </w:p>
    <w:p w14:paraId="18F9D350">
      <w:pPr>
        <w:wordWrap w:val="0"/>
        <w:adjustRightInd w:val="0"/>
        <w:snapToGrid w:val="0"/>
        <w:spacing w:line="360" w:lineRule="auto"/>
        <w:ind w:firstLine="360" w:firstLineChars="15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color w:val="auto"/>
          <w:highlight w:val="none"/>
        </w:rPr>
        <w:t xml:space="preserve"> 6.2 </w:t>
      </w:r>
      <w:r>
        <w:rPr>
          <w:rFonts w:hint="eastAsia" w:asciiTheme="minorEastAsia" w:hAnsiTheme="minorEastAsia" w:eastAsiaTheme="minorEastAsia" w:cstheme="minorEastAsia"/>
          <w:color w:val="auto"/>
          <w:szCs w:val="24"/>
          <w:highlight w:val="none"/>
        </w:rPr>
        <w:t>施工用水：</w:t>
      </w:r>
      <w:r>
        <w:rPr>
          <w:rFonts w:hint="eastAsia" w:asciiTheme="minorEastAsia" w:hAnsiTheme="minorEastAsia" w:eastAsiaTheme="minorEastAsia" w:cstheme="minorEastAsia"/>
          <w:color w:val="auto"/>
          <w:szCs w:val="24"/>
          <w:highlight w:val="none"/>
          <w:u w:val="single"/>
        </w:rPr>
        <w:t>招标人协调，</w:t>
      </w:r>
      <w:r>
        <w:rPr>
          <w:rFonts w:hint="eastAsia" w:asciiTheme="minorEastAsia" w:hAnsiTheme="minorEastAsia" w:eastAsiaTheme="minorEastAsia" w:cstheme="minorEastAsia"/>
          <w:snapToGrid w:val="0"/>
          <w:color w:val="auto"/>
          <w:kern w:val="0"/>
          <w:szCs w:val="24"/>
          <w:highlight w:val="none"/>
          <w:u w:val="single"/>
        </w:rPr>
        <w:t>施工用水及水源由中标人自行解决，费用含在投标报价中，不另计</w:t>
      </w:r>
      <w:r>
        <w:rPr>
          <w:rFonts w:hint="eastAsia" w:asciiTheme="minorEastAsia" w:hAnsiTheme="minorEastAsia" w:eastAsiaTheme="minorEastAsia" w:cstheme="minorEastAsia"/>
          <w:color w:val="auto"/>
          <w:kern w:val="0"/>
          <w:szCs w:val="24"/>
          <w:highlight w:val="none"/>
          <w:u w:val="single"/>
        </w:rPr>
        <w:t>。</w:t>
      </w:r>
    </w:p>
    <w:p w14:paraId="6CA5EC5F">
      <w:pPr>
        <w:wordWrap w:val="0"/>
        <w:adjustRightInd w:val="0"/>
        <w:snapToGrid w:val="0"/>
        <w:spacing w:line="360" w:lineRule="auto"/>
        <w:ind w:firstLine="480" w:firstLineChars="20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color w:val="auto"/>
          <w:highlight w:val="none"/>
        </w:rPr>
        <w:t xml:space="preserve">6.3 </w:t>
      </w:r>
      <w:r>
        <w:rPr>
          <w:rFonts w:hint="eastAsia" w:asciiTheme="minorEastAsia" w:hAnsiTheme="minorEastAsia" w:eastAsiaTheme="minorEastAsia" w:cstheme="minorEastAsia"/>
          <w:color w:val="auto"/>
          <w:szCs w:val="24"/>
          <w:highlight w:val="none"/>
        </w:rPr>
        <w:t>施工用电：</w:t>
      </w:r>
      <w:r>
        <w:rPr>
          <w:rFonts w:hint="eastAsia" w:asciiTheme="minorEastAsia" w:hAnsiTheme="minorEastAsia" w:eastAsiaTheme="minorEastAsia" w:cstheme="minorEastAsia"/>
          <w:color w:val="auto"/>
          <w:szCs w:val="24"/>
          <w:highlight w:val="none"/>
          <w:u w:val="single"/>
        </w:rPr>
        <w:t>招标人协调，</w:t>
      </w:r>
      <w:r>
        <w:rPr>
          <w:rFonts w:hint="eastAsia" w:asciiTheme="minorEastAsia" w:hAnsiTheme="minorEastAsia" w:eastAsiaTheme="minorEastAsia" w:cstheme="minorEastAsia"/>
          <w:snapToGrid w:val="0"/>
          <w:color w:val="auto"/>
          <w:kern w:val="0"/>
          <w:szCs w:val="24"/>
          <w:highlight w:val="none"/>
          <w:u w:val="single"/>
        </w:rPr>
        <w:t>施工用电及电源由中标人自行解决，费用含在投标报价中，不另计</w:t>
      </w:r>
      <w:r>
        <w:rPr>
          <w:rFonts w:hint="eastAsia" w:asciiTheme="minorEastAsia" w:hAnsiTheme="minorEastAsia" w:eastAsiaTheme="minorEastAsia" w:cstheme="minorEastAsia"/>
          <w:color w:val="auto"/>
          <w:kern w:val="0"/>
          <w:szCs w:val="24"/>
          <w:highlight w:val="none"/>
          <w:u w:val="single"/>
        </w:rPr>
        <w:t>。</w:t>
      </w:r>
    </w:p>
    <w:p w14:paraId="186C5294">
      <w:pPr>
        <w:pStyle w:val="47"/>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6.4</w:t>
      </w:r>
      <w:r>
        <w:rPr>
          <w:rFonts w:hint="eastAsia" w:asciiTheme="minorEastAsia" w:hAnsiTheme="minorEastAsia" w:eastAsiaTheme="minorEastAsia" w:cstheme="minorEastAsia"/>
          <w:color w:val="auto"/>
          <w:szCs w:val="22"/>
          <w:highlight w:val="none"/>
        </w:rPr>
        <w:t>施工用水、用电由中标人负责报装并接入施工红线范围，</w:t>
      </w:r>
      <w:r>
        <w:rPr>
          <w:rFonts w:hint="eastAsia" w:asciiTheme="minorEastAsia" w:hAnsiTheme="minorEastAsia" w:eastAsiaTheme="minorEastAsia" w:cstheme="minorEastAsia"/>
          <w:color w:val="auto"/>
          <w:highlight w:val="none"/>
        </w:rPr>
        <w:t>并由中标人负责购置及安装满足施工所需的临时用电变压器、水表、电表，其水、电费按工程所在地</w:t>
      </w:r>
      <w:r>
        <w:rPr>
          <w:rFonts w:hint="eastAsia" w:asciiTheme="minorEastAsia" w:hAnsiTheme="minorEastAsia" w:eastAsiaTheme="minorEastAsia" w:cstheme="minorEastAsia"/>
          <w:color w:val="auto"/>
          <w:highlight w:val="none"/>
          <w:u w:val="single"/>
          <w:lang w:eastAsia="zh-CN"/>
        </w:rPr>
        <w:t>南雄市</w:t>
      </w:r>
      <w:r>
        <w:rPr>
          <w:rFonts w:hint="eastAsia" w:asciiTheme="minorEastAsia" w:hAnsiTheme="minorEastAsia" w:eastAsiaTheme="minorEastAsia" w:cstheme="minorEastAsia"/>
          <w:color w:val="auto"/>
          <w:highlight w:val="none"/>
        </w:rPr>
        <w:t>基建工程水、电计费标准计算并由中标人缴纳，相关线路、管路费用</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安装费用</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购置及安装临时用电变压器的费用由中标人自行承担。</w:t>
      </w:r>
    </w:p>
    <w:p w14:paraId="041B1D09">
      <w:pPr>
        <w:pStyle w:val="47"/>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6.5招标人不集中现场踏勘，但会在招标文件及有关设计文件中明确告知招标工程的具体位置和周边环境，并在现场设置足以识别的标识或提供足以表明工程具体位置的文字或图片。投标人需要了解现场情况的，可自行进行现场踏勘。</w:t>
      </w:r>
    </w:p>
    <w:p w14:paraId="3ECEF1E1">
      <w:pPr>
        <w:pStyle w:val="47"/>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6.6在现场踏勘过程中，投标人应确保自身安全，投标人如果发生人身伤亡、财物或其他损失，法律法规有规定的按有关规定处理，没有规定的由投标人自行负责。</w:t>
      </w:r>
    </w:p>
    <w:p w14:paraId="58859549">
      <w:pPr>
        <w:pStyle w:val="47"/>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6.7现场踏勘期间的交通、食宿由投标人自行安排，费用自理。</w:t>
      </w:r>
    </w:p>
    <w:p w14:paraId="7783B4E9">
      <w:pPr>
        <w:pStyle w:val="49"/>
        <w:keepNext/>
        <w:keepLines/>
        <w:spacing w:line="360" w:lineRule="auto"/>
        <w:ind w:firstLine="480"/>
        <w:jc w:val="both"/>
        <w:rPr>
          <w:rFonts w:hint="eastAsia" w:asciiTheme="minorEastAsia" w:hAnsiTheme="minorEastAsia" w:eastAsiaTheme="minorEastAsia" w:cstheme="minorEastAsia"/>
          <w:b/>
          <w:bCs/>
          <w:color w:val="auto"/>
          <w:sz w:val="28"/>
          <w:szCs w:val="28"/>
          <w:highlight w:val="none"/>
        </w:rPr>
      </w:pPr>
      <w:bookmarkStart w:id="90" w:name="_Toc4338"/>
      <w:bookmarkStart w:id="91" w:name="_Toc17548"/>
      <w:bookmarkStart w:id="92" w:name="_Toc25942"/>
      <w:bookmarkStart w:id="93" w:name="_Toc3294"/>
      <w:bookmarkStart w:id="94" w:name="_Toc5795"/>
      <w:bookmarkStart w:id="95" w:name="_Toc8518"/>
      <w:bookmarkStart w:id="96" w:name="_Toc22484"/>
      <w:bookmarkStart w:id="97" w:name="_Toc23962"/>
      <w:bookmarkStart w:id="98" w:name="_Toc27595"/>
      <w:r>
        <w:rPr>
          <w:rFonts w:hint="eastAsia" w:asciiTheme="minorEastAsia" w:hAnsiTheme="minorEastAsia" w:eastAsiaTheme="minorEastAsia" w:cstheme="minorEastAsia"/>
          <w:b/>
          <w:color w:val="auto"/>
          <w:kern w:val="2"/>
          <w:highlight w:val="none"/>
        </w:rPr>
        <w:t xml:space="preserve">7 </w:t>
      </w:r>
      <w:bookmarkStart w:id="99" w:name="_Toc488220856"/>
      <w:bookmarkStart w:id="100" w:name="_Toc371968705"/>
      <w:r>
        <w:rPr>
          <w:rFonts w:hint="eastAsia" w:asciiTheme="minorEastAsia" w:hAnsiTheme="minorEastAsia" w:eastAsiaTheme="minorEastAsia" w:cstheme="minorEastAsia"/>
          <w:b/>
          <w:color w:val="auto"/>
          <w:kern w:val="2"/>
          <w:highlight w:val="none"/>
        </w:rPr>
        <w:t>、其他招标说明</w:t>
      </w:r>
      <w:bookmarkEnd w:id="90"/>
      <w:bookmarkEnd w:id="91"/>
      <w:bookmarkEnd w:id="92"/>
      <w:bookmarkEnd w:id="93"/>
      <w:bookmarkEnd w:id="94"/>
      <w:bookmarkEnd w:id="95"/>
      <w:bookmarkEnd w:id="96"/>
      <w:bookmarkEnd w:id="97"/>
      <w:bookmarkEnd w:id="98"/>
      <w:bookmarkEnd w:id="99"/>
    </w:p>
    <w:bookmarkEnd w:id="100"/>
    <w:p w14:paraId="4BF44DE2">
      <w:pPr>
        <w:wordWrap w:val="0"/>
        <w:autoSpaceDE/>
        <w:autoSpaceDN/>
        <w:snapToGrid w:val="0"/>
        <w:spacing w:line="360" w:lineRule="auto"/>
        <w:ind w:firstLine="480"/>
        <w:jc w:val="both"/>
        <w:outlineLvl w:val="9"/>
        <w:rPr>
          <w:rFonts w:hint="eastAsia" w:asciiTheme="minorEastAsia" w:hAnsiTheme="minorEastAsia" w:eastAsiaTheme="minorEastAsia" w:cstheme="minorEastAsia"/>
          <w:b/>
          <w:snapToGrid w:val="0"/>
          <w:color w:val="auto"/>
          <w:szCs w:val="24"/>
          <w:highlight w:val="none"/>
        </w:rPr>
      </w:pPr>
      <w:bookmarkStart w:id="101" w:name="_Toc10210"/>
      <w:bookmarkStart w:id="102" w:name="_Toc28014"/>
      <w:r>
        <w:rPr>
          <w:rFonts w:hint="eastAsia" w:asciiTheme="minorEastAsia" w:hAnsiTheme="minorEastAsia" w:eastAsiaTheme="minorEastAsia" w:cstheme="minorEastAsia"/>
          <w:b/>
          <w:snapToGrid w:val="0"/>
          <w:color w:val="auto"/>
          <w:szCs w:val="24"/>
          <w:highlight w:val="none"/>
        </w:rPr>
        <w:t>7.1．</w:t>
      </w:r>
      <w:r>
        <w:rPr>
          <w:rStyle w:val="34"/>
          <w:rFonts w:hint="eastAsia" w:asciiTheme="minorEastAsia" w:hAnsiTheme="minorEastAsia" w:eastAsiaTheme="minorEastAsia" w:cstheme="minorEastAsia"/>
          <w:color w:val="auto"/>
          <w:szCs w:val="24"/>
          <w:highlight w:val="none"/>
          <w:shd w:val="clear" w:color="auto" w:fill="FFFFFF"/>
        </w:rPr>
        <w:t>获取招标文件</w:t>
      </w:r>
      <w:bookmarkEnd w:id="101"/>
      <w:bookmarkEnd w:id="102"/>
    </w:p>
    <w:p w14:paraId="3D4685FA">
      <w:pPr>
        <w:pStyle w:val="28"/>
        <w:widowControl w:val="0"/>
        <w:wordWrap w:val="0"/>
        <w:adjustRightInd w:val="0"/>
        <w:snapToGrid w:val="0"/>
        <w:spacing w:beforeAutospacing="0" w:afterAutospacing="0" w:line="360" w:lineRule="auto"/>
        <w:ind w:firstLine="482" w:firstLineChars="200"/>
        <w:rPr>
          <w:rFonts w:hint="eastAsia" w:asciiTheme="minorEastAsia" w:hAnsiTheme="minorEastAsia" w:eastAsiaTheme="minorEastAsia" w:cstheme="minorEastAsia"/>
          <w:color w:val="auto"/>
          <w:kern w:val="2"/>
          <w:highlight w:val="none"/>
        </w:rPr>
      </w:pPr>
      <w:r>
        <w:rPr>
          <w:rFonts w:hint="eastAsia" w:asciiTheme="minorEastAsia" w:hAnsiTheme="minorEastAsia" w:eastAsiaTheme="minorEastAsia" w:cstheme="minorEastAsia"/>
          <w:b/>
          <w:bCs/>
          <w:snapToGrid w:val="0"/>
          <w:color w:val="auto"/>
          <w:highlight w:val="none"/>
        </w:rPr>
        <w:t>7.1.1</w:t>
      </w:r>
      <w:r>
        <w:rPr>
          <w:rFonts w:hint="eastAsia" w:asciiTheme="minorEastAsia" w:hAnsiTheme="minorEastAsia" w:eastAsiaTheme="minorEastAsia" w:cstheme="minorEastAsia"/>
          <w:snapToGrid w:val="0"/>
          <w:color w:val="auto"/>
          <w:highlight w:val="none"/>
        </w:rPr>
        <w:t>本次招标实行电子投标。</w:t>
      </w:r>
      <w:r>
        <w:rPr>
          <w:rFonts w:hint="eastAsia" w:asciiTheme="minorEastAsia" w:hAnsiTheme="minorEastAsia" w:eastAsiaTheme="minorEastAsia" w:cstheme="minorEastAsia"/>
          <w:color w:val="auto"/>
          <w:highlight w:val="none"/>
          <w:shd w:val="clear" w:color="auto" w:fill="FFFFFF"/>
        </w:rPr>
        <w:t>本项目招标文件随招标公告一并在</w:t>
      </w:r>
      <w:r>
        <w:rPr>
          <w:rFonts w:hint="eastAsia" w:asciiTheme="minorEastAsia" w:hAnsiTheme="minorEastAsia" w:eastAsiaTheme="minorEastAsia" w:cstheme="minorEastAsia"/>
          <w:bCs/>
          <w:snapToGrid w:val="0"/>
          <w:color w:val="auto"/>
          <w:highlight w:val="none"/>
        </w:rPr>
        <w:t>广东省招标投标监管网(</w:t>
      </w:r>
      <w:r>
        <w:rPr>
          <w:rFonts w:hint="eastAsia" w:asciiTheme="minorEastAsia" w:hAnsiTheme="minorEastAsia" w:eastAsiaTheme="minorEastAsia" w:cstheme="minorEastAsia"/>
          <w:bCs/>
          <w:snapToGrid w:val="0"/>
          <w:color w:val="auto"/>
          <w:highlight w:val="none"/>
          <w:lang w:eastAsia="zh-CN"/>
        </w:rPr>
        <w:t>http://zbtb.gd.gov.cn</w:t>
      </w:r>
      <w:r>
        <w:rPr>
          <w:rFonts w:hint="eastAsia" w:asciiTheme="minorEastAsia" w:hAnsiTheme="minorEastAsia" w:eastAsiaTheme="minorEastAsia" w:cstheme="minorEastAsia"/>
          <w:bCs/>
          <w:snapToGrid w:val="0"/>
          <w:color w:val="auto"/>
          <w:highlight w:val="none"/>
        </w:rPr>
        <w:t>)、</w:t>
      </w:r>
      <w:r>
        <w:rPr>
          <w:rFonts w:hint="eastAsia" w:asciiTheme="minorEastAsia" w:hAnsiTheme="minorEastAsia" w:eastAsiaTheme="minorEastAsia" w:cstheme="minorEastAsia"/>
          <w:color w:val="auto"/>
          <w:highlight w:val="none"/>
          <w:shd w:val="clear" w:color="auto" w:fill="FFFFFF"/>
        </w:rPr>
        <w:t>全国公共资源交易平台（广东省·韶关市）（https://ygp.gdzwfw.gov.cn/ggzy-portal/#/440200/index）网站发布。招标文件一经在交易平台发布，视为发送投标人，招标文件及相关附件由投标人自行在交易平台网站下载。招标文件获取</w:t>
      </w:r>
      <w:r>
        <w:rPr>
          <w:rFonts w:hint="eastAsia" w:asciiTheme="minorEastAsia" w:hAnsiTheme="minorEastAsia" w:eastAsiaTheme="minorEastAsia" w:cstheme="minorEastAsia"/>
          <w:snapToGrid w:val="0"/>
          <w:color w:val="auto"/>
          <w:highlight w:val="none"/>
        </w:rPr>
        <w:t>期间</w:t>
      </w:r>
      <w:r>
        <w:rPr>
          <w:rFonts w:hint="eastAsia" w:asciiTheme="minorEastAsia" w:hAnsiTheme="minorEastAsia" w:eastAsiaTheme="minorEastAsia" w:cstheme="minorEastAsia"/>
          <w:color w:val="auto"/>
          <w:highlight w:val="none"/>
          <w:shd w:val="clear" w:color="auto" w:fill="FFFFFF"/>
        </w:rPr>
        <w:t>（</w:t>
      </w:r>
      <w:r>
        <w:rPr>
          <w:rFonts w:hint="eastAsia" w:asciiTheme="minorEastAsia" w:hAnsiTheme="minorEastAsia" w:eastAsiaTheme="minorEastAsia" w:cstheme="minorEastAsia"/>
          <w:snapToGrid w:val="0"/>
          <w:color w:val="auto"/>
          <w:highlight w:val="none"/>
        </w:rPr>
        <w:t>见本章第二节“重要事项时间地点一览表”，招标文件获取期间与招标公告发布时间一致</w:t>
      </w:r>
      <w:r>
        <w:rPr>
          <w:rFonts w:hint="eastAsia" w:asciiTheme="minorEastAsia" w:hAnsiTheme="minorEastAsia" w:eastAsiaTheme="minorEastAsia" w:cstheme="minorEastAsia"/>
          <w:color w:val="auto"/>
          <w:highlight w:val="none"/>
          <w:shd w:val="clear" w:color="auto" w:fill="FFFFFF"/>
        </w:rPr>
        <w:t>），投标人须登录全国公共资源交易平台（广东省·韶关市）（https://ygp.gdzwfw.gov.cn/ggzy-portal/#/440200/index）</w:t>
      </w:r>
      <w:r>
        <w:rPr>
          <w:rFonts w:hint="eastAsia" w:asciiTheme="minorEastAsia" w:hAnsiTheme="minorEastAsia" w:eastAsiaTheme="minorEastAsia" w:cstheme="minorEastAsia"/>
          <w:snapToGrid w:val="0"/>
          <w:color w:val="auto"/>
          <w:highlight w:val="none"/>
        </w:rPr>
        <w:t>下载</w:t>
      </w:r>
      <w:r>
        <w:rPr>
          <w:rFonts w:hint="eastAsia" w:asciiTheme="minorEastAsia" w:hAnsiTheme="minorEastAsia" w:eastAsiaTheme="minorEastAsia" w:cstheme="minorEastAsia"/>
          <w:color w:val="auto"/>
          <w:highlight w:val="none"/>
          <w:shd w:val="clear" w:color="auto" w:fill="FFFFFF"/>
        </w:rPr>
        <w:t>招标文件及相关附件，并于电子投标截止时间（</w:t>
      </w:r>
      <w:r>
        <w:rPr>
          <w:rFonts w:hint="eastAsia" w:asciiTheme="minorEastAsia" w:hAnsiTheme="minorEastAsia" w:eastAsiaTheme="minorEastAsia" w:cstheme="minorEastAsia"/>
          <w:snapToGrid w:val="0"/>
          <w:color w:val="auto"/>
          <w:highlight w:val="none"/>
        </w:rPr>
        <w:t>见本章第二节“重要事项时间地点一览表”</w:t>
      </w:r>
      <w:r>
        <w:rPr>
          <w:rFonts w:hint="eastAsia" w:asciiTheme="minorEastAsia" w:hAnsiTheme="minorEastAsia" w:eastAsiaTheme="minorEastAsia" w:cstheme="minorEastAsia"/>
          <w:color w:val="auto"/>
          <w:highlight w:val="none"/>
          <w:shd w:val="clear" w:color="auto" w:fill="FFFFFF"/>
        </w:rPr>
        <w:t>）前完成电子投标。投标人可登录全国公共资源交易平台（广东省·韶关市）（https://ygp.gdzwfw.gov.cn/ggzy-portal/#/440200/index），在【服务指南】栏目中下载《韶关市公共资源建设工程交易系统-投标人操作指南（电子评标）》，了解网上获取招标文件操作流程。技术咨询电话：18819797080/0751-8379671 伍先生，业务咨询电话：0751-8633211、8633071。</w:t>
      </w:r>
    </w:p>
    <w:p w14:paraId="33202C70">
      <w:pPr>
        <w:pStyle w:val="50"/>
        <w:wordWrap w:val="0"/>
        <w:adjustRightInd w:val="0"/>
        <w:snapToGrid w:val="0"/>
        <w:spacing w:line="360" w:lineRule="auto"/>
        <w:ind w:firstLine="480"/>
        <w:jc w:val="left"/>
        <w:rPr>
          <w:rFonts w:hint="eastAsia" w:asciiTheme="minorEastAsia" w:hAnsiTheme="minorEastAsia" w:eastAsiaTheme="minorEastAsia" w:cstheme="minorEastAsia"/>
          <w:color w:val="auto"/>
          <w:sz w:val="24"/>
          <w:highlight w:val="none"/>
          <w:shd w:val="clear" w:color="auto" w:fill="FFFFFF"/>
        </w:rPr>
      </w:pPr>
      <w:r>
        <w:rPr>
          <w:rFonts w:hint="eastAsia" w:asciiTheme="minorEastAsia" w:hAnsiTheme="minorEastAsia" w:eastAsiaTheme="minorEastAsia" w:cstheme="minorEastAsia"/>
          <w:b/>
          <w:bCs/>
          <w:snapToGrid w:val="0"/>
          <w:color w:val="auto"/>
          <w:kern w:val="0"/>
          <w:sz w:val="24"/>
          <w:highlight w:val="none"/>
        </w:rPr>
        <w:t xml:space="preserve">7.1.2 </w:t>
      </w:r>
      <w:r>
        <w:rPr>
          <w:rFonts w:hint="eastAsia" w:asciiTheme="minorEastAsia" w:hAnsiTheme="minorEastAsia" w:eastAsiaTheme="minorEastAsia" w:cstheme="minorEastAsia"/>
          <w:color w:val="auto"/>
          <w:sz w:val="24"/>
          <w:highlight w:val="none"/>
          <w:shd w:val="clear" w:color="auto" w:fill="FFFFFF"/>
        </w:rPr>
        <w:t>只有申领了数字证书（CA）、“粤企签”或GDCA/SZCA/NETCA等符合法律法规规定的电子印章，并在交易平台中完成企业信息数据入库的投标人，方可在交易平台获取招标文件和电子投标。</w:t>
      </w:r>
    </w:p>
    <w:p w14:paraId="5BA934A2">
      <w:pPr>
        <w:pStyle w:val="50"/>
        <w:wordWrap w:val="0"/>
        <w:adjustRightInd w:val="0"/>
        <w:snapToGrid w:val="0"/>
        <w:spacing w:line="360" w:lineRule="auto"/>
        <w:ind w:firstLine="480"/>
        <w:jc w:val="left"/>
        <w:rPr>
          <w:rFonts w:hint="eastAsia" w:asciiTheme="minorEastAsia" w:hAnsiTheme="minorEastAsia" w:eastAsiaTheme="minorEastAsia" w:cstheme="minorEastAsia"/>
          <w:color w:val="auto"/>
          <w:sz w:val="24"/>
          <w:highlight w:val="none"/>
          <w:shd w:val="clear" w:color="auto" w:fill="FFFFFF"/>
        </w:rPr>
      </w:pPr>
      <w:r>
        <w:rPr>
          <w:rFonts w:hint="eastAsia" w:asciiTheme="minorEastAsia" w:hAnsiTheme="minorEastAsia" w:eastAsiaTheme="minorEastAsia" w:cstheme="minorEastAsia"/>
          <w:color w:val="auto"/>
          <w:sz w:val="24"/>
          <w:highlight w:val="none"/>
          <w:shd w:val="clear" w:color="auto" w:fill="FFFFFF"/>
        </w:rPr>
        <w:t>首次在韶关市参与建设工程招标投标活动的投标人，必须在交易平台上传企业相关资料办理企业入库事宜。投标人可登录全国公共资源交易平台（广东省·韶关市）（https://ygp.gdzwfw.gov.cn/ggzy-portal/#/440200/index）办理企业入库、数字证书及电子印章事宜，具体请在交易平台查阅相应的交易指引。</w:t>
      </w:r>
    </w:p>
    <w:p w14:paraId="453E0B96">
      <w:pPr>
        <w:pStyle w:val="50"/>
        <w:wordWrap w:val="0"/>
        <w:adjustRightInd w:val="0"/>
        <w:snapToGrid w:val="0"/>
        <w:spacing w:line="360" w:lineRule="auto"/>
        <w:ind w:firstLine="480"/>
        <w:jc w:val="left"/>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color w:val="auto"/>
          <w:sz w:val="24"/>
          <w:highlight w:val="none"/>
          <w:shd w:val="clear" w:color="auto" w:fill="FFFFFF"/>
        </w:rPr>
        <w:t>已入库企业有关信息（如单位名称、基本账号、资质、人员等）发生变化的，须及时在交易平台进行相应变更。投标人未及时变更信息而造成的损失和后果，由投标人自行承担。</w:t>
      </w:r>
    </w:p>
    <w:p w14:paraId="6AF10B15">
      <w:pPr>
        <w:tabs>
          <w:tab w:val="left" w:pos="7020"/>
        </w:tabs>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color w:val="auto"/>
          <w:szCs w:val="24"/>
          <w:highlight w:val="none"/>
          <w:shd w:val="clear" w:color="auto" w:fill="FFFFFF"/>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asciiTheme="minorEastAsia" w:hAnsiTheme="minorEastAsia" w:eastAsiaTheme="minorEastAsia" w:cstheme="minorEastAsia"/>
          <w:snapToGrid w:val="0"/>
          <w:color w:val="auto"/>
          <w:szCs w:val="24"/>
          <w:highlight w:val="none"/>
        </w:rPr>
        <w:t>。</w:t>
      </w:r>
    </w:p>
    <w:p w14:paraId="1A018E2D">
      <w:pPr>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2"/>
          <w:highlight w:val="none"/>
        </w:rPr>
        <w:t>7.2</w:t>
      </w:r>
      <w:r>
        <w:rPr>
          <w:rFonts w:hint="eastAsia" w:asciiTheme="minorEastAsia" w:hAnsiTheme="minorEastAsia" w:eastAsiaTheme="minorEastAsia" w:cstheme="minorEastAsia"/>
          <w:color w:val="auto"/>
          <w:highlight w:val="none"/>
        </w:rPr>
        <w:t>招标人（或招标代理机构）对投标人的失误不负任何责任，投标人应指定一名投标事务负责人（即授权委托人），专门负责跟踪、签收、阅读和理解招标文件及随后收到的有关资料，向招标人（或招标代理机构）发出疑问，检查投标文件，协助有关人员尽力克服各种投标失误。投标事务负责人（即授权委托人）如有更换，投标人应及时向招标人（或招标代理机构）提交授权委托书。</w:t>
      </w:r>
    </w:p>
    <w:p w14:paraId="2C8B60F2">
      <w:pPr>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color w:val="auto"/>
          <w:highlight w:val="none"/>
        </w:rPr>
        <w:t xml:space="preserve">7.3 </w:t>
      </w:r>
      <w:r>
        <w:rPr>
          <w:rFonts w:hint="eastAsia" w:asciiTheme="minorEastAsia" w:hAnsiTheme="minorEastAsia" w:eastAsiaTheme="minorEastAsia" w:cstheme="minorEastAsia"/>
          <w:b/>
          <w:bCs/>
          <w:color w:val="auto"/>
          <w:highlight w:val="none"/>
        </w:rPr>
        <w:t>纪律与保密要求：</w:t>
      </w:r>
    </w:p>
    <w:p w14:paraId="62D2B206">
      <w:pPr>
        <w:spacing w:line="360" w:lineRule="auto"/>
        <w:ind w:firstLine="495"/>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7.3.1</w:t>
      </w:r>
      <w:r>
        <w:rPr>
          <w:rFonts w:hint="eastAsia" w:asciiTheme="minorEastAsia" w:hAnsiTheme="minorEastAsia" w:eastAsiaTheme="minorEastAsia" w:cstheme="minorEastAsia"/>
          <w:b/>
          <w:color w:val="auto"/>
          <w:szCs w:val="24"/>
          <w:highlight w:val="none"/>
        </w:rPr>
        <w:t>对招标人的纪律要求</w:t>
      </w:r>
      <w:r>
        <w:rPr>
          <w:rFonts w:hint="eastAsia" w:asciiTheme="minorEastAsia" w:hAnsiTheme="minorEastAsia" w:eastAsiaTheme="minorEastAsia" w:cstheme="minorEastAsia"/>
          <w:color w:val="auto"/>
          <w:szCs w:val="24"/>
          <w:highlight w:val="none"/>
        </w:rPr>
        <w:t>：招标人不得泄露招标投标活动中应当保密的情况和资料，不得与投标人串通损害国家利益、社会公共利益或者他人合法权益。</w:t>
      </w:r>
    </w:p>
    <w:p w14:paraId="27E26F65">
      <w:pPr>
        <w:spacing w:line="360" w:lineRule="auto"/>
        <w:ind w:firstLine="495"/>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7.3.2 </w:t>
      </w:r>
      <w:r>
        <w:rPr>
          <w:rFonts w:hint="eastAsia" w:asciiTheme="minorEastAsia" w:hAnsiTheme="minorEastAsia" w:eastAsiaTheme="minorEastAsia" w:cstheme="minorEastAsia"/>
          <w:b/>
          <w:color w:val="auto"/>
          <w:szCs w:val="24"/>
          <w:highlight w:val="none"/>
        </w:rPr>
        <w:t>对投标人的纪律要求</w:t>
      </w:r>
      <w:r>
        <w:rPr>
          <w:rFonts w:hint="eastAsia" w:asciiTheme="minorEastAsia" w:hAnsiTheme="minorEastAsia" w:eastAsiaTheme="minorEastAsia" w:cstheme="minorEastAsia"/>
          <w:color w:val="auto"/>
          <w:szCs w:val="24"/>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1B2A5082">
      <w:pPr>
        <w:spacing w:line="360" w:lineRule="auto"/>
        <w:ind w:firstLine="495"/>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7.3.3 </w:t>
      </w:r>
      <w:r>
        <w:rPr>
          <w:rFonts w:hint="eastAsia" w:asciiTheme="minorEastAsia" w:hAnsiTheme="minorEastAsia" w:eastAsiaTheme="minorEastAsia" w:cstheme="minorEastAsia"/>
          <w:color w:val="auto"/>
          <w:spacing w:val="8"/>
          <w:szCs w:val="24"/>
          <w:highlight w:val="none"/>
        </w:rPr>
        <w:t>参与招</w:t>
      </w:r>
      <w:r>
        <w:rPr>
          <w:rFonts w:hint="eastAsia" w:asciiTheme="minorEastAsia" w:hAnsiTheme="minorEastAsia" w:eastAsiaTheme="minorEastAsia" w:cstheme="minorEastAsia"/>
          <w:color w:val="auto"/>
          <w:szCs w:val="24"/>
          <w:highlight w:val="none"/>
        </w:rPr>
        <w:t>标</w:t>
      </w:r>
      <w:r>
        <w:rPr>
          <w:rFonts w:hint="eastAsia" w:asciiTheme="minorEastAsia" w:hAnsiTheme="minorEastAsia" w:eastAsiaTheme="minorEastAsia" w:cstheme="minorEastAsia"/>
          <w:color w:val="auto"/>
          <w:spacing w:val="8"/>
          <w:szCs w:val="24"/>
          <w:highlight w:val="none"/>
        </w:rPr>
        <w:t>投标活</w:t>
      </w:r>
      <w:r>
        <w:rPr>
          <w:rFonts w:hint="eastAsia" w:asciiTheme="minorEastAsia" w:hAnsiTheme="minorEastAsia" w:eastAsiaTheme="minorEastAsia" w:cstheme="minorEastAsia"/>
          <w:color w:val="auto"/>
          <w:szCs w:val="24"/>
          <w:highlight w:val="none"/>
        </w:rPr>
        <w:t>动</w:t>
      </w:r>
      <w:r>
        <w:rPr>
          <w:rFonts w:hint="eastAsia" w:asciiTheme="minorEastAsia" w:hAnsiTheme="minorEastAsia" w:eastAsiaTheme="minorEastAsia" w:cstheme="minorEastAsia"/>
          <w:color w:val="auto"/>
          <w:spacing w:val="8"/>
          <w:szCs w:val="24"/>
          <w:highlight w:val="none"/>
        </w:rPr>
        <w:t>的各方</w:t>
      </w:r>
      <w:r>
        <w:rPr>
          <w:rFonts w:hint="eastAsia" w:asciiTheme="minorEastAsia" w:hAnsiTheme="minorEastAsia" w:eastAsiaTheme="minorEastAsia" w:cstheme="minorEastAsia"/>
          <w:color w:val="auto"/>
          <w:szCs w:val="24"/>
          <w:highlight w:val="none"/>
        </w:rPr>
        <w:t>应</w:t>
      </w:r>
      <w:r>
        <w:rPr>
          <w:rFonts w:hint="eastAsia" w:asciiTheme="minorEastAsia" w:hAnsiTheme="minorEastAsia" w:eastAsiaTheme="minorEastAsia" w:cstheme="minorEastAsia"/>
          <w:color w:val="auto"/>
          <w:spacing w:val="8"/>
          <w:szCs w:val="24"/>
          <w:highlight w:val="none"/>
        </w:rPr>
        <w:t>对招标</w:t>
      </w:r>
      <w:r>
        <w:rPr>
          <w:rFonts w:hint="eastAsia" w:asciiTheme="minorEastAsia" w:hAnsiTheme="minorEastAsia" w:eastAsiaTheme="minorEastAsia" w:cstheme="minorEastAsia"/>
          <w:color w:val="auto"/>
          <w:szCs w:val="24"/>
          <w:highlight w:val="none"/>
        </w:rPr>
        <w:t>文</w:t>
      </w:r>
      <w:r>
        <w:rPr>
          <w:rFonts w:hint="eastAsia" w:asciiTheme="minorEastAsia" w:hAnsiTheme="minorEastAsia" w:eastAsiaTheme="minorEastAsia" w:cstheme="minorEastAsia"/>
          <w:color w:val="auto"/>
          <w:spacing w:val="8"/>
          <w:szCs w:val="24"/>
          <w:highlight w:val="none"/>
        </w:rPr>
        <w:t>件和投</w:t>
      </w:r>
      <w:r>
        <w:rPr>
          <w:rFonts w:hint="eastAsia" w:asciiTheme="minorEastAsia" w:hAnsiTheme="minorEastAsia" w:eastAsiaTheme="minorEastAsia" w:cstheme="minorEastAsia"/>
          <w:color w:val="auto"/>
          <w:szCs w:val="24"/>
          <w:highlight w:val="none"/>
        </w:rPr>
        <w:t>标</w:t>
      </w:r>
      <w:r>
        <w:rPr>
          <w:rFonts w:hint="eastAsia" w:asciiTheme="minorEastAsia" w:hAnsiTheme="minorEastAsia" w:eastAsiaTheme="minorEastAsia" w:cstheme="minorEastAsia"/>
          <w:color w:val="auto"/>
          <w:spacing w:val="8"/>
          <w:szCs w:val="24"/>
          <w:highlight w:val="none"/>
        </w:rPr>
        <w:t>文件中</w:t>
      </w:r>
      <w:r>
        <w:rPr>
          <w:rFonts w:hint="eastAsia" w:asciiTheme="minorEastAsia" w:hAnsiTheme="minorEastAsia" w:eastAsiaTheme="minorEastAsia" w:cstheme="minorEastAsia"/>
          <w:color w:val="auto"/>
          <w:szCs w:val="24"/>
          <w:highlight w:val="none"/>
        </w:rPr>
        <w:t>的</w:t>
      </w:r>
      <w:r>
        <w:rPr>
          <w:rFonts w:hint="eastAsia" w:asciiTheme="minorEastAsia" w:hAnsiTheme="minorEastAsia" w:eastAsiaTheme="minorEastAsia" w:cstheme="minorEastAsia"/>
          <w:color w:val="auto"/>
          <w:spacing w:val="8"/>
          <w:szCs w:val="24"/>
          <w:highlight w:val="none"/>
        </w:rPr>
        <w:t>商业和</w:t>
      </w:r>
      <w:r>
        <w:rPr>
          <w:rFonts w:hint="eastAsia" w:asciiTheme="minorEastAsia" w:hAnsiTheme="minorEastAsia" w:eastAsiaTheme="minorEastAsia" w:cstheme="minorEastAsia"/>
          <w:color w:val="auto"/>
          <w:szCs w:val="24"/>
          <w:highlight w:val="none"/>
        </w:rPr>
        <w:t>技</w:t>
      </w:r>
      <w:r>
        <w:rPr>
          <w:rFonts w:hint="eastAsia" w:asciiTheme="minorEastAsia" w:hAnsiTheme="minorEastAsia" w:eastAsiaTheme="minorEastAsia" w:cstheme="minorEastAsia"/>
          <w:color w:val="auto"/>
          <w:spacing w:val="8"/>
          <w:szCs w:val="24"/>
          <w:highlight w:val="none"/>
        </w:rPr>
        <w:t>术等秘密</w:t>
      </w:r>
      <w:r>
        <w:rPr>
          <w:rFonts w:hint="eastAsia" w:asciiTheme="minorEastAsia" w:hAnsiTheme="minorEastAsia" w:eastAsiaTheme="minorEastAsia" w:cstheme="minorEastAsia"/>
          <w:color w:val="auto"/>
          <w:szCs w:val="24"/>
          <w:highlight w:val="none"/>
        </w:rPr>
        <w:t>保密，违者应对由此造成的后果承担法律责任。</w:t>
      </w:r>
      <w:bookmarkStart w:id="103" w:name="_Toc371968706"/>
    </w:p>
    <w:p w14:paraId="4E686C31">
      <w:pPr>
        <w:spacing w:line="360" w:lineRule="auto"/>
        <w:ind w:firstLine="480"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color w:val="auto"/>
          <w:szCs w:val="24"/>
          <w:highlight w:val="none"/>
        </w:rPr>
        <w:t>7.</w:t>
      </w:r>
      <w:bookmarkStart w:id="104" w:name="_Toc353462191"/>
      <w:bookmarkStart w:id="105" w:name="_Toc353462300"/>
      <w:bookmarkStart w:id="106" w:name="_Toc143766459"/>
      <w:r>
        <w:rPr>
          <w:rFonts w:hint="eastAsia" w:asciiTheme="minorEastAsia" w:hAnsiTheme="minorEastAsia" w:eastAsiaTheme="minorEastAsia" w:cstheme="minorEastAsia"/>
          <w:color w:val="auto"/>
          <w:szCs w:val="24"/>
          <w:highlight w:val="none"/>
        </w:rPr>
        <w:t xml:space="preserve">4 </w:t>
      </w:r>
      <w:r>
        <w:rPr>
          <w:rFonts w:hint="eastAsia" w:asciiTheme="minorEastAsia" w:hAnsiTheme="minorEastAsia" w:eastAsiaTheme="minorEastAsia" w:cstheme="minorEastAsia"/>
          <w:b/>
          <w:bCs/>
          <w:color w:val="auto"/>
          <w:szCs w:val="24"/>
          <w:highlight w:val="none"/>
        </w:rPr>
        <w:t>语言、计量及投标费用</w:t>
      </w:r>
      <w:bookmarkEnd w:id="103"/>
      <w:bookmarkEnd w:id="104"/>
      <w:bookmarkEnd w:id="105"/>
      <w:bookmarkEnd w:id="106"/>
      <w:r>
        <w:rPr>
          <w:rFonts w:hint="eastAsia" w:asciiTheme="minorEastAsia" w:hAnsiTheme="minorEastAsia" w:eastAsiaTheme="minorEastAsia" w:cstheme="minorEastAsia"/>
          <w:b/>
          <w:bCs/>
          <w:color w:val="auto"/>
          <w:szCs w:val="24"/>
          <w:highlight w:val="none"/>
        </w:rPr>
        <w:t>：</w:t>
      </w:r>
    </w:p>
    <w:p w14:paraId="182686D8">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7.4.1 除专用术语外</w:t>
      </w:r>
      <w:r>
        <w:rPr>
          <w:rFonts w:hint="eastAsia" w:asciiTheme="minorEastAsia" w:hAnsiTheme="minorEastAsia" w:eastAsiaTheme="minorEastAsia" w:cstheme="minorEastAsia"/>
          <w:color w:val="auto"/>
          <w:spacing w:val="-80"/>
          <w:szCs w:val="24"/>
          <w:highlight w:val="none"/>
        </w:rPr>
        <w:t>，</w:t>
      </w:r>
      <w:r>
        <w:rPr>
          <w:rFonts w:hint="eastAsia" w:asciiTheme="minorEastAsia" w:hAnsiTheme="minorEastAsia" w:eastAsiaTheme="minorEastAsia" w:cstheme="minorEastAsia"/>
          <w:color w:val="auto"/>
          <w:szCs w:val="24"/>
          <w:highlight w:val="none"/>
        </w:rPr>
        <w:t>与招标投标有关的语言均使用中文</w:t>
      </w:r>
      <w:r>
        <w:rPr>
          <w:rFonts w:hint="eastAsia" w:asciiTheme="minorEastAsia" w:hAnsiTheme="minorEastAsia" w:eastAsiaTheme="minorEastAsia" w:cstheme="minorEastAsia"/>
          <w:color w:val="auto"/>
          <w:spacing w:val="-80"/>
          <w:szCs w:val="24"/>
          <w:highlight w:val="none"/>
        </w:rPr>
        <w:t>。</w:t>
      </w:r>
    </w:p>
    <w:p w14:paraId="54CD0467">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7.4.2 所有计量均采用中华人民共和国法定计量单位。</w:t>
      </w:r>
    </w:p>
    <w:p w14:paraId="7AA57E99">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7.4.3 招标文件、投标文件中所指的币种均为人民币。</w:t>
      </w:r>
    </w:p>
    <w:p w14:paraId="7058CECE">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7.4.4 投标人准备和参加投标活动发生的所有费用自理。</w:t>
      </w:r>
      <w:bookmarkStart w:id="107" w:name="_Toc371968707"/>
    </w:p>
    <w:p w14:paraId="435A2753">
      <w:pPr>
        <w:spacing w:line="360" w:lineRule="auto"/>
        <w:ind w:firstLine="480" w:firstLineChars="200"/>
        <w:rPr>
          <w:rFonts w:hint="eastAsia"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color w:val="auto"/>
          <w:szCs w:val="24"/>
          <w:highlight w:val="none"/>
        </w:rPr>
        <w:t>7.5</w:t>
      </w:r>
      <w:r>
        <w:rPr>
          <w:rFonts w:hint="eastAsia" w:asciiTheme="minorEastAsia" w:hAnsiTheme="minorEastAsia" w:eastAsiaTheme="minorEastAsia" w:cstheme="minorEastAsia"/>
          <w:b/>
          <w:bCs/>
          <w:color w:val="auto"/>
          <w:highlight w:val="none"/>
        </w:rPr>
        <w:t>知识产权和专利权</w:t>
      </w:r>
      <w:bookmarkEnd w:id="107"/>
      <w:r>
        <w:rPr>
          <w:rFonts w:hint="eastAsia" w:asciiTheme="minorEastAsia" w:hAnsiTheme="minorEastAsia" w:eastAsiaTheme="minorEastAsia" w:cstheme="minorEastAsia"/>
          <w:b/>
          <w:bCs/>
          <w:color w:val="auto"/>
          <w:highlight w:val="none"/>
        </w:rPr>
        <w:t>：</w:t>
      </w:r>
    </w:p>
    <w:p w14:paraId="138F1BCB">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7.5.1 </w:t>
      </w:r>
      <w:r>
        <w:rPr>
          <w:rFonts w:hint="eastAsia" w:asciiTheme="minorEastAsia" w:hAnsiTheme="minorEastAsia" w:eastAsiaTheme="minorEastAsia" w:cstheme="minorEastAsia"/>
          <w:color w:val="auto"/>
          <w:highlight w:val="none"/>
        </w:rPr>
        <w:t>投标人保证投标文件及资料均未侵犯他人的知识产权，否则必须承担全部责任。若投标人使用了他人的专利、专有技术，涉及的费用由投标人负责。</w:t>
      </w:r>
      <w:r>
        <w:rPr>
          <w:rFonts w:hint="eastAsia" w:asciiTheme="minorEastAsia" w:hAnsiTheme="minorEastAsia" w:eastAsiaTheme="minorEastAsia" w:cstheme="minorEastAsia"/>
          <w:color w:val="auto"/>
          <w:szCs w:val="24"/>
          <w:highlight w:val="none"/>
        </w:rPr>
        <w:t>投标价应包括所有应支付的对专利权和版权、设计和其他知识产权而需要向其他方支付的版税。</w:t>
      </w:r>
    </w:p>
    <w:p w14:paraId="793FE2B9">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7.5.2 中标人应保证招标人在本项目建设过程中使用其设计文件和设计文件的任何一部分时，招标人免受第三方提出侵犯其专利权、商标权或其他知识产权的起诉。</w:t>
      </w:r>
    </w:p>
    <w:p w14:paraId="36C8EEB9">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7.5.3 中标人提交给招标人的设计文件，其著作权、版权、专利权和使用权归招标人所有（署名权除外）。</w:t>
      </w:r>
    </w:p>
    <w:p w14:paraId="7DBA5819">
      <w:pPr>
        <w:spacing w:line="360" w:lineRule="auto"/>
        <w:ind w:firstLine="480" w:firstLineChars="200"/>
        <w:rPr>
          <w:rFonts w:hint="eastAsia" w:asciiTheme="minorEastAsia" w:hAnsiTheme="minorEastAsia" w:eastAsiaTheme="minorEastAsia" w:cstheme="minorEastAsia"/>
          <w:color w:val="auto"/>
          <w:szCs w:val="24"/>
          <w:highlight w:val="none"/>
        </w:rPr>
      </w:pPr>
      <w:bookmarkStart w:id="108" w:name="_Toc371968708"/>
      <w:r>
        <w:rPr>
          <w:rFonts w:hint="eastAsia" w:asciiTheme="minorEastAsia" w:hAnsiTheme="minorEastAsia" w:eastAsiaTheme="minorEastAsia" w:cstheme="minorEastAsia"/>
          <w:color w:val="auto"/>
          <w:szCs w:val="24"/>
          <w:highlight w:val="none"/>
        </w:rPr>
        <w:t>7.</w:t>
      </w:r>
      <w:bookmarkEnd w:id="108"/>
      <w:r>
        <w:rPr>
          <w:rFonts w:hint="eastAsia" w:asciiTheme="minorEastAsia" w:hAnsiTheme="minorEastAsia" w:eastAsiaTheme="minorEastAsia" w:cstheme="minorEastAsia"/>
          <w:color w:val="auto"/>
          <w:szCs w:val="24"/>
          <w:highlight w:val="none"/>
        </w:rPr>
        <w:t>6 招标文件是招标人发出的要约邀请，投标人参加投标均视为承认招标公告、招标文件及附件的所有条款，并承诺一旦中标将按招标文件、投标文件、合同条款、技术规范要求的质量和进度完成全部委托任务。</w:t>
      </w:r>
    </w:p>
    <w:p w14:paraId="6741AE4D">
      <w:pPr>
        <w:pStyle w:val="49"/>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109" w:name="_Toc30148"/>
      <w:bookmarkStart w:id="110" w:name="_Toc31182"/>
      <w:r>
        <w:rPr>
          <w:rFonts w:hint="eastAsia" w:asciiTheme="minorEastAsia" w:hAnsiTheme="minorEastAsia" w:eastAsiaTheme="minorEastAsia" w:cstheme="minorEastAsia"/>
          <w:b/>
          <w:color w:val="auto"/>
          <w:kern w:val="2"/>
          <w:highlight w:val="none"/>
        </w:rPr>
        <w:t>8 、招标答疑</w:t>
      </w:r>
      <w:bookmarkEnd w:id="109"/>
      <w:bookmarkEnd w:id="110"/>
      <w:bookmarkStart w:id="111" w:name="_Hlt74496410"/>
      <w:bookmarkEnd w:id="111"/>
    </w:p>
    <w:p w14:paraId="259053D7">
      <w:pPr>
        <w:pStyle w:val="47"/>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8.1招标人不集中组织答疑，实行网上答疑。</w:t>
      </w:r>
      <w:r>
        <w:rPr>
          <w:rFonts w:hint="eastAsia" w:asciiTheme="minorEastAsia" w:hAnsiTheme="minorEastAsia" w:eastAsiaTheme="minorEastAsia" w:cstheme="minorEastAsia"/>
          <w:snapToGrid w:val="0"/>
          <w:color w:val="auto"/>
          <w:kern w:val="0"/>
          <w:highlight w:val="none"/>
        </w:rPr>
        <w:t>投标人若对招标文件有疑问</w:t>
      </w:r>
      <w:r>
        <w:rPr>
          <w:rFonts w:hint="eastAsia" w:asciiTheme="minorEastAsia" w:hAnsiTheme="minorEastAsia" w:eastAsiaTheme="minorEastAsia" w:cstheme="minorEastAsia"/>
          <w:color w:val="auto"/>
          <w:highlight w:val="none"/>
        </w:rPr>
        <w:t>应在提问截止时间（</w:t>
      </w:r>
      <w:r>
        <w:rPr>
          <w:rFonts w:hint="eastAsia" w:asciiTheme="minorEastAsia" w:hAnsiTheme="minorEastAsia" w:eastAsiaTheme="minorEastAsia" w:cstheme="minorEastAsia"/>
          <w:snapToGrid w:val="0"/>
          <w:color w:val="auto"/>
          <w:kern w:val="0"/>
          <w:szCs w:val="24"/>
          <w:highlight w:val="none"/>
        </w:rPr>
        <w:t>见本章第二节“重要事项时间地点一览表”</w:t>
      </w:r>
      <w:r>
        <w:rPr>
          <w:rFonts w:hint="eastAsia" w:asciiTheme="minorEastAsia" w:hAnsiTheme="minorEastAsia" w:eastAsiaTheme="minorEastAsia" w:cstheme="minorEastAsia"/>
          <w:color w:val="auto"/>
          <w:highlight w:val="none"/>
        </w:rPr>
        <w:t>）前在交易平台提出问题。未在指定时间前、未采用指定方式提出的，招标人不予受理。</w:t>
      </w:r>
    </w:p>
    <w:p w14:paraId="40300F21">
      <w:pPr>
        <w:pStyle w:val="47"/>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8.2 </w:t>
      </w:r>
      <w:r>
        <w:rPr>
          <w:rFonts w:hint="eastAsia" w:asciiTheme="minorEastAsia" w:hAnsiTheme="minorEastAsia" w:eastAsiaTheme="minorEastAsia" w:cstheme="minorEastAsia"/>
          <w:snapToGrid w:val="0"/>
          <w:color w:val="auto"/>
          <w:kern w:val="0"/>
          <w:highlight w:val="none"/>
        </w:rPr>
        <w:t>招标人在提问截止时间（</w:t>
      </w:r>
      <w:r>
        <w:rPr>
          <w:rFonts w:hint="eastAsia" w:asciiTheme="minorEastAsia" w:hAnsiTheme="minorEastAsia" w:eastAsiaTheme="minorEastAsia" w:cstheme="minorEastAsia"/>
          <w:snapToGrid w:val="0"/>
          <w:color w:val="auto"/>
          <w:kern w:val="0"/>
          <w:szCs w:val="24"/>
          <w:highlight w:val="none"/>
        </w:rPr>
        <w:t>见本章第二节“重要事项时间地点一览表”</w:t>
      </w:r>
      <w:r>
        <w:rPr>
          <w:rFonts w:hint="eastAsia" w:asciiTheme="minorEastAsia" w:hAnsiTheme="minorEastAsia" w:eastAsiaTheme="minorEastAsia" w:cstheme="minorEastAsia"/>
          <w:snapToGrid w:val="0"/>
          <w:color w:val="auto"/>
          <w:kern w:val="0"/>
          <w:highlight w:val="none"/>
        </w:rPr>
        <w:t>）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1C1662DF">
      <w:pPr>
        <w:pStyle w:val="47"/>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8.3 答疑书（</w:t>
      </w:r>
      <w:r>
        <w:rPr>
          <w:rFonts w:hint="eastAsia" w:asciiTheme="minorEastAsia" w:hAnsiTheme="minorEastAsia" w:eastAsiaTheme="minorEastAsia" w:cstheme="minorEastAsia"/>
          <w:snapToGrid w:val="0"/>
          <w:color w:val="auto"/>
          <w:kern w:val="0"/>
          <w:highlight w:val="none"/>
        </w:rPr>
        <w:t>或修改</w:t>
      </w:r>
      <w:r>
        <w:rPr>
          <w:rFonts w:hint="eastAsia" w:asciiTheme="minorEastAsia" w:hAnsiTheme="minorEastAsia" w:eastAsiaTheme="minorEastAsia" w:cstheme="minorEastAsia"/>
          <w:color w:val="auto"/>
          <w:highlight w:val="none"/>
        </w:rPr>
        <w:t>）对招标文件的修改或补充内容作为招标文件的组成部分，具有约束作用。招标文件的澄清、修改、补充等内容均以答疑书（</w:t>
      </w:r>
      <w:r>
        <w:rPr>
          <w:rFonts w:hint="eastAsia" w:asciiTheme="minorEastAsia" w:hAnsiTheme="minorEastAsia" w:eastAsiaTheme="minorEastAsia" w:cstheme="minorEastAsia"/>
          <w:snapToGrid w:val="0"/>
          <w:color w:val="auto"/>
          <w:kern w:val="0"/>
          <w:highlight w:val="none"/>
        </w:rPr>
        <w:t>或修改</w:t>
      </w:r>
      <w:r>
        <w:rPr>
          <w:rFonts w:hint="eastAsia" w:asciiTheme="minorEastAsia" w:hAnsiTheme="minorEastAsia" w:eastAsiaTheme="minorEastAsia" w:cstheme="minorEastAsia"/>
          <w:color w:val="auto"/>
          <w:highlight w:val="none"/>
        </w:rPr>
        <w:t>）中明确的内容为准。当招标文件、招标文件的澄清、修改、补充等文件在同一内容的表述上不一致时，以最后发出的答疑书（</w:t>
      </w:r>
      <w:r>
        <w:rPr>
          <w:rFonts w:hint="eastAsia" w:asciiTheme="minorEastAsia" w:hAnsiTheme="minorEastAsia" w:eastAsiaTheme="minorEastAsia" w:cstheme="minorEastAsia"/>
          <w:snapToGrid w:val="0"/>
          <w:color w:val="auto"/>
          <w:kern w:val="0"/>
          <w:highlight w:val="none"/>
        </w:rPr>
        <w:t>或修改</w:t>
      </w:r>
      <w:r>
        <w:rPr>
          <w:rFonts w:hint="eastAsia" w:asciiTheme="minorEastAsia" w:hAnsiTheme="minorEastAsia" w:eastAsiaTheme="minorEastAsia" w:cstheme="minorEastAsia"/>
          <w:color w:val="auto"/>
          <w:highlight w:val="none"/>
        </w:rPr>
        <w:t>）为准。</w:t>
      </w:r>
    </w:p>
    <w:p w14:paraId="34382E94">
      <w:pPr>
        <w:pStyle w:val="47"/>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8.4 投标人在规定的时间内未对招标文件提出澄清或疑问的，招标人将视其为无异议。对招标文件中描述有歧义或前后不一致的地方，评标委员会有权进行评判，但对同一条款的评判应适用于每个投标人。</w:t>
      </w:r>
    </w:p>
    <w:p w14:paraId="530D0F38">
      <w:pPr>
        <w:pStyle w:val="47"/>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8.5 招标人向投标人提供的资料和数据，是招标人现有的能使投标人利用的资料。投标人对招标人提供的招标文件所作出的推论、解释和结论，招标人概不负责；投标人由于对招标文件的任何推论和误解以及招标人对有关问题的口头解释所造成的后果，均由投标人自行负责。</w:t>
      </w:r>
    </w:p>
    <w:p w14:paraId="2E4FA8B2">
      <w:pPr>
        <w:pStyle w:val="49"/>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112" w:name="_Hlt92513711"/>
      <w:bookmarkEnd w:id="112"/>
      <w:bookmarkStart w:id="113" w:name="_Hlt69699188"/>
      <w:bookmarkEnd w:id="113"/>
      <w:bookmarkStart w:id="114" w:name="_Hlt92513715"/>
      <w:bookmarkEnd w:id="114"/>
      <w:bookmarkStart w:id="115" w:name="_Toc28777"/>
      <w:bookmarkStart w:id="116" w:name="_Toc20643"/>
      <w:bookmarkStart w:id="117" w:name="_Toc13184"/>
      <w:bookmarkStart w:id="118" w:name="_Toc11301"/>
      <w:bookmarkStart w:id="119" w:name="_Toc31064"/>
      <w:bookmarkStart w:id="120" w:name="_Toc15195"/>
      <w:bookmarkStart w:id="121" w:name="_Toc8032"/>
      <w:bookmarkStart w:id="122" w:name="_Toc25532"/>
      <w:bookmarkStart w:id="123" w:name="_Toc30627"/>
      <w:r>
        <w:rPr>
          <w:rFonts w:hint="eastAsia" w:asciiTheme="minorEastAsia" w:hAnsiTheme="minorEastAsia" w:eastAsiaTheme="minorEastAsia" w:cstheme="minorEastAsia"/>
          <w:b/>
          <w:color w:val="auto"/>
          <w:kern w:val="2"/>
          <w:highlight w:val="none"/>
        </w:rPr>
        <w:t>9 、投标报价的编制</w:t>
      </w:r>
      <w:bookmarkEnd w:id="115"/>
      <w:bookmarkEnd w:id="116"/>
      <w:bookmarkEnd w:id="117"/>
      <w:bookmarkEnd w:id="118"/>
      <w:bookmarkEnd w:id="119"/>
      <w:bookmarkEnd w:id="120"/>
      <w:bookmarkEnd w:id="121"/>
      <w:bookmarkEnd w:id="122"/>
      <w:bookmarkEnd w:id="123"/>
      <w:bookmarkStart w:id="124" w:name="_Hlt74498519"/>
      <w:bookmarkEnd w:id="124"/>
    </w:p>
    <w:p w14:paraId="5C87CE4D">
      <w:pPr>
        <w:pStyle w:val="47"/>
        <w:spacing w:line="360" w:lineRule="auto"/>
        <w:ind w:firstLine="560"/>
        <w:rPr>
          <w:rFonts w:hint="eastAsia" w:asciiTheme="minorEastAsia" w:hAnsiTheme="minorEastAsia" w:eastAsiaTheme="minorEastAsia" w:cstheme="minorEastAsia"/>
          <w:color w:val="auto"/>
          <w:spacing w:val="12"/>
          <w:highlight w:val="none"/>
        </w:rPr>
      </w:pPr>
      <w:r>
        <w:rPr>
          <w:rFonts w:hint="eastAsia" w:asciiTheme="minorEastAsia" w:hAnsiTheme="minorEastAsia" w:eastAsiaTheme="minorEastAsia" w:cstheme="minorEastAsia"/>
          <w:color w:val="auto"/>
          <w:spacing w:val="12"/>
          <w:highlight w:val="none"/>
        </w:rPr>
        <w:t>9.1 本工程计价</w:t>
      </w:r>
      <w:r>
        <w:rPr>
          <w:rFonts w:hint="eastAsia" w:asciiTheme="minorEastAsia" w:hAnsiTheme="minorEastAsia" w:eastAsiaTheme="minorEastAsia" w:cstheme="minorEastAsia"/>
          <w:color w:val="auto"/>
          <w:spacing w:val="12"/>
          <w:highlight w:val="none"/>
          <w:lang w:val="en-US" w:eastAsia="zh-CN"/>
        </w:rPr>
        <w:t>依据</w:t>
      </w:r>
      <w:r>
        <w:rPr>
          <w:rFonts w:hint="eastAsia" w:asciiTheme="minorEastAsia" w:hAnsiTheme="minorEastAsia" w:eastAsiaTheme="minorEastAsia" w:cstheme="minorEastAsia"/>
          <w:color w:val="auto"/>
          <w:spacing w:val="12"/>
          <w:highlight w:val="none"/>
        </w:rPr>
        <w:t>为：</w:t>
      </w:r>
    </w:p>
    <w:p w14:paraId="3DDDB697">
      <w:pPr>
        <w:pStyle w:val="47"/>
        <w:spacing w:line="360" w:lineRule="auto"/>
        <w:ind w:firstLine="560"/>
        <w:rPr>
          <w:rFonts w:hint="eastAsia" w:asciiTheme="minorEastAsia" w:hAnsiTheme="minorEastAsia" w:eastAsiaTheme="minorEastAsia" w:cstheme="minorEastAsia"/>
          <w:color w:val="auto"/>
          <w:highlight w:val="none"/>
        </w:rPr>
      </w:pPr>
      <w:bookmarkStart w:id="125" w:name="_Hlt69335755"/>
      <w:bookmarkEnd w:id="125"/>
      <w:r>
        <w:rPr>
          <w:rFonts w:hint="eastAsia" w:asciiTheme="minorEastAsia" w:hAnsiTheme="minorEastAsia" w:eastAsiaTheme="minorEastAsia" w:cstheme="minorEastAsia"/>
          <w:color w:val="auto"/>
          <w:highlight w:val="none"/>
        </w:rPr>
        <w:t>（1）《工程勘察设计收费管理规定》（计价格[2002]10号）、《工程勘察设计收费导则（第二版）》（粤勘设协〔2021〕2号）；</w:t>
      </w:r>
    </w:p>
    <w:p w14:paraId="68AA67A6">
      <w:pPr>
        <w:pStyle w:val="47"/>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w:t>
      </w:r>
      <w:r>
        <w:rPr>
          <w:rFonts w:hint="eastAsia" w:asciiTheme="minorEastAsia" w:hAnsiTheme="minorEastAsia" w:eastAsiaTheme="minorEastAsia" w:cstheme="minorEastAsia"/>
          <w:color w:val="auto"/>
          <w:highlight w:val="none"/>
          <w:lang w:eastAsia="zh-CN"/>
        </w:rPr>
        <w:t>《建设工程工程量清单计价标准》（GB/T50500-2024）</w:t>
      </w:r>
      <w:r>
        <w:rPr>
          <w:rFonts w:hint="eastAsia" w:asciiTheme="minorEastAsia" w:hAnsiTheme="minorEastAsia" w:eastAsiaTheme="minorEastAsia" w:cstheme="minorEastAsia"/>
          <w:color w:val="auto"/>
          <w:highlight w:val="none"/>
        </w:rPr>
        <w:t>；</w:t>
      </w:r>
    </w:p>
    <w:p w14:paraId="5038FA5F">
      <w:pPr>
        <w:pStyle w:val="47"/>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FC8EB18">
      <w:pPr>
        <w:pStyle w:val="47"/>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r>
        <w:rPr>
          <w:rFonts w:hint="eastAsia" w:asciiTheme="minorEastAsia" w:hAnsiTheme="minorEastAsia" w:eastAsiaTheme="minorEastAsia" w:cstheme="minorEastAsia"/>
          <w:snapToGrid w:val="0"/>
          <w:color w:val="auto"/>
          <w:kern w:val="0"/>
          <w:highlight w:val="none"/>
        </w:rPr>
        <w:t>招标文件及其答疑（或修改）公告</w:t>
      </w:r>
      <w:r>
        <w:rPr>
          <w:rFonts w:hint="eastAsia" w:asciiTheme="minorEastAsia" w:hAnsiTheme="minorEastAsia" w:eastAsiaTheme="minorEastAsia" w:cstheme="minorEastAsia"/>
          <w:color w:val="auto"/>
          <w:highlight w:val="none"/>
        </w:rPr>
        <w:t>；</w:t>
      </w:r>
    </w:p>
    <w:p w14:paraId="3B5D297E">
      <w:pPr>
        <w:pStyle w:val="47"/>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（5）施工现场情况、工程特点及常规施工方案；</w:t>
      </w:r>
    </w:p>
    <w:p w14:paraId="77396941">
      <w:pPr>
        <w:pStyle w:val="47"/>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（6）项目所在地工程造价管理机构发布的工程造价信息，工程造价信息缺项的，参照市场价格；</w:t>
      </w:r>
    </w:p>
    <w:p w14:paraId="28B41DCC">
      <w:pPr>
        <w:pStyle w:val="47"/>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（7）与建设项目相关的标准、规范、技术资料。</w:t>
      </w:r>
    </w:p>
    <w:p w14:paraId="2E1BB4AB">
      <w:pPr>
        <w:pStyle w:val="47"/>
        <w:spacing w:line="360" w:lineRule="auto"/>
        <w:ind w:firstLine="792" w:firstLineChars="3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12"/>
          <w:highlight w:val="none"/>
        </w:rPr>
        <w:t>9.2</w:t>
      </w:r>
      <w:r>
        <w:rPr>
          <w:rFonts w:hint="eastAsia" w:asciiTheme="minorEastAsia" w:hAnsiTheme="minorEastAsia" w:eastAsiaTheme="minorEastAsia" w:cstheme="minorEastAsia"/>
          <w:color w:val="auto"/>
          <w:highlight w:val="none"/>
        </w:rPr>
        <w:t xml:space="preserve"> 本工程投标前，招标人及招标代理机构不集中组织现场踏勘，投标人需要了解现场情况的，可自行进行现场踏勘。各投标人应勘察施工现场及周围环境、地形、地貌、水文、交通等情况，以获得一切可能影响到投标的直</w:t>
      </w:r>
      <w:bookmarkStart w:id="126" w:name="_Hlt66509056"/>
      <w:bookmarkEnd w:id="126"/>
      <w:r>
        <w:rPr>
          <w:rFonts w:hint="eastAsia" w:asciiTheme="minorEastAsia" w:hAnsiTheme="minorEastAsia" w:eastAsiaTheme="minorEastAsia" w:cstheme="minorEastAsia"/>
          <w:color w:val="auto"/>
          <w:highlight w:val="none"/>
        </w:rPr>
        <w:t>接资料。投标人应针对现场情况编制施工组织设计，并在写投标报价时考虑现场情况的影响。</w:t>
      </w:r>
    </w:p>
    <w:p w14:paraId="1D2A4D4D">
      <w:pPr>
        <w:pStyle w:val="56"/>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12"/>
          <w:highlight w:val="none"/>
        </w:rPr>
        <w:t>9.</w:t>
      </w:r>
      <w:bookmarkStart w:id="127" w:name="_Hlt88974322"/>
      <w:r>
        <w:rPr>
          <w:rFonts w:hint="eastAsia" w:asciiTheme="minorEastAsia" w:hAnsiTheme="minorEastAsia" w:eastAsiaTheme="minorEastAsia" w:cstheme="minorEastAsia"/>
          <w:color w:val="auto"/>
          <w:spacing w:val="12"/>
          <w:highlight w:val="none"/>
        </w:rPr>
        <w:t>3</w:t>
      </w:r>
      <w:r>
        <w:rPr>
          <w:rFonts w:hint="eastAsia" w:asciiTheme="minorEastAsia" w:hAnsiTheme="minorEastAsia" w:eastAsiaTheme="minorEastAsia" w:cstheme="minorEastAsia"/>
          <w:color w:val="auto"/>
          <w:highlight w:val="none"/>
        </w:rPr>
        <w:t xml:space="preserve"> 现场踏勘费以及其它施工措施项目费，由投标人在投标报价中综合考虑，</w:t>
      </w:r>
      <w:r>
        <w:rPr>
          <w:rFonts w:hint="eastAsia" w:asciiTheme="minorEastAsia" w:hAnsiTheme="minorEastAsia" w:eastAsiaTheme="minorEastAsia" w:cstheme="minorEastAsia"/>
          <w:color w:val="auto"/>
          <w:szCs w:val="22"/>
          <w:highlight w:val="none"/>
        </w:rPr>
        <w:t>一次包定</w:t>
      </w:r>
      <w:r>
        <w:rPr>
          <w:rFonts w:hint="eastAsia" w:asciiTheme="minorEastAsia" w:hAnsiTheme="minorEastAsia" w:eastAsiaTheme="minorEastAsia" w:cstheme="minorEastAsia"/>
          <w:color w:val="auto"/>
          <w:highlight w:val="none"/>
        </w:rPr>
        <w:t>。无论投标人是否列出费用，招标人将一律视为已确认所有现场条件和可能发生的异常情况。</w:t>
      </w:r>
    </w:p>
    <w:bookmarkEnd w:id="127"/>
    <w:p w14:paraId="1DAD049C">
      <w:pPr>
        <w:pStyle w:val="47"/>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9.4 招标人向投标人提供的有关现场的数据和资料，是招标人现有的能被投标人利用的资料，招标人对投标人做出的任何推论、理解和结论均不负责任。</w:t>
      </w:r>
    </w:p>
    <w:p w14:paraId="390D5AE0">
      <w:pPr>
        <w:spacing w:line="360" w:lineRule="auto"/>
        <w:ind w:firstLine="600"/>
        <w:rPr>
          <w:rFonts w:hint="eastAsia" w:asciiTheme="minorEastAsia" w:hAnsiTheme="minorEastAsia" w:eastAsiaTheme="minorEastAsia" w:cstheme="minorEastAsia"/>
          <w:color w:val="auto"/>
          <w:highlight w:val="none"/>
          <w:lang w:val="zh-CN"/>
        </w:rPr>
      </w:pPr>
      <w:r>
        <w:rPr>
          <w:rFonts w:hint="eastAsia"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val="zh-CN"/>
        </w:rPr>
        <w:t>.</w:t>
      </w:r>
      <w:r>
        <w:rPr>
          <w:rFonts w:hint="eastAsia" w:asciiTheme="minorEastAsia" w:hAnsiTheme="minorEastAsia" w:eastAsiaTheme="minorEastAsia" w:cstheme="minorEastAsia"/>
          <w:color w:val="auto"/>
          <w:highlight w:val="none"/>
        </w:rPr>
        <w:t>5</w:t>
      </w:r>
      <w:r>
        <w:rPr>
          <w:rFonts w:hint="eastAsia" w:asciiTheme="minorEastAsia" w:hAnsiTheme="minorEastAsia" w:eastAsiaTheme="minorEastAsia" w:cstheme="minorEastAsia"/>
          <w:color w:val="auto"/>
          <w:highlight w:val="none"/>
          <w:lang w:val="zh-CN"/>
        </w:rPr>
        <w:t>投标人负责协调处理因项目实施与周边企业和村民等关系并承担相关费用。</w:t>
      </w:r>
    </w:p>
    <w:p w14:paraId="7E6BA5A6">
      <w:pPr>
        <w:spacing w:line="360" w:lineRule="auto"/>
        <w:ind w:firstLine="600"/>
        <w:rPr>
          <w:rFonts w:hint="eastAsia" w:asciiTheme="minorEastAsia" w:hAnsiTheme="minorEastAsia" w:eastAsiaTheme="minorEastAsia" w:cstheme="minorEastAsia"/>
          <w:color w:val="auto"/>
          <w:highlight w:val="none"/>
          <w:lang w:val="zh-CN"/>
        </w:rPr>
      </w:pPr>
      <w:r>
        <w:rPr>
          <w:rFonts w:hint="eastAsia"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val="zh-CN"/>
        </w:rPr>
        <w:t>.</w:t>
      </w:r>
      <w:r>
        <w:rPr>
          <w:rFonts w:hint="eastAsia" w:asciiTheme="minorEastAsia" w:hAnsiTheme="minorEastAsia" w:eastAsiaTheme="minorEastAsia" w:cstheme="minorEastAsia"/>
          <w:color w:val="auto"/>
          <w:highlight w:val="none"/>
        </w:rPr>
        <w:t>6</w:t>
      </w:r>
      <w:r>
        <w:rPr>
          <w:rFonts w:hint="eastAsia" w:asciiTheme="minorEastAsia" w:hAnsiTheme="minorEastAsia" w:eastAsiaTheme="minorEastAsia" w:cstheme="minorEastAsia"/>
          <w:color w:val="auto"/>
          <w:highlight w:val="none"/>
          <w:lang w:val="zh-CN"/>
        </w:rPr>
        <w:t>投标人应采取设计优化的方式，通过土方平衡方法解决弃土问题，若仍有弃土，按实结算。</w:t>
      </w:r>
    </w:p>
    <w:p w14:paraId="2C0BB72B">
      <w:pPr>
        <w:spacing w:line="360" w:lineRule="auto"/>
        <w:ind w:firstLine="570"/>
        <w:rPr>
          <w:rFonts w:hint="eastAsia" w:asciiTheme="minorEastAsia" w:hAnsiTheme="minorEastAsia" w:eastAsiaTheme="minorEastAsia" w:cstheme="minorEastAsia"/>
          <w:b/>
          <w:color w:val="auto"/>
          <w:highlight w:val="none"/>
          <w:u w:val="double"/>
        </w:rPr>
      </w:pPr>
      <w:r>
        <w:rPr>
          <w:rFonts w:hint="eastAsia"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val="zh-CN"/>
        </w:rPr>
        <w:t>.</w:t>
      </w:r>
      <w:bookmarkStart w:id="128" w:name="_Toc319917951"/>
      <w:r>
        <w:rPr>
          <w:rFonts w:hint="eastAsia" w:asciiTheme="minorEastAsia" w:hAnsiTheme="minorEastAsia" w:eastAsiaTheme="minorEastAsia" w:cstheme="minorEastAsia"/>
          <w:color w:val="auto"/>
          <w:highlight w:val="none"/>
        </w:rPr>
        <w:t>7</w:t>
      </w:r>
      <w:r>
        <w:rPr>
          <w:rFonts w:hint="eastAsia" w:asciiTheme="minorEastAsia" w:hAnsiTheme="minorEastAsia" w:eastAsiaTheme="minorEastAsia" w:cstheme="minorEastAsia"/>
          <w:b/>
          <w:color w:val="auto"/>
          <w:highlight w:val="none"/>
          <w:u w:val="double"/>
        </w:rPr>
        <w:t>投标人的投标报价不得超过招标人公布的最高投标限价。本项目为限额设计，工程结算总造价不得超过中标价。</w:t>
      </w:r>
    </w:p>
    <w:p w14:paraId="41AC832C">
      <w:pPr>
        <w:spacing w:line="360" w:lineRule="auto"/>
        <w:ind w:firstLine="570"/>
        <w:rPr>
          <w:rFonts w:hint="eastAsia" w:asciiTheme="minorEastAsia" w:hAnsiTheme="minorEastAsia" w:eastAsiaTheme="minorEastAsia" w:cstheme="minorEastAsia"/>
          <w:color w:val="auto"/>
          <w:highlight w:val="none"/>
          <w:lang w:val="zh-CN"/>
        </w:rPr>
      </w:pPr>
      <w:r>
        <w:rPr>
          <w:rFonts w:hint="eastAsia" w:asciiTheme="minorEastAsia" w:hAnsiTheme="minorEastAsia" w:eastAsiaTheme="minorEastAsia" w:cstheme="minorEastAsia"/>
          <w:color w:val="auto"/>
          <w:highlight w:val="none"/>
        </w:rPr>
        <w:t>9.8</w:t>
      </w:r>
      <w:r>
        <w:rPr>
          <w:rFonts w:hint="eastAsia" w:asciiTheme="minorEastAsia" w:hAnsiTheme="minorEastAsia" w:eastAsiaTheme="minorEastAsia" w:cstheme="minorEastAsia"/>
          <w:b/>
          <w:color w:val="auto"/>
          <w:highlight w:val="none"/>
          <w:lang w:val="zh-CN"/>
        </w:rPr>
        <w:t>投标单位应充分考虑本招标文件“第二章 拟签订合同的主要条款”所列的结算原则进行投标及报价。</w:t>
      </w:r>
      <w:bookmarkEnd w:id="128"/>
    </w:p>
    <w:p w14:paraId="6087E588">
      <w:pPr>
        <w:spacing w:line="360" w:lineRule="auto"/>
        <w:ind w:firstLine="570"/>
        <w:rPr>
          <w:rFonts w:hint="eastAsia" w:asciiTheme="minorEastAsia" w:hAnsiTheme="minorEastAsia" w:eastAsiaTheme="minorEastAsia" w:cstheme="minorEastAsia"/>
          <w:color w:val="auto"/>
          <w:highlight w:val="none"/>
          <w:lang w:val="zh-CN"/>
        </w:rPr>
      </w:pPr>
      <w:r>
        <w:rPr>
          <w:rFonts w:hint="eastAsia"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val="zh-CN"/>
        </w:rPr>
        <w:t>.</w:t>
      </w:r>
      <w:r>
        <w:rPr>
          <w:rFonts w:hint="eastAsia"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val="zh-CN"/>
        </w:rPr>
        <w:t>投标人的投标总报价应考虑完成招标文件中招标规模、内容所规定的所有工程及设备的费用，并承担结算原则中规定的一切风险，还应考虑报建和施工时应由施工单位承担的一切费用。各项费用的主要内容及其报价方式：</w:t>
      </w:r>
      <w:bookmarkStart w:id="129" w:name="_Toc15059"/>
      <w:bookmarkStart w:id="130" w:name="_Toc18903"/>
      <w:bookmarkStart w:id="131" w:name="_Toc11568"/>
      <w:bookmarkStart w:id="132" w:name="_Toc13707"/>
      <w:bookmarkStart w:id="133" w:name="_Toc17803"/>
      <w:bookmarkStart w:id="134" w:name="_Toc32012"/>
      <w:bookmarkStart w:id="135" w:name="_Toc57"/>
      <w:bookmarkStart w:id="136" w:name="_Toc20815"/>
      <w:bookmarkStart w:id="137" w:name="_Toc39136339"/>
      <w:bookmarkStart w:id="138" w:name="_Toc29402"/>
      <w:bookmarkStart w:id="139" w:name="_Toc3872"/>
      <w:bookmarkStart w:id="140" w:name="_Toc11863"/>
      <w:r>
        <w:rPr>
          <w:rFonts w:hint="eastAsia" w:asciiTheme="minorEastAsia" w:hAnsiTheme="minorEastAsia" w:eastAsiaTheme="minorEastAsia" w:cstheme="minorEastAsia"/>
          <w:b/>
          <w:bCs/>
          <w:color w:val="auto"/>
          <w:highlight w:val="none"/>
          <w:u w:val="single"/>
          <w:lang w:val="zh-CN"/>
        </w:rPr>
        <w:t>投标人投标报价=设计</w:t>
      </w:r>
      <w:r>
        <w:rPr>
          <w:rFonts w:hint="eastAsia" w:asciiTheme="minorEastAsia" w:hAnsiTheme="minorEastAsia" w:eastAsiaTheme="minorEastAsia" w:cstheme="minorEastAsia"/>
          <w:b/>
          <w:bCs/>
          <w:color w:val="auto"/>
          <w:highlight w:val="none"/>
          <w:u w:val="single"/>
          <w:lang w:val="zh-CN" w:eastAsia="zh-CN"/>
        </w:rPr>
        <w:t>费投标报价+</w:t>
      </w:r>
      <w:r>
        <w:rPr>
          <w:rFonts w:hint="eastAsia" w:asciiTheme="minorEastAsia" w:hAnsiTheme="minorEastAsia" w:eastAsiaTheme="minorEastAsia" w:cstheme="minorEastAsia"/>
          <w:b/>
          <w:bCs/>
          <w:color w:val="auto"/>
          <w:highlight w:val="none"/>
          <w:u w:val="single"/>
          <w:lang w:val="zh-CN"/>
        </w:rPr>
        <w:t>建安工程费投标报价</w:t>
      </w:r>
      <w:bookmarkEnd w:id="129"/>
      <w:bookmarkEnd w:id="130"/>
      <w:bookmarkEnd w:id="131"/>
      <w:bookmarkEnd w:id="132"/>
      <w:bookmarkEnd w:id="133"/>
      <w:bookmarkEnd w:id="134"/>
      <w:bookmarkEnd w:id="135"/>
      <w:bookmarkEnd w:id="136"/>
      <w:bookmarkEnd w:id="137"/>
      <w:bookmarkEnd w:id="138"/>
      <w:bookmarkEnd w:id="139"/>
      <w:bookmarkEnd w:id="140"/>
    </w:p>
    <w:p w14:paraId="1868BDCF">
      <w:pPr>
        <w:spacing w:line="360" w:lineRule="auto"/>
        <w:ind w:firstLine="570"/>
        <w:rPr>
          <w:rFonts w:hint="eastAsia" w:asciiTheme="minorEastAsia" w:hAnsiTheme="minorEastAsia" w:eastAsiaTheme="minorEastAsia" w:cstheme="minorEastAsia"/>
          <w:color w:val="auto"/>
          <w:szCs w:val="24"/>
          <w:highlight w:val="none"/>
          <w:lang w:val="zh-CN"/>
        </w:rPr>
      </w:pPr>
      <w:r>
        <w:rPr>
          <w:rFonts w:hint="eastAsia"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val="zh-CN"/>
        </w:rPr>
        <w:t>.</w:t>
      </w:r>
      <w:r>
        <w:rPr>
          <w:rFonts w:hint="eastAsia"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val="zh-CN"/>
        </w:rPr>
        <w:t>.1</w:t>
      </w:r>
      <w:r>
        <w:rPr>
          <w:rFonts w:hint="eastAsia" w:asciiTheme="minorEastAsia" w:hAnsiTheme="minorEastAsia" w:eastAsiaTheme="minorEastAsia" w:cstheme="minorEastAsia"/>
          <w:color w:val="auto"/>
          <w:highlight w:val="none"/>
          <w:lang w:val="en-US" w:eastAsia="zh-CN"/>
        </w:rPr>
        <w:t>设计</w:t>
      </w:r>
      <w:r>
        <w:rPr>
          <w:rFonts w:hint="eastAsia" w:asciiTheme="minorEastAsia" w:hAnsiTheme="minorEastAsia" w:eastAsiaTheme="minorEastAsia" w:cstheme="minorEastAsia"/>
          <w:color w:val="auto"/>
          <w:highlight w:val="none"/>
          <w:lang w:val="zh-CN"/>
        </w:rPr>
        <w:t>费投标报价</w:t>
      </w:r>
      <w:r>
        <w:rPr>
          <w:rFonts w:hint="eastAsia" w:asciiTheme="minorEastAsia" w:hAnsiTheme="minorEastAsia" w:eastAsiaTheme="minorEastAsia" w:cstheme="minorEastAsia"/>
          <w:color w:val="auto"/>
          <w:szCs w:val="24"/>
          <w:highlight w:val="none"/>
        </w:rPr>
        <w:t>：</w:t>
      </w:r>
      <w:r>
        <w:rPr>
          <w:rFonts w:hint="eastAsia" w:asciiTheme="minorEastAsia" w:hAnsiTheme="minorEastAsia" w:eastAsiaTheme="minorEastAsia" w:cstheme="minorEastAsia"/>
          <w:color w:val="auto"/>
          <w:szCs w:val="24"/>
          <w:highlight w:val="none"/>
          <w:lang w:val="zh-CN"/>
        </w:rPr>
        <w:t>在最高投标限价范围内，投标人自行报总价</w:t>
      </w:r>
      <w:r>
        <w:rPr>
          <w:rFonts w:asciiTheme="minorEastAsia" w:hAnsiTheme="minorEastAsia" w:eastAsiaTheme="minorEastAsia" w:cstheme="minorEastAsia"/>
          <w:color w:val="auto"/>
          <w:highlight w:val="none"/>
          <w:lang w:val="zh-CN"/>
        </w:rPr>
        <w:t>。</w:t>
      </w:r>
      <w:r>
        <w:rPr>
          <w:rFonts w:hint="eastAsia" w:asciiTheme="minorEastAsia" w:hAnsiTheme="minorEastAsia" w:eastAsiaTheme="minorEastAsia" w:cstheme="minorEastAsia"/>
          <w:b/>
          <w:bCs/>
          <w:color w:val="auto"/>
          <w:szCs w:val="24"/>
          <w:highlight w:val="none"/>
          <w:lang w:val="en-US" w:eastAsia="zh-CN"/>
        </w:rPr>
        <w:t>设计费</w:t>
      </w:r>
      <w:r>
        <w:rPr>
          <w:rFonts w:hint="eastAsia" w:asciiTheme="minorEastAsia" w:hAnsiTheme="minorEastAsia" w:eastAsiaTheme="minorEastAsia" w:cstheme="minorEastAsia"/>
          <w:b/>
          <w:bCs/>
          <w:color w:val="auto"/>
          <w:szCs w:val="24"/>
          <w:highlight w:val="none"/>
          <w:lang w:val="zh-CN"/>
        </w:rPr>
        <w:t>报价应包含</w:t>
      </w:r>
      <w:r>
        <w:rPr>
          <w:rFonts w:hint="eastAsia" w:asciiTheme="minorEastAsia" w:hAnsiTheme="minorEastAsia" w:eastAsiaTheme="minorEastAsia" w:cstheme="minorEastAsia"/>
          <w:color w:val="auto"/>
          <w:szCs w:val="24"/>
          <w:highlight w:val="none"/>
          <w:lang w:val="zh-CN"/>
        </w:rPr>
        <w:t>各个不同专业的</w:t>
      </w:r>
      <w:r>
        <w:rPr>
          <w:rFonts w:hint="eastAsia" w:asciiTheme="minorEastAsia" w:hAnsiTheme="minorEastAsia" w:eastAsiaTheme="minorEastAsia" w:cstheme="minorEastAsia"/>
          <w:color w:val="auto"/>
          <w:szCs w:val="24"/>
          <w:highlight w:val="none"/>
          <w:lang w:val="en-US" w:eastAsia="zh-CN"/>
        </w:rPr>
        <w:t>施工图</w:t>
      </w:r>
      <w:r>
        <w:rPr>
          <w:rFonts w:hint="eastAsia" w:asciiTheme="minorEastAsia" w:hAnsiTheme="minorEastAsia" w:eastAsiaTheme="minorEastAsia" w:cstheme="minorEastAsia"/>
          <w:color w:val="auto"/>
          <w:szCs w:val="24"/>
          <w:highlight w:val="none"/>
          <w:lang w:val="zh-CN"/>
        </w:rPr>
        <w:t>设计费用、进行优化设计或修改设计所增加的设计费用、各项专家评审的专家费用等</w:t>
      </w:r>
      <w:r>
        <w:rPr>
          <w:rFonts w:hint="eastAsia" w:asciiTheme="minorEastAsia" w:hAnsiTheme="minorEastAsia" w:eastAsiaTheme="minorEastAsia" w:cstheme="minorEastAsia"/>
          <w:color w:val="auto"/>
          <w:szCs w:val="24"/>
          <w:highlight w:val="none"/>
        </w:rPr>
        <w:t>（不含第三方施工图审查费）</w:t>
      </w:r>
      <w:r>
        <w:rPr>
          <w:rFonts w:hint="eastAsia" w:asciiTheme="minorEastAsia" w:hAnsiTheme="minorEastAsia" w:eastAsiaTheme="minorEastAsia" w:cstheme="minorEastAsia"/>
          <w:color w:val="auto"/>
          <w:szCs w:val="24"/>
          <w:highlight w:val="none"/>
          <w:lang w:val="zh-CN"/>
        </w:rPr>
        <w:t>。若中标单位不具备专业设计资质的，需经招标人同意后，委托有相应资质的单位进行设计，所产生的费用由投标人承担。</w:t>
      </w:r>
    </w:p>
    <w:p w14:paraId="73CAAD60">
      <w:pPr>
        <w:spacing w:line="360" w:lineRule="auto"/>
        <w:ind w:firstLine="570"/>
        <w:rPr>
          <w:rFonts w:hint="eastAsia" w:asciiTheme="minorEastAsia" w:hAnsiTheme="minorEastAsia" w:eastAsiaTheme="minorEastAsia" w:cstheme="minorEastAsia"/>
          <w:b/>
          <w:bCs/>
          <w:color w:val="auto"/>
          <w:highlight w:val="none"/>
          <w:lang w:val="zh-CN"/>
        </w:rPr>
      </w:pPr>
      <w:r>
        <w:rPr>
          <w:rFonts w:hint="eastAsia" w:asciiTheme="minorEastAsia" w:hAnsiTheme="minorEastAsia" w:eastAsiaTheme="minorEastAsia" w:cstheme="minorEastAsia"/>
          <w:b/>
          <w:bCs/>
          <w:color w:val="auto"/>
          <w:highlight w:val="none"/>
          <w:lang w:val="zh-CN"/>
        </w:rPr>
        <w:t>本项目在实施过程中可能出现设计成果已通过确认，仍需进行设计变更、修改、调整等情况，不另行增加设计费。</w:t>
      </w:r>
    </w:p>
    <w:p w14:paraId="374D821A">
      <w:pPr>
        <w:spacing w:line="360" w:lineRule="auto"/>
        <w:ind w:firstLine="570"/>
        <w:rPr>
          <w:rFonts w:hint="eastAsia" w:asciiTheme="minorEastAsia" w:hAnsiTheme="minorEastAsia" w:eastAsiaTheme="minorEastAsia" w:cstheme="minorEastAsia"/>
          <w:color w:val="auto"/>
          <w:szCs w:val="24"/>
          <w:highlight w:val="none"/>
          <w:lang w:val="zh-CN"/>
        </w:rPr>
      </w:pPr>
      <w:r>
        <w:rPr>
          <w:rFonts w:hint="eastAsia" w:asciiTheme="minorEastAsia" w:hAnsiTheme="minorEastAsia" w:eastAsiaTheme="minorEastAsia" w:cstheme="minorEastAsia"/>
          <w:color w:val="auto"/>
          <w:szCs w:val="24"/>
          <w:highlight w:val="none"/>
          <w:lang w:val="zh-CN"/>
        </w:rPr>
        <w:t>9.9.</w:t>
      </w:r>
      <w:r>
        <w:rPr>
          <w:rFonts w:hint="eastAsia" w:asciiTheme="minorEastAsia" w:hAnsiTheme="minorEastAsia" w:eastAsiaTheme="minorEastAsia" w:cstheme="minorEastAsia"/>
          <w:color w:val="auto"/>
          <w:szCs w:val="24"/>
          <w:highlight w:val="none"/>
          <w:lang w:val="en-US" w:eastAsia="zh-CN"/>
        </w:rPr>
        <w:t>2</w:t>
      </w:r>
      <w:r>
        <w:rPr>
          <w:rFonts w:hint="eastAsia" w:asciiTheme="minorEastAsia" w:hAnsiTheme="minorEastAsia" w:eastAsiaTheme="minorEastAsia" w:cstheme="minorEastAsia"/>
          <w:color w:val="auto"/>
          <w:szCs w:val="24"/>
          <w:highlight w:val="none"/>
          <w:lang w:val="zh-CN"/>
        </w:rPr>
        <w:t>建安工程费用：采</w:t>
      </w:r>
      <w:r>
        <w:rPr>
          <w:rFonts w:hint="eastAsia" w:asciiTheme="minorEastAsia" w:hAnsiTheme="minorEastAsia" w:eastAsiaTheme="minorEastAsia" w:cstheme="minorEastAsia"/>
          <w:color w:val="auto"/>
          <w:szCs w:val="24"/>
          <w:highlight w:val="none"/>
          <w:lang w:val="en-US" w:eastAsia="zh-CN"/>
        </w:rPr>
        <w:t>用投标</w:t>
      </w:r>
      <w:r>
        <w:rPr>
          <w:rFonts w:hint="eastAsia" w:asciiTheme="minorEastAsia" w:hAnsiTheme="minorEastAsia" w:eastAsiaTheme="minorEastAsia" w:cstheme="minorEastAsia"/>
          <w:color w:val="auto"/>
          <w:szCs w:val="24"/>
          <w:highlight w:val="none"/>
          <w:lang w:val="zh-CN"/>
        </w:rPr>
        <w:t>下浮率的方式进行报价，结算时按招标文件有关结算原则计算后再按建安工程费</w:t>
      </w:r>
      <w:r>
        <w:rPr>
          <w:rFonts w:hint="eastAsia" w:asciiTheme="minorEastAsia" w:hAnsiTheme="minorEastAsia" w:eastAsiaTheme="minorEastAsia" w:cstheme="minorEastAsia"/>
          <w:color w:val="auto"/>
          <w:szCs w:val="24"/>
          <w:highlight w:val="none"/>
          <w:lang w:val="en-US" w:eastAsia="zh-CN"/>
        </w:rPr>
        <w:t>投</w:t>
      </w:r>
      <w:r>
        <w:rPr>
          <w:rFonts w:hint="eastAsia" w:asciiTheme="minorEastAsia" w:hAnsiTheme="minorEastAsia" w:eastAsiaTheme="minorEastAsia" w:cstheme="minorEastAsia"/>
          <w:color w:val="auto"/>
          <w:szCs w:val="24"/>
          <w:highlight w:val="none"/>
          <w:lang w:val="zh-CN"/>
        </w:rPr>
        <w:t>标下浮率下浮。</w:t>
      </w:r>
    </w:p>
    <w:p w14:paraId="4E61EC64">
      <w:pPr>
        <w:spacing w:line="360" w:lineRule="auto"/>
        <w:ind w:firstLine="570"/>
        <w:rPr>
          <w:rFonts w:hint="eastAsia" w:asciiTheme="minorEastAsia" w:hAnsiTheme="minorEastAsia" w:eastAsiaTheme="minorEastAsia" w:cstheme="minorEastAsia"/>
          <w:b/>
          <w:bCs/>
          <w:color w:val="auto"/>
          <w:szCs w:val="24"/>
          <w:highlight w:val="none"/>
          <w:u w:val="single"/>
          <w:lang w:val="zh-CN" w:eastAsia="zh-CN"/>
        </w:rPr>
      </w:pPr>
      <w:r>
        <w:rPr>
          <w:rFonts w:hint="eastAsia" w:asciiTheme="minorEastAsia" w:hAnsiTheme="minorEastAsia" w:eastAsiaTheme="minorEastAsia" w:cstheme="minorEastAsia"/>
          <w:b/>
          <w:bCs/>
          <w:color w:val="auto"/>
          <w:szCs w:val="24"/>
          <w:highlight w:val="none"/>
          <w:u w:val="single"/>
          <w:lang w:val="zh-CN" w:eastAsia="zh-CN"/>
        </w:rPr>
        <w:t>建安工程费投标报价=报价基数×（1-投标下浮率）</w:t>
      </w:r>
    </w:p>
    <w:p w14:paraId="64C960E0">
      <w:pPr>
        <w:spacing w:line="360" w:lineRule="auto"/>
        <w:ind w:firstLine="570"/>
        <w:rPr>
          <w:rFonts w:hint="eastAsia" w:asciiTheme="minorEastAsia" w:hAnsiTheme="minorEastAsia" w:eastAsiaTheme="minorEastAsia" w:cstheme="minorEastAsia"/>
          <w:color w:val="auto"/>
          <w:szCs w:val="24"/>
          <w:highlight w:val="none"/>
          <w:lang w:val="zh-CN"/>
        </w:rPr>
      </w:pPr>
      <w:r>
        <w:rPr>
          <w:rFonts w:hint="eastAsia" w:asciiTheme="minorEastAsia" w:hAnsiTheme="minorEastAsia" w:eastAsiaTheme="minorEastAsia" w:cstheme="minorEastAsia"/>
          <w:color w:val="auto"/>
          <w:szCs w:val="24"/>
          <w:highlight w:val="none"/>
          <w:lang w:val="zh-CN"/>
        </w:rPr>
        <w:t>如投标人的建安工程费用投标报价下浮率高于15%时，投标人必须在投标报价书中另行作出详细合理的书面说明并提供相关证明材料供评标委员会评审，否则评标委员会将认定该投标人以低于成本报价竞标。</w:t>
      </w:r>
    </w:p>
    <w:p w14:paraId="2357C26F">
      <w:pPr>
        <w:spacing w:line="360" w:lineRule="auto"/>
        <w:ind w:firstLine="570"/>
        <w:rPr>
          <w:rFonts w:hint="eastAsia" w:asciiTheme="minorEastAsia" w:hAnsiTheme="minorEastAsia" w:eastAsiaTheme="minorEastAsia" w:cstheme="minorEastAsia"/>
          <w:color w:val="auto"/>
          <w:szCs w:val="24"/>
          <w:highlight w:val="none"/>
          <w:lang w:val="zh-CN"/>
        </w:rPr>
      </w:pPr>
      <w:r>
        <w:rPr>
          <w:rFonts w:hint="eastAsia" w:asciiTheme="minorEastAsia" w:hAnsiTheme="minorEastAsia" w:eastAsiaTheme="minorEastAsia" w:cstheme="minorEastAsia"/>
          <w:color w:val="auto"/>
          <w:szCs w:val="24"/>
          <w:highlight w:val="none"/>
          <w:lang w:val="zh-CN"/>
        </w:rPr>
        <w:t>建安工程费用的报价应考虑完成招标文件中招标规模、内容及可行性研究报告所规定的所有工程及设备的费用</w:t>
      </w:r>
      <w:r>
        <w:rPr>
          <w:rFonts w:hint="eastAsia" w:asciiTheme="minorEastAsia" w:hAnsiTheme="minorEastAsia" w:eastAsiaTheme="minorEastAsia" w:cstheme="minorEastAsia"/>
          <w:color w:val="auto"/>
          <w:szCs w:val="24"/>
          <w:highlight w:val="none"/>
          <w:lang w:val="zh-CN" w:eastAsia="zh-CN"/>
        </w:rPr>
        <w:t>，</w:t>
      </w:r>
      <w:r>
        <w:rPr>
          <w:rFonts w:hint="eastAsia" w:asciiTheme="minorEastAsia" w:hAnsiTheme="minorEastAsia" w:eastAsiaTheme="minorEastAsia" w:cstheme="minorEastAsia"/>
          <w:color w:val="auto"/>
          <w:szCs w:val="24"/>
          <w:highlight w:val="none"/>
          <w:lang w:val="zh-CN"/>
        </w:rPr>
        <w:t>并承担结算原则中规定的一切风险，还应考虑报建和施工时应由施工单位承担的一切费用、工程一切检测费用（除有文件规定必须招标人支付的费用外）、工程有关档案和影像等整理或制作及向相关部门交取的费用。</w:t>
      </w:r>
    </w:p>
    <w:p w14:paraId="1D5FF0F3">
      <w:pPr>
        <w:spacing w:line="360" w:lineRule="auto"/>
        <w:ind w:firstLine="588" w:firstLineChars="245"/>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9.9.3</w:t>
      </w:r>
      <w:r>
        <w:rPr>
          <w:rFonts w:hint="eastAsia" w:asciiTheme="minorEastAsia" w:hAnsiTheme="minorEastAsia" w:eastAsiaTheme="minorEastAsia" w:cstheme="minorEastAsia"/>
          <w:color w:val="auto"/>
          <w:szCs w:val="24"/>
          <w:highlight w:val="none"/>
        </w:rPr>
        <w:t>预算包干费：根据2018年《广东省市政工程综合定额》、2018年《广东省房屋建筑与装饰工程综合定额》、2018年《广东省通用安装工程综合定额》、2018年《广东省园林绿化工程综合定额》，以各专业分部分项的人工费与施工机具费之和为基础计算预算包干费。本工程的预算包干内容包括：按《广东省建设工程计价依据（2018）》相关规定。</w:t>
      </w:r>
    </w:p>
    <w:p w14:paraId="0805520D">
      <w:pPr>
        <w:spacing w:line="360" w:lineRule="auto"/>
        <w:ind w:firstLine="588" w:firstLineChars="245"/>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9.9.4</w:t>
      </w:r>
      <w:r>
        <w:rPr>
          <w:rFonts w:hint="eastAsia" w:asciiTheme="minorEastAsia" w:hAnsiTheme="minorEastAsia" w:eastAsiaTheme="minorEastAsia" w:cstheme="minorEastAsia"/>
          <w:color w:val="auto"/>
          <w:szCs w:val="24"/>
          <w:highlight w:val="none"/>
        </w:rPr>
        <w:t>投标人在投标报价时，自行考虑高温补贴费、施工视频监控系统费用，专业分包的总包服务及配合费等，并承担相应风险，结算时不另行计取。</w:t>
      </w:r>
    </w:p>
    <w:p w14:paraId="384FD12F">
      <w:pPr>
        <w:spacing w:line="360" w:lineRule="auto"/>
        <w:ind w:firstLine="588" w:firstLineChars="245"/>
        <w:rPr>
          <w:rFonts w:hint="eastAsia" w:asciiTheme="minorEastAsia" w:hAnsiTheme="minorEastAsia" w:eastAsiaTheme="minorEastAsia" w:cstheme="minorEastAsia"/>
          <w:bCs/>
          <w:color w:val="auto"/>
          <w:szCs w:val="24"/>
          <w:highlight w:val="none"/>
        </w:rPr>
      </w:pPr>
      <w:r>
        <w:rPr>
          <w:rFonts w:hint="eastAsia"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val="zh-CN"/>
        </w:rPr>
        <w:t>.</w:t>
      </w:r>
      <w:r>
        <w:rPr>
          <w:rFonts w:hint="eastAsia" w:asciiTheme="minorEastAsia" w:hAnsiTheme="minorEastAsia" w:eastAsiaTheme="minorEastAsia" w:cstheme="minorEastAsia"/>
          <w:color w:val="auto"/>
          <w:highlight w:val="none"/>
        </w:rPr>
        <w:t xml:space="preserve">9.5 </w:t>
      </w:r>
      <w:r>
        <w:rPr>
          <w:rFonts w:hint="eastAsia" w:ascii="Arial" w:hAnsi="Arial" w:eastAsia="宋体" w:cs="Arial"/>
          <w:b/>
          <w:color w:val="auto"/>
          <w:sz w:val="24"/>
          <w:szCs w:val="24"/>
          <w:highlight w:val="none"/>
          <w:u w:val="double"/>
        </w:rPr>
        <w:t>招标人可根据本项目实际情况对规模及内容进行调整或减少，投标人中标后不得因此调整或减少向招标人索赔，并且必须按调整或减少后的规模及内容完成工程建设。投标人在投标报价时需综合考虑该因素并报价。</w:t>
      </w:r>
    </w:p>
    <w:p w14:paraId="5F1356C9">
      <w:pPr>
        <w:pStyle w:val="49"/>
        <w:keepNext/>
        <w:keepLines/>
        <w:spacing w:line="360" w:lineRule="auto"/>
        <w:ind w:firstLine="480"/>
        <w:jc w:val="both"/>
        <w:rPr>
          <w:rFonts w:hint="eastAsia" w:asciiTheme="minorEastAsia" w:hAnsiTheme="minorEastAsia" w:eastAsiaTheme="minorEastAsia" w:cstheme="minorEastAsia"/>
          <w:b/>
          <w:color w:val="auto"/>
          <w:szCs w:val="24"/>
          <w:highlight w:val="none"/>
        </w:rPr>
      </w:pPr>
      <w:bookmarkStart w:id="141" w:name="_Toc13448"/>
      <w:r>
        <w:rPr>
          <w:rFonts w:hint="eastAsia" w:asciiTheme="minorEastAsia" w:hAnsiTheme="minorEastAsia" w:eastAsiaTheme="minorEastAsia" w:cstheme="minorEastAsia"/>
          <w:b/>
          <w:color w:val="auto"/>
          <w:szCs w:val="24"/>
          <w:highlight w:val="none"/>
        </w:rPr>
        <w:t>10、 最高</w:t>
      </w:r>
      <w:r>
        <w:rPr>
          <w:rFonts w:hint="eastAsia" w:asciiTheme="minorEastAsia" w:hAnsiTheme="minorEastAsia" w:eastAsiaTheme="minorEastAsia" w:cstheme="minorEastAsia"/>
          <w:b/>
          <w:color w:val="auto"/>
          <w:kern w:val="2"/>
          <w:highlight w:val="none"/>
        </w:rPr>
        <w:t>投标</w:t>
      </w:r>
      <w:r>
        <w:rPr>
          <w:rFonts w:hint="eastAsia" w:asciiTheme="minorEastAsia" w:hAnsiTheme="minorEastAsia" w:eastAsiaTheme="minorEastAsia" w:cstheme="minorEastAsia"/>
          <w:b/>
          <w:color w:val="auto"/>
          <w:szCs w:val="24"/>
          <w:highlight w:val="none"/>
        </w:rPr>
        <w:t>限价的确定</w:t>
      </w:r>
      <w:bookmarkEnd w:id="141"/>
      <w:bookmarkStart w:id="142" w:name="_Hlt69335617"/>
      <w:bookmarkStart w:id="143" w:name="_Hlt121629839"/>
    </w:p>
    <w:p w14:paraId="25CDED77">
      <w:pPr>
        <w:spacing w:line="360" w:lineRule="auto"/>
        <w:ind w:firstLine="480" w:firstLineChars="200"/>
        <w:rPr>
          <w:rFonts w:hint="eastAsia" w:ascii="宋体" w:hAnsi="宋体" w:eastAsia="宋体" w:cs="宋体"/>
          <w:color w:val="auto"/>
          <w:highlight w:val="none"/>
        </w:rPr>
      </w:pPr>
      <w:bookmarkStart w:id="144" w:name="_Toc29734"/>
      <w:bookmarkStart w:id="145" w:name="_Toc4604"/>
      <w:bookmarkStart w:id="146" w:name="_Toc5483"/>
      <w:bookmarkStart w:id="147" w:name="_Toc13350"/>
      <w:bookmarkStart w:id="148" w:name="_Toc24510"/>
      <w:bookmarkStart w:id="149" w:name="_Toc7307"/>
      <w:bookmarkStart w:id="150" w:name="_Toc15152"/>
      <w:bookmarkStart w:id="151" w:name="_Toc32578"/>
      <w:r>
        <w:rPr>
          <w:rFonts w:hint="eastAsia" w:ascii="宋体" w:hAnsi="宋体" w:eastAsia="宋体" w:cs="宋体"/>
          <w:color w:val="auto"/>
          <w:szCs w:val="21"/>
          <w:highlight w:val="none"/>
        </w:rPr>
        <w:t>经研究确定，本招标项目最高投标限价为人民币：</w:t>
      </w:r>
      <w:r>
        <w:rPr>
          <w:rFonts w:hint="eastAsia" w:hAnsi="宋体" w:eastAsia="宋体" w:cs="宋体"/>
          <w:color w:val="auto"/>
          <w:szCs w:val="21"/>
          <w:highlight w:val="none"/>
          <w:lang w:val="en-US" w:eastAsia="zh-CN"/>
        </w:rPr>
        <w:t>肆拾叁万伍仟玖佰捌拾壹元玖角玖分</w:t>
      </w:r>
      <w:r>
        <w:rPr>
          <w:rFonts w:hint="eastAsia" w:ascii="宋体" w:hAnsi="宋体" w:eastAsia="宋体" w:cs="宋体"/>
          <w:color w:val="auto"/>
          <w:szCs w:val="21"/>
          <w:highlight w:val="none"/>
        </w:rPr>
        <w:t>（¥</w:t>
      </w:r>
      <w:r>
        <w:rPr>
          <w:rFonts w:hint="eastAsia" w:hAnsi="宋体" w:eastAsia="宋体" w:cs="宋体"/>
          <w:color w:val="auto"/>
          <w:szCs w:val="21"/>
          <w:highlight w:val="none"/>
          <w:lang w:val="en-US" w:eastAsia="zh-CN"/>
        </w:rPr>
        <w:t>4335981.99</w:t>
      </w:r>
      <w:r>
        <w:rPr>
          <w:rFonts w:hint="eastAsia" w:ascii="宋体" w:hAnsi="宋体" w:eastAsia="宋体" w:cs="宋体"/>
          <w:color w:val="auto"/>
          <w:szCs w:val="21"/>
          <w:highlight w:val="none"/>
        </w:rPr>
        <w:t>元），其中设计费约</w:t>
      </w:r>
      <w:r>
        <w:rPr>
          <w:rFonts w:hint="eastAsia" w:hAnsi="宋体" w:eastAsia="宋体" w:cs="宋体"/>
          <w:color w:val="auto"/>
          <w:szCs w:val="21"/>
          <w:highlight w:val="none"/>
          <w:lang w:eastAsia="zh-CN"/>
        </w:rPr>
        <w:t>91000.00</w:t>
      </w:r>
      <w:r>
        <w:rPr>
          <w:rFonts w:hint="eastAsia" w:ascii="宋体" w:hAnsi="宋体" w:eastAsia="宋体" w:cs="宋体"/>
          <w:color w:val="auto"/>
          <w:szCs w:val="21"/>
          <w:highlight w:val="none"/>
        </w:rPr>
        <w:t>元、建安工程费</w:t>
      </w:r>
      <w:r>
        <w:rPr>
          <w:rFonts w:hint="eastAsia" w:hAnsi="宋体" w:eastAsia="宋体" w:cs="宋体"/>
          <w:color w:val="auto"/>
          <w:szCs w:val="21"/>
          <w:highlight w:val="none"/>
          <w:lang w:eastAsia="zh-CN"/>
        </w:rPr>
        <w:t>4244981.99</w:t>
      </w:r>
      <w:r>
        <w:rPr>
          <w:rFonts w:hint="eastAsia" w:ascii="宋体" w:hAnsi="宋体" w:eastAsia="宋体" w:cs="宋体"/>
          <w:color w:val="auto"/>
          <w:szCs w:val="21"/>
          <w:highlight w:val="none"/>
        </w:rPr>
        <w:t>元</w:t>
      </w:r>
      <w:r>
        <w:rPr>
          <w:rFonts w:hint="eastAsia" w:hAnsi="宋体" w:eastAsia="宋体" w:cs="宋体"/>
          <w:color w:val="auto"/>
          <w:szCs w:val="21"/>
          <w:highlight w:val="none"/>
          <w:lang w:eastAsia="zh-CN"/>
        </w:rPr>
        <w:t>；</w:t>
      </w:r>
      <w:r>
        <w:rPr>
          <w:rFonts w:hint="eastAsia" w:ascii="宋体" w:hAnsi="宋体" w:eastAsia="宋体" w:cs="宋体"/>
          <w:color w:val="auto"/>
          <w:szCs w:val="21"/>
          <w:highlight w:val="none"/>
        </w:rPr>
        <w:t>具体详见下表：</w:t>
      </w:r>
    </w:p>
    <w:tbl>
      <w:tblPr>
        <w:tblStyle w:val="3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526"/>
        <w:gridCol w:w="1656"/>
        <w:gridCol w:w="1206"/>
        <w:gridCol w:w="1662"/>
        <w:gridCol w:w="3290"/>
      </w:tblGrid>
      <w:tr w14:paraId="4ED4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32" w:type="pct"/>
            <w:noWrap w:val="0"/>
            <w:vAlign w:val="center"/>
          </w:tcPr>
          <w:p w14:paraId="2D94BCEA">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序号</w:t>
            </w:r>
          </w:p>
        </w:tc>
        <w:tc>
          <w:tcPr>
            <w:tcW w:w="779" w:type="pct"/>
            <w:noWrap w:val="0"/>
            <w:vAlign w:val="center"/>
          </w:tcPr>
          <w:p w14:paraId="2305ED8E">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项目名称</w:t>
            </w:r>
          </w:p>
        </w:tc>
        <w:tc>
          <w:tcPr>
            <w:tcW w:w="845" w:type="pct"/>
            <w:noWrap w:val="0"/>
            <w:vAlign w:val="center"/>
          </w:tcPr>
          <w:p w14:paraId="52A2D1AE">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报价基数（元）</w:t>
            </w:r>
          </w:p>
        </w:tc>
        <w:tc>
          <w:tcPr>
            <w:tcW w:w="615" w:type="pct"/>
            <w:noWrap w:val="0"/>
            <w:vAlign w:val="center"/>
          </w:tcPr>
          <w:p w14:paraId="2EDA1167">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投标下浮率</w:t>
            </w:r>
          </w:p>
        </w:tc>
        <w:tc>
          <w:tcPr>
            <w:tcW w:w="848" w:type="pct"/>
            <w:noWrap w:val="0"/>
            <w:vAlign w:val="center"/>
          </w:tcPr>
          <w:p w14:paraId="7F29E108">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最高投标限价（元）</w:t>
            </w:r>
          </w:p>
        </w:tc>
        <w:tc>
          <w:tcPr>
            <w:tcW w:w="1678" w:type="pct"/>
            <w:noWrap w:val="0"/>
            <w:vAlign w:val="center"/>
          </w:tcPr>
          <w:p w14:paraId="07408ACA">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备注</w:t>
            </w:r>
          </w:p>
        </w:tc>
      </w:tr>
      <w:tr w14:paraId="7C2A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2" w:type="pct"/>
            <w:noWrap w:val="0"/>
            <w:vAlign w:val="center"/>
          </w:tcPr>
          <w:p w14:paraId="6B76A406">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1</w:t>
            </w:r>
          </w:p>
        </w:tc>
        <w:tc>
          <w:tcPr>
            <w:tcW w:w="779" w:type="pct"/>
            <w:shd w:val="clear" w:color="auto" w:fill="auto"/>
            <w:noWrap w:val="0"/>
            <w:vAlign w:val="center"/>
          </w:tcPr>
          <w:p w14:paraId="5F06520E">
            <w:pPr>
              <w:widowControl/>
              <w:spacing w:line="360" w:lineRule="auto"/>
              <w:ind w:right="-122" w:rightChars="-51"/>
              <w:jc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rPr>
              <w:t>设计费</w:t>
            </w:r>
          </w:p>
        </w:tc>
        <w:tc>
          <w:tcPr>
            <w:tcW w:w="845" w:type="pct"/>
            <w:shd w:val="clear" w:color="auto" w:fill="auto"/>
            <w:noWrap w:val="0"/>
            <w:vAlign w:val="center"/>
          </w:tcPr>
          <w:p w14:paraId="745C4D48">
            <w:pPr>
              <w:widowControl/>
              <w:spacing w:line="360" w:lineRule="auto"/>
              <w:jc w:val="center"/>
              <w:rPr>
                <w:rFonts w:hint="default" w:ascii="宋体" w:hAnsi="宋体" w:eastAsia="宋体" w:cs="宋体"/>
                <w:color w:val="auto"/>
                <w:kern w:val="2"/>
                <w:sz w:val="24"/>
                <w:highlight w:val="none"/>
                <w:lang w:val="en-US" w:eastAsia="zh-CN" w:bidi="ar-SA"/>
              </w:rPr>
            </w:pPr>
            <w:r>
              <w:rPr>
                <w:rFonts w:hint="eastAsia" w:hAnsi="宋体" w:eastAsia="宋体" w:cs="宋体"/>
                <w:color w:val="auto"/>
                <w:highlight w:val="none"/>
                <w:lang w:val="en-US" w:eastAsia="zh-CN"/>
              </w:rPr>
              <w:t>91000.00</w:t>
            </w:r>
          </w:p>
        </w:tc>
        <w:tc>
          <w:tcPr>
            <w:tcW w:w="615" w:type="pct"/>
            <w:shd w:val="clear" w:color="auto" w:fill="auto"/>
            <w:noWrap w:val="0"/>
            <w:vAlign w:val="center"/>
          </w:tcPr>
          <w:p w14:paraId="6D34F166">
            <w:pPr>
              <w:widowControl/>
              <w:spacing w:line="360" w:lineRule="auto"/>
              <w:jc w:val="center"/>
              <w:rPr>
                <w:rFonts w:hint="eastAsia" w:ascii="Arial" w:hAnsi="Arial" w:cs="Arial" w:eastAsiaTheme="minorEastAsia"/>
                <w:color w:val="auto"/>
                <w:kern w:val="0"/>
                <w:sz w:val="24"/>
                <w:szCs w:val="24"/>
                <w:highlight w:val="none"/>
                <w:lang w:val="en-US" w:eastAsia="zh-CN" w:bidi="ar-SA"/>
              </w:rPr>
            </w:pPr>
            <w:r>
              <w:rPr>
                <w:rFonts w:hint="eastAsia" w:hAnsi="宋体" w:eastAsia="宋体" w:cs="宋体"/>
                <w:color w:val="auto"/>
                <w:kern w:val="1"/>
                <w:sz w:val="24"/>
                <w:szCs w:val="24"/>
                <w:highlight w:val="none"/>
                <w:lang w:val="en-US" w:eastAsia="zh-CN"/>
              </w:rPr>
              <w:t>/</w:t>
            </w:r>
          </w:p>
        </w:tc>
        <w:tc>
          <w:tcPr>
            <w:tcW w:w="848" w:type="pct"/>
            <w:shd w:val="clear" w:color="auto" w:fill="auto"/>
            <w:noWrap w:val="0"/>
            <w:vAlign w:val="center"/>
          </w:tcPr>
          <w:p w14:paraId="7A72B69A">
            <w:pPr>
              <w:widowControl/>
              <w:spacing w:line="360" w:lineRule="auto"/>
              <w:jc w:val="center"/>
              <w:rPr>
                <w:rFonts w:hint="default" w:ascii="宋体" w:hAnsi="宋体" w:eastAsia="宋体" w:cs="宋体"/>
                <w:color w:val="auto"/>
                <w:kern w:val="2"/>
                <w:sz w:val="24"/>
                <w:highlight w:val="none"/>
                <w:lang w:val="en-US" w:eastAsia="zh-CN" w:bidi="ar-SA"/>
              </w:rPr>
            </w:pPr>
            <w:r>
              <w:rPr>
                <w:rFonts w:hint="eastAsia" w:hAnsi="宋体" w:eastAsia="宋体" w:cs="宋体"/>
                <w:color w:val="auto"/>
                <w:highlight w:val="none"/>
                <w:lang w:val="en-US" w:eastAsia="zh-CN"/>
              </w:rPr>
              <w:t>91000.00</w:t>
            </w:r>
          </w:p>
        </w:tc>
        <w:tc>
          <w:tcPr>
            <w:tcW w:w="1678" w:type="pct"/>
            <w:noWrap w:val="0"/>
            <w:vAlign w:val="center"/>
          </w:tcPr>
          <w:p w14:paraId="3ECE0DB4">
            <w:pPr>
              <w:keepNext w:val="0"/>
              <w:keepLines w:val="0"/>
              <w:pageBreakBefore w:val="0"/>
              <w:suppressLineNumbers w:val="0"/>
              <w:kinsoku/>
              <w:wordWrap w:val="0"/>
              <w:overflowPunct/>
              <w:topLinePunct w:val="0"/>
              <w:bidi w:val="0"/>
              <w:adjustRightInd w:val="0"/>
              <w:snapToGrid w:val="0"/>
              <w:spacing w:before="0" w:beforeAutospacing="0" w:after="0" w:afterAutospacing="0" w:line="360" w:lineRule="auto"/>
              <w:ind w:left="0" w:leftChars="0" w:right="0" w:rightChars="0" w:firstLine="480" w:firstLineChars="200"/>
              <w:textAlignment w:val="auto"/>
              <w:rPr>
                <w:rFonts w:hint="eastAsia" w:asciiTheme="minorEastAsia" w:hAnsiTheme="minorEastAsia" w:eastAsiaTheme="minorEastAsia" w:cstheme="minorEastAsia"/>
                <w:color w:val="auto"/>
                <w:kern w:val="0"/>
                <w:sz w:val="24"/>
                <w:szCs w:val="24"/>
                <w:highlight w:val="none"/>
              </w:rPr>
            </w:pPr>
            <w:r>
              <w:rPr>
                <w:rFonts w:hint="eastAsia" w:hAnsi="宋体" w:eastAsia="宋体" w:cs="宋体"/>
                <w:color w:val="auto"/>
                <w:sz w:val="24"/>
                <w:szCs w:val="24"/>
                <w:highlight w:val="none"/>
                <w:lang w:val="en-US" w:eastAsia="zh-CN"/>
              </w:rPr>
              <w:t>在最高投标限价范围内进行报价。设计费的报价应包括招标文件中招标内容（范围）的所有设计工作的所有费用，应包含各个不同专业的设计费用、进行优化设计或修改设计所增加的设计费用、各项专家评审的专家费用、税费等（不含第三方施工图审查费）</w:t>
            </w:r>
          </w:p>
        </w:tc>
      </w:tr>
      <w:tr w14:paraId="675A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32" w:type="pct"/>
            <w:noWrap w:val="0"/>
            <w:vAlign w:val="center"/>
          </w:tcPr>
          <w:p w14:paraId="14F79737">
            <w:pPr>
              <w:widowControl/>
              <w:spacing w:line="360" w:lineRule="auto"/>
              <w:jc w:val="center"/>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2</w:t>
            </w:r>
          </w:p>
        </w:tc>
        <w:tc>
          <w:tcPr>
            <w:tcW w:w="779" w:type="pct"/>
            <w:noWrap w:val="0"/>
            <w:vAlign w:val="center"/>
          </w:tcPr>
          <w:p w14:paraId="231550D9">
            <w:pPr>
              <w:widowControl/>
              <w:spacing w:line="360" w:lineRule="auto"/>
              <w:jc w:val="both"/>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建安工程费</w:t>
            </w:r>
          </w:p>
        </w:tc>
        <w:tc>
          <w:tcPr>
            <w:tcW w:w="845" w:type="pct"/>
            <w:noWrap w:val="0"/>
            <w:vAlign w:val="center"/>
          </w:tcPr>
          <w:p w14:paraId="07823EB0">
            <w:pPr>
              <w:keepNext w:val="0"/>
              <w:keepLines w:val="0"/>
              <w:widowControl/>
              <w:suppressLineNumbers w:val="0"/>
              <w:spacing w:line="360" w:lineRule="auto"/>
              <w:jc w:val="center"/>
              <w:rPr>
                <w:rFonts w:hint="default" w:asciiTheme="minorEastAsia" w:hAnsiTheme="minorEastAsia" w:eastAsiaTheme="minorEastAsia" w:cstheme="minorEastAsia"/>
                <w:color w:val="auto"/>
                <w:kern w:val="0"/>
                <w:sz w:val="24"/>
                <w:szCs w:val="24"/>
                <w:highlight w:val="none"/>
                <w:lang w:val="en-US" w:eastAsia="zh-CN"/>
              </w:rPr>
            </w:pPr>
            <w:r>
              <w:rPr>
                <w:rFonts w:hint="eastAsia" w:hAnsi="宋体" w:eastAsia="宋体" w:cs="宋体"/>
                <w:color w:val="auto"/>
                <w:highlight w:val="none"/>
                <w:lang w:val="en-US" w:eastAsia="zh-CN"/>
              </w:rPr>
              <w:t>4244981.99</w:t>
            </w:r>
          </w:p>
        </w:tc>
        <w:tc>
          <w:tcPr>
            <w:tcW w:w="615" w:type="pct"/>
            <w:noWrap w:val="0"/>
            <w:vAlign w:val="center"/>
          </w:tcPr>
          <w:p w14:paraId="258BC557">
            <w:pPr>
              <w:widowControl/>
              <w:spacing w:line="360"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宋体" w:hAnsi="宋体" w:eastAsia="宋体" w:cs="宋体"/>
                <w:color w:val="auto"/>
                <w:kern w:val="1"/>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lang w:val="en-US" w:eastAsia="zh-CN"/>
              </w:rPr>
              <w:t>0.00%</w:t>
            </w:r>
          </w:p>
        </w:tc>
        <w:tc>
          <w:tcPr>
            <w:tcW w:w="848" w:type="pct"/>
            <w:noWrap w:val="0"/>
            <w:vAlign w:val="center"/>
          </w:tcPr>
          <w:p w14:paraId="08E52D6A">
            <w:pPr>
              <w:widowControl/>
              <w:spacing w:line="360"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hAnsi="宋体" w:eastAsia="宋体" w:cs="宋体"/>
                <w:color w:val="auto"/>
                <w:highlight w:val="none"/>
                <w:lang w:val="en-US" w:eastAsia="zh-CN"/>
              </w:rPr>
              <w:t>4244981.99</w:t>
            </w:r>
          </w:p>
        </w:tc>
        <w:tc>
          <w:tcPr>
            <w:tcW w:w="1678" w:type="pct"/>
            <w:noWrap w:val="0"/>
            <w:vAlign w:val="center"/>
          </w:tcPr>
          <w:p w14:paraId="310342DF">
            <w:pPr>
              <w:pStyle w:val="13"/>
              <w:pageBreakBefore w:val="0"/>
              <w:suppressLineNumbers w:val="0"/>
              <w:kinsoku/>
              <w:overflowPunct/>
              <w:topLinePunct w:val="0"/>
              <w:bidi w:val="0"/>
              <w:spacing w:before="0" w:beforeAutospacing="0" w:after="0" w:afterAutospacing="0" w:line="360" w:lineRule="auto"/>
              <w:ind w:left="0" w:leftChars="0" w:right="0" w:rightChars="0"/>
              <w:textAlignment w:val="auto"/>
              <w:rPr>
                <w:rFonts w:hint="default" w:asciiTheme="minorEastAsia" w:hAnsiTheme="minorEastAsia" w:eastAsiaTheme="minorEastAsia" w:cstheme="minorEastAsia"/>
                <w:color w:val="auto"/>
                <w:kern w:val="0"/>
                <w:sz w:val="24"/>
                <w:szCs w:val="24"/>
                <w:highlight w:val="none"/>
                <w:lang w:val="en-US"/>
              </w:rPr>
            </w:pPr>
            <w:bookmarkStart w:id="152" w:name="_Toc17990"/>
            <w:r>
              <w:rPr>
                <w:rFonts w:hint="eastAsia" w:ascii="宋体" w:hAnsi="宋体" w:eastAsia="宋体" w:cs="宋体"/>
                <w:b w:val="0"/>
                <w:color w:val="auto"/>
                <w:kern w:val="2"/>
                <w:sz w:val="24"/>
                <w:szCs w:val="24"/>
                <w:highlight w:val="none"/>
                <w:lang w:val="en-US" w:eastAsia="zh-CN" w:bidi="ar-SA"/>
              </w:rPr>
              <w:t>报价基数以4244981.99元为暂定价，投标人按最高投标限价自行报总价及投标下浮率。</w:t>
            </w:r>
            <w:bookmarkEnd w:id="152"/>
          </w:p>
        </w:tc>
      </w:tr>
      <w:tr w14:paraId="7437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232" w:type="pct"/>
            <w:noWrap w:val="0"/>
            <w:vAlign w:val="center"/>
          </w:tcPr>
          <w:p w14:paraId="2CB42FE5">
            <w:pPr>
              <w:widowControl/>
              <w:spacing w:line="360" w:lineRule="auto"/>
              <w:jc w:val="center"/>
              <w:rPr>
                <w:rFonts w:hint="default"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3</w:t>
            </w:r>
          </w:p>
        </w:tc>
        <w:tc>
          <w:tcPr>
            <w:tcW w:w="779" w:type="pct"/>
            <w:noWrap w:val="0"/>
            <w:vAlign w:val="center"/>
          </w:tcPr>
          <w:p w14:paraId="53270442">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合计（1+</w:t>
            </w:r>
            <w:r>
              <w:rPr>
                <w:rFonts w:hint="eastAsia" w:asciiTheme="minorEastAsia" w:hAnsiTheme="minorEastAsia" w:eastAsia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color w:val="auto"/>
                <w:kern w:val="0"/>
                <w:sz w:val="24"/>
                <w:szCs w:val="24"/>
                <w:highlight w:val="none"/>
              </w:rPr>
              <w:t>）</w:t>
            </w:r>
          </w:p>
        </w:tc>
        <w:tc>
          <w:tcPr>
            <w:tcW w:w="845" w:type="pct"/>
            <w:noWrap w:val="0"/>
            <w:vAlign w:val="center"/>
          </w:tcPr>
          <w:p w14:paraId="5D4A2FC3">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w:t>
            </w:r>
          </w:p>
        </w:tc>
        <w:tc>
          <w:tcPr>
            <w:tcW w:w="615" w:type="pct"/>
            <w:noWrap w:val="0"/>
            <w:vAlign w:val="center"/>
          </w:tcPr>
          <w:p w14:paraId="7903A0CE">
            <w:pPr>
              <w:widowControl/>
              <w:spacing w:line="360"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w:t>
            </w:r>
          </w:p>
        </w:tc>
        <w:tc>
          <w:tcPr>
            <w:tcW w:w="848" w:type="pct"/>
            <w:noWrap w:val="0"/>
            <w:vAlign w:val="center"/>
          </w:tcPr>
          <w:p w14:paraId="3ED96BAD">
            <w:pPr>
              <w:widowControl/>
              <w:spacing w:line="360" w:lineRule="auto"/>
              <w:jc w:val="center"/>
              <w:rPr>
                <w:rFonts w:hint="default" w:asciiTheme="minorEastAsia" w:hAnsiTheme="minorEastAsia" w:eastAsiaTheme="minorEastAsia" w:cstheme="minorEastAsia"/>
                <w:color w:val="auto"/>
                <w:kern w:val="0"/>
                <w:sz w:val="24"/>
                <w:szCs w:val="24"/>
                <w:highlight w:val="none"/>
                <w:lang w:val="en-US" w:eastAsia="zh-CN"/>
              </w:rPr>
            </w:pPr>
            <w:r>
              <w:rPr>
                <w:rFonts w:hint="default" w:asciiTheme="minorEastAsia" w:hAnsiTheme="minorEastAsia" w:eastAsiaTheme="minorEastAsia" w:cstheme="minorEastAsia"/>
                <w:color w:val="auto"/>
                <w:kern w:val="0"/>
                <w:sz w:val="24"/>
                <w:szCs w:val="24"/>
                <w:highlight w:val="none"/>
                <w:lang w:val="en-US" w:eastAsia="zh-CN"/>
              </w:rPr>
              <w:t>4335981.99</w:t>
            </w:r>
          </w:p>
        </w:tc>
        <w:tc>
          <w:tcPr>
            <w:tcW w:w="1678" w:type="pct"/>
            <w:noWrap w:val="0"/>
            <w:vAlign w:val="center"/>
          </w:tcPr>
          <w:p w14:paraId="58E5CECB">
            <w:pPr>
              <w:widowControl/>
              <w:spacing w:line="360" w:lineRule="auto"/>
              <w:jc w:val="left"/>
              <w:rPr>
                <w:rFonts w:hint="eastAsia" w:asciiTheme="minorEastAsia" w:hAnsiTheme="minorEastAsia" w:eastAsiaTheme="minorEastAsia" w:cstheme="minorEastAsia"/>
                <w:color w:val="auto"/>
                <w:kern w:val="0"/>
                <w:sz w:val="24"/>
                <w:szCs w:val="24"/>
                <w:highlight w:val="none"/>
              </w:rPr>
            </w:pPr>
          </w:p>
        </w:tc>
      </w:tr>
    </w:tbl>
    <w:p w14:paraId="701537A5">
      <w:pPr>
        <w:pStyle w:val="42"/>
        <w:spacing w:line="360" w:lineRule="auto"/>
        <w:rPr>
          <w:rFonts w:ascii="宋体" w:hAnsi="宋体" w:cs="宋体"/>
          <w:color w:val="auto"/>
          <w:sz w:val="24"/>
          <w:highlight w:val="none"/>
          <w:lang w:val="zh-CN"/>
        </w:rPr>
      </w:pPr>
    </w:p>
    <w:p w14:paraId="6D31D07D">
      <w:pPr>
        <w:wordWrap w:val="0"/>
        <w:adjustRightInd w:val="0"/>
        <w:snapToGrid w:val="0"/>
        <w:spacing w:line="360" w:lineRule="auto"/>
        <w:ind w:firstLine="0" w:firstLineChars="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注：投标报价、</w:t>
      </w:r>
      <w:r>
        <w:rPr>
          <w:rFonts w:hint="eastAsia" w:ascii="宋体" w:hAnsi="宋体" w:eastAsia="宋体" w:cs="宋体"/>
          <w:color w:val="auto"/>
          <w:szCs w:val="21"/>
          <w:highlight w:val="none"/>
          <w:lang w:eastAsia="zh-CN"/>
        </w:rPr>
        <w:t>投标下浮</w:t>
      </w:r>
      <w:r>
        <w:rPr>
          <w:rFonts w:hint="eastAsia" w:ascii="宋体" w:hAnsi="宋体" w:eastAsia="宋体" w:cs="宋体"/>
          <w:color w:val="auto"/>
          <w:szCs w:val="21"/>
          <w:highlight w:val="none"/>
        </w:rPr>
        <w:t>率均</w:t>
      </w:r>
      <w:r>
        <w:rPr>
          <w:rFonts w:hint="eastAsia" w:ascii="宋体" w:hAnsi="宋体" w:eastAsia="宋体" w:cs="宋体"/>
          <w:snapToGrid w:val="0"/>
          <w:color w:val="auto"/>
          <w:sz w:val="24"/>
          <w:szCs w:val="24"/>
          <w:highlight w:val="none"/>
        </w:rPr>
        <w:t>按“四舍五入”原则精确到两位小数，建安工程费投标报价=计算基数×（1-下浮率）。</w:t>
      </w:r>
    </w:p>
    <w:p w14:paraId="6B5404F4">
      <w:pPr>
        <w:pStyle w:val="49"/>
        <w:keepNext/>
        <w:keepLines/>
        <w:spacing w:line="360" w:lineRule="auto"/>
        <w:ind w:firstLine="480"/>
        <w:jc w:val="both"/>
        <w:rPr>
          <w:rFonts w:hint="eastAsia" w:asciiTheme="minorEastAsia" w:hAnsiTheme="minorEastAsia" w:eastAsiaTheme="minorEastAsia" w:cstheme="minorEastAsia"/>
          <w:b/>
          <w:color w:val="auto"/>
          <w:szCs w:val="22"/>
          <w:highlight w:val="none"/>
        </w:rPr>
      </w:pPr>
      <w:bookmarkStart w:id="153" w:name="_Toc13564"/>
      <w:r>
        <w:rPr>
          <w:rFonts w:hint="eastAsia" w:asciiTheme="minorEastAsia" w:hAnsiTheme="minorEastAsia" w:eastAsiaTheme="minorEastAsia" w:cstheme="minorEastAsia"/>
          <w:b/>
          <w:color w:val="auto"/>
          <w:szCs w:val="22"/>
          <w:highlight w:val="none"/>
        </w:rPr>
        <w:t>11</w:t>
      </w:r>
      <w:r>
        <w:rPr>
          <w:rFonts w:hint="eastAsia" w:asciiTheme="minorEastAsia" w:hAnsiTheme="minorEastAsia" w:eastAsiaTheme="minorEastAsia" w:cstheme="minorEastAsia"/>
          <w:b/>
          <w:color w:val="auto"/>
          <w:szCs w:val="22"/>
          <w:highlight w:val="none"/>
          <w:lang w:eastAsia="zh-CN"/>
        </w:rPr>
        <w:t>、</w:t>
      </w:r>
      <w:r>
        <w:rPr>
          <w:rFonts w:hint="eastAsia" w:asciiTheme="minorEastAsia" w:hAnsiTheme="minorEastAsia" w:eastAsiaTheme="minorEastAsia" w:cstheme="minorEastAsia"/>
          <w:b/>
          <w:color w:val="auto"/>
          <w:kern w:val="2"/>
          <w:highlight w:val="none"/>
        </w:rPr>
        <w:t>投标</w:t>
      </w:r>
      <w:r>
        <w:rPr>
          <w:rFonts w:hint="eastAsia" w:asciiTheme="minorEastAsia" w:hAnsiTheme="minorEastAsia" w:eastAsiaTheme="minorEastAsia" w:cstheme="minorEastAsia"/>
          <w:b/>
          <w:color w:val="auto"/>
          <w:szCs w:val="22"/>
          <w:highlight w:val="none"/>
        </w:rPr>
        <w:t>文件的编制</w:t>
      </w:r>
      <w:bookmarkStart w:id="154" w:name="_Hlt69332370"/>
      <w:bookmarkEnd w:id="154"/>
      <w:bookmarkStart w:id="155" w:name="_Hlt69208262"/>
      <w:bookmarkEnd w:id="155"/>
      <w:r>
        <w:rPr>
          <w:rFonts w:hint="eastAsia" w:asciiTheme="minorEastAsia" w:hAnsiTheme="minorEastAsia" w:eastAsiaTheme="minorEastAsia" w:cstheme="minorEastAsia"/>
          <w:b/>
          <w:color w:val="auto"/>
          <w:szCs w:val="22"/>
          <w:highlight w:val="none"/>
        </w:rPr>
        <w:t>要求</w:t>
      </w:r>
      <w:bookmarkEnd w:id="144"/>
      <w:bookmarkEnd w:id="145"/>
      <w:bookmarkEnd w:id="146"/>
      <w:bookmarkEnd w:id="147"/>
      <w:bookmarkEnd w:id="148"/>
      <w:bookmarkEnd w:id="149"/>
      <w:bookmarkEnd w:id="150"/>
      <w:bookmarkEnd w:id="151"/>
      <w:bookmarkEnd w:id="153"/>
    </w:p>
    <w:p w14:paraId="4733A61A">
      <w:pPr>
        <w:pStyle w:val="57"/>
        <w:spacing w:line="360" w:lineRule="auto"/>
        <w:ind w:firstLine="482" w:firstLineChars="200"/>
        <w:jc w:val="both"/>
        <w:outlineLvl w:val="9"/>
        <w:rPr>
          <w:rFonts w:hint="eastAsia" w:asciiTheme="minorEastAsia" w:hAnsiTheme="minorEastAsia" w:eastAsiaTheme="minorEastAsia" w:cstheme="minorEastAsia"/>
          <w:b/>
          <w:bCs/>
          <w:snapToGrid w:val="0"/>
          <w:color w:val="auto"/>
          <w:kern w:val="0"/>
          <w:sz w:val="24"/>
          <w:highlight w:val="none"/>
          <w:lang w:val="en-US" w:eastAsia="zh-CN" w:bidi="ar-SA"/>
        </w:rPr>
      </w:pPr>
      <w:bookmarkStart w:id="156" w:name="_Hlt74495594"/>
      <w:bookmarkEnd w:id="156"/>
      <w:bookmarkStart w:id="157" w:name="_Hlt78768224"/>
      <w:bookmarkEnd w:id="157"/>
      <w:bookmarkStart w:id="158" w:name="_Hlt74497202"/>
      <w:bookmarkEnd w:id="158"/>
      <w:bookmarkStart w:id="159" w:name="_Toc25295"/>
      <w:bookmarkStart w:id="160" w:name="_Toc29847"/>
      <w:bookmarkStart w:id="161" w:name="_Toc6695"/>
      <w:bookmarkStart w:id="162" w:name="_Toc20091"/>
      <w:bookmarkStart w:id="163" w:name="_Toc20541"/>
      <w:bookmarkStart w:id="164" w:name="_Toc17330"/>
      <w:bookmarkStart w:id="165" w:name="_Toc9696"/>
      <w:bookmarkStart w:id="166" w:name="_Toc32061"/>
      <w:bookmarkStart w:id="167" w:name="_Toc5566"/>
      <w:bookmarkStart w:id="168" w:name="_Toc31856"/>
      <w:bookmarkStart w:id="169" w:name="_Toc5812"/>
      <w:bookmarkStart w:id="170" w:name="_Toc437"/>
      <w:bookmarkStart w:id="171" w:name="_Toc13462"/>
      <w:bookmarkStart w:id="172" w:name="_Toc12050"/>
      <w:bookmarkStart w:id="173" w:name="_Toc2841"/>
      <w:r>
        <w:rPr>
          <w:rFonts w:hint="eastAsia" w:asciiTheme="minorEastAsia" w:hAnsiTheme="minorEastAsia" w:eastAsiaTheme="minorEastAsia" w:cstheme="minorEastAsia"/>
          <w:b/>
          <w:bCs/>
          <w:snapToGrid w:val="0"/>
          <w:color w:val="auto"/>
          <w:kern w:val="0"/>
          <w:sz w:val="24"/>
          <w:highlight w:val="none"/>
          <w:lang w:val="en-US" w:eastAsia="zh-CN" w:bidi="ar-SA"/>
        </w:rPr>
        <w:t>11.1 一般要求</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7F7FE17B">
      <w:pPr>
        <w:pStyle w:val="55"/>
        <w:spacing w:line="360" w:lineRule="auto"/>
        <w:ind w:firstLineChars="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snapToGrid w:val="0"/>
          <w:color w:val="auto"/>
          <w:kern w:val="0"/>
          <w:highlight w:val="none"/>
        </w:rPr>
        <w:t>投标文件应按第</w:t>
      </w:r>
      <w:r>
        <w:rPr>
          <w:rFonts w:hint="eastAsia" w:asciiTheme="minorEastAsia" w:hAnsiTheme="minorEastAsia" w:eastAsiaTheme="minorEastAsia" w:cstheme="minorEastAsia"/>
          <w:snapToGrid w:val="0"/>
          <w:color w:val="auto"/>
          <w:kern w:val="0"/>
          <w:highlight w:val="none"/>
          <w:lang w:val="en-US" w:eastAsia="zh-CN"/>
        </w:rPr>
        <w:t>六</w:t>
      </w:r>
      <w:r>
        <w:rPr>
          <w:rFonts w:hint="eastAsia" w:asciiTheme="minorEastAsia" w:hAnsiTheme="minorEastAsia" w:eastAsiaTheme="minorEastAsia" w:cstheme="minorEastAsia"/>
          <w:snapToGrid w:val="0"/>
          <w:color w:val="auto"/>
          <w:kern w:val="0"/>
          <w:highlight w:val="none"/>
        </w:rPr>
        <w:t>章投标文件格式规定的内容，投标人提交的投标文件应当使用招标文件所提供的投标文件全部格式。</w:t>
      </w:r>
    </w:p>
    <w:p w14:paraId="5C5A60B4">
      <w:pPr>
        <w:pStyle w:val="47"/>
        <w:spacing w:line="360" w:lineRule="auto"/>
        <w:ind w:firstLine="56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color w:val="auto"/>
          <w:highlight w:val="none"/>
        </w:rPr>
        <w:t>11.1.1</w:t>
      </w:r>
      <w:r>
        <w:rPr>
          <w:rFonts w:hint="eastAsia" w:asciiTheme="minorEastAsia" w:hAnsiTheme="minorEastAsia" w:eastAsiaTheme="minorEastAsia" w:cstheme="minorEastAsia"/>
          <w:snapToGrid w:val="0"/>
          <w:color w:val="auto"/>
          <w:kern w:val="0"/>
          <w:highlight w:val="none"/>
        </w:rPr>
        <w:t>投标人必须响应招标文件，并在充分理解招标人提供的全部文件、设计图纸、资料及现场条件的基础上编制投标文件。因投标文件不符合招标文件的要求而造成的损失和后果，由投标人自行承担。</w:t>
      </w:r>
    </w:p>
    <w:p w14:paraId="1C313306">
      <w:pPr>
        <w:pStyle w:val="47"/>
        <w:spacing w:line="360" w:lineRule="auto"/>
        <w:ind w:firstLine="56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11.1.2</w:t>
      </w:r>
      <w:r>
        <w:rPr>
          <w:rFonts w:hint="eastAsia" w:asciiTheme="minorEastAsia" w:hAnsiTheme="minorEastAsia" w:eastAsiaTheme="minorEastAsia" w:cstheme="minorEastAsia"/>
          <w:snapToGrid w:val="0"/>
          <w:color w:val="auto"/>
          <w:kern w:val="0"/>
          <w:szCs w:val="24"/>
          <w:highlight w:val="none"/>
        </w:rPr>
        <w:t>投标文件包含投标标书、定标文件两个分册。</w:t>
      </w:r>
      <w:r>
        <w:rPr>
          <w:rFonts w:hint="eastAsia" w:asciiTheme="minorEastAsia" w:hAnsiTheme="minorEastAsia" w:eastAsiaTheme="minorEastAsia" w:cstheme="minorEastAsia"/>
          <w:snapToGrid w:val="0"/>
          <w:color w:val="auto"/>
          <w:kern w:val="0"/>
          <w:highlight w:val="none"/>
        </w:rPr>
        <w:t>投标文件在电子投标时全部采用电子文档（中标人自中标通知书发出之日起五个工作日内再提供</w:t>
      </w:r>
      <w:r>
        <w:rPr>
          <w:rFonts w:hint="eastAsia" w:asciiTheme="minorEastAsia" w:hAnsiTheme="minorEastAsia" w:eastAsiaTheme="minorEastAsia" w:cstheme="minorEastAsia"/>
          <w:snapToGrid w:val="0"/>
          <w:color w:val="auto"/>
          <w:kern w:val="0"/>
          <w:highlight w:val="none"/>
          <w:lang w:val="en-US" w:eastAsia="zh-CN"/>
        </w:rPr>
        <w:t>投标时所用的电子文件</w:t>
      </w:r>
      <w:r>
        <w:rPr>
          <w:rFonts w:hint="eastAsia" w:asciiTheme="minorEastAsia" w:hAnsiTheme="minorEastAsia" w:eastAsiaTheme="minorEastAsia" w:cstheme="minorEastAsia"/>
          <w:snapToGrid w:val="0"/>
          <w:color w:val="auto"/>
          <w:kern w:val="0"/>
          <w:highlight w:val="none"/>
        </w:rPr>
        <w:t>正本1份、副本</w:t>
      </w:r>
      <w:r>
        <w:rPr>
          <w:rFonts w:hint="eastAsia" w:asciiTheme="minorEastAsia" w:hAnsiTheme="minorEastAsia" w:eastAsiaTheme="minorEastAsia" w:cstheme="minorEastAsia"/>
          <w:snapToGrid w:val="0"/>
          <w:color w:val="auto"/>
          <w:kern w:val="0"/>
          <w:highlight w:val="none"/>
          <w:lang w:val="en-US" w:eastAsia="zh-CN"/>
        </w:rPr>
        <w:t>1</w:t>
      </w:r>
      <w:r>
        <w:rPr>
          <w:rFonts w:hint="eastAsia" w:asciiTheme="minorEastAsia" w:hAnsiTheme="minorEastAsia" w:eastAsiaTheme="minorEastAsia" w:cstheme="minorEastAsia"/>
          <w:snapToGrid w:val="0"/>
          <w:color w:val="auto"/>
          <w:kern w:val="0"/>
          <w:highlight w:val="none"/>
        </w:rPr>
        <w:t>份的纸质版投标文件给招标人存档），投标文件所附证书证件均为原件彩色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r>
        <w:rPr>
          <w:rFonts w:hint="eastAsia" w:asciiTheme="minorEastAsia" w:hAnsiTheme="minorEastAsia" w:eastAsiaTheme="minorEastAsia" w:cstheme="minorEastAsia"/>
          <w:color w:val="auto"/>
          <w:highlight w:val="none"/>
        </w:rPr>
        <w:t>（注：组成联合体时，只须加盖联合体牵头人的公章，联合体其它成员可不盖章）。</w:t>
      </w:r>
    </w:p>
    <w:p w14:paraId="6567A5AF">
      <w:pPr>
        <w:pStyle w:val="47"/>
        <w:spacing w:line="360" w:lineRule="auto"/>
        <w:ind w:firstLine="56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11.1.3 投标文件需按以下要求签字、盖章：</w:t>
      </w:r>
    </w:p>
    <w:p w14:paraId="0B6E3BC9">
      <w:pPr>
        <w:pStyle w:val="47"/>
        <w:spacing w:line="360" w:lineRule="auto"/>
        <w:ind w:firstLine="56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电子投标文件：</w:t>
      </w:r>
    </w:p>
    <w:p w14:paraId="2C642CB7">
      <w:pPr>
        <w:pStyle w:val="47"/>
        <w:spacing w:line="360" w:lineRule="auto"/>
        <w:ind w:firstLine="56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11.1.3.1 投标文件封面、组成内容中凡注明“签字”处由要求的人员签字或电子签章；凡注明“签字或盖章”处由要求的人员签字或盖其私章（电子印章）；凡注明“签字并盖执业印章”处由要求的人员签字并盖其执业印章。</w:t>
      </w:r>
    </w:p>
    <w:p w14:paraId="3A299D90">
      <w:pPr>
        <w:pStyle w:val="47"/>
        <w:spacing w:line="360" w:lineRule="auto"/>
        <w:ind w:firstLine="56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11.1.3.2 投标文件封套、封面、组成内容中凡要求录入投标人名称且注明“盖单位章”处盖单位法人公章（电子印章）</w:t>
      </w:r>
    </w:p>
    <w:p w14:paraId="154E8AFF">
      <w:pPr>
        <w:pStyle w:val="47"/>
        <w:spacing w:line="360" w:lineRule="auto"/>
        <w:ind w:firstLine="56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11.1.3.3 投标文件的签字均为签字人本人亲笔署名或签章（电子印章），其余部分的彩色扫描件无须另行签字、盖章。</w:t>
      </w:r>
    </w:p>
    <w:p w14:paraId="194AEBA4">
      <w:pPr>
        <w:pStyle w:val="47"/>
        <w:spacing w:line="360" w:lineRule="auto"/>
        <w:ind w:firstLine="560"/>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snapToGrid w:val="0"/>
          <w:color w:val="auto"/>
          <w:kern w:val="0"/>
          <w:highlight w:val="none"/>
        </w:rPr>
        <w:t>11.1.3.4 联合体投标的，除《联合体协议书》外，由联合体牵头人按以上要求签字（电子印章）、盖章（电子印章）即可。</w:t>
      </w:r>
      <w:bookmarkStart w:id="174" w:name="_Toc274313880"/>
      <w:bookmarkStart w:id="175" w:name="_Toc257031159"/>
    </w:p>
    <w:p w14:paraId="11FE250F">
      <w:pPr>
        <w:pStyle w:val="57"/>
        <w:spacing w:line="360" w:lineRule="auto"/>
        <w:ind w:firstLine="482" w:firstLineChars="200"/>
        <w:jc w:val="both"/>
        <w:outlineLvl w:val="9"/>
        <w:rPr>
          <w:rFonts w:hint="eastAsia" w:asciiTheme="minorEastAsia" w:hAnsiTheme="minorEastAsia" w:eastAsiaTheme="minorEastAsia" w:cstheme="minorEastAsia"/>
          <w:b/>
          <w:bCs/>
          <w:snapToGrid w:val="0"/>
          <w:color w:val="auto"/>
          <w:kern w:val="0"/>
          <w:sz w:val="24"/>
          <w:highlight w:val="none"/>
          <w:lang w:val="en-US" w:eastAsia="zh-CN" w:bidi="ar-SA"/>
        </w:rPr>
      </w:pPr>
      <w:bookmarkStart w:id="176" w:name="_Toc6622"/>
      <w:bookmarkStart w:id="177" w:name="_Toc27670"/>
      <w:bookmarkStart w:id="178" w:name="_Toc38"/>
      <w:bookmarkStart w:id="179" w:name="_Toc26859"/>
      <w:bookmarkStart w:id="180" w:name="_Toc8355"/>
      <w:bookmarkStart w:id="181" w:name="_Toc18076"/>
      <w:bookmarkStart w:id="182" w:name="_Toc16107"/>
      <w:bookmarkStart w:id="183" w:name="_Toc27606"/>
      <w:bookmarkStart w:id="184" w:name="_Toc17946"/>
      <w:bookmarkStart w:id="185" w:name="_Toc23484"/>
      <w:bookmarkStart w:id="186" w:name="_Toc25273"/>
      <w:bookmarkStart w:id="187" w:name="_Toc18670"/>
      <w:bookmarkStart w:id="188" w:name="_Toc26289"/>
      <w:bookmarkStart w:id="189" w:name="_Toc29894"/>
      <w:bookmarkStart w:id="190" w:name="_Toc4699"/>
      <w:r>
        <w:rPr>
          <w:rFonts w:hint="eastAsia" w:asciiTheme="minorEastAsia" w:hAnsiTheme="minorEastAsia" w:eastAsiaTheme="minorEastAsia" w:cstheme="minorEastAsia"/>
          <w:b/>
          <w:bCs/>
          <w:snapToGrid w:val="0"/>
          <w:color w:val="auto"/>
          <w:kern w:val="0"/>
          <w:sz w:val="24"/>
          <w:highlight w:val="none"/>
          <w:lang w:val="en-US" w:eastAsia="zh-CN" w:bidi="ar-SA"/>
        </w:rPr>
        <w:t xml:space="preserve">11.2 </w:t>
      </w:r>
      <w:bookmarkEnd w:id="174"/>
      <w:bookmarkEnd w:id="175"/>
      <w:bookmarkEnd w:id="176"/>
      <w:bookmarkEnd w:id="177"/>
      <w:bookmarkEnd w:id="178"/>
      <w:bookmarkEnd w:id="179"/>
      <w:bookmarkEnd w:id="180"/>
      <w:bookmarkEnd w:id="181"/>
      <w:bookmarkEnd w:id="182"/>
      <w:bookmarkEnd w:id="183"/>
      <w:r>
        <w:rPr>
          <w:rFonts w:hint="eastAsia" w:asciiTheme="minorEastAsia" w:hAnsiTheme="minorEastAsia" w:eastAsiaTheme="minorEastAsia" w:cstheme="minorEastAsia"/>
          <w:b/>
          <w:bCs/>
          <w:snapToGrid w:val="0"/>
          <w:color w:val="auto"/>
          <w:kern w:val="0"/>
          <w:sz w:val="24"/>
          <w:highlight w:val="none"/>
          <w:lang w:val="en-US" w:eastAsia="zh-CN" w:bidi="ar-SA"/>
        </w:rPr>
        <w:t>投标标书的编制要求</w:t>
      </w:r>
      <w:bookmarkEnd w:id="184"/>
      <w:bookmarkEnd w:id="185"/>
      <w:bookmarkEnd w:id="186"/>
      <w:bookmarkEnd w:id="187"/>
      <w:bookmarkEnd w:id="188"/>
      <w:bookmarkEnd w:id="189"/>
      <w:bookmarkEnd w:id="190"/>
    </w:p>
    <w:p w14:paraId="5516FD77">
      <w:pPr>
        <w:pStyle w:val="47"/>
        <w:spacing w:line="360" w:lineRule="auto"/>
        <w:ind w:firstLine="561"/>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11.2.1 投标标书包括但不限于以下内容：</w:t>
      </w:r>
    </w:p>
    <w:p w14:paraId="16F4BF3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（1）封面（格式一）；</w:t>
      </w:r>
    </w:p>
    <w:p w14:paraId="3D596251">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（2）目录； </w:t>
      </w:r>
    </w:p>
    <w:p w14:paraId="72457639">
      <w:pPr>
        <w:wordWrap w:val="0"/>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snapToGrid w:val="0"/>
          <w:color w:val="auto"/>
          <w:kern w:val="0"/>
          <w:szCs w:val="24"/>
          <w:highlight w:val="none"/>
        </w:rPr>
        <w:t>（3）《投标函》及《工程项目总价表》（格式二）；</w:t>
      </w:r>
    </w:p>
    <w:p w14:paraId="42DD483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（4）《各项承诺一览表》（格式三）；</w:t>
      </w:r>
    </w:p>
    <w:p w14:paraId="30E6580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（5）《授权委托书》（格式四）；</w:t>
      </w:r>
    </w:p>
    <w:p w14:paraId="051A315E">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（6）《法定代表人身份证明》（格式五）；</w:t>
      </w:r>
    </w:p>
    <w:p w14:paraId="0581DFB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（7）《联合体协议书》（格式六）及所附资料；</w:t>
      </w:r>
    </w:p>
    <w:p w14:paraId="11BECBF3">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（8）投标保证缴纳证明（</w:t>
      </w:r>
      <w:r>
        <w:rPr>
          <w:rFonts w:hint="eastAsia" w:asciiTheme="minorEastAsia" w:hAnsiTheme="minorEastAsia" w:eastAsiaTheme="minorEastAsia" w:cstheme="minorEastAsia"/>
          <w:snapToGrid w:val="0"/>
          <w:color w:val="auto"/>
          <w:kern w:val="0"/>
          <w:szCs w:val="18"/>
          <w:highlight w:val="none"/>
        </w:rPr>
        <w:t>投标人采用投标保证金的，附建设工程交易系统《缴纳投标保证金通知书》页面截图和银行转账单</w:t>
      </w:r>
      <w:r>
        <w:rPr>
          <w:rFonts w:hint="eastAsia" w:asciiTheme="minorEastAsia" w:hAnsiTheme="minorEastAsia" w:eastAsiaTheme="minorEastAsia" w:cstheme="minorEastAsia"/>
          <w:snapToGrid w:val="0"/>
          <w:color w:val="auto"/>
          <w:kern w:val="0"/>
          <w:szCs w:val="18"/>
          <w:highlight w:val="none"/>
          <w:lang w:val="en-US" w:eastAsia="zh-CN"/>
        </w:rPr>
        <w:t>彩色扫描</w:t>
      </w:r>
      <w:r>
        <w:rPr>
          <w:rFonts w:hint="eastAsia" w:asciiTheme="minorEastAsia" w:hAnsiTheme="minorEastAsia" w:eastAsiaTheme="minorEastAsia" w:cstheme="minorEastAsia"/>
          <w:snapToGrid w:val="0"/>
          <w:color w:val="auto"/>
          <w:kern w:val="0"/>
          <w:szCs w:val="18"/>
          <w:highlight w:val="none"/>
        </w:rPr>
        <w:t>件；采用投标保证担保的，附银行保函</w:t>
      </w:r>
      <w:r>
        <w:rPr>
          <w:rFonts w:hint="eastAsia" w:asciiTheme="minorEastAsia" w:hAnsiTheme="minorEastAsia" w:eastAsiaTheme="minorEastAsia" w:cstheme="minorEastAsia"/>
          <w:snapToGrid w:val="0"/>
          <w:color w:val="auto"/>
          <w:kern w:val="0"/>
          <w:szCs w:val="18"/>
          <w:highlight w:val="none"/>
          <w:lang w:val="en-US" w:eastAsia="zh-CN"/>
        </w:rPr>
        <w:t>彩色扫描件</w:t>
      </w:r>
      <w:r>
        <w:rPr>
          <w:rFonts w:hint="eastAsia" w:asciiTheme="minorEastAsia" w:hAnsiTheme="minorEastAsia" w:eastAsiaTheme="minorEastAsia" w:cstheme="minorEastAsia"/>
          <w:snapToGrid w:val="0"/>
          <w:color w:val="auto"/>
          <w:kern w:val="0"/>
          <w:szCs w:val="18"/>
          <w:highlight w:val="none"/>
        </w:rPr>
        <w:t>；采用投标保证保险的，附电子保单和</w:t>
      </w:r>
      <w:r>
        <w:rPr>
          <w:rFonts w:hint="eastAsia" w:asciiTheme="minorEastAsia" w:hAnsiTheme="minorEastAsia" w:eastAsiaTheme="minorEastAsia" w:cstheme="minorEastAsia"/>
          <w:b w:val="0"/>
          <w:bCs w:val="0"/>
          <w:color w:val="auto"/>
          <w:szCs w:val="24"/>
          <w:highlight w:val="none"/>
        </w:rPr>
        <w:t>《韶关市公共资源交易一体化平台保证金缴纳信息》</w:t>
      </w:r>
      <w:r>
        <w:rPr>
          <w:rFonts w:hint="eastAsia" w:asciiTheme="minorEastAsia" w:hAnsiTheme="minorEastAsia" w:eastAsiaTheme="minorEastAsia" w:cstheme="minorEastAsia"/>
          <w:b w:val="0"/>
          <w:bCs w:val="0"/>
          <w:snapToGrid w:val="0"/>
          <w:color w:val="auto"/>
          <w:kern w:val="0"/>
          <w:szCs w:val="18"/>
          <w:highlight w:val="none"/>
        </w:rPr>
        <w:t>页面截图</w:t>
      </w:r>
      <w:r>
        <w:rPr>
          <w:rFonts w:hint="eastAsia" w:asciiTheme="minorEastAsia" w:hAnsiTheme="minorEastAsia" w:eastAsiaTheme="minorEastAsia" w:cstheme="minorEastAsia"/>
          <w:snapToGrid w:val="0"/>
          <w:color w:val="auto"/>
          <w:kern w:val="0"/>
          <w:szCs w:val="24"/>
          <w:highlight w:val="none"/>
        </w:rPr>
        <w:t>）。</w:t>
      </w:r>
    </w:p>
    <w:p w14:paraId="209ACE12">
      <w:pPr>
        <w:wordWrap w:val="0"/>
        <w:adjustRightInd w:val="0"/>
        <w:snapToGrid w:val="0"/>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snapToGrid w:val="0"/>
          <w:color w:val="auto"/>
          <w:kern w:val="0"/>
          <w:szCs w:val="24"/>
          <w:highlight w:val="none"/>
        </w:rPr>
        <w:t>（9）《投标人基本情况表》（格式七）及所附资料；</w:t>
      </w:r>
    </w:p>
    <w:p w14:paraId="46EE9D72">
      <w:pPr>
        <w:wordWrap w:val="0"/>
        <w:adjustRightInd w:val="0"/>
        <w:snapToGrid w:val="0"/>
        <w:spacing w:line="360" w:lineRule="auto"/>
        <w:ind w:firstLine="480" w:firstLineChars="200"/>
        <w:rPr>
          <w:rFonts w:hint="eastAsia" w:asciiTheme="minorEastAsia" w:hAnsiTheme="minorEastAsia" w:eastAsiaTheme="minorEastAsia" w:cstheme="minorEastAsia"/>
          <w:strike/>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（10）《项目经理简历表》（格式八）及所附资料；</w:t>
      </w:r>
    </w:p>
    <w:p w14:paraId="5BA3EC6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（11）《项目经理任职声明》（格式九）；</w:t>
      </w:r>
    </w:p>
    <w:p w14:paraId="6BAD79D1">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（12）《项目技术负责人简历表》（格式十）及所附资料；</w:t>
      </w:r>
    </w:p>
    <w:p w14:paraId="798E521F">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（13）《项目设计负责人简历表》（格式十一）及所附资料；</w:t>
      </w:r>
    </w:p>
    <w:p w14:paraId="13704F8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w:t>
      </w:r>
      <w:r>
        <w:rPr>
          <w:rFonts w:hint="eastAsia" w:asciiTheme="minorEastAsia" w:hAnsiTheme="minorEastAsia" w:eastAsiaTheme="minorEastAsia" w:cstheme="minorEastAsia"/>
          <w:snapToGrid w:val="0"/>
          <w:color w:val="auto"/>
          <w:kern w:val="0"/>
          <w:szCs w:val="24"/>
          <w:highlight w:val="none"/>
          <w:lang w:val="en-US" w:eastAsia="zh-CN"/>
        </w:rPr>
        <w:t>4</w:t>
      </w:r>
      <w:r>
        <w:rPr>
          <w:rFonts w:hint="eastAsia" w:asciiTheme="minorEastAsia" w:hAnsiTheme="minorEastAsia" w:eastAsiaTheme="minorEastAsia" w:cstheme="minorEastAsia"/>
          <w:snapToGrid w:val="0"/>
          <w:color w:val="auto"/>
          <w:kern w:val="0"/>
          <w:szCs w:val="24"/>
          <w:highlight w:val="none"/>
        </w:rPr>
        <w:t>）《项目管理机构组成表》（格式十</w:t>
      </w:r>
      <w:r>
        <w:rPr>
          <w:rFonts w:hint="eastAsia" w:asciiTheme="minorEastAsia" w:hAnsiTheme="minorEastAsia" w:eastAsiaTheme="minorEastAsia" w:cstheme="minorEastAsia"/>
          <w:snapToGrid w:val="0"/>
          <w:color w:val="auto"/>
          <w:kern w:val="0"/>
          <w:szCs w:val="24"/>
          <w:highlight w:val="none"/>
          <w:lang w:val="en-US" w:eastAsia="zh-CN"/>
        </w:rPr>
        <w:t xml:space="preserve">二 </w:t>
      </w:r>
      <w:r>
        <w:rPr>
          <w:rFonts w:hint="eastAsia" w:asciiTheme="minorEastAsia" w:hAnsiTheme="minorEastAsia" w:eastAsiaTheme="minorEastAsia" w:cstheme="minorEastAsia"/>
          <w:snapToGrid w:val="0"/>
          <w:color w:val="auto"/>
          <w:kern w:val="0"/>
          <w:szCs w:val="24"/>
          <w:highlight w:val="none"/>
        </w:rPr>
        <w:t>）及所附资料；</w:t>
      </w:r>
    </w:p>
    <w:p w14:paraId="14453957">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w:t>
      </w:r>
      <w:r>
        <w:rPr>
          <w:rFonts w:hint="eastAsia" w:asciiTheme="minorEastAsia" w:hAnsiTheme="minorEastAsia" w:eastAsiaTheme="minorEastAsia" w:cstheme="minorEastAsia"/>
          <w:snapToGrid w:val="0"/>
          <w:color w:val="auto"/>
          <w:kern w:val="0"/>
          <w:szCs w:val="24"/>
          <w:highlight w:val="none"/>
          <w:lang w:val="en-US" w:eastAsia="zh-CN"/>
        </w:rPr>
        <w:t>5</w:t>
      </w:r>
      <w:r>
        <w:rPr>
          <w:rFonts w:hint="eastAsia" w:asciiTheme="minorEastAsia" w:hAnsiTheme="minorEastAsia" w:eastAsiaTheme="minorEastAsia" w:cstheme="minorEastAsia"/>
          <w:snapToGrid w:val="0"/>
          <w:color w:val="auto"/>
          <w:kern w:val="0"/>
          <w:szCs w:val="24"/>
          <w:highlight w:val="none"/>
        </w:rPr>
        <w:t>）本章第14.2目“评标方法”要求提供的评审资料（如有）；</w:t>
      </w:r>
    </w:p>
    <w:p w14:paraId="0FE86B70">
      <w:pPr>
        <w:pStyle w:val="47"/>
        <w:spacing w:line="360" w:lineRule="auto"/>
        <w:ind w:firstLine="480" w:firstLineChars="200"/>
        <w:rPr>
          <w:rFonts w:hint="eastAsia" w:asciiTheme="minorEastAsia" w:hAnsiTheme="minorEastAsia" w:eastAsiaTheme="minorEastAsia" w:cstheme="minorEastAsia"/>
          <w:color w:val="auto"/>
          <w:szCs w:val="18"/>
          <w:highlight w:val="none"/>
        </w:rPr>
      </w:pPr>
      <w:r>
        <w:rPr>
          <w:rFonts w:hint="eastAsia" w:asciiTheme="minorEastAsia" w:hAnsiTheme="minorEastAsia" w:eastAsiaTheme="minorEastAsia" w:cstheme="minorEastAsia"/>
          <w:snapToGrid w:val="0"/>
          <w:color w:val="auto"/>
          <w:kern w:val="0"/>
          <w:szCs w:val="24"/>
          <w:highlight w:val="none"/>
        </w:rPr>
        <w:t>（1</w:t>
      </w:r>
      <w:r>
        <w:rPr>
          <w:rFonts w:hint="eastAsia" w:asciiTheme="minorEastAsia" w:hAnsiTheme="minorEastAsia" w:eastAsiaTheme="minorEastAsia" w:cstheme="minorEastAsia"/>
          <w:snapToGrid w:val="0"/>
          <w:color w:val="auto"/>
          <w:kern w:val="0"/>
          <w:szCs w:val="24"/>
          <w:highlight w:val="none"/>
          <w:lang w:val="en-US" w:eastAsia="zh-CN"/>
        </w:rPr>
        <w:t>6</w:t>
      </w:r>
      <w:r>
        <w:rPr>
          <w:rFonts w:hint="eastAsia" w:asciiTheme="minorEastAsia" w:hAnsiTheme="minorEastAsia" w:eastAsiaTheme="minorEastAsia" w:cstheme="minorEastAsia"/>
          <w:snapToGrid w:val="0"/>
          <w:color w:val="auto"/>
          <w:kern w:val="0"/>
          <w:szCs w:val="24"/>
          <w:highlight w:val="none"/>
        </w:rPr>
        <w:t>）投标人认为有必要补充的其他资料。（例如投标人已经工商变更，但其企业资质证书、安全生产许可证或其员工执业资格注册证书上的企业名称未能在投标期间完成变更的书面说明和佐证材料；外省企业所在省、地级市</w:t>
      </w:r>
      <w:r>
        <w:rPr>
          <w:rFonts w:hint="eastAsia" w:asciiTheme="minorEastAsia" w:hAnsiTheme="minorEastAsia" w:eastAsiaTheme="minorEastAsia" w:cstheme="minorEastAsia"/>
          <w:snapToGrid w:val="0"/>
          <w:color w:val="auto"/>
          <w:kern w:val="0"/>
          <w:szCs w:val="24"/>
          <w:highlight w:val="none"/>
          <w:lang w:eastAsia="zh-CN"/>
        </w:rPr>
        <w:t>住房和城乡建设部</w:t>
      </w:r>
      <w:r>
        <w:rPr>
          <w:rFonts w:hint="eastAsia" w:asciiTheme="minorEastAsia" w:hAnsiTheme="minorEastAsia" w:eastAsiaTheme="minorEastAsia" w:cstheme="minorEastAsia"/>
          <w:snapToGrid w:val="0"/>
          <w:color w:val="auto"/>
          <w:kern w:val="0"/>
          <w:szCs w:val="24"/>
          <w:highlight w:val="none"/>
        </w:rPr>
        <w:t>门或其授权的组织（机构）关于企业资质、人员资格有效期自动顺延或延期办理的相关文件等；关于投标总价下浮率超过15%的书面说明和佐证材料）。</w:t>
      </w:r>
    </w:p>
    <w:p w14:paraId="2091977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color w:val="auto"/>
          <w:szCs w:val="24"/>
          <w:highlight w:val="none"/>
        </w:rPr>
        <w:t>11.2.</w:t>
      </w:r>
      <w:r>
        <w:rPr>
          <w:rFonts w:hint="eastAsia" w:asciiTheme="minorEastAsia" w:hAnsiTheme="minorEastAsia" w:eastAsiaTheme="minorEastAsia" w:cstheme="minorEastAsia"/>
          <w:snapToGrid w:val="0"/>
          <w:color w:val="auto"/>
          <w:kern w:val="0"/>
          <w:szCs w:val="24"/>
          <w:highlight w:val="none"/>
        </w:rPr>
        <w:t>2 本章第</w:t>
      </w:r>
      <w:r>
        <w:rPr>
          <w:rFonts w:hint="eastAsia" w:asciiTheme="minorEastAsia" w:hAnsiTheme="minorEastAsia" w:eastAsiaTheme="minorEastAsia" w:cstheme="minorEastAsia"/>
          <w:b/>
          <w:bCs/>
          <w:snapToGrid w:val="0"/>
          <w:color w:val="auto"/>
          <w:kern w:val="0"/>
          <w:szCs w:val="24"/>
          <w:highlight w:val="none"/>
        </w:rPr>
        <w:t>11.2.1</w:t>
      </w:r>
      <w:r>
        <w:rPr>
          <w:rFonts w:hint="eastAsia" w:asciiTheme="minorEastAsia" w:hAnsiTheme="minorEastAsia" w:eastAsiaTheme="minorEastAsia" w:cstheme="minorEastAsia"/>
          <w:snapToGrid w:val="0"/>
          <w:color w:val="auto"/>
          <w:kern w:val="0"/>
          <w:szCs w:val="24"/>
          <w:highlight w:val="none"/>
        </w:rPr>
        <w:t>目中所列出的投标标书组成内容中，第（1）至第（1</w:t>
      </w:r>
      <w:r>
        <w:rPr>
          <w:rFonts w:hint="eastAsia" w:asciiTheme="minorEastAsia" w:hAnsiTheme="minorEastAsia" w:eastAsiaTheme="minorEastAsia" w:cstheme="minorEastAsia"/>
          <w:snapToGrid w:val="0"/>
          <w:color w:val="auto"/>
          <w:kern w:val="0"/>
          <w:szCs w:val="24"/>
          <w:highlight w:val="none"/>
          <w:lang w:val="en-US" w:eastAsia="zh-CN"/>
        </w:rPr>
        <w:t>4</w:t>
      </w:r>
      <w:r>
        <w:rPr>
          <w:rFonts w:hint="eastAsia" w:asciiTheme="minorEastAsia" w:hAnsiTheme="minorEastAsia" w:eastAsiaTheme="minorEastAsia" w:cstheme="minorEastAsia"/>
          <w:snapToGrid w:val="0"/>
          <w:color w:val="auto"/>
          <w:kern w:val="0"/>
          <w:szCs w:val="24"/>
          <w:highlight w:val="none"/>
        </w:rPr>
        <w:t>）项所有投标人均应提供，</w:t>
      </w:r>
      <w:r>
        <w:rPr>
          <w:rFonts w:hint="eastAsia" w:asciiTheme="minorEastAsia" w:hAnsiTheme="minorEastAsia" w:eastAsiaTheme="minorEastAsia" w:cstheme="minorEastAsia"/>
          <w:b/>
          <w:bCs/>
          <w:snapToGrid w:val="0"/>
          <w:color w:val="auto"/>
          <w:kern w:val="0"/>
          <w:szCs w:val="24"/>
          <w:highlight w:val="none"/>
        </w:rPr>
        <w:t>但非联合体投标的，无需提供第（7）项内容。</w:t>
      </w:r>
    </w:p>
    <w:p w14:paraId="7154588F">
      <w:pPr>
        <w:wordWrap w:val="0"/>
        <w:adjustRightInd w:val="0"/>
        <w:snapToGrid w:val="0"/>
        <w:spacing w:line="360" w:lineRule="auto"/>
        <w:ind w:firstLine="480" w:firstLineChars="20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color w:val="auto"/>
          <w:szCs w:val="24"/>
          <w:highlight w:val="none"/>
        </w:rPr>
        <w:t>11.2.</w:t>
      </w:r>
      <w:r>
        <w:rPr>
          <w:rFonts w:hint="eastAsia" w:asciiTheme="minorEastAsia" w:hAnsiTheme="minorEastAsia" w:eastAsiaTheme="minorEastAsia" w:cstheme="minorEastAsia"/>
          <w:snapToGrid w:val="0"/>
          <w:color w:val="auto"/>
          <w:kern w:val="0"/>
          <w:szCs w:val="24"/>
          <w:highlight w:val="none"/>
        </w:rPr>
        <w:t>3 投标标书的组成内容按本章第</w:t>
      </w:r>
      <w:r>
        <w:rPr>
          <w:rFonts w:hint="eastAsia" w:asciiTheme="minorEastAsia" w:hAnsiTheme="minorEastAsia" w:eastAsiaTheme="minorEastAsia" w:cstheme="minorEastAsia"/>
          <w:b/>
          <w:bCs/>
          <w:snapToGrid w:val="0"/>
          <w:color w:val="auto"/>
          <w:kern w:val="0"/>
          <w:szCs w:val="24"/>
          <w:highlight w:val="none"/>
        </w:rPr>
        <w:t>11.2.1</w:t>
      </w:r>
      <w:r>
        <w:rPr>
          <w:rFonts w:hint="eastAsia" w:asciiTheme="minorEastAsia" w:hAnsiTheme="minorEastAsia" w:eastAsiaTheme="minorEastAsia" w:cstheme="minorEastAsia"/>
          <w:snapToGrid w:val="0"/>
          <w:color w:val="auto"/>
          <w:kern w:val="0"/>
          <w:szCs w:val="24"/>
          <w:highlight w:val="none"/>
        </w:rPr>
        <w:t>目规定的顺序整理、编排后，逐页连续标记页码。</w:t>
      </w:r>
    </w:p>
    <w:p w14:paraId="587FF5A5">
      <w:pPr>
        <w:pStyle w:val="60"/>
        <w:spacing w:line="360" w:lineRule="auto"/>
        <w:ind w:firstLine="482" w:firstLineChars="200"/>
        <w:rPr>
          <w:rFonts w:hint="eastAsia" w:asciiTheme="minorEastAsia" w:hAnsiTheme="minorEastAsia" w:eastAsiaTheme="minorEastAsia" w:cstheme="minorEastAsia"/>
          <w:b/>
          <w:bCs/>
          <w:color w:val="auto"/>
          <w:highlight w:val="none"/>
          <w:u w:val="single"/>
        </w:rPr>
      </w:pPr>
      <w:r>
        <w:rPr>
          <w:rFonts w:hint="eastAsia" w:asciiTheme="minorEastAsia" w:hAnsiTheme="minorEastAsia" w:eastAsiaTheme="minorEastAsia" w:cstheme="minorEastAsia"/>
          <w:b/>
          <w:bCs/>
          <w:color w:val="auto"/>
          <w:highlight w:val="none"/>
          <w:u w:val="single"/>
        </w:rPr>
        <w:t>特别说明：</w:t>
      </w:r>
    </w:p>
    <w:p w14:paraId="61BE12F5">
      <w:pPr>
        <w:pStyle w:val="60"/>
        <w:spacing w:line="360" w:lineRule="auto"/>
        <w:ind w:firstLine="482" w:firstLineChars="200"/>
        <w:rPr>
          <w:rFonts w:hint="eastAsia" w:asciiTheme="minorEastAsia" w:hAnsiTheme="minorEastAsia" w:eastAsiaTheme="minorEastAsia" w:cstheme="minorEastAsia"/>
          <w:b/>
          <w:bCs/>
          <w:color w:val="auto"/>
          <w:highlight w:val="none"/>
          <w:u w:val="single"/>
        </w:rPr>
      </w:pPr>
      <w:r>
        <w:rPr>
          <w:rFonts w:hint="eastAsia" w:asciiTheme="minorEastAsia" w:hAnsiTheme="minorEastAsia" w:eastAsiaTheme="minorEastAsia" w:cstheme="minorEastAsia"/>
          <w:b/>
          <w:bCs/>
          <w:color w:val="auto"/>
          <w:highlight w:val="none"/>
          <w:u w:val="single"/>
        </w:rPr>
        <w:t>1、本次招标投标时不要求编制施工组织设计。中标人中标后先按有关规定及要求提供设计成果文件，中标人设计成果确认经有关部门的审查及经有资质的审图机构审查合格通过，中标人还应编制施工组织设计及专项施工方案报监理及招标人审批，然后依据审图合格后的设计施工图编写施工组织设计，报有关部门审查批准后方可实施；中标人须向招标人提供经批准的施工组织设计一式五份。</w:t>
      </w:r>
    </w:p>
    <w:p w14:paraId="4DFD96F3">
      <w:pPr>
        <w:pStyle w:val="60"/>
        <w:spacing w:line="360" w:lineRule="auto"/>
        <w:ind w:firstLine="482" w:firstLineChars="200"/>
        <w:rPr>
          <w:rFonts w:hint="eastAsia" w:asciiTheme="minorEastAsia" w:hAnsiTheme="minorEastAsia" w:eastAsiaTheme="minorEastAsia" w:cstheme="minorEastAsia"/>
          <w:b/>
          <w:bCs/>
          <w:color w:val="auto"/>
          <w:highlight w:val="none"/>
          <w:u w:val="single"/>
        </w:rPr>
      </w:pPr>
      <w:r>
        <w:rPr>
          <w:rFonts w:hint="eastAsia" w:asciiTheme="minorEastAsia" w:hAnsiTheme="minorEastAsia" w:eastAsiaTheme="minorEastAsia" w:cstheme="minorEastAsia"/>
          <w:b/>
          <w:bCs/>
          <w:color w:val="auto"/>
          <w:highlight w:val="none"/>
          <w:u w:val="single"/>
        </w:rPr>
        <w:t>2、本次招标投标时不要求按编制工程量清单计价模式进行投标报价。</w:t>
      </w:r>
    </w:p>
    <w:p w14:paraId="60EF6BA8">
      <w:pPr>
        <w:pStyle w:val="60"/>
        <w:spacing w:line="360" w:lineRule="auto"/>
        <w:ind w:firstLine="482" w:firstLineChars="200"/>
        <w:rPr>
          <w:rFonts w:hint="eastAsia" w:asciiTheme="minorEastAsia" w:hAnsiTheme="minorEastAsia" w:eastAsiaTheme="minorEastAsia" w:cstheme="minorEastAsia"/>
          <w:b/>
          <w:color w:val="auto"/>
          <w:highlight w:val="none"/>
          <w:lang w:val="en-US" w:eastAsia="zh-CN"/>
        </w:rPr>
      </w:pPr>
      <w:bookmarkStart w:id="191" w:name="_Toc11926"/>
      <w:bookmarkStart w:id="192" w:name="_Toc11313"/>
      <w:bookmarkStart w:id="193" w:name="_Toc14130"/>
      <w:bookmarkStart w:id="194" w:name="_Toc1583"/>
      <w:bookmarkStart w:id="195" w:name="_Toc27175"/>
      <w:bookmarkStart w:id="196" w:name="_Toc13003"/>
      <w:bookmarkStart w:id="197" w:name="_Toc17812"/>
      <w:bookmarkStart w:id="198" w:name="_Toc17459"/>
      <w:r>
        <w:rPr>
          <w:rFonts w:hint="eastAsia" w:asciiTheme="minorEastAsia" w:hAnsiTheme="minorEastAsia" w:eastAsiaTheme="minorEastAsia" w:cstheme="minorEastAsia"/>
          <w:b/>
          <w:color w:val="auto"/>
          <w:highlight w:val="none"/>
          <w:lang w:val="en-US" w:eastAsia="zh-CN"/>
        </w:rPr>
        <w:t>11.3定标文件的编制要求：</w:t>
      </w:r>
    </w:p>
    <w:p w14:paraId="4E101411">
      <w:pPr>
        <w:pStyle w:val="60"/>
        <w:spacing w:line="360" w:lineRule="auto"/>
        <w:ind w:firstLine="480" w:firstLineChars="200"/>
        <w:rPr>
          <w:rFonts w:hint="eastAsia" w:asciiTheme="minorEastAsia" w:hAnsiTheme="minorEastAsia" w:eastAsiaTheme="minorEastAsia" w:cstheme="minorEastAsia"/>
          <w:b w:val="0"/>
          <w:bCs/>
          <w:color w:val="auto"/>
          <w:highlight w:val="none"/>
          <w:lang w:val="en-US" w:eastAsia="zh-CN"/>
        </w:rPr>
      </w:pPr>
      <w:r>
        <w:rPr>
          <w:rFonts w:hint="eastAsia" w:asciiTheme="minorEastAsia" w:hAnsiTheme="minorEastAsia" w:eastAsiaTheme="minorEastAsia" w:cstheme="minorEastAsia"/>
          <w:b w:val="0"/>
          <w:bCs/>
          <w:color w:val="auto"/>
          <w:highlight w:val="none"/>
          <w:lang w:val="en-US" w:eastAsia="zh-CN"/>
        </w:rPr>
        <w:t>11.3.1 定标文件包括以下内容：</w:t>
      </w:r>
    </w:p>
    <w:p w14:paraId="385545BD">
      <w:pPr>
        <w:pStyle w:val="60"/>
        <w:spacing w:line="360" w:lineRule="auto"/>
        <w:ind w:firstLine="480" w:firstLineChars="200"/>
        <w:rPr>
          <w:rFonts w:hint="eastAsia" w:asciiTheme="minorEastAsia" w:hAnsiTheme="minorEastAsia" w:eastAsiaTheme="minorEastAsia" w:cstheme="minorEastAsia"/>
          <w:b w:val="0"/>
          <w:bCs/>
          <w:color w:val="auto"/>
          <w:highlight w:val="none"/>
          <w:lang w:val="en-US" w:eastAsia="zh-CN"/>
        </w:rPr>
      </w:pPr>
      <w:r>
        <w:rPr>
          <w:rFonts w:hint="eastAsia" w:asciiTheme="minorEastAsia" w:hAnsiTheme="minorEastAsia" w:eastAsiaTheme="minorEastAsia" w:cstheme="minorEastAsia"/>
          <w:b w:val="0"/>
          <w:bCs/>
          <w:color w:val="auto"/>
          <w:highlight w:val="none"/>
          <w:lang w:val="en-US" w:eastAsia="zh-CN"/>
        </w:rPr>
        <w:t>（1）目录（格式自拟）</w:t>
      </w:r>
    </w:p>
    <w:p w14:paraId="62BCBAA8">
      <w:pPr>
        <w:pStyle w:val="60"/>
        <w:spacing w:line="360" w:lineRule="auto"/>
        <w:ind w:firstLine="480" w:firstLineChars="200"/>
        <w:rPr>
          <w:rFonts w:hint="eastAsia" w:asciiTheme="minorEastAsia" w:hAnsiTheme="minorEastAsia" w:eastAsiaTheme="minorEastAsia" w:cstheme="minorEastAsia"/>
          <w:b w:val="0"/>
          <w:bCs/>
          <w:color w:val="auto"/>
          <w:highlight w:val="none"/>
          <w:lang w:val="en-US" w:eastAsia="zh-CN"/>
        </w:rPr>
      </w:pPr>
      <w:r>
        <w:rPr>
          <w:rFonts w:hint="eastAsia" w:asciiTheme="minorEastAsia" w:hAnsiTheme="minorEastAsia" w:eastAsiaTheme="minorEastAsia" w:cstheme="minorEastAsia"/>
          <w:b w:val="0"/>
          <w:bCs/>
          <w:color w:val="auto"/>
          <w:highlight w:val="none"/>
          <w:lang w:val="en-US" w:eastAsia="zh-CN"/>
        </w:rPr>
        <w:t>（2）定标因素评审资料（格式十六）</w:t>
      </w:r>
    </w:p>
    <w:p w14:paraId="1E6DB416">
      <w:pPr>
        <w:pStyle w:val="60"/>
        <w:spacing w:line="360" w:lineRule="auto"/>
        <w:ind w:firstLine="480" w:firstLineChars="200"/>
        <w:rPr>
          <w:rFonts w:hint="default" w:asciiTheme="minorEastAsia" w:hAnsiTheme="minorEastAsia" w:eastAsiaTheme="minorEastAsia" w:cstheme="minorEastAsia"/>
          <w:b/>
          <w:color w:val="auto"/>
          <w:highlight w:val="none"/>
          <w:lang w:val="en-US" w:eastAsia="zh-CN"/>
        </w:rPr>
      </w:pPr>
      <w:r>
        <w:rPr>
          <w:rFonts w:hint="eastAsia" w:asciiTheme="minorEastAsia" w:hAnsiTheme="minorEastAsia" w:eastAsiaTheme="minorEastAsia" w:cstheme="minorEastAsia"/>
          <w:b w:val="0"/>
          <w:bCs/>
          <w:color w:val="auto"/>
          <w:highlight w:val="none"/>
          <w:lang w:val="en-US" w:eastAsia="zh-CN"/>
        </w:rPr>
        <w:t>11.3.2 本节第11.3.1目中所列出的组成内容中，第（2）项所有投标人均应提供。</w:t>
      </w:r>
    </w:p>
    <w:p w14:paraId="078C7FCC">
      <w:pPr>
        <w:pStyle w:val="60"/>
        <w:spacing w:line="360" w:lineRule="auto"/>
        <w:ind w:firstLine="482" w:firstLineChars="200"/>
        <w:rPr>
          <w:rFonts w:hint="eastAsia" w:asciiTheme="minorEastAsia" w:hAnsiTheme="minorEastAsia" w:eastAsiaTheme="minorEastAsia" w:cstheme="minorEastAsia"/>
          <w:b/>
          <w:snapToGrid w:val="0"/>
          <w:color w:val="auto"/>
          <w:highlight w:val="none"/>
        </w:rPr>
      </w:pPr>
      <w:r>
        <w:rPr>
          <w:rFonts w:hint="eastAsia" w:asciiTheme="minorEastAsia" w:hAnsiTheme="minorEastAsia" w:eastAsiaTheme="minorEastAsia" w:cstheme="minorEastAsia"/>
          <w:b/>
          <w:color w:val="auto"/>
          <w:highlight w:val="none"/>
        </w:rPr>
        <w:t>11.</w:t>
      </w:r>
      <w:bookmarkEnd w:id="191"/>
      <w:bookmarkEnd w:id="192"/>
      <w:bookmarkEnd w:id="193"/>
      <w:bookmarkEnd w:id="194"/>
      <w:bookmarkEnd w:id="195"/>
      <w:bookmarkEnd w:id="196"/>
      <w:bookmarkEnd w:id="197"/>
      <w:bookmarkEnd w:id="198"/>
      <w:r>
        <w:rPr>
          <w:rFonts w:hint="eastAsia" w:asciiTheme="minorEastAsia" w:hAnsiTheme="minorEastAsia" w:eastAsiaTheme="minorEastAsia" w:cstheme="minorEastAsia"/>
          <w:b/>
          <w:color w:val="auto"/>
          <w:highlight w:val="none"/>
          <w:lang w:val="en-US" w:eastAsia="zh-CN"/>
        </w:rPr>
        <w:t>4</w:t>
      </w:r>
      <w:r>
        <w:rPr>
          <w:rFonts w:hint="eastAsia" w:asciiTheme="minorEastAsia" w:hAnsiTheme="minorEastAsia" w:eastAsiaTheme="minorEastAsia" w:cstheme="minorEastAsia"/>
          <w:b/>
          <w:snapToGrid w:val="0"/>
          <w:color w:val="auto"/>
          <w:highlight w:val="none"/>
        </w:rPr>
        <w:t>电子投标</w:t>
      </w:r>
      <w:bookmarkStart w:id="199" w:name="_Hlt66511038"/>
      <w:bookmarkEnd w:id="199"/>
      <w:bookmarkStart w:id="200" w:name="_Hlt88627590"/>
      <w:bookmarkEnd w:id="200"/>
      <w:bookmarkStart w:id="201" w:name="_Hlt66200498"/>
      <w:bookmarkEnd w:id="201"/>
      <w:bookmarkStart w:id="202" w:name="_Toc27961"/>
    </w:p>
    <w:p w14:paraId="57F688F3">
      <w:pPr>
        <w:pStyle w:val="6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11.</w:t>
      </w:r>
      <w:r>
        <w:rPr>
          <w:rFonts w:hint="eastAsia" w:asciiTheme="minorEastAsia" w:hAnsiTheme="minorEastAsia" w:eastAsiaTheme="minorEastAsia" w:cstheme="minorEastAsia"/>
          <w:bCs/>
          <w:color w:val="auto"/>
          <w:highlight w:val="none"/>
          <w:lang w:val="en-US" w:eastAsia="zh-CN"/>
        </w:rPr>
        <w:t>4</w:t>
      </w:r>
      <w:r>
        <w:rPr>
          <w:rFonts w:hint="eastAsia" w:asciiTheme="minorEastAsia" w:hAnsiTheme="minorEastAsia" w:eastAsiaTheme="minorEastAsia" w:cstheme="minorEastAsia"/>
          <w:bCs/>
          <w:color w:val="auto"/>
          <w:highlight w:val="none"/>
        </w:rPr>
        <w:t>.1、在交易平台上传加盖了电子印章的投标文件、录入相关信息及标书页码信息，并提交投标标书（页码起始从封面开始）。提交标书为已加密投标文件。具体操作参照《韶关市公共资源建设工程交易系统-投标人操作指南（电子评标）》。</w:t>
      </w:r>
    </w:p>
    <w:p w14:paraId="77A4A8F3">
      <w:pPr>
        <w:pStyle w:val="6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本项目评标采用全流程电子化进行招标投标（投标人应在交易平台进行编辑投标相关内容、按招标文件电子投标要求上传已加盖电子印章的投标文件，否则将自行承担不利后果）。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5E5D50F7">
      <w:pPr>
        <w:pStyle w:val="6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投标文件完成上传后，投标人应使用 CA 数字证书对投标文件进行文件加密，形成加密的投标文件并提交标书。</w:t>
      </w:r>
    </w:p>
    <w:p w14:paraId="230FCD87">
      <w:pPr>
        <w:pStyle w:val="6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11.</w:t>
      </w:r>
      <w:r>
        <w:rPr>
          <w:rFonts w:hint="eastAsia" w:asciiTheme="minorEastAsia" w:hAnsiTheme="minorEastAsia" w:eastAsiaTheme="minorEastAsia" w:cstheme="minorEastAsia"/>
          <w:bCs/>
          <w:color w:val="auto"/>
          <w:highlight w:val="none"/>
          <w:lang w:val="en-US" w:eastAsia="zh-CN"/>
        </w:rPr>
        <w:t>4</w:t>
      </w:r>
      <w:r>
        <w:rPr>
          <w:rFonts w:hint="eastAsia" w:asciiTheme="minorEastAsia" w:hAnsiTheme="minorEastAsia" w:eastAsiaTheme="minorEastAsia" w:cstheme="minorEastAsia"/>
          <w:bCs/>
          <w:color w:val="auto"/>
          <w:highlight w:val="none"/>
        </w:rPr>
        <w:t>.2电子投标文件的修改、撤回：在提交投标文件截止时间前，投标人可以修改或撤回未解密的电子投标文件，并于提交投标文件截止时间前将重新上传修改后的电子投标文件至交易平台，到达投标文件提交截止时间后投标人不得撤回、补充、修改和更换投标文件。</w:t>
      </w:r>
    </w:p>
    <w:p w14:paraId="0CE1FF3D">
      <w:pPr>
        <w:pStyle w:val="6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11.</w:t>
      </w:r>
      <w:r>
        <w:rPr>
          <w:rFonts w:hint="eastAsia" w:asciiTheme="minorEastAsia" w:hAnsiTheme="minorEastAsia" w:eastAsiaTheme="minorEastAsia" w:cstheme="minorEastAsia"/>
          <w:bCs/>
          <w:color w:val="auto"/>
          <w:highlight w:val="none"/>
          <w:lang w:val="en-US" w:eastAsia="zh-CN"/>
        </w:rPr>
        <w:t>4</w:t>
      </w:r>
      <w:r>
        <w:rPr>
          <w:rFonts w:hint="eastAsia" w:asciiTheme="minorEastAsia" w:hAnsiTheme="minorEastAsia" w:eastAsiaTheme="minorEastAsia" w:cstheme="minorEastAsia"/>
          <w:bCs/>
          <w:color w:val="auto"/>
          <w:highlight w:val="none"/>
        </w:rPr>
        <w:t>.3电子投标及投标解密失败及突发情况的补救方案</w:t>
      </w:r>
    </w:p>
    <w:p w14:paraId="585877D1">
      <w:pPr>
        <w:pStyle w:val="6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11.</w:t>
      </w:r>
      <w:r>
        <w:rPr>
          <w:rFonts w:hint="eastAsia" w:asciiTheme="minorEastAsia" w:hAnsiTheme="minorEastAsia" w:eastAsiaTheme="minorEastAsia" w:cstheme="minorEastAsia"/>
          <w:bCs/>
          <w:color w:val="auto"/>
          <w:highlight w:val="none"/>
          <w:lang w:val="en-US" w:eastAsia="zh-CN"/>
        </w:rPr>
        <w:t>4</w:t>
      </w:r>
      <w:r>
        <w:rPr>
          <w:rFonts w:hint="eastAsia" w:asciiTheme="minorEastAsia" w:hAnsiTheme="minorEastAsia" w:eastAsiaTheme="minorEastAsia" w:cstheme="minorEastAsia"/>
          <w:bCs/>
          <w:color w:val="auto"/>
          <w:highlight w:val="none"/>
        </w:rPr>
        <w:t>.3.1按照交易平台关于全流程电子化项目的相关指南进行操作。详见：全国公共资源交易平台（广东省·韶关市）发布的最新版操作指南。</w:t>
      </w:r>
    </w:p>
    <w:p w14:paraId="42F09261">
      <w:pPr>
        <w:pStyle w:val="6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11.</w:t>
      </w:r>
      <w:r>
        <w:rPr>
          <w:rFonts w:hint="eastAsia" w:asciiTheme="minorEastAsia" w:hAnsiTheme="minorEastAsia" w:eastAsiaTheme="minorEastAsia" w:cstheme="minorEastAsia"/>
          <w:bCs/>
          <w:color w:val="auto"/>
          <w:highlight w:val="none"/>
          <w:lang w:val="en-US" w:eastAsia="zh-CN"/>
        </w:rPr>
        <w:t>4</w:t>
      </w:r>
      <w:r>
        <w:rPr>
          <w:rFonts w:hint="eastAsia" w:asciiTheme="minorEastAsia" w:hAnsiTheme="minorEastAsia" w:eastAsiaTheme="minorEastAsia" w:cstheme="minorEastAsia"/>
          <w:bCs/>
          <w:color w:val="auto"/>
          <w:highlight w:val="none"/>
        </w:rPr>
        <w:t>.3.2补救方案</w:t>
      </w:r>
    </w:p>
    <w:p w14:paraId="2E9342F6">
      <w:pPr>
        <w:pStyle w:val="60"/>
        <w:numPr>
          <w:ilvl w:val="0"/>
          <w:numId w:val="2"/>
        </w:numPr>
        <w:spacing w:line="360" w:lineRule="auto"/>
        <w:ind w:firstLine="480" w:firstLine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highlight w:val="none"/>
        </w:rPr>
        <w:t>投标文件解密失败的补救方案：</w:t>
      </w:r>
      <w:bookmarkStart w:id="203" w:name="_Toc28927"/>
    </w:p>
    <w:p w14:paraId="5CD5D936">
      <w:pPr>
        <w:pStyle w:val="60"/>
        <w:numPr>
          <w:ilvl w:val="0"/>
          <w:numId w:val="0"/>
        </w:numPr>
        <w:spacing w:line="360" w:lineRule="auto"/>
        <w:ind w:firstLine="480" w:firstLine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电子投标文件解密失败且未在规定的时限内按要求成功上传未加密的备用投标文件的，视为无效投标。</w:t>
      </w:r>
      <w:bookmarkEnd w:id="203"/>
      <w:bookmarkStart w:id="204" w:name="_Toc9612"/>
    </w:p>
    <w:p w14:paraId="4A9AE2A5">
      <w:pPr>
        <w:pStyle w:val="60"/>
        <w:numPr>
          <w:ilvl w:val="0"/>
          <w:numId w:val="2"/>
        </w:numPr>
        <w:spacing w:line="360" w:lineRule="auto"/>
        <w:ind w:left="0" w:leftChars="0" w:firstLine="480" w:firstLine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评标时突发情况的补救方案</w:t>
      </w:r>
      <w:bookmarkEnd w:id="204"/>
      <w:bookmarkStart w:id="205" w:name="_Toc6314"/>
      <w:r>
        <w:rPr>
          <w:rFonts w:hint="eastAsia" w:asciiTheme="minorEastAsia" w:hAnsiTheme="minorEastAsia" w:eastAsiaTheme="minorEastAsia" w:cstheme="minorEastAsia"/>
          <w:bCs/>
          <w:color w:val="auto"/>
          <w:kern w:val="2"/>
          <w:highlight w:val="none"/>
          <w:lang w:eastAsia="zh-CN"/>
        </w:rPr>
        <w:t>：</w:t>
      </w:r>
    </w:p>
    <w:p w14:paraId="370AF792">
      <w:pPr>
        <w:pStyle w:val="60"/>
        <w:numPr>
          <w:ilvl w:val="0"/>
          <w:numId w:val="0"/>
        </w:numPr>
        <w:spacing w:line="360" w:lineRule="auto"/>
        <w:ind w:firstLine="480" w:firstLine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bookmarkEnd w:id="205"/>
      <w:bookmarkStart w:id="206" w:name="_Toc10157"/>
    </w:p>
    <w:p w14:paraId="1A3A30C4">
      <w:pPr>
        <w:pStyle w:val="60"/>
        <w:numPr>
          <w:ilvl w:val="0"/>
          <w:numId w:val="2"/>
        </w:numPr>
        <w:spacing w:line="360" w:lineRule="auto"/>
        <w:ind w:left="0" w:leftChars="0" w:firstLine="480" w:firstLine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除发生上述情况外，开标评标均以投标人通过交易平台网上递交的电子投标文件为准。</w:t>
      </w:r>
      <w:bookmarkEnd w:id="206"/>
      <w:bookmarkStart w:id="207" w:name="_Toc12675"/>
    </w:p>
    <w:p w14:paraId="1B7B6ECD">
      <w:pPr>
        <w:pStyle w:val="60"/>
        <w:numPr>
          <w:ilvl w:val="0"/>
          <w:numId w:val="0"/>
        </w:numPr>
        <w:spacing w:line="360" w:lineRule="auto"/>
        <w:ind w:leftChars="200"/>
        <w:rPr>
          <w:rFonts w:hint="eastAsia" w:asciiTheme="minorEastAsia" w:hAnsiTheme="minorEastAsia" w:eastAsiaTheme="minorEastAsia" w:cstheme="minorEastAsia"/>
          <w:b/>
          <w:color w:val="auto"/>
          <w:kern w:val="2"/>
          <w:highlight w:val="none"/>
        </w:rPr>
      </w:pPr>
      <w:r>
        <w:rPr>
          <w:rFonts w:hint="eastAsia" w:asciiTheme="minorEastAsia" w:hAnsiTheme="minorEastAsia" w:eastAsiaTheme="minorEastAsia" w:cstheme="minorEastAsia"/>
          <w:b/>
          <w:color w:val="auto"/>
          <w:kern w:val="2"/>
          <w:highlight w:val="none"/>
        </w:rPr>
        <w:t>11.</w:t>
      </w:r>
      <w:r>
        <w:rPr>
          <w:rFonts w:hint="eastAsia" w:asciiTheme="minorEastAsia" w:hAnsiTheme="minorEastAsia" w:eastAsiaTheme="minorEastAsia" w:cstheme="minorEastAsia"/>
          <w:b/>
          <w:color w:val="auto"/>
          <w:kern w:val="2"/>
          <w:highlight w:val="none"/>
          <w:lang w:val="en-US" w:eastAsia="zh-CN"/>
        </w:rPr>
        <w:t>5</w:t>
      </w:r>
      <w:r>
        <w:rPr>
          <w:rFonts w:hint="eastAsia" w:asciiTheme="minorEastAsia" w:hAnsiTheme="minorEastAsia" w:eastAsiaTheme="minorEastAsia" w:cstheme="minorEastAsia"/>
          <w:b/>
          <w:color w:val="auto"/>
          <w:kern w:val="2"/>
          <w:highlight w:val="none"/>
        </w:rPr>
        <w:t xml:space="preserve"> 投标文件的提交、修改和撤回</w:t>
      </w:r>
      <w:bookmarkEnd w:id="202"/>
      <w:bookmarkEnd w:id="207"/>
      <w:bookmarkStart w:id="208" w:name="_Hlt74494779"/>
      <w:bookmarkEnd w:id="208"/>
      <w:bookmarkStart w:id="209" w:name="_Hlt69699424"/>
      <w:bookmarkEnd w:id="209"/>
      <w:bookmarkStart w:id="210" w:name="_Hlt92512875"/>
      <w:bookmarkEnd w:id="210"/>
      <w:bookmarkStart w:id="211" w:name="_Hlt66608380"/>
      <w:bookmarkEnd w:id="211"/>
      <w:bookmarkStart w:id="212" w:name="_Hlt75685366"/>
      <w:bookmarkEnd w:id="212"/>
      <w:bookmarkStart w:id="213" w:name="_Toc24469"/>
      <w:bookmarkStart w:id="214" w:name="_Toc4483"/>
      <w:bookmarkStart w:id="215" w:name="_Toc22741"/>
      <w:bookmarkStart w:id="216" w:name="_Toc7631"/>
      <w:bookmarkStart w:id="217" w:name="_Toc104711075"/>
      <w:bookmarkStart w:id="218" w:name="_Toc106418820"/>
      <w:bookmarkStart w:id="219" w:name="_Toc30635"/>
      <w:bookmarkStart w:id="220" w:name="_Toc3050"/>
      <w:bookmarkStart w:id="221" w:name="_Toc28454"/>
      <w:bookmarkStart w:id="222" w:name="_Toc9838"/>
      <w:bookmarkStart w:id="223" w:name="_Toc24322"/>
    </w:p>
    <w:p w14:paraId="012D5A77">
      <w:pPr>
        <w:pStyle w:val="60"/>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.1在投标文件提交截止时间前，投标人通过交易平台提交已加密投标文件。逾期提交的电子投标文件，交易平台将予以拒收。</w:t>
      </w:r>
      <w:bookmarkEnd w:id="213"/>
      <w:bookmarkStart w:id="224" w:name="_Toc25103"/>
    </w:p>
    <w:p w14:paraId="19A13F2B">
      <w:pPr>
        <w:pStyle w:val="60"/>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.2提交时间：见本章第二节“重要事项时间地点一览表”。</w:t>
      </w:r>
      <w:bookmarkEnd w:id="224"/>
      <w:bookmarkStart w:id="225" w:name="_Toc9791"/>
    </w:p>
    <w:p w14:paraId="5D5E2591">
      <w:pPr>
        <w:pStyle w:val="60"/>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.3投标人无须进行现场签到，如有招标文件要求提交的用于评审的证书、证件、证明原件等投标相关资料，投标人可在规定的地点、时间内递交至开标现场（附一式两份清单），无原件的不作要求。</w:t>
      </w:r>
      <w:bookmarkEnd w:id="225"/>
      <w:bookmarkStart w:id="226" w:name="_Toc25029"/>
    </w:p>
    <w:p w14:paraId="66D42C80">
      <w:pPr>
        <w:pStyle w:val="60"/>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.4 递交时间和地点：见本章第二节“重要事项时间地点一览表”。</w:t>
      </w:r>
      <w:bookmarkEnd w:id="226"/>
      <w:bookmarkStart w:id="227" w:name="_Toc5665"/>
    </w:p>
    <w:p w14:paraId="0B2460FC">
      <w:pPr>
        <w:pStyle w:val="60"/>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.5 投标人代表到达现场后，应出示以下身份证明材料：</w:t>
      </w:r>
      <w:bookmarkEnd w:id="227"/>
      <w:bookmarkStart w:id="228" w:name="_Toc1714"/>
    </w:p>
    <w:p w14:paraId="1D0EAFB6">
      <w:pPr>
        <w:pStyle w:val="60"/>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（1）本人有效的第二代居民身份证；</w:t>
      </w:r>
      <w:bookmarkEnd w:id="228"/>
      <w:bookmarkStart w:id="229" w:name="_Toc1212"/>
      <w:bookmarkStart w:id="230" w:name="_Toc22519"/>
      <w:bookmarkStart w:id="231" w:name="_Toc30210"/>
    </w:p>
    <w:p w14:paraId="7D6D8C0E">
      <w:pPr>
        <w:pStyle w:val="60"/>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（2）法定代表人到场的，出示《法定代表人身份证明》（格式五）；委托代理人到场的，应同时出示《授权委托书》（格式四）和《法定代表人身份证明》。</w:t>
      </w:r>
      <w:bookmarkEnd w:id="229"/>
      <w:bookmarkEnd w:id="230"/>
      <w:bookmarkEnd w:id="231"/>
      <w:bookmarkStart w:id="232" w:name="_Toc29016"/>
      <w:bookmarkStart w:id="233" w:name="_Toc3014"/>
      <w:bookmarkStart w:id="234" w:name="_Toc8927"/>
    </w:p>
    <w:p w14:paraId="31CA0B38">
      <w:pPr>
        <w:pStyle w:val="60"/>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.6联合体投标的，由联合体牵头人按以上要求递交投标相关资料。</w:t>
      </w:r>
      <w:bookmarkEnd w:id="232"/>
      <w:bookmarkEnd w:id="233"/>
      <w:bookmarkEnd w:id="234"/>
      <w:bookmarkStart w:id="235" w:name="_Toc13703"/>
      <w:bookmarkStart w:id="236" w:name="_Toc16539"/>
      <w:bookmarkStart w:id="237" w:name="_Toc13697"/>
    </w:p>
    <w:p w14:paraId="3B5C6ACD">
      <w:pPr>
        <w:pStyle w:val="60"/>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.7招标人或其授权的招标代理机构核对、接收投标人递交的投标相关资料后，应并妥善保管。</w:t>
      </w:r>
      <w:bookmarkEnd w:id="235"/>
      <w:bookmarkEnd w:id="236"/>
      <w:bookmarkEnd w:id="237"/>
      <w:bookmarkStart w:id="238" w:name="_Toc6708"/>
      <w:bookmarkStart w:id="239" w:name="_Toc5287"/>
      <w:bookmarkStart w:id="240" w:name="_Toc20579"/>
    </w:p>
    <w:p w14:paraId="2B4D9868">
      <w:pPr>
        <w:pStyle w:val="60"/>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.8 投标人发生以下情形的，其投标相关资料招标人不予接收：</w:t>
      </w:r>
      <w:bookmarkEnd w:id="238"/>
      <w:bookmarkEnd w:id="239"/>
      <w:bookmarkEnd w:id="240"/>
      <w:bookmarkStart w:id="241" w:name="_Toc31045"/>
      <w:bookmarkStart w:id="242" w:name="_Toc32603"/>
      <w:bookmarkStart w:id="243" w:name="_Toc18916"/>
    </w:p>
    <w:p w14:paraId="67FFA51A">
      <w:pPr>
        <w:pStyle w:val="60"/>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（1）未在指定的时间和地点递交的；</w:t>
      </w:r>
      <w:bookmarkEnd w:id="241"/>
      <w:bookmarkEnd w:id="242"/>
      <w:bookmarkEnd w:id="243"/>
      <w:bookmarkStart w:id="244" w:name="_Toc15124"/>
      <w:bookmarkStart w:id="245" w:name="_Toc17194"/>
      <w:bookmarkStart w:id="246" w:name="_Toc15823"/>
    </w:p>
    <w:p w14:paraId="4CB70762">
      <w:pPr>
        <w:pStyle w:val="60"/>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（2）到场人员未出示身份证明材料的。</w:t>
      </w:r>
      <w:bookmarkEnd w:id="244"/>
      <w:bookmarkEnd w:id="245"/>
      <w:bookmarkEnd w:id="246"/>
      <w:bookmarkStart w:id="247" w:name="_Toc2022"/>
      <w:bookmarkStart w:id="248" w:name="_Toc23037"/>
      <w:bookmarkStart w:id="249" w:name="_Toc17679"/>
    </w:p>
    <w:p w14:paraId="6966CCDE">
      <w:pPr>
        <w:pStyle w:val="60"/>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.9出现下述情形之一，属于未成功提交投标文件，按无效投标处理：</w:t>
      </w:r>
      <w:bookmarkEnd w:id="247"/>
      <w:bookmarkEnd w:id="248"/>
      <w:bookmarkEnd w:id="249"/>
      <w:bookmarkStart w:id="250" w:name="_Toc30279"/>
      <w:bookmarkStart w:id="251" w:name="_Toc27579"/>
      <w:bookmarkStart w:id="252" w:name="_Toc22805"/>
    </w:p>
    <w:p w14:paraId="3AA61B1E">
      <w:pPr>
        <w:pStyle w:val="47"/>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（1）至提交投标文件截止时，投标文件未完整上传或未提交投标；</w:t>
      </w:r>
      <w:bookmarkEnd w:id="250"/>
      <w:bookmarkEnd w:id="251"/>
      <w:bookmarkEnd w:id="252"/>
      <w:bookmarkStart w:id="253" w:name="_Toc26257"/>
      <w:bookmarkStart w:id="254" w:name="_Toc1293"/>
      <w:bookmarkStart w:id="255" w:name="_Toc17052"/>
    </w:p>
    <w:p w14:paraId="453F948A">
      <w:pPr>
        <w:pStyle w:val="47"/>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（2）投标文件未按投标格式中注明需签字盖章的要求进行签名（含电子签名）和加盖电子印章，或签名（含电子签名）或电子印章不完整的；</w:t>
      </w:r>
      <w:bookmarkEnd w:id="253"/>
      <w:bookmarkEnd w:id="254"/>
      <w:bookmarkEnd w:id="255"/>
    </w:p>
    <w:p w14:paraId="3B470C9B">
      <w:pPr>
        <w:pStyle w:val="47"/>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bookmarkStart w:id="256" w:name="_Toc7367"/>
      <w:bookmarkStart w:id="257" w:name="_Toc23907"/>
      <w:bookmarkStart w:id="258" w:name="_Toc444"/>
      <w:r>
        <w:rPr>
          <w:rFonts w:hint="eastAsia" w:asciiTheme="minorEastAsia" w:hAnsiTheme="minorEastAsia" w:eastAsiaTheme="minorEastAsia" w:cstheme="minorEastAsia"/>
          <w:snapToGrid w:val="0"/>
          <w:color w:val="auto"/>
          <w:kern w:val="0"/>
          <w:szCs w:val="24"/>
          <w:highlight w:val="none"/>
        </w:rPr>
        <w:t>（3）解密失败且在规定时间内未重新提交投标文件的；</w:t>
      </w:r>
      <w:bookmarkEnd w:id="256"/>
      <w:bookmarkEnd w:id="257"/>
      <w:bookmarkEnd w:id="258"/>
    </w:p>
    <w:p w14:paraId="1B20CC6E">
      <w:pPr>
        <w:pStyle w:val="47"/>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bookmarkStart w:id="259" w:name="_Toc13"/>
      <w:bookmarkStart w:id="260" w:name="_Toc21719"/>
      <w:bookmarkStart w:id="261" w:name="_Toc26444"/>
      <w:r>
        <w:rPr>
          <w:rFonts w:hint="eastAsia" w:asciiTheme="minorEastAsia" w:hAnsiTheme="minorEastAsia" w:eastAsiaTheme="minorEastAsia" w:cstheme="minorEastAsia"/>
          <w:snapToGrid w:val="0"/>
          <w:color w:val="auto"/>
          <w:kern w:val="0"/>
          <w:szCs w:val="24"/>
          <w:highlight w:val="none"/>
        </w:rPr>
        <w:t>（4）投标文件损坏或格式不正确的。</w:t>
      </w:r>
      <w:bookmarkEnd w:id="259"/>
      <w:bookmarkEnd w:id="260"/>
      <w:bookmarkEnd w:id="261"/>
    </w:p>
    <w:p w14:paraId="67B53C5C">
      <w:pPr>
        <w:pStyle w:val="49"/>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262" w:name="_Toc3124"/>
      <w:bookmarkStart w:id="263" w:name="_Toc23010"/>
      <w:r>
        <w:rPr>
          <w:rFonts w:hint="eastAsia" w:asciiTheme="minorEastAsia" w:hAnsiTheme="minorEastAsia" w:eastAsiaTheme="minorEastAsia" w:cstheme="minorEastAsia"/>
          <w:b/>
          <w:color w:val="auto"/>
          <w:kern w:val="2"/>
          <w:highlight w:val="none"/>
        </w:rPr>
        <w:t>12、 投标有效期及对投标人的其他要求</w:t>
      </w:r>
      <w:bookmarkEnd w:id="214"/>
      <w:bookmarkEnd w:id="215"/>
      <w:bookmarkEnd w:id="216"/>
      <w:bookmarkEnd w:id="217"/>
      <w:bookmarkEnd w:id="218"/>
      <w:bookmarkEnd w:id="219"/>
      <w:bookmarkEnd w:id="220"/>
      <w:bookmarkEnd w:id="221"/>
      <w:bookmarkEnd w:id="222"/>
      <w:bookmarkEnd w:id="223"/>
      <w:bookmarkEnd w:id="262"/>
      <w:bookmarkEnd w:id="263"/>
    </w:p>
    <w:p w14:paraId="22E1045D">
      <w:pPr>
        <w:pStyle w:val="47"/>
        <w:spacing w:line="360" w:lineRule="auto"/>
        <w:ind w:firstLine="48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snapToGrid w:val="0"/>
          <w:color w:val="auto"/>
          <w:kern w:val="0"/>
          <w:szCs w:val="24"/>
          <w:highlight w:val="none"/>
        </w:rPr>
        <w:t>本次招标投标有效期为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u w:val="single"/>
          <w:lang w:val="en-US" w:eastAsia="zh-CN"/>
        </w:rPr>
        <w:t>90</w:t>
      </w:r>
      <w:r>
        <w:rPr>
          <w:rFonts w:hint="eastAsia" w:asciiTheme="minorEastAsia" w:hAnsiTheme="minorEastAsia" w:eastAsiaTheme="minorEastAsia" w:cstheme="minorEastAsia"/>
          <w:snapToGrid w:val="0"/>
          <w:color w:val="auto"/>
          <w:kern w:val="0"/>
          <w:szCs w:val="24"/>
          <w:highlight w:val="none"/>
        </w:rPr>
        <w:t>个日历天，投标有效期从提交投标文件的截止之日起计算。在此期间，投标人不得撤销或修改其投标文件，否则其投标保证不予退还。</w:t>
      </w:r>
    </w:p>
    <w:bookmarkEnd w:id="142"/>
    <w:p w14:paraId="74CE96D9">
      <w:pPr>
        <w:pStyle w:val="49"/>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264" w:name="_Hlt111081624"/>
      <w:bookmarkEnd w:id="264"/>
      <w:bookmarkStart w:id="265" w:name="_Toc1011"/>
      <w:r>
        <w:rPr>
          <w:rFonts w:hint="eastAsia" w:asciiTheme="minorEastAsia" w:hAnsiTheme="minorEastAsia" w:eastAsiaTheme="minorEastAsia" w:cstheme="minorEastAsia"/>
          <w:b/>
          <w:color w:val="auto"/>
          <w:kern w:val="2"/>
          <w:highlight w:val="none"/>
        </w:rPr>
        <w:t>13</w:t>
      </w:r>
      <w:r>
        <w:rPr>
          <w:rFonts w:hint="eastAsia" w:asciiTheme="minorEastAsia" w:hAnsiTheme="minorEastAsia" w:eastAsiaTheme="minorEastAsia" w:cstheme="minorEastAsia"/>
          <w:b/>
          <w:color w:val="auto"/>
          <w:kern w:val="2"/>
          <w:highlight w:val="none"/>
          <w:lang w:eastAsia="zh-CN"/>
        </w:rPr>
        <w:t>、</w:t>
      </w:r>
      <w:r>
        <w:rPr>
          <w:rFonts w:hint="eastAsia" w:asciiTheme="minorEastAsia" w:hAnsiTheme="minorEastAsia" w:eastAsiaTheme="minorEastAsia" w:cstheme="minorEastAsia"/>
          <w:b/>
          <w:color w:val="auto"/>
          <w:kern w:val="2"/>
          <w:highlight w:val="none"/>
        </w:rPr>
        <w:t>开标</w:t>
      </w:r>
      <w:bookmarkEnd w:id="265"/>
    </w:p>
    <w:p w14:paraId="2802C55F">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13.1 招标人邀请所有正确完成了网上获取招标文件、电子投标、缴纳投标保证、递交投标文件的投标人参加开标，投标人可自主决定是否参加。投标人不参加开标的，视其默认开标结果，以及放弃在开标期间见证、监督、投诉、申辩的权利。</w:t>
      </w:r>
    </w:p>
    <w:p w14:paraId="779F69ED">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13.1.1 开标时间和地点：见本章第二节“重要事项时间地点一览表”。</w:t>
      </w:r>
    </w:p>
    <w:p w14:paraId="207269D7">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13.1.2 开标前24小时，若交易平台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61F07286">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13.1.3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363FEF86">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13.2 开标程序</w:t>
      </w:r>
    </w:p>
    <w:p w14:paraId="0B856965">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（1）主持人（招标人代表或招标人授权的招标代理机构人员）宣读开标纪律。</w:t>
      </w:r>
    </w:p>
    <w:p w14:paraId="4ADB381C">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（2）主持人宣布唱标人、记录人、见证人、监督人等有关人员姓名。</w:t>
      </w:r>
    </w:p>
    <w:p w14:paraId="7CD8EBDF">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（3）唱标人公布在投标截止时间前进行投标文件的投标人数量和名称</w:t>
      </w:r>
    </w:p>
    <w:p w14:paraId="2ECE91B0">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（4）招标代理机构会同交易场所工作人员对投标人的电子投标信息进行解密，建设工程交易系统自动生成《投标保证缴纳情况表》和《开标一览表》。</w:t>
      </w:r>
    </w:p>
    <w:p w14:paraId="47B6CFEB">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温馨提示：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76C7969B">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因本工程采用全流程电子招标投标方式进行招标，投标人在唱标环节为解密唱标时，以网上电子解密唱标信息为准。全流程电子招标投标采用线上评审，以电子投标文件为准。如果两者报价不一致的，视为报价不唯一，其响应性评审不通过。</w:t>
      </w:r>
    </w:p>
    <w:p w14:paraId="778C59D1">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13.3 投标人对开标相关事项（如开标程序等）有异议的，必须在开标期间及时提出，招标人或其授权的招标代理机构应当场作出答复，并记录在案。对开标事项的异议未在开标期间及时提出的，招标人不予受理。</w:t>
      </w:r>
    </w:p>
    <w:p w14:paraId="3EF6B83F">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13.4 招标代理机构将资料原件（若有）、《开标一览表》以及其他有关资料移交评标委员会。</w:t>
      </w:r>
    </w:p>
    <w:p w14:paraId="1B0DB037">
      <w:pPr>
        <w:pStyle w:val="49"/>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266" w:name="_Toc21041"/>
      <w:bookmarkStart w:id="267" w:name="_Toc4053"/>
      <w:r>
        <w:rPr>
          <w:rFonts w:hint="eastAsia" w:asciiTheme="minorEastAsia" w:hAnsiTheme="minorEastAsia" w:eastAsiaTheme="minorEastAsia" w:cstheme="minorEastAsia"/>
          <w:b/>
          <w:color w:val="auto"/>
          <w:kern w:val="2"/>
          <w:highlight w:val="none"/>
        </w:rPr>
        <w:t>14</w:t>
      </w:r>
      <w:bookmarkStart w:id="268" w:name="_Hlt127093805"/>
      <w:bookmarkEnd w:id="268"/>
      <w:r>
        <w:rPr>
          <w:rFonts w:hint="eastAsia" w:asciiTheme="minorEastAsia" w:hAnsiTheme="minorEastAsia" w:eastAsiaTheme="minorEastAsia" w:cstheme="minorEastAsia"/>
          <w:b/>
          <w:color w:val="auto"/>
          <w:kern w:val="2"/>
          <w:highlight w:val="none"/>
          <w:lang w:eastAsia="zh-CN"/>
        </w:rPr>
        <w:t>、</w:t>
      </w:r>
      <w:r>
        <w:rPr>
          <w:rFonts w:hint="eastAsia" w:asciiTheme="minorEastAsia" w:hAnsiTheme="minorEastAsia" w:eastAsiaTheme="minorEastAsia" w:cstheme="minorEastAsia"/>
          <w:b/>
          <w:color w:val="auto"/>
          <w:kern w:val="2"/>
          <w:highlight w:val="none"/>
        </w:rPr>
        <w:t>评标的方法和标准</w:t>
      </w:r>
      <w:bookmarkEnd w:id="266"/>
      <w:bookmarkEnd w:id="267"/>
    </w:p>
    <w:p w14:paraId="354F25F3">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评标分为初步评审和详细评审两个阶段，由评标委员会在有关部门的监督下，严格按照本招标文件指定的评标方法，对投标人的投标文件进行审查、评审。评标委员会完成评标后，向招标人推荐 3 个中标候选人，并向招标人提交由全体评标委员会成员签字的评标报告。</w:t>
      </w:r>
    </w:p>
    <w:p w14:paraId="1B3E43C8">
      <w:pPr>
        <w:pStyle w:val="47"/>
        <w:autoSpaceDE w:val="0"/>
        <w:autoSpaceDN w:val="0"/>
        <w:adjustRightInd w:val="0"/>
        <w:spacing w:line="360" w:lineRule="auto"/>
        <w:ind w:firstLine="482" w:firstLineChars="200"/>
        <w:rPr>
          <w:rFonts w:hint="eastAsia" w:asciiTheme="minorEastAsia" w:hAnsiTheme="minorEastAsia" w:eastAsiaTheme="minorEastAsia" w:cstheme="minorEastAsia"/>
          <w:bCs/>
          <w:color w:val="auto"/>
          <w:highlight w:val="none"/>
        </w:rPr>
      </w:pPr>
      <w:bookmarkStart w:id="269" w:name="_Toc32313"/>
      <w:r>
        <w:rPr>
          <w:rFonts w:hint="eastAsia" w:asciiTheme="minorEastAsia" w:hAnsiTheme="minorEastAsia" w:eastAsiaTheme="minorEastAsia" w:cstheme="minorEastAsia"/>
          <w:b/>
          <w:color w:val="auto"/>
          <w:highlight w:val="none"/>
        </w:rPr>
        <w:t>14.1 评标</w:t>
      </w:r>
      <w:bookmarkStart w:id="270" w:name="_Hlt69208274"/>
      <w:bookmarkEnd w:id="270"/>
      <w:r>
        <w:rPr>
          <w:rFonts w:hint="eastAsia" w:asciiTheme="minorEastAsia" w:hAnsiTheme="minorEastAsia" w:eastAsiaTheme="minorEastAsia" w:cstheme="minorEastAsia"/>
          <w:b/>
          <w:color w:val="auto"/>
          <w:highlight w:val="none"/>
        </w:rPr>
        <w:t>委员会</w:t>
      </w:r>
      <w:bookmarkEnd w:id="269"/>
      <w:bookmarkStart w:id="271" w:name="_Hlt69338169"/>
      <w:bookmarkEnd w:id="271"/>
    </w:p>
    <w:p w14:paraId="0F5EF10D">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14.1.1 评标委员会由5人组成，其中招标人代表0人，专家5人。专家从广东省综合评标评审专家库（韶关区域）中随机抽取，其中技术类专家3人，经济类专家2人。</w:t>
      </w:r>
    </w:p>
    <w:p w14:paraId="246730F3">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14.1.2 评标委员会应认真、公正、诚实、廉洁地履行职责。有下列情形之一的，不得担任评标委员会成员：</w:t>
      </w:r>
    </w:p>
    <w:p w14:paraId="08194B7F">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14.1.2.1 投标人或者投标人主要负责人的近亲属；</w:t>
      </w:r>
    </w:p>
    <w:p w14:paraId="361CDB8D">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14.1.2.2 项目主管部门或者行政监督部门的人员；</w:t>
      </w:r>
    </w:p>
    <w:p w14:paraId="2724129D">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14.1.2.3 与投标人有经济利益关系，可能影响对投标公正评审的；</w:t>
      </w:r>
    </w:p>
    <w:p w14:paraId="4A670AE9">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14.1.2.4 曾因在</w:t>
      </w:r>
      <w:bookmarkStart w:id="272" w:name="_Hlt69700387"/>
      <w:bookmarkEnd w:id="272"/>
      <w:r>
        <w:rPr>
          <w:rFonts w:hint="eastAsia" w:asciiTheme="minorEastAsia" w:hAnsiTheme="minorEastAsia" w:eastAsiaTheme="minorEastAsia" w:cstheme="minorEastAsia"/>
          <w:bCs/>
          <w:color w:val="auto"/>
          <w:highlight w:val="none"/>
        </w:rPr>
        <w:t>招标、评标以及其他与招标投标有关活动中从事违法行为而受过行政处罚或刑事处罚的。</w:t>
      </w:r>
    </w:p>
    <w:p w14:paraId="48BBEE64">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14.1.3 评标委员会成员有前款规定情形之一的，应主动提出回避。</w:t>
      </w:r>
    </w:p>
    <w:p w14:paraId="37A18F78">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14.1.4 评标全过程实行封闭式管理，在中标结果公布前，禁止评标委员会成员以任何方式私下接触投标人。</w:t>
      </w:r>
    </w:p>
    <w:p w14:paraId="36DE5152">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14.1.5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285C75E0">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14.1.6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17BE0C71">
      <w:pPr>
        <w:pStyle w:val="47"/>
        <w:autoSpaceDE w:val="0"/>
        <w:autoSpaceDN w:val="0"/>
        <w:adjustRightInd w:val="0"/>
        <w:spacing w:line="360" w:lineRule="auto"/>
        <w:ind w:firstLine="482" w:firstLineChars="200"/>
        <w:rPr>
          <w:rFonts w:hint="eastAsia" w:asciiTheme="minorEastAsia" w:hAnsiTheme="minorEastAsia" w:eastAsiaTheme="minorEastAsia" w:cstheme="minorEastAsia"/>
          <w:b/>
          <w:color w:val="auto"/>
          <w:highlight w:val="none"/>
        </w:rPr>
      </w:pPr>
      <w:bookmarkStart w:id="273" w:name="_Toc106418823"/>
      <w:bookmarkStart w:id="274" w:name="_Toc104711078"/>
      <w:bookmarkStart w:id="275" w:name="_Toc17385"/>
      <w:r>
        <w:rPr>
          <w:rFonts w:hint="eastAsia" w:asciiTheme="minorEastAsia" w:hAnsiTheme="minorEastAsia" w:eastAsiaTheme="minorEastAsia" w:cstheme="minorEastAsia"/>
          <w:b/>
          <w:color w:val="auto"/>
          <w:highlight w:val="none"/>
        </w:rPr>
        <w:t>14.2</w:t>
      </w:r>
      <w:bookmarkEnd w:id="273"/>
      <w:bookmarkEnd w:id="274"/>
      <w:r>
        <w:rPr>
          <w:rFonts w:hint="eastAsia" w:asciiTheme="minorEastAsia" w:hAnsiTheme="minorEastAsia" w:eastAsiaTheme="minorEastAsia" w:cstheme="minorEastAsia"/>
          <w:b w:val="0"/>
          <w:bCs/>
          <w:color w:val="auto"/>
          <w:highlight w:val="none"/>
        </w:rPr>
        <w:t>评标方法</w:t>
      </w:r>
      <w:bookmarkEnd w:id="275"/>
    </w:p>
    <w:p w14:paraId="46B94855">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bookmarkStart w:id="276" w:name="_Hlt66591657"/>
      <w:bookmarkEnd w:id="276"/>
      <w:r>
        <w:rPr>
          <w:rFonts w:hint="eastAsia" w:asciiTheme="minorEastAsia" w:hAnsiTheme="minorEastAsia" w:eastAsiaTheme="minorEastAsia" w:cstheme="minorEastAsia"/>
          <w:bCs/>
          <w:color w:val="auto"/>
          <w:highlight w:val="none"/>
        </w:rPr>
        <w:t>根据有关法律、法规的相关规定，结合本招标项目资金来源和规模特点，本次招标采用综合评估法进行评标。</w:t>
      </w:r>
    </w:p>
    <w:p w14:paraId="336B55D1">
      <w:pPr>
        <w:pStyle w:val="47"/>
        <w:autoSpaceDE w:val="0"/>
        <w:autoSpaceDN w:val="0"/>
        <w:adjustRightInd w:val="0"/>
        <w:spacing w:line="360" w:lineRule="auto"/>
        <w:ind w:firstLine="482"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
          <w:bCs w:val="0"/>
          <w:color w:val="auto"/>
          <w:highlight w:val="none"/>
        </w:rPr>
        <w:t>14.</w:t>
      </w:r>
      <w:r>
        <w:rPr>
          <w:rFonts w:hint="eastAsia" w:asciiTheme="minorEastAsia" w:hAnsiTheme="minorEastAsia" w:eastAsiaTheme="minorEastAsia" w:cstheme="minorEastAsia"/>
          <w:b/>
          <w:bCs w:val="0"/>
          <w:color w:val="auto"/>
          <w:highlight w:val="none"/>
          <w:lang w:val="en-US" w:eastAsia="zh-CN"/>
        </w:rPr>
        <w:t>3</w:t>
      </w:r>
      <w:r>
        <w:rPr>
          <w:rFonts w:hint="eastAsia" w:asciiTheme="minorEastAsia" w:hAnsiTheme="minorEastAsia" w:eastAsiaTheme="minorEastAsia" w:cstheme="minorEastAsia"/>
          <w:b w:val="0"/>
          <w:bCs/>
          <w:color w:val="auto"/>
          <w:highlight w:val="none"/>
        </w:rPr>
        <w:t>评审范围</w:t>
      </w:r>
      <w:r>
        <w:rPr>
          <w:rFonts w:hint="eastAsia" w:asciiTheme="minorEastAsia" w:hAnsiTheme="minorEastAsia" w:eastAsiaTheme="minorEastAsia" w:cstheme="minorEastAsia"/>
          <w:b/>
          <w:bCs w:val="0"/>
          <w:color w:val="auto"/>
          <w:highlight w:val="none"/>
        </w:rPr>
        <w:t>：</w:t>
      </w:r>
      <w:r>
        <w:rPr>
          <w:rFonts w:hint="eastAsia" w:asciiTheme="minorEastAsia" w:hAnsiTheme="minorEastAsia" w:eastAsiaTheme="minorEastAsia" w:cstheme="minorEastAsia"/>
          <w:bCs/>
          <w:color w:val="auto"/>
          <w:highlight w:val="none"/>
        </w:rPr>
        <w:t>评标委员会应对所有投标人的投标文件进行评审。</w:t>
      </w:r>
    </w:p>
    <w:p w14:paraId="33F2CCB7">
      <w:pPr>
        <w:pStyle w:val="47"/>
        <w:autoSpaceDE w:val="0"/>
        <w:autoSpaceDN w:val="0"/>
        <w:adjustRightInd w:val="0"/>
        <w:spacing w:line="360" w:lineRule="auto"/>
        <w:ind w:firstLine="482"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
          <w:bCs w:val="0"/>
          <w:color w:val="auto"/>
          <w:highlight w:val="none"/>
        </w:rPr>
        <w:t>14.</w:t>
      </w:r>
      <w:r>
        <w:rPr>
          <w:rFonts w:hint="eastAsia" w:asciiTheme="minorEastAsia" w:hAnsiTheme="minorEastAsia" w:eastAsiaTheme="minorEastAsia" w:cstheme="minorEastAsia"/>
          <w:b/>
          <w:bCs w:val="0"/>
          <w:color w:val="auto"/>
          <w:highlight w:val="none"/>
          <w:lang w:val="en-US" w:eastAsia="zh-CN"/>
        </w:rPr>
        <w:t>4</w:t>
      </w:r>
      <w:r>
        <w:rPr>
          <w:rFonts w:hint="eastAsia" w:asciiTheme="minorEastAsia" w:hAnsiTheme="minorEastAsia" w:eastAsiaTheme="minorEastAsia" w:cstheme="minorEastAsia"/>
          <w:bCs/>
          <w:color w:val="auto"/>
          <w:highlight w:val="none"/>
        </w:rPr>
        <w:t xml:space="preserve"> 初步评审阶段</w:t>
      </w:r>
    </w:p>
    <w:p w14:paraId="7A48C448">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初步评审阶段分为资格评审、形式评审和响应性评审三个环节。</w:t>
      </w:r>
    </w:p>
    <w:p w14:paraId="64ADCB47">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 w:val="0"/>
          <w:bCs/>
          <w:color w:val="auto"/>
          <w:highlight w:val="none"/>
        </w:rPr>
        <w:t>14.</w:t>
      </w:r>
      <w:r>
        <w:rPr>
          <w:rFonts w:hint="eastAsia" w:asciiTheme="minorEastAsia" w:hAnsiTheme="minorEastAsia" w:eastAsiaTheme="minorEastAsia" w:cstheme="minorEastAsia"/>
          <w:b w:val="0"/>
          <w:bCs/>
          <w:color w:val="auto"/>
          <w:highlight w:val="none"/>
          <w:lang w:val="en-US" w:eastAsia="zh-CN"/>
        </w:rPr>
        <w:t>4.1</w:t>
      </w:r>
      <w:r>
        <w:rPr>
          <w:rFonts w:hint="eastAsia" w:asciiTheme="minorEastAsia" w:hAnsiTheme="minorEastAsia" w:eastAsiaTheme="minorEastAsia" w:cstheme="minorEastAsia"/>
          <w:bCs/>
          <w:color w:val="auto"/>
          <w:highlight w:val="none"/>
        </w:rPr>
        <w:t>资格评审环节</w:t>
      </w:r>
    </w:p>
    <w:p w14:paraId="19A97792">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资格评审事项包括：</w:t>
      </w:r>
    </w:p>
    <w:p w14:paraId="7E7F5972">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（1）投标人是否符合本章第三节第 4.4条“禁止投标条款”规定。</w:t>
      </w:r>
    </w:p>
    <w:p w14:paraId="40095529">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（2）投标人名称是否与营业执照、资质证书、安全生产许可证一致。</w:t>
      </w:r>
    </w:p>
    <w:p w14:paraId="3EB53AA3">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（3）投标人的资质是否符合招标文件规定；其营业执照、资质证书、安全生产许可证是否合法、有效、准确。</w:t>
      </w:r>
    </w:p>
    <w:p w14:paraId="1854720B">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（4）《项目经理简历表》中拟派项目经理是否与《开标一览表》一致。</w:t>
      </w:r>
    </w:p>
    <w:p w14:paraId="2B305B71">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5）拟派项目经理、项目技术负责人、专职安全员、设计负责人的条件是否符合招标文件规定；项目管理机构组成人员的各类证书、证件、证明是否合法、有效、准确；是否擅自修改、遗漏《项目经理任职声明》的实质性内容。</w:t>
      </w:r>
    </w:p>
    <w:p w14:paraId="0D85F41D">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6）联合体投标的，是否提交《联合体协议书》；是否擅自修改、遗漏《联合体协议书》的实质性内容；联合体成员的数量、资质是否符合招标文件规定；联合体成员是否以自己名义单独或者参加其他联合体参与本招标工程投标。</w:t>
      </w:r>
    </w:p>
    <w:p w14:paraId="6CAE2E4E">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（7）投标人为外省建筑企业的，是否按规定在“进粤企业和人员诚信信息登记平台”录入企业及其拟派人员有关信息并通过数据规范检查。</w:t>
      </w:r>
    </w:p>
    <w:p w14:paraId="75B20E25">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14.</w:t>
      </w:r>
      <w:r>
        <w:rPr>
          <w:rFonts w:hint="eastAsia" w:asciiTheme="minorEastAsia" w:hAnsiTheme="minorEastAsia" w:eastAsiaTheme="minorEastAsia" w:cstheme="minorEastAsia"/>
          <w:bCs/>
          <w:color w:val="auto"/>
          <w:highlight w:val="none"/>
          <w:lang w:val="en-US" w:eastAsia="zh-CN"/>
        </w:rPr>
        <w:t>4.2</w:t>
      </w:r>
      <w:r>
        <w:rPr>
          <w:rFonts w:hint="eastAsia" w:asciiTheme="minorEastAsia" w:hAnsiTheme="minorEastAsia" w:eastAsiaTheme="minorEastAsia" w:cstheme="minorEastAsia"/>
          <w:bCs/>
          <w:color w:val="auto"/>
          <w:highlight w:val="none"/>
        </w:rPr>
        <w:t xml:space="preserve"> 形式评审环节</w:t>
      </w:r>
    </w:p>
    <w:p w14:paraId="056BB61C">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形式评审事项包括：</w:t>
      </w:r>
    </w:p>
    <w:p w14:paraId="15DF92F8">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lang w:eastAsia="zh-CN"/>
        </w:rPr>
        <w:t>（</w:t>
      </w:r>
      <w:r>
        <w:rPr>
          <w:rFonts w:hint="eastAsia" w:asciiTheme="minorEastAsia" w:hAnsiTheme="minorEastAsia" w:eastAsiaTheme="minorEastAsia" w:cstheme="minorEastAsia"/>
          <w:bCs/>
          <w:color w:val="auto"/>
          <w:highlight w:val="none"/>
          <w:lang w:val="en-US" w:eastAsia="zh-CN"/>
        </w:rPr>
        <w:t>1</w:t>
      </w:r>
      <w:r>
        <w:rPr>
          <w:rFonts w:hint="eastAsia" w:asciiTheme="minorEastAsia" w:hAnsiTheme="minorEastAsia" w:eastAsiaTheme="minorEastAsia" w:cstheme="minorEastAsia"/>
          <w:bCs/>
          <w:color w:val="auto"/>
          <w:highlight w:val="none"/>
          <w:lang w:eastAsia="zh-CN"/>
        </w:rPr>
        <w:t>）</w:t>
      </w:r>
      <w:r>
        <w:rPr>
          <w:rFonts w:hint="eastAsia" w:asciiTheme="minorEastAsia" w:hAnsiTheme="minorEastAsia" w:eastAsiaTheme="minorEastAsia" w:cstheme="minorEastAsia"/>
          <w:bCs/>
          <w:color w:val="auto"/>
          <w:highlight w:val="none"/>
        </w:rPr>
        <w:t>投标文件是否按招标文件规定加盖电子印章。</w:t>
      </w:r>
    </w:p>
    <w:p w14:paraId="2080954B">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lang w:eastAsia="zh-CN"/>
        </w:rPr>
        <w:t>（</w:t>
      </w:r>
      <w:r>
        <w:rPr>
          <w:rFonts w:hint="eastAsia" w:asciiTheme="minorEastAsia" w:hAnsiTheme="minorEastAsia" w:eastAsiaTheme="minorEastAsia" w:cstheme="minorEastAsia"/>
          <w:bCs/>
          <w:color w:val="auto"/>
          <w:highlight w:val="none"/>
          <w:lang w:val="en-US" w:eastAsia="zh-CN"/>
        </w:rPr>
        <w:t>2</w:t>
      </w:r>
      <w:r>
        <w:rPr>
          <w:rFonts w:hint="eastAsia" w:asciiTheme="minorEastAsia" w:hAnsiTheme="minorEastAsia" w:eastAsiaTheme="minorEastAsia" w:cstheme="minorEastAsia"/>
          <w:bCs/>
          <w:color w:val="auto"/>
          <w:highlight w:val="none"/>
          <w:lang w:eastAsia="zh-CN"/>
        </w:rPr>
        <w:t>）</w:t>
      </w:r>
      <w:r>
        <w:rPr>
          <w:rFonts w:hint="eastAsia" w:asciiTheme="minorEastAsia" w:hAnsiTheme="minorEastAsia" w:eastAsiaTheme="minorEastAsia" w:cstheme="minorEastAsia"/>
          <w:bCs/>
          <w:color w:val="auto"/>
          <w:highlight w:val="none"/>
        </w:rPr>
        <w:t>本节第11.2.2目中规定的“所有投标人均应提供”的组成内容（包括该组成内容的所附资料）是否完整、齐全。</w:t>
      </w:r>
    </w:p>
    <w:p w14:paraId="20090572">
      <w:pPr>
        <w:pStyle w:val="47"/>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（3）</w:t>
      </w:r>
      <w:r>
        <w:rPr>
          <w:rFonts w:hint="eastAsia"/>
          <w:snapToGrid w:val="0"/>
          <w:color w:val="auto"/>
          <w:kern w:val="0"/>
          <w:highlight w:val="none"/>
        </w:rPr>
        <w:t>是否出现关键字迹模糊、无法辨认；是否出现手工涂改、行间插字或删除，但未加盖单位章或由投标人的法定代表人或其委托代理人签字确认的</w:t>
      </w:r>
      <w:r>
        <w:rPr>
          <w:rFonts w:hint="eastAsia"/>
          <w:snapToGrid w:val="0"/>
          <w:color w:val="auto"/>
          <w:kern w:val="0"/>
          <w:highlight w:val="none"/>
          <w:lang w:eastAsia="zh-CN"/>
        </w:rPr>
        <w:t>。</w:t>
      </w:r>
    </w:p>
    <w:p w14:paraId="3348F51B">
      <w:pPr>
        <w:pStyle w:val="47"/>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eastAsia="宋体" w:asciiTheme="minorEastAsia" w:hAnsiTheme="minorEastAsia" w:cstheme="minorEastAsia"/>
          <w:bCs/>
          <w:color w:val="auto"/>
          <w:highlight w:val="none"/>
          <w:lang w:eastAsia="zh-CN"/>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投标文件是否按招标文件规定签字、盖章</w:t>
      </w:r>
      <w:r>
        <w:rPr>
          <w:rFonts w:hint="eastAsia" w:ascii="宋体" w:hAnsi="宋体" w:eastAsia="宋体" w:cs="宋体"/>
          <w:snapToGrid w:val="0"/>
          <w:color w:val="auto"/>
          <w:kern w:val="0"/>
          <w:sz w:val="24"/>
          <w:szCs w:val="24"/>
          <w:highlight w:val="none"/>
          <w:lang w:eastAsia="zh-CN"/>
        </w:rPr>
        <w:t>。</w:t>
      </w:r>
    </w:p>
    <w:p w14:paraId="3FD1877A">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14.</w:t>
      </w:r>
      <w:r>
        <w:rPr>
          <w:rFonts w:hint="eastAsia" w:asciiTheme="minorEastAsia" w:hAnsiTheme="minorEastAsia" w:eastAsiaTheme="minorEastAsia" w:cstheme="minorEastAsia"/>
          <w:bCs/>
          <w:color w:val="auto"/>
          <w:highlight w:val="none"/>
          <w:lang w:val="en-US" w:eastAsia="zh-CN"/>
        </w:rPr>
        <w:t>4.3</w:t>
      </w:r>
      <w:r>
        <w:rPr>
          <w:rFonts w:hint="eastAsia" w:asciiTheme="minorEastAsia" w:hAnsiTheme="minorEastAsia" w:eastAsiaTheme="minorEastAsia" w:cstheme="minorEastAsia"/>
          <w:bCs/>
          <w:color w:val="auto"/>
          <w:highlight w:val="none"/>
        </w:rPr>
        <w:t xml:space="preserve"> 响应性评审环节</w:t>
      </w:r>
    </w:p>
    <w:p w14:paraId="6771CE76">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响应性评审事项包括：</w:t>
      </w:r>
    </w:p>
    <w:p w14:paraId="04FB26F9">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（1）投标有效期、质量标准、工期等是否响应招标文件实质性要求；是否擅自修改、遗漏《投标函》《各项承诺一览表》的实质性内容。</w:t>
      </w:r>
    </w:p>
    <w:p w14:paraId="42C032E1">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（2）编投标总价是否唯一；投标总价是否超出最高投标限价；投标人是否以低于成本的价格竞标。</w:t>
      </w:r>
    </w:p>
    <w:p w14:paraId="601591BE">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注：如果某投标人的投标总价下浮率（投标总价下浮率＝100%－投标总价÷</w:t>
      </w:r>
      <w:r>
        <w:rPr>
          <w:rFonts w:hint="eastAsia" w:asciiTheme="minorEastAsia" w:hAnsiTheme="minorEastAsia" w:eastAsiaTheme="minorEastAsia" w:cstheme="minorEastAsia"/>
          <w:bCs/>
          <w:color w:val="auto"/>
          <w:highlight w:val="none"/>
          <w:lang w:eastAsia="zh-CN"/>
        </w:rPr>
        <w:t>最高投标限价</w:t>
      </w:r>
      <w:r>
        <w:rPr>
          <w:rFonts w:hint="eastAsia" w:asciiTheme="minorEastAsia" w:hAnsiTheme="minorEastAsia" w:eastAsiaTheme="minorEastAsia" w:cstheme="minorEastAsia"/>
          <w:bCs/>
          <w:color w:val="auto"/>
          <w:highlight w:val="none"/>
        </w:rPr>
        <w:t>×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4EA572DE">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14.</w:t>
      </w:r>
      <w:r>
        <w:rPr>
          <w:rFonts w:hint="eastAsia" w:asciiTheme="minorEastAsia" w:hAnsiTheme="minorEastAsia" w:eastAsiaTheme="minorEastAsia" w:cstheme="minorEastAsia"/>
          <w:bCs/>
          <w:color w:val="auto"/>
          <w:highlight w:val="none"/>
          <w:lang w:val="en-US" w:eastAsia="zh-CN"/>
        </w:rPr>
        <w:t>4.4</w:t>
      </w:r>
      <w:r>
        <w:rPr>
          <w:rFonts w:hint="eastAsia" w:asciiTheme="minorEastAsia" w:hAnsiTheme="minorEastAsia" w:eastAsiaTheme="minorEastAsia" w:cstheme="minorEastAsia"/>
          <w:bCs/>
          <w:color w:val="auto"/>
          <w:highlight w:val="none"/>
        </w:rPr>
        <w:t xml:space="preserve"> 否决投标说明</w:t>
      </w:r>
    </w:p>
    <w:p w14:paraId="09CB7FDB">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初步评审阶段各个环节否决投标的全部条件，在本章第四节“否决投标条件”第1条至第4条中集中列示。投标人有其中所列任何一种情形的，由评标委员会否决其投标。在初步评审阶段任何环节被否决的投标人，不进入下一环节（或阶段）评审。在初步评审阶段任何环节，有效投标人数量不足3个时，招标人应依法重新组织招标。</w:t>
      </w:r>
    </w:p>
    <w:p w14:paraId="47761881">
      <w:pPr>
        <w:pStyle w:val="47"/>
        <w:autoSpaceDE w:val="0"/>
        <w:autoSpaceDN w:val="0"/>
        <w:adjustRightInd w:val="0"/>
        <w:spacing w:line="360" w:lineRule="auto"/>
        <w:ind w:firstLine="482" w:firstLineChars="200"/>
        <w:rPr>
          <w:rFonts w:hint="eastAsia" w:asciiTheme="minorEastAsia" w:hAnsiTheme="minorEastAsia" w:eastAsiaTheme="minorEastAsia" w:cstheme="minorEastAsia"/>
          <w:bCs/>
          <w:color w:val="auto"/>
          <w:highlight w:val="none"/>
        </w:rPr>
      </w:pPr>
      <w:bookmarkStart w:id="277" w:name="_Toc18413"/>
      <w:r>
        <w:rPr>
          <w:rFonts w:hint="eastAsia" w:asciiTheme="minorEastAsia" w:hAnsiTheme="minorEastAsia" w:eastAsiaTheme="minorEastAsia" w:cstheme="minorEastAsia"/>
          <w:b/>
          <w:color w:val="auto"/>
          <w:highlight w:val="none"/>
        </w:rPr>
        <w:t>14.</w:t>
      </w:r>
      <w:r>
        <w:rPr>
          <w:rFonts w:hint="eastAsia" w:asciiTheme="minorEastAsia" w:hAnsiTheme="minorEastAsia" w:eastAsiaTheme="minorEastAsia" w:cstheme="minorEastAsia"/>
          <w:b/>
          <w:color w:val="auto"/>
          <w:highlight w:val="none"/>
          <w:lang w:val="en-US" w:eastAsia="zh-CN"/>
        </w:rPr>
        <w:t>5</w:t>
      </w:r>
      <w:r>
        <w:rPr>
          <w:rFonts w:hint="eastAsia" w:asciiTheme="minorEastAsia" w:hAnsiTheme="minorEastAsia" w:eastAsiaTheme="minorEastAsia" w:cstheme="minorEastAsia"/>
          <w:b/>
          <w:color w:val="auto"/>
          <w:highlight w:val="none"/>
        </w:rPr>
        <w:t>详细评审阶段</w:t>
      </w:r>
      <w:bookmarkEnd w:id="277"/>
    </w:p>
    <w:p w14:paraId="1BF2C010">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14.</w:t>
      </w:r>
      <w:r>
        <w:rPr>
          <w:rFonts w:hint="eastAsia" w:asciiTheme="minorEastAsia" w:hAnsiTheme="minorEastAsia" w:eastAsiaTheme="minorEastAsia" w:cstheme="minorEastAsia"/>
          <w:bCs/>
          <w:color w:val="auto"/>
          <w:highlight w:val="none"/>
          <w:lang w:val="en-US" w:eastAsia="zh-CN"/>
        </w:rPr>
        <w:t>5</w:t>
      </w:r>
      <w:r>
        <w:rPr>
          <w:rFonts w:hint="eastAsia" w:asciiTheme="minorEastAsia" w:hAnsiTheme="minorEastAsia" w:eastAsiaTheme="minorEastAsia" w:cstheme="minorEastAsia"/>
          <w:bCs/>
          <w:color w:val="auto"/>
          <w:highlight w:val="none"/>
        </w:rPr>
        <w:t>.1 “综合评估法”评审程序</w:t>
      </w:r>
    </w:p>
    <w:p w14:paraId="5EB98105">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评审内容分为商务部分</w:t>
      </w:r>
      <w:r>
        <w:rPr>
          <w:rFonts w:hint="eastAsia" w:asciiTheme="minorEastAsia" w:hAnsiTheme="minorEastAsia" w:eastAsiaTheme="minorEastAsia" w:cstheme="minorEastAsia"/>
          <w:bCs/>
          <w:color w:val="auto"/>
          <w:highlight w:val="none"/>
          <w:lang w:eastAsia="zh-CN"/>
        </w:rPr>
        <w:t>、</w:t>
      </w:r>
      <w:r>
        <w:rPr>
          <w:rFonts w:hint="eastAsia" w:asciiTheme="minorEastAsia" w:hAnsiTheme="minorEastAsia" w:eastAsiaTheme="minorEastAsia" w:cstheme="minorEastAsia"/>
          <w:bCs/>
          <w:color w:val="auto"/>
          <w:highlight w:val="none"/>
          <w:lang w:val="en-US" w:eastAsia="zh-CN"/>
        </w:rPr>
        <w:t>技术部分</w:t>
      </w:r>
      <w:r>
        <w:rPr>
          <w:rFonts w:hint="eastAsia" w:asciiTheme="minorEastAsia" w:hAnsiTheme="minorEastAsia" w:eastAsiaTheme="minorEastAsia" w:cstheme="minorEastAsia"/>
          <w:bCs/>
          <w:color w:val="auto"/>
          <w:highlight w:val="none"/>
        </w:rPr>
        <w:t>和经济部分</w:t>
      </w:r>
      <w:r>
        <w:rPr>
          <w:rFonts w:hint="eastAsia" w:asciiTheme="minorEastAsia" w:hAnsiTheme="minorEastAsia" w:eastAsiaTheme="minorEastAsia" w:cstheme="minorEastAsia"/>
          <w:bCs/>
          <w:color w:val="auto"/>
          <w:highlight w:val="none"/>
          <w:lang w:val="en-US" w:eastAsia="zh-CN"/>
        </w:rPr>
        <w:t>三</w:t>
      </w:r>
      <w:r>
        <w:rPr>
          <w:rFonts w:hint="eastAsia" w:asciiTheme="minorEastAsia" w:hAnsiTheme="minorEastAsia" w:eastAsiaTheme="minorEastAsia" w:cstheme="minorEastAsia"/>
          <w:bCs/>
          <w:color w:val="auto"/>
          <w:highlight w:val="none"/>
        </w:rPr>
        <w:t>大部分，实行分项计分，以100分为满分。具体分值详见《综合评分表》。</w:t>
      </w:r>
    </w:p>
    <w:p w14:paraId="2B222D1E">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除特别注明外，综合得分以及商务部分得分</w:t>
      </w:r>
      <w:r>
        <w:rPr>
          <w:rFonts w:hint="eastAsia" w:asciiTheme="minorEastAsia" w:hAnsiTheme="minorEastAsia" w:eastAsiaTheme="minorEastAsia" w:cstheme="minorEastAsia"/>
          <w:bCs/>
          <w:color w:val="auto"/>
          <w:highlight w:val="none"/>
          <w:lang w:eastAsia="zh-CN"/>
        </w:rPr>
        <w:t>、</w:t>
      </w:r>
      <w:r>
        <w:rPr>
          <w:rFonts w:hint="eastAsia" w:asciiTheme="minorEastAsia" w:hAnsiTheme="minorEastAsia" w:eastAsiaTheme="minorEastAsia" w:cstheme="minorEastAsia"/>
          <w:bCs/>
          <w:color w:val="auto"/>
          <w:highlight w:val="none"/>
          <w:lang w:val="en-US" w:eastAsia="zh-CN"/>
        </w:rPr>
        <w:t>技术部分</w:t>
      </w:r>
      <w:r>
        <w:rPr>
          <w:rFonts w:hint="eastAsia" w:asciiTheme="minorEastAsia" w:hAnsiTheme="minorEastAsia" w:eastAsiaTheme="minorEastAsia" w:cstheme="minorEastAsia"/>
          <w:bCs/>
          <w:color w:val="auto"/>
          <w:highlight w:val="none"/>
        </w:rPr>
        <w:t>、经济部分得分的中间过程计算值和最终值，均按“四舍五入”原则精确到两位小数。</w:t>
      </w:r>
    </w:p>
    <w:p w14:paraId="6677DFA1">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（1）商务部分得分</w:t>
      </w:r>
    </w:p>
    <w:p w14:paraId="63B59F20">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①评标委员会各成员独立按照《综合评分表》商务部分指定的评分标准对各评分因素进行打分。各评分因素得分之和即为某投标人的商务部分得分。</w:t>
      </w:r>
    </w:p>
    <w:p w14:paraId="4209B01D">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②全体评委对该投标人的商务部分总评分取平均值，按“四舍五入”原则精确到两位小数即为该投标人商务部分的最终得分。</w:t>
      </w:r>
    </w:p>
    <w:p w14:paraId="76A359A2">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w:t>
      </w:r>
      <w:r>
        <w:rPr>
          <w:rFonts w:hint="eastAsia" w:asciiTheme="minorEastAsia" w:hAnsiTheme="minorEastAsia" w:eastAsiaTheme="minorEastAsia" w:cstheme="minorEastAsia"/>
          <w:bCs/>
          <w:color w:val="auto"/>
          <w:highlight w:val="none"/>
          <w:lang w:val="en-US" w:eastAsia="zh-CN"/>
        </w:rPr>
        <w:t>2</w:t>
      </w:r>
      <w:r>
        <w:rPr>
          <w:rFonts w:hint="eastAsia" w:asciiTheme="minorEastAsia" w:hAnsiTheme="minorEastAsia" w:eastAsiaTheme="minorEastAsia" w:cstheme="minorEastAsia"/>
          <w:bCs/>
          <w:color w:val="auto"/>
          <w:highlight w:val="none"/>
        </w:rPr>
        <w:t>）</w:t>
      </w:r>
      <w:r>
        <w:rPr>
          <w:rFonts w:hint="eastAsia" w:asciiTheme="minorEastAsia" w:hAnsiTheme="minorEastAsia" w:eastAsiaTheme="minorEastAsia" w:cstheme="minorEastAsia"/>
          <w:bCs/>
          <w:color w:val="auto"/>
          <w:highlight w:val="none"/>
          <w:lang w:val="en-US" w:eastAsia="zh-CN"/>
        </w:rPr>
        <w:t>技术</w:t>
      </w:r>
      <w:r>
        <w:rPr>
          <w:rFonts w:hint="eastAsia" w:asciiTheme="minorEastAsia" w:hAnsiTheme="minorEastAsia" w:eastAsiaTheme="minorEastAsia" w:cstheme="minorEastAsia"/>
          <w:bCs/>
          <w:color w:val="auto"/>
          <w:highlight w:val="none"/>
        </w:rPr>
        <w:t>部分得分</w:t>
      </w:r>
    </w:p>
    <w:p w14:paraId="156A89F3">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①评标委员会各成员独立按照《综合评分表》</w:t>
      </w:r>
      <w:r>
        <w:rPr>
          <w:rFonts w:hint="eastAsia" w:asciiTheme="minorEastAsia" w:hAnsiTheme="minorEastAsia" w:eastAsiaTheme="minorEastAsia" w:cstheme="minorEastAsia"/>
          <w:bCs/>
          <w:color w:val="auto"/>
          <w:highlight w:val="none"/>
          <w:lang w:val="en-US" w:eastAsia="zh-CN"/>
        </w:rPr>
        <w:t>技术</w:t>
      </w:r>
      <w:r>
        <w:rPr>
          <w:rFonts w:hint="eastAsia" w:asciiTheme="minorEastAsia" w:hAnsiTheme="minorEastAsia" w:eastAsiaTheme="minorEastAsia" w:cstheme="minorEastAsia"/>
          <w:bCs/>
          <w:color w:val="auto"/>
          <w:highlight w:val="none"/>
        </w:rPr>
        <w:t>部分指定的评分标准对各评分因素进行打分。各评分因素得分之和即为某投标人的</w:t>
      </w:r>
      <w:r>
        <w:rPr>
          <w:rFonts w:hint="eastAsia" w:asciiTheme="minorEastAsia" w:hAnsiTheme="minorEastAsia" w:eastAsiaTheme="minorEastAsia" w:cstheme="minorEastAsia"/>
          <w:bCs/>
          <w:color w:val="auto"/>
          <w:highlight w:val="none"/>
          <w:lang w:val="en-US" w:eastAsia="zh-CN"/>
        </w:rPr>
        <w:t>技术</w:t>
      </w:r>
      <w:r>
        <w:rPr>
          <w:rFonts w:hint="eastAsia" w:asciiTheme="minorEastAsia" w:hAnsiTheme="minorEastAsia" w:eastAsiaTheme="minorEastAsia" w:cstheme="minorEastAsia"/>
          <w:bCs/>
          <w:color w:val="auto"/>
          <w:highlight w:val="none"/>
        </w:rPr>
        <w:t>部分得分。</w:t>
      </w:r>
    </w:p>
    <w:p w14:paraId="5CEBE3DF">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②全体评委对该投标人的</w:t>
      </w:r>
      <w:r>
        <w:rPr>
          <w:rFonts w:hint="eastAsia" w:asciiTheme="minorEastAsia" w:hAnsiTheme="minorEastAsia" w:eastAsiaTheme="minorEastAsia" w:cstheme="minorEastAsia"/>
          <w:bCs/>
          <w:color w:val="auto"/>
          <w:highlight w:val="none"/>
          <w:lang w:val="en-US" w:eastAsia="zh-CN"/>
        </w:rPr>
        <w:t>技术</w:t>
      </w:r>
      <w:r>
        <w:rPr>
          <w:rFonts w:hint="eastAsia" w:asciiTheme="minorEastAsia" w:hAnsiTheme="minorEastAsia" w:eastAsiaTheme="minorEastAsia" w:cstheme="minorEastAsia"/>
          <w:bCs/>
          <w:color w:val="auto"/>
          <w:highlight w:val="none"/>
        </w:rPr>
        <w:t>部分总评分取平均值，按“四舍五入”原则精确到两位小数即为该投标人</w:t>
      </w:r>
      <w:r>
        <w:rPr>
          <w:rFonts w:hint="eastAsia" w:asciiTheme="minorEastAsia" w:hAnsiTheme="minorEastAsia" w:eastAsiaTheme="minorEastAsia" w:cstheme="minorEastAsia"/>
          <w:bCs/>
          <w:color w:val="auto"/>
          <w:highlight w:val="none"/>
          <w:lang w:val="en-US" w:eastAsia="zh-CN"/>
        </w:rPr>
        <w:t>技术</w:t>
      </w:r>
      <w:r>
        <w:rPr>
          <w:rFonts w:hint="eastAsia" w:asciiTheme="minorEastAsia" w:hAnsiTheme="minorEastAsia" w:eastAsiaTheme="minorEastAsia" w:cstheme="minorEastAsia"/>
          <w:bCs/>
          <w:color w:val="auto"/>
          <w:highlight w:val="none"/>
        </w:rPr>
        <w:t>部分的最终得分。</w:t>
      </w:r>
    </w:p>
    <w:p w14:paraId="0794734A">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w:t>
      </w:r>
      <w:r>
        <w:rPr>
          <w:rFonts w:hint="eastAsia" w:asciiTheme="minorEastAsia" w:hAnsiTheme="minorEastAsia" w:eastAsiaTheme="minorEastAsia" w:cstheme="minorEastAsia"/>
          <w:bCs/>
          <w:color w:val="auto"/>
          <w:highlight w:val="none"/>
          <w:lang w:val="en-US" w:eastAsia="zh-CN"/>
        </w:rPr>
        <w:t>3</w:t>
      </w:r>
      <w:r>
        <w:rPr>
          <w:rFonts w:hint="eastAsia" w:asciiTheme="minorEastAsia" w:hAnsiTheme="minorEastAsia" w:eastAsiaTheme="minorEastAsia" w:cstheme="minorEastAsia"/>
          <w:bCs/>
          <w:color w:val="auto"/>
          <w:highlight w:val="none"/>
        </w:rPr>
        <w:t>）经济部分得分</w:t>
      </w:r>
    </w:p>
    <w:p w14:paraId="1B6DD527">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经济部分评分方法详见《综合评分表》。</w:t>
      </w:r>
    </w:p>
    <w:p w14:paraId="11ADE137">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w:t>
      </w:r>
      <w:r>
        <w:rPr>
          <w:rFonts w:hint="eastAsia" w:asciiTheme="minorEastAsia" w:hAnsiTheme="minorEastAsia" w:eastAsiaTheme="minorEastAsia" w:cstheme="minorEastAsia"/>
          <w:bCs/>
          <w:color w:val="auto"/>
          <w:highlight w:val="none"/>
          <w:lang w:val="en-US" w:eastAsia="zh-CN"/>
        </w:rPr>
        <w:t>4</w:t>
      </w:r>
      <w:r>
        <w:rPr>
          <w:rFonts w:hint="eastAsia" w:asciiTheme="minorEastAsia" w:hAnsiTheme="minorEastAsia" w:eastAsiaTheme="minorEastAsia" w:cstheme="minorEastAsia"/>
          <w:bCs/>
          <w:color w:val="auto"/>
          <w:highlight w:val="none"/>
        </w:rPr>
        <w:t>）综合得分</w:t>
      </w:r>
    </w:p>
    <w:p w14:paraId="232BC4DF">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lang w:eastAsia="zh-CN"/>
        </w:rPr>
      </w:pPr>
      <w:r>
        <w:rPr>
          <w:rFonts w:hint="eastAsia" w:asciiTheme="minorEastAsia" w:hAnsiTheme="minorEastAsia" w:eastAsiaTheme="minorEastAsia" w:cstheme="minorEastAsia"/>
          <w:bCs/>
          <w:color w:val="auto"/>
          <w:highlight w:val="none"/>
        </w:rPr>
        <w:t>综合得分=商务部分得分+</w:t>
      </w:r>
      <w:r>
        <w:rPr>
          <w:rFonts w:hint="eastAsia" w:asciiTheme="minorEastAsia" w:hAnsiTheme="minorEastAsia" w:eastAsiaTheme="minorEastAsia" w:cstheme="minorEastAsia"/>
          <w:bCs/>
          <w:color w:val="auto"/>
          <w:highlight w:val="none"/>
          <w:lang w:val="en-US" w:eastAsia="zh-CN"/>
        </w:rPr>
        <w:t>技术</w:t>
      </w:r>
      <w:r>
        <w:rPr>
          <w:rFonts w:hint="eastAsia" w:asciiTheme="minorEastAsia" w:hAnsiTheme="minorEastAsia" w:eastAsiaTheme="minorEastAsia" w:cstheme="minorEastAsia"/>
          <w:bCs/>
          <w:color w:val="auto"/>
          <w:highlight w:val="none"/>
        </w:rPr>
        <w:t>部分得分+经济部分得分</w:t>
      </w:r>
      <w:r>
        <w:rPr>
          <w:rFonts w:hint="eastAsia" w:asciiTheme="minorEastAsia" w:hAnsiTheme="minorEastAsia" w:eastAsiaTheme="minorEastAsia" w:cstheme="minorEastAsia"/>
          <w:bCs/>
          <w:color w:val="auto"/>
          <w:highlight w:val="none"/>
          <w:lang w:eastAsia="zh-CN"/>
        </w:rPr>
        <w:t>。</w:t>
      </w:r>
    </w:p>
    <w:p w14:paraId="00BAD765">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w:t>
      </w:r>
      <w:r>
        <w:rPr>
          <w:rFonts w:hint="eastAsia" w:asciiTheme="minorEastAsia" w:hAnsiTheme="minorEastAsia" w:eastAsiaTheme="minorEastAsia" w:cstheme="minorEastAsia"/>
          <w:bCs/>
          <w:color w:val="auto"/>
          <w:highlight w:val="none"/>
          <w:lang w:val="en-US" w:eastAsia="zh-CN"/>
        </w:rPr>
        <w:t>5</w:t>
      </w:r>
      <w:r>
        <w:rPr>
          <w:rFonts w:hint="eastAsia" w:asciiTheme="minorEastAsia" w:hAnsiTheme="minorEastAsia" w:eastAsiaTheme="minorEastAsia" w:cstheme="minorEastAsia"/>
          <w:bCs/>
          <w:color w:val="auto"/>
          <w:highlight w:val="none"/>
        </w:rPr>
        <w:t>）</w:t>
      </w:r>
      <w:bookmarkEnd w:id="143"/>
      <w:r>
        <w:rPr>
          <w:rFonts w:hint="eastAsia" w:asciiTheme="minorEastAsia" w:hAnsiTheme="minorEastAsia" w:eastAsiaTheme="minorEastAsia" w:cstheme="minorEastAsia"/>
          <w:bCs/>
          <w:color w:val="auto"/>
          <w:highlight w:val="none"/>
        </w:rPr>
        <w:t>评标委员会根据招标文件规定的评分细则，对招标文件中的各评审因素进行评审、比较、打分，将得分前5名不排序（按企业统一社会信用代码后4位大小排位）的投标人作为定标候选人推荐给招标人，并对每个定标候选人的优势、风险等评审情况进行说明。当投标人综合总得分相同时，以报价低为前；当投标人综合总得分相同且报价</w:t>
      </w:r>
      <w:r>
        <w:rPr>
          <w:rFonts w:hint="eastAsia" w:asciiTheme="minorEastAsia" w:hAnsiTheme="minorEastAsia" w:eastAsiaTheme="minorEastAsia" w:cstheme="minorEastAsia"/>
          <w:bCs/>
          <w:color w:val="auto"/>
          <w:highlight w:val="none"/>
          <w:lang w:eastAsia="zh-CN"/>
        </w:rPr>
        <w:t>及资质等级</w:t>
      </w:r>
      <w:r>
        <w:rPr>
          <w:rFonts w:hint="eastAsia" w:asciiTheme="minorEastAsia" w:hAnsiTheme="minorEastAsia" w:eastAsiaTheme="minorEastAsia" w:cstheme="minorEastAsia"/>
          <w:bCs/>
          <w:color w:val="auto"/>
          <w:highlight w:val="none"/>
        </w:rPr>
        <w:t>相同时，由评标委员会投票确定排</w:t>
      </w:r>
      <w:r>
        <w:rPr>
          <w:rFonts w:hint="eastAsia" w:asciiTheme="minorEastAsia" w:hAnsiTheme="minorEastAsia" w:eastAsiaTheme="minorEastAsia" w:cstheme="minorEastAsia"/>
          <w:bCs/>
          <w:color w:val="auto"/>
          <w:highlight w:val="none"/>
          <w:lang w:eastAsia="zh-CN"/>
        </w:rPr>
        <w:t>前</w:t>
      </w:r>
      <w:r>
        <w:rPr>
          <w:rFonts w:hint="eastAsia" w:asciiTheme="minorEastAsia" w:hAnsiTheme="minorEastAsia" w:eastAsiaTheme="minorEastAsia" w:cstheme="minorEastAsia"/>
          <w:bCs/>
          <w:color w:val="auto"/>
          <w:highlight w:val="none"/>
        </w:rPr>
        <w:t>。</w:t>
      </w:r>
    </w:p>
    <w:p w14:paraId="52CD47CD">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lang w:val="en-US" w:eastAsia="zh-CN"/>
        </w:rPr>
      </w:pPr>
      <w:r>
        <w:rPr>
          <w:rFonts w:hint="eastAsia" w:asciiTheme="minorEastAsia" w:hAnsiTheme="minorEastAsia" w:eastAsiaTheme="minorEastAsia" w:cstheme="minorEastAsia"/>
          <w:bCs/>
          <w:color w:val="auto"/>
          <w:highlight w:val="none"/>
        </w:rPr>
        <w:t>定标候选人得分只作为评标委员会的推荐依据，不作为定标委员会对中标候选人排序的依据。</w:t>
      </w:r>
      <w:r>
        <w:rPr>
          <w:rFonts w:hint="eastAsia" w:asciiTheme="minorEastAsia" w:hAnsiTheme="minorEastAsia" w:eastAsiaTheme="minorEastAsia" w:cstheme="minorEastAsia"/>
          <w:bCs/>
          <w:color w:val="auto"/>
          <w:highlight w:val="none"/>
          <w:lang w:val="en-US" w:eastAsia="zh-CN"/>
        </w:rPr>
        <w:t>当有效投标人数量不足5名但满足法定要求时，所有通过评审的有效投标人均应作为定标候选人。</w:t>
      </w:r>
    </w:p>
    <w:p w14:paraId="3AA80151">
      <w:pPr>
        <w:pStyle w:val="47"/>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sectPr>
          <w:footerReference r:id="rId5" w:type="default"/>
          <w:endnotePr>
            <w:numFmt w:val="decimal"/>
          </w:endnotePr>
          <w:pgSz w:w="11906" w:h="16838"/>
          <w:pgMar w:top="1701" w:right="1015" w:bottom="1417" w:left="1291" w:header="850" w:footer="992" w:gutter="0"/>
          <w:pgNumType w:fmt="decimal" w:start="1"/>
          <w:cols w:space="720" w:num="1"/>
          <w:docGrid w:linePitch="327" w:charSpace="0"/>
        </w:sectPr>
      </w:pPr>
      <w:r>
        <w:rPr>
          <w:rFonts w:hint="eastAsia" w:asciiTheme="minorEastAsia" w:hAnsiTheme="minorEastAsia" w:eastAsiaTheme="minorEastAsia" w:cstheme="minorEastAsia"/>
          <w:bCs/>
          <w:color w:val="auto"/>
          <w:highlight w:val="none"/>
          <w:lang w:eastAsia="zh-CN"/>
        </w:rPr>
        <w:t>注：</w:t>
      </w:r>
      <w:r>
        <w:rPr>
          <w:rFonts w:hint="eastAsia" w:asciiTheme="minorEastAsia" w:hAnsiTheme="minorEastAsia" w:eastAsiaTheme="minorEastAsia" w:cstheme="minorEastAsia"/>
          <w:bCs/>
          <w:color w:val="auto"/>
          <w:highlight w:val="none"/>
          <w:lang w:val="en-US" w:eastAsia="zh-CN"/>
        </w:rPr>
        <w:t>编写评标报告时，定标候选人不排序，按</w:t>
      </w:r>
      <w:r>
        <w:rPr>
          <w:rFonts w:hint="eastAsia" w:asciiTheme="minorEastAsia" w:hAnsiTheme="minorEastAsia" w:eastAsiaTheme="minorEastAsia" w:cstheme="minorEastAsia"/>
          <w:bCs/>
          <w:color w:val="auto"/>
          <w:highlight w:val="none"/>
        </w:rPr>
        <w:t>企业</w:t>
      </w:r>
      <w:r>
        <w:rPr>
          <w:rFonts w:hint="eastAsia" w:asciiTheme="minorEastAsia" w:hAnsiTheme="minorEastAsia" w:eastAsiaTheme="minorEastAsia" w:cstheme="minorEastAsia"/>
          <w:bCs/>
          <w:color w:val="auto"/>
          <w:highlight w:val="none"/>
          <w:lang w:val="en-US" w:eastAsia="zh-CN"/>
        </w:rPr>
        <w:t>统一社会信用代码后4位大小排位，如统一社会信用代码后4位出现字母情况的，字母以“0”进行代替大小排位，如出现后4位大小一致的，则随机排位</w:t>
      </w:r>
      <w:r>
        <w:rPr>
          <w:rFonts w:hint="eastAsia" w:asciiTheme="minorEastAsia" w:hAnsiTheme="minorEastAsia" w:eastAsiaTheme="minorEastAsia" w:cstheme="minorEastAsia"/>
          <w:bCs/>
          <w:color w:val="auto"/>
          <w:highlight w:val="none"/>
        </w:rPr>
        <w:t>。</w:t>
      </w:r>
    </w:p>
    <w:p w14:paraId="5492FD46">
      <w:pPr>
        <w:pStyle w:val="47"/>
        <w:autoSpaceDE w:val="0"/>
        <w:autoSpaceDN w:val="0"/>
        <w:adjustRightInd w:val="0"/>
        <w:spacing w:line="360" w:lineRule="auto"/>
        <w:jc w:val="center"/>
        <w:outlineLvl w:val="2"/>
        <w:rPr>
          <w:rFonts w:hAnsi="宋体" w:cs="宋体"/>
          <w:b/>
          <w:bCs/>
          <w:color w:val="auto"/>
          <w:kern w:val="0"/>
          <w:sz w:val="28"/>
          <w:szCs w:val="30"/>
          <w:highlight w:val="none"/>
        </w:rPr>
      </w:pPr>
      <w:r>
        <w:rPr>
          <w:rFonts w:hint="eastAsia" w:hAnsi="宋体" w:cs="宋体"/>
          <w:b/>
          <w:bCs/>
          <w:color w:val="auto"/>
          <w:kern w:val="0"/>
          <w:sz w:val="28"/>
          <w:szCs w:val="30"/>
          <w:highlight w:val="none"/>
        </w:rPr>
        <w:t>综合评分表</w:t>
      </w:r>
    </w:p>
    <w:tbl>
      <w:tblPr>
        <w:tblStyle w:val="3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907"/>
        <w:gridCol w:w="1043"/>
        <w:gridCol w:w="714"/>
        <w:gridCol w:w="2576"/>
        <w:gridCol w:w="3358"/>
      </w:tblGrid>
      <w:tr w14:paraId="3F09E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252" w:type="pct"/>
            <w:vAlign w:val="center"/>
          </w:tcPr>
          <w:p w14:paraId="0F4E8692">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序号</w:t>
            </w:r>
          </w:p>
        </w:tc>
        <w:tc>
          <w:tcPr>
            <w:tcW w:w="1076" w:type="pct"/>
            <w:gridSpan w:val="2"/>
            <w:vAlign w:val="center"/>
          </w:tcPr>
          <w:p w14:paraId="2A5D46AE">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评标内容</w:t>
            </w:r>
          </w:p>
        </w:tc>
        <w:tc>
          <w:tcPr>
            <w:tcW w:w="3670" w:type="pct"/>
            <w:gridSpan w:val="3"/>
            <w:vAlign w:val="center"/>
          </w:tcPr>
          <w:p w14:paraId="14CF1C13">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说    明</w:t>
            </w:r>
          </w:p>
        </w:tc>
      </w:tr>
      <w:tr w14:paraId="07715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252" w:type="pct"/>
            <w:vMerge w:val="restart"/>
            <w:vAlign w:val="center"/>
          </w:tcPr>
          <w:p w14:paraId="56573963">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501" w:type="pct"/>
            <w:vMerge w:val="restart"/>
            <w:vAlign w:val="center"/>
          </w:tcPr>
          <w:p w14:paraId="1EE35B66">
            <w:pPr>
              <w:widowControl/>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rPr>
              <w:t>商务</w:t>
            </w:r>
            <w:r>
              <w:rPr>
                <w:rFonts w:hint="eastAsia" w:ascii="宋体" w:hAnsi="宋体" w:eastAsia="宋体" w:cs="宋体"/>
                <w:color w:val="auto"/>
                <w:kern w:val="0"/>
                <w:sz w:val="24"/>
                <w:szCs w:val="24"/>
                <w:highlight w:val="none"/>
                <w:lang w:val="en-US" w:eastAsia="zh-CN"/>
              </w:rPr>
              <w:t>部分</w:t>
            </w:r>
            <w:r>
              <w:rPr>
                <w:rFonts w:hint="eastAsia" w:ascii="宋体" w:hAnsi="宋体" w:eastAsia="宋体" w:cs="宋体"/>
                <w:color w:val="auto"/>
                <w:kern w:val="0"/>
                <w:sz w:val="24"/>
                <w:szCs w:val="24"/>
                <w:highlight w:val="none"/>
              </w:rPr>
              <w:t>得分（</w:t>
            </w:r>
            <w:r>
              <w:rPr>
                <w:rFonts w:hint="eastAsia" w:hAnsi="宋体" w:eastAsia="宋体" w:cs="宋体"/>
                <w:color w:val="auto"/>
                <w:kern w:val="0"/>
                <w:sz w:val="24"/>
                <w:szCs w:val="24"/>
                <w:highlight w:val="none"/>
                <w:lang w:val="en-US" w:eastAsia="zh-CN"/>
              </w:rPr>
              <w:t>60</w:t>
            </w:r>
            <w:r>
              <w:rPr>
                <w:rFonts w:hint="eastAsia" w:ascii="宋体" w:hAnsi="宋体" w:eastAsia="宋体" w:cs="宋体"/>
                <w:color w:val="auto"/>
                <w:kern w:val="0"/>
                <w:sz w:val="24"/>
                <w:szCs w:val="24"/>
                <w:highlight w:val="none"/>
              </w:rPr>
              <w:t>分）</w:t>
            </w:r>
          </w:p>
        </w:tc>
        <w:tc>
          <w:tcPr>
            <w:tcW w:w="575" w:type="pct"/>
            <w:vMerge w:val="restart"/>
            <w:vAlign w:val="center"/>
          </w:tcPr>
          <w:p w14:paraId="7C451FA9">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施工企业</w:t>
            </w:r>
          </w:p>
          <w:p w14:paraId="459F7C53">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hAnsi="宋体" w:eastAsia="宋体" w:cs="宋体"/>
                <w:color w:val="auto"/>
                <w:kern w:val="0"/>
                <w:sz w:val="24"/>
                <w:szCs w:val="24"/>
                <w:highlight w:val="none"/>
                <w:lang w:val="en-US" w:eastAsia="zh-CN"/>
              </w:rPr>
              <w:t>40</w:t>
            </w:r>
            <w:r>
              <w:rPr>
                <w:rFonts w:hint="eastAsia" w:ascii="宋体" w:hAnsi="宋体" w:eastAsia="宋体" w:cs="宋体"/>
                <w:color w:val="auto"/>
                <w:kern w:val="0"/>
                <w:sz w:val="24"/>
                <w:szCs w:val="24"/>
                <w:highlight w:val="none"/>
              </w:rPr>
              <w:t>分）</w:t>
            </w:r>
          </w:p>
        </w:tc>
        <w:tc>
          <w:tcPr>
            <w:tcW w:w="394" w:type="pct"/>
            <w:vAlign w:val="center"/>
          </w:tcPr>
          <w:p w14:paraId="7A0207DF">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企业奖项</w:t>
            </w:r>
          </w:p>
          <w:p w14:paraId="0661E4BA">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分）</w:t>
            </w:r>
          </w:p>
        </w:tc>
        <w:tc>
          <w:tcPr>
            <w:tcW w:w="1422" w:type="pct"/>
            <w:vAlign w:val="center"/>
          </w:tcPr>
          <w:p w14:paraId="0BF9D8AD">
            <w:pPr>
              <w:wordWrap w:val="0"/>
              <w:adjustRightInd w:val="0"/>
              <w:snapToGrid w:val="0"/>
              <w:spacing w:line="360"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企业</w:t>
            </w:r>
            <w:r>
              <w:rPr>
                <w:rFonts w:hint="eastAsia" w:ascii="宋体" w:hAnsi="宋体" w:eastAsia="宋体" w:cs="宋体"/>
                <w:snapToGrid w:val="0"/>
                <w:color w:val="auto"/>
                <w:kern w:val="0"/>
                <w:sz w:val="24"/>
                <w:szCs w:val="24"/>
                <w:highlight w:val="none"/>
              </w:rPr>
              <w:t>近年来（</w:t>
            </w:r>
            <w:r>
              <w:rPr>
                <w:rFonts w:hint="eastAsia" w:ascii="宋体" w:hAnsi="宋体" w:eastAsia="宋体" w:cs="宋体"/>
                <w:snapToGrid w:val="0"/>
                <w:color w:val="auto"/>
                <w:kern w:val="0"/>
                <w:sz w:val="24"/>
                <w:szCs w:val="24"/>
                <w:highlight w:val="none"/>
                <w:lang w:val="en-US" w:eastAsia="zh-CN"/>
              </w:rPr>
              <w:t>202</w:t>
            </w:r>
            <w:r>
              <w:rPr>
                <w:rFonts w:hint="eastAsia"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年1月1日至今）获得</w:t>
            </w:r>
            <w:r>
              <w:rPr>
                <w:rFonts w:hint="eastAsia" w:ascii="宋体" w:hAnsi="宋体" w:eastAsia="宋体" w:cs="宋体"/>
                <w:snapToGrid w:val="0"/>
                <w:color w:val="auto"/>
                <w:kern w:val="0"/>
                <w:sz w:val="24"/>
                <w:szCs w:val="24"/>
                <w:highlight w:val="none"/>
                <w:u w:val="single"/>
              </w:rPr>
              <w:t xml:space="preserve"> 市政</w:t>
            </w:r>
            <w:r>
              <w:rPr>
                <w:rFonts w:hint="eastAsia" w:hAnsi="宋体" w:eastAsia="宋体" w:cs="宋体"/>
                <w:snapToGrid w:val="0"/>
                <w:color w:val="auto"/>
                <w:kern w:val="0"/>
                <w:sz w:val="24"/>
                <w:szCs w:val="24"/>
                <w:highlight w:val="none"/>
                <w:u w:val="single"/>
                <w:lang w:val="en-US" w:eastAsia="zh-CN"/>
              </w:rPr>
              <w:t>公用工程</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类奖项情况：</w:t>
            </w:r>
          </w:p>
          <w:p w14:paraId="10DB1489">
            <w:pPr>
              <w:wordWrap w:val="0"/>
              <w:adjustRightInd w:val="0"/>
              <w:snapToGrid w:val="0"/>
              <w:spacing w:line="36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1．获得国家级奖项的，每个得 </w:t>
            </w:r>
            <w:r>
              <w:rPr>
                <w:rFonts w:hint="eastAsia" w:hAnsi="宋体" w:eastAsia="宋体" w:cs="宋体"/>
                <w:snapToGrid w:val="0"/>
                <w:color w:val="auto"/>
                <w:kern w:val="0"/>
                <w:sz w:val="24"/>
                <w:szCs w:val="24"/>
                <w:highlight w:val="none"/>
                <w:lang w:val="en-US" w:eastAsia="zh-CN"/>
              </w:rPr>
              <w:t>8</w:t>
            </w:r>
            <w:r>
              <w:rPr>
                <w:rFonts w:hint="eastAsia" w:ascii="宋体" w:hAnsi="宋体" w:eastAsia="宋体" w:cs="宋体"/>
                <w:snapToGrid w:val="0"/>
                <w:color w:val="auto"/>
                <w:kern w:val="0"/>
                <w:sz w:val="24"/>
                <w:szCs w:val="24"/>
                <w:highlight w:val="none"/>
                <w:lang w:val="en-US" w:eastAsia="zh-CN"/>
              </w:rPr>
              <w:t xml:space="preserve"> 分。</w:t>
            </w:r>
          </w:p>
          <w:p w14:paraId="0EC96B9E">
            <w:pPr>
              <w:wordWrap w:val="0"/>
              <w:adjustRightInd w:val="0"/>
              <w:snapToGrid w:val="0"/>
              <w:spacing w:line="36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2．获得省级奖项的，每个得 </w:t>
            </w:r>
            <w:r>
              <w:rPr>
                <w:rFonts w:hint="eastAsia"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lang w:val="en-US" w:eastAsia="zh-CN"/>
              </w:rPr>
              <w:t xml:space="preserve"> 分。</w:t>
            </w:r>
          </w:p>
          <w:p w14:paraId="4B4BE2D1">
            <w:pPr>
              <w:wordWrap w:val="0"/>
              <w:adjustRightInd w:val="0"/>
              <w:snapToGrid w:val="0"/>
              <w:spacing w:line="36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3．获得地市级奖项的，每个得 </w:t>
            </w:r>
            <w:r>
              <w:rPr>
                <w:rFonts w:hint="eastAsia" w:hAnsi="宋体" w:eastAsia="宋体" w:cs="宋体"/>
                <w:snapToGrid w:val="0"/>
                <w:color w:val="auto"/>
                <w:kern w:val="0"/>
                <w:sz w:val="24"/>
                <w:szCs w:val="24"/>
                <w:highlight w:val="none"/>
                <w:lang w:val="en-US" w:eastAsia="zh-CN"/>
              </w:rPr>
              <w:t>2.5</w:t>
            </w:r>
            <w:r>
              <w:rPr>
                <w:rFonts w:hint="eastAsia" w:ascii="宋体" w:hAnsi="宋体" w:eastAsia="宋体" w:cs="宋体"/>
                <w:snapToGrid w:val="0"/>
                <w:color w:val="auto"/>
                <w:kern w:val="0"/>
                <w:sz w:val="24"/>
                <w:szCs w:val="24"/>
                <w:highlight w:val="none"/>
                <w:lang w:val="en-US" w:eastAsia="zh-CN"/>
              </w:rPr>
              <w:t xml:space="preserve"> 分。</w:t>
            </w:r>
          </w:p>
          <w:p w14:paraId="5FA9DE7B">
            <w:pPr>
              <w:wordWrap w:val="0"/>
              <w:adjustRightInd w:val="0"/>
              <w:snapToGrid w:val="0"/>
              <w:spacing w:line="36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4．以上奖项均未获得的，不予计分。</w:t>
            </w:r>
          </w:p>
          <w:p w14:paraId="17A3AB97">
            <w:pPr>
              <w:wordWrap w:val="0"/>
              <w:adjustRightInd w:val="0"/>
              <w:snapToGrid w:val="0"/>
              <w:spacing w:line="360"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说明：本项最高得</w:t>
            </w:r>
            <w:r>
              <w:rPr>
                <w:rFonts w:hint="eastAsia"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lang w:val="en-US" w:eastAsia="zh-CN"/>
              </w:rPr>
              <w:t>分。</w:t>
            </w:r>
          </w:p>
        </w:tc>
        <w:tc>
          <w:tcPr>
            <w:tcW w:w="1854" w:type="pct"/>
            <w:vAlign w:val="center"/>
          </w:tcPr>
          <w:p w14:paraId="17A943C4">
            <w:pPr>
              <w:wordWrap w:val="0"/>
              <w:adjustRightInd w:val="0"/>
              <w:snapToGrid w:val="0"/>
              <w:spacing w:line="36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1．允许投标人提交多个业绩，但同一业绩只按最高级别奖项计分一次。</w:t>
            </w:r>
          </w:p>
          <w:p w14:paraId="48140818">
            <w:pPr>
              <w:wordWrap w:val="0"/>
              <w:adjustRightInd w:val="0"/>
              <w:snapToGrid w:val="0"/>
              <w:spacing w:line="36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2．需附有关奖项证明扫描件或网上公示证明发文材料彩色扫描件。</w:t>
            </w:r>
          </w:p>
          <w:p w14:paraId="028B6D15">
            <w:pPr>
              <w:wordWrap w:val="0"/>
              <w:adjustRightInd w:val="0"/>
              <w:snapToGrid w:val="0"/>
              <w:spacing w:line="36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3．颁发机构限定以下范围：</w:t>
            </w:r>
          </w:p>
          <w:p w14:paraId="17538F5D">
            <w:pPr>
              <w:wordWrap w:val="0"/>
              <w:adjustRightInd w:val="0"/>
              <w:snapToGrid w:val="0"/>
              <w:spacing w:line="36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①国家级奖项：国务院、住建部、国家级行业协会；（相关协会需经民政部门备案）</w:t>
            </w:r>
          </w:p>
          <w:p w14:paraId="2EB97524">
            <w:pPr>
              <w:wordWrap w:val="0"/>
              <w:adjustRightInd w:val="0"/>
              <w:snapToGrid w:val="0"/>
              <w:spacing w:line="36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②省级奖项：省级人民政府、省级住建部门、省级行业协会；（相关协会需经民政部门备案）</w:t>
            </w:r>
          </w:p>
          <w:p w14:paraId="7A5DF71D">
            <w:pPr>
              <w:wordWrap w:val="0"/>
              <w:adjustRightInd w:val="0"/>
              <w:snapToGrid w:val="0"/>
              <w:spacing w:line="36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③地市级奖项：地市级人民政府、地市级住建部门、市级行业协会。（相关协会需经民政部门备案）</w:t>
            </w:r>
          </w:p>
          <w:p w14:paraId="1E42FC7E">
            <w:pPr>
              <w:wordWrap w:val="0"/>
              <w:adjustRightInd w:val="0"/>
              <w:snapToGrid w:val="0"/>
              <w:spacing w:line="36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4．获奖时间以奖项证明的落款日期为准。</w:t>
            </w:r>
          </w:p>
          <w:p w14:paraId="6245FF16">
            <w:pPr>
              <w:wordWrap w:val="0"/>
              <w:adjustRightInd w:val="0"/>
              <w:snapToGrid w:val="0"/>
              <w:spacing w:line="36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5．任一奖项有以下情形之一的，该奖项视为无效，不予计分：</w:t>
            </w:r>
          </w:p>
          <w:p w14:paraId="2F328240">
            <w:pPr>
              <w:wordWrap w:val="0"/>
              <w:adjustRightInd w:val="0"/>
              <w:snapToGrid w:val="0"/>
              <w:spacing w:line="36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①奖项不属于指定类别的；</w:t>
            </w:r>
          </w:p>
          <w:p w14:paraId="78A93229">
            <w:pPr>
              <w:wordWrap w:val="0"/>
              <w:adjustRightInd w:val="0"/>
              <w:snapToGrid w:val="0"/>
              <w:spacing w:line="36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②颁发机构不符合要求的；</w:t>
            </w:r>
          </w:p>
          <w:p w14:paraId="3B916390">
            <w:pPr>
              <w:wordWrap w:val="0"/>
              <w:adjustRightInd w:val="0"/>
              <w:snapToGrid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③获奖时间不符合要求的；</w:t>
            </w:r>
          </w:p>
        </w:tc>
      </w:tr>
      <w:tr w14:paraId="61B9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252" w:type="pct"/>
            <w:vMerge w:val="continue"/>
            <w:vAlign w:val="center"/>
          </w:tcPr>
          <w:p w14:paraId="516DA62A">
            <w:pPr>
              <w:widowControl/>
              <w:spacing w:line="360" w:lineRule="auto"/>
              <w:jc w:val="center"/>
              <w:rPr>
                <w:rFonts w:hint="eastAsia" w:ascii="宋体" w:hAnsi="宋体" w:eastAsia="宋体" w:cs="宋体"/>
                <w:color w:val="auto"/>
                <w:kern w:val="0"/>
                <w:sz w:val="24"/>
                <w:szCs w:val="24"/>
                <w:highlight w:val="none"/>
              </w:rPr>
            </w:pPr>
          </w:p>
        </w:tc>
        <w:tc>
          <w:tcPr>
            <w:tcW w:w="501" w:type="pct"/>
            <w:vMerge w:val="continue"/>
            <w:vAlign w:val="center"/>
          </w:tcPr>
          <w:p w14:paraId="790AB2FF">
            <w:pPr>
              <w:pStyle w:val="13"/>
              <w:spacing w:line="360" w:lineRule="auto"/>
              <w:rPr>
                <w:rFonts w:hint="eastAsia" w:ascii="宋体" w:hAnsi="宋体" w:eastAsia="宋体" w:cs="宋体"/>
                <w:color w:val="auto"/>
                <w:sz w:val="24"/>
                <w:szCs w:val="24"/>
                <w:highlight w:val="none"/>
                <w:lang w:eastAsia="zh-CN"/>
              </w:rPr>
            </w:pPr>
          </w:p>
        </w:tc>
        <w:tc>
          <w:tcPr>
            <w:tcW w:w="575" w:type="pct"/>
            <w:vMerge w:val="continue"/>
            <w:vAlign w:val="center"/>
          </w:tcPr>
          <w:p w14:paraId="4318D16F">
            <w:pPr>
              <w:widowControl/>
              <w:spacing w:line="360" w:lineRule="auto"/>
              <w:jc w:val="center"/>
              <w:rPr>
                <w:rFonts w:hint="eastAsia" w:ascii="宋体" w:hAnsi="宋体" w:eastAsia="宋体" w:cs="宋体"/>
                <w:color w:val="auto"/>
                <w:kern w:val="0"/>
                <w:sz w:val="24"/>
                <w:szCs w:val="24"/>
                <w:highlight w:val="none"/>
                <w:lang w:eastAsia="zh-CN"/>
              </w:rPr>
            </w:pPr>
          </w:p>
        </w:tc>
        <w:tc>
          <w:tcPr>
            <w:tcW w:w="394" w:type="pct"/>
            <w:vAlign w:val="center"/>
          </w:tcPr>
          <w:p w14:paraId="4860F3BF">
            <w:pPr>
              <w:keepNext/>
              <w:keepLines w:val="0"/>
              <w:pageBreakBefore w:val="0"/>
              <w:widowControl/>
              <w:kinsoku/>
              <w:wordWrap/>
              <w:overflowPunct/>
              <w:topLinePunct w:val="0"/>
              <w:autoSpaceDE/>
              <w:autoSpaceDN/>
              <w:bidi w:val="0"/>
              <w:snapToGrid w:val="0"/>
              <w:spacing w:line="360" w:lineRule="auto"/>
              <w:jc w:val="center"/>
              <w:textAlignment w:val="auto"/>
              <w:rPr>
                <w:rFonts w:hint="eastAsia" w:ascii="宋体" w:hAnsi="宋体" w:eastAsia="宋体" w:cs="宋体"/>
                <w:snapToGrid w:val="0"/>
                <w:color w:val="auto"/>
                <w:kern w:val="0"/>
                <w:sz w:val="28"/>
                <w:szCs w:val="28"/>
                <w:highlight w:val="none"/>
              </w:rPr>
            </w:pPr>
            <w:r>
              <w:rPr>
                <w:rFonts w:hint="eastAsia" w:ascii="宋体" w:hAnsi="宋体" w:eastAsia="宋体" w:cs="宋体"/>
                <w:color w:val="auto"/>
                <w:kern w:val="2"/>
                <w:sz w:val="24"/>
                <w:szCs w:val="24"/>
                <w:highlight w:val="none"/>
                <w:lang w:val="en-US" w:eastAsia="zh-CN" w:bidi="ar-SA"/>
              </w:rPr>
              <w:t>企业业绩（</w:t>
            </w:r>
            <w:r>
              <w:rPr>
                <w:rFonts w:hint="eastAsia" w:hAnsi="宋体" w:eastAsia="宋体" w:cs="宋体"/>
                <w:color w:val="auto"/>
                <w:kern w:val="2"/>
                <w:sz w:val="24"/>
                <w:szCs w:val="24"/>
                <w:highlight w:val="none"/>
                <w:lang w:val="en-US" w:eastAsia="zh-CN" w:bidi="ar-SA"/>
              </w:rPr>
              <w:t>10</w:t>
            </w:r>
            <w:r>
              <w:rPr>
                <w:rFonts w:hint="eastAsia" w:ascii="宋体" w:hAnsi="宋体" w:eastAsia="宋体" w:cs="宋体"/>
                <w:color w:val="auto"/>
                <w:kern w:val="2"/>
                <w:sz w:val="24"/>
                <w:szCs w:val="24"/>
                <w:highlight w:val="none"/>
                <w:lang w:val="en-US" w:eastAsia="zh-CN" w:bidi="ar-SA"/>
              </w:rPr>
              <w:t>分）</w:t>
            </w:r>
          </w:p>
        </w:tc>
        <w:tc>
          <w:tcPr>
            <w:tcW w:w="1422" w:type="pct"/>
            <w:vAlign w:val="center"/>
          </w:tcPr>
          <w:p w14:paraId="76BB00D7">
            <w:pPr>
              <w:keepNext/>
              <w:keepLines w:val="0"/>
              <w:pageBreakBefore w:val="0"/>
              <w:widowControl/>
              <w:kinsoku/>
              <w:wordWrap/>
              <w:overflowPunct/>
              <w:topLinePunct w:val="0"/>
              <w:autoSpaceDE/>
              <w:autoSpaceDN/>
              <w:bidi w:val="0"/>
              <w:adjustRightInd w:val="0"/>
              <w:snapToGrid w:val="0"/>
              <w:spacing w:after="0"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企业近年来（2021年1月1日至今）业绩情况：</w:t>
            </w:r>
          </w:p>
          <w:p w14:paraId="2AECCBA5">
            <w:pPr>
              <w:keepNext/>
              <w:keepLines w:val="0"/>
              <w:pageBreakBefore w:val="0"/>
              <w:widowControl/>
              <w:kinsoku/>
              <w:wordWrap/>
              <w:overflowPunct/>
              <w:topLinePunct w:val="0"/>
              <w:autoSpaceDE/>
              <w:autoSpaceDN/>
              <w:bidi w:val="0"/>
              <w:adjustRightInd w:val="0"/>
              <w:snapToGrid w:val="0"/>
              <w:spacing w:after="0"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u w:val="single"/>
                <w:lang w:val="en-US" w:eastAsia="zh-CN" w:bidi="ar-SA"/>
              </w:rPr>
              <w:t xml:space="preserve"> 承接</w:t>
            </w:r>
            <w:r>
              <w:rPr>
                <w:rFonts w:hint="eastAsia" w:ascii="宋体" w:hAnsi="宋体" w:eastAsia="宋体" w:cs="宋体"/>
                <w:snapToGrid w:val="0"/>
                <w:color w:val="auto"/>
                <w:kern w:val="0"/>
                <w:sz w:val="24"/>
                <w:szCs w:val="24"/>
                <w:highlight w:val="none"/>
                <w:lang w:val="en-US" w:eastAsia="zh-CN" w:bidi="ar-SA"/>
              </w:rPr>
              <w:t>过类似工程的，每个得</w:t>
            </w:r>
            <w:r>
              <w:rPr>
                <w:rFonts w:hint="eastAsia" w:hAnsi="宋体" w:eastAsia="宋体" w:cs="宋体"/>
                <w:snapToGrid w:val="0"/>
                <w:color w:val="auto"/>
                <w:kern w:val="0"/>
                <w:sz w:val="24"/>
                <w:szCs w:val="24"/>
                <w:highlight w:val="none"/>
                <w:u w:val="singl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p>
          <w:p w14:paraId="068CC393">
            <w:pPr>
              <w:keepNext/>
              <w:keepLines w:val="0"/>
              <w:pageBreakBefore w:val="0"/>
              <w:widowControl/>
              <w:kinsoku/>
              <w:wordWrap/>
              <w:overflowPunct/>
              <w:topLinePunct w:val="0"/>
              <w:autoSpaceDE/>
              <w:autoSpaceDN/>
              <w:bidi w:val="0"/>
              <w:adjustRightInd w:val="0"/>
              <w:snapToGrid w:val="0"/>
              <w:spacing w:after="0"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2．未</w:t>
            </w:r>
            <w:r>
              <w:rPr>
                <w:rFonts w:hint="eastAsia" w:ascii="宋体" w:hAnsi="宋体" w:eastAsia="宋体" w:cs="宋体"/>
                <w:snapToGrid w:val="0"/>
                <w:color w:val="auto"/>
                <w:kern w:val="0"/>
                <w:sz w:val="24"/>
                <w:szCs w:val="24"/>
                <w:highlight w:val="none"/>
                <w:u w:val="single"/>
                <w:lang w:val="en-US" w:eastAsia="zh-CN" w:bidi="ar-SA"/>
              </w:rPr>
              <w:t xml:space="preserve"> 承接  </w:t>
            </w:r>
            <w:r>
              <w:rPr>
                <w:rFonts w:hint="eastAsia" w:ascii="宋体" w:hAnsi="宋体" w:eastAsia="宋体" w:cs="宋体"/>
                <w:snapToGrid w:val="0"/>
                <w:color w:val="auto"/>
                <w:kern w:val="0"/>
                <w:sz w:val="24"/>
                <w:szCs w:val="24"/>
                <w:highlight w:val="none"/>
                <w:lang w:val="en-US" w:eastAsia="zh-CN" w:bidi="ar-SA"/>
              </w:rPr>
              <w:t>过类似工程的，不予计分。</w:t>
            </w:r>
          </w:p>
          <w:p w14:paraId="04D40EF9">
            <w:pPr>
              <w:keepNext/>
              <w:keepLines w:val="0"/>
              <w:pageBreakBefore w:val="0"/>
              <w:widowControl/>
              <w:kinsoku/>
              <w:wordWrap/>
              <w:overflowPunct/>
              <w:topLinePunct w:val="0"/>
              <w:autoSpaceDE/>
              <w:autoSpaceDN/>
              <w:bidi w:val="0"/>
              <w:snapToGrid w:val="0"/>
              <w:spacing w:line="360" w:lineRule="auto"/>
              <w:textAlignment w:val="auto"/>
              <w:rPr>
                <w:rFonts w:hint="eastAsia" w:ascii="宋体" w:hAnsi="宋体" w:eastAsia="宋体" w:cs="宋体"/>
                <w:snapToGrid w:val="0"/>
                <w:color w:val="auto"/>
                <w:kern w:val="0"/>
                <w:sz w:val="28"/>
                <w:szCs w:val="28"/>
                <w:highlight w:val="none"/>
                <w:lang w:val="en-US" w:eastAsia="zh-CN"/>
              </w:rPr>
            </w:pPr>
            <w:r>
              <w:rPr>
                <w:rFonts w:hint="eastAsia" w:ascii="宋体" w:hAnsi="宋体" w:eastAsia="宋体" w:cs="宋体"/>
                <w:b w:val="0"/>
                <w:color w:val="auto"/>
                <w:sz w:val="24"/>
                <w:szCs w:val="24"/>
                <w:highlight w:val="none"/>
                <w:lang w:val="en-US" w:eastAsia="zh-CN"/>
              </w:rPr>
              <w:t>说明：本项最高得</w:t>
            </w:r>
            <w:r>
              <w:rPr>
                <w:rFonts w:hint="eastAsia" w:hAnsi="宋体" w:eastAsia="宋体" w:cs="宋体"/>
                <w:b w:val="0"/>
                <w:color w:val="auto"/>
                <w:sz w:val="24"/>
                <w:szCs w:val="24"/>
                <w:highlight w:val="none"/>
                <w:lang w:val="en-US" w:eastAsia="zh-CN"/>
              </w:rPr>
              <w:t>10</w:t>
            </w:r>
            <w:r>
              <w:rPr>
                <w:rFonts w:hint="eastAsia" w:ascii="宋体" w:hAnsi="宋体" w:eastAsia="宋体" w:cs="宋体"/>
                <w:b w:val="0"/>
                <w:color w:val="auto"/>
                <w:sz w:val="24"/>
                <w:szCs w:val="24"/>
                <w:highlight w:val="none"/>
                <w:lang w:val="en-US" w:eastAsia="zh-CN"/>
              </w:rPr>
              <w:t>分。</w:t>
            </w:r>
            <w:r>
              <w:rPr>
                <w:rFonts w:hint="eastAsia" w:ascii="宋体" w:hAnsi="宋体" w:eastAsia="宋体" w:cs="宋体"/>
                <w:snapToGrid w:val="0"/>
                <w:color w:val="auto"/>
                <w:kern w:val="0"/>
                <w:sz w:val="24"/>
                <w:szCs w:val="24"/>
                <w:highlight w:val="none"/>
                <w:lang w:val="en-US" w:eastAsia="zh-CN" w:bidi="ar-SA"/>
              </w:rPr>
              <w:t xml:space="preserve"> </w:t>
            </w:r>
          </w:p>
        </w:tc>
        <w:tc>
          <w:tcPr>
            <w:tcW w:w="1854" w:type="pct"/>
            <w:vAlign w:val="center"/>
          </w:tcPr>
          <w:p w14:paraId="2AD40753">
            <w:pPr>
              <w:keepNext w:val="0"/>
              <w:keepLines w:val="0"/>
              <w:pageBreakBefore w:val="0"/>
              <w:suppressLineNumbers w:val="0"/>
              <w:kinsoku/>
              <w:wordWrap w:val="0"/>
              <w:overflowPunct/>
              <w:topLinePunct w:val="0"/>
              <w:bidi w:val="0"/>
              <w:adjustRightInd/>
              <w:snapToGrid/>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1．类似工程指：</w:t>
            </w:r>
            <w:r>
              <w:rPr>
                <w:rFonts w:hint="eastAsia" w:ascii="宋体" w:hAnsi="宋体" w:eastAsia="宋体" w:cs="宋体"/>
                <w:snapToGrid w:val="0"/>
                <w:color w:val="auto"/>
                <w:kern w:val="0"/>
                <w:sz w:val="24"/>
                <w:szCs w:val="24"/>
                <w:highlight w:val="none"/>
                <w:lang w:val="en-US" w:eastAsia="zh-CN"/>
              </w:rPr>
              <w:t>建安工程费≥</w:t>
            </w:r>
            <w:r>
              <w:rPr>
                <w:rFonts w:hint="eastAsia"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lang w:val="en-US" w:eastAsia="zh-CN"/>
              </w:rPr>
              <w:t>00万元的</w:t>
            </w:r>
            <w:r>
              <w:rPr>
                <w:rFonts w:hint="eastAsia" w:ascii="宋体" w:hAnsi="宋体" w:eastAsia="宋体" w:cs="宋体"/>
                <w:color w:val="auto"/>
                <w:sz w:val="24"/>
                <w:szCs w:val="24"/>
                <w:highlight w:val="none"/>
                <w:u w:val="none"/>
                <w:lang w:val="en-US" w:eastAsia="zh-CN"/>
              </w:rPr>
              <w:t>市政公用</w:t>
            </w:r>
            <w:r>
              <w:rPr>
                <w:rFonts w:hint="eastAsia" w:ascii="宋体" w:hAnsi="宋体" w:eastAsia="宋体" w:cs="宋体"/>
                <w:color w:val="auto"/>
                <w:sz w:val="24"/>
                <w:szCs w:val="24"/>
                <w:highlight w:val="none"/>
                <w:u w:val="none"/>
              </w:rPr>
              <w:t>工程</w:t>
            </w:r>
            <w:r>
              <w:rPr>
                <w:rFonts w:hint="eastAsia" w:ascii="宋体" w:hAnsi="宋体" w:eastAsia="宋体" w:cs="宋体"/>
                <w:color w:val="auto"/>
                <w:sz w:val="24"/>
                <w:szCs w:val="24"/>
                <w:highlight w:val="none"/>
                <w:u w:val="none"/>
                <w:lang w:val="en-US" w:eastAsia="zh-CN"/>
              </w:rPr>
              <w:t>类</w:t>
            </w:r>
            <w:r>
              <w:rPr>
                <w:rFonts w:hint="eastAsia" w:ascii="宋体" w:hAnsi="宋体" w:eastAsia="宋体" w:cs="宋体"/>
                <w:snapToGrid w:val="0"/>
                <w:color w:val="auto"/>
                <w:kern w:val="0"/>
                <w:sz w:val="24"/>
                <w:szCs w:val="24"/>
                <w:highlight w:val="none"/>
              </w:rPr>
              <w:t>。</w:t>
            </w:r>
          </w:p>
          <w:p w14:paraId="336A1A9E">
            <w:pPr>
              <w:keepNext w:val="0"/>
              <w:keepLines w:val="0"/>
              <w:pageBreakBefore w:val="0"/>
              <w:suppressLineNumbers w:val="0"/>
              <w:kinsoku/>
              <w:wordWrap w:val="0"/>
              <w:overflowPunct/>
              <w:topLinePunct w:val="0"/>
              <w:bidi w:val="0"/>
              <w:adjustRightInd/>
              <w:snapToGrid/>
              <w:spacing w:before="0" w:beforeAutospacing="0" w:after="0" w:afterAutospacing="0" w:line="360" w:lineRule="auto"/>
              <w:ind w:left="0" w:right="0"/>
              <w:rPr>
                <w:rFonts w:hint="eastAsia" w:ascii="宋体" w:hAnsi="宋体" w:eastAsia="宋体" w:cs="宋体"/>
                <w:i/>
                <w:i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2．需附有关业绩（仅限于以</w:t>
            </w:r>
            <w:r>
              <w:rPr>
                <w:rFonts w:hint="eastAsia" w:ascii="宋体" w:hAnsi="宋体" w:eastAsia="宋体" w:cs="宋体"/>
                <w:snapToGrid w:val="0"/>
                <w:color w:val="auto"/>
                <w:kern w:val="0"/>
                <w:sz w:val="24"/>
                <w:szCs w:val="24"/>
                <w:highlight w:val="none"/>
                <w:u w:val="single"/>
              </w:rPr>
              <w:t>施工总承包单位</w:t>
            </w:r>
            <w:r>
              <w:rPr>
                <w:rFonts w:hint="eastAsia" w:ascii="宋体" w:hAnsi="宋体" w:eastAsia="宋体" w:cs="宋体"/>
                <w:snapToGrid w:val="0"/>
                <w:color w:val="auto"/>
                <w:kern w:val="0"/>
                <w:sz w:val="24"/>
                <w:szCs w:val="24"/>
                <w:highlight w:val="none"/>
                <w:u w:val="single"/>
                <w:lang w:val="en-US" w:eastAsia="zh-CN"/>
              </w:rPr>
              <w:t>或</w:t>
            </w:r>
            <w:r>
              <w:rPr>
                <w:rFonts w:hint="eastAsia" w:ascii="宋体" w:hAnsi="宋体" w:eastAsia="宋体" w:cs="宋体"/>
                <w:snapToGrid w:val="0"/>
                <w:color w:val="auto"/>
                <w:kern w:val="0"/>
                <w:sz w:val="24"/>
                <w:szCs w:val="24"/>
                <w:highlight w:val="none"/>
                <w:u w:val="single"/>
              </w:rPr>
              <w:t>专业承包单位</w:t>
            </w:r>
            <w:r>
              <w:rPr>
                <w:rFonts w:hint="eastAsia" w:ascii="宋体" w:hAnsi="宋体" w:eastAsia="宋体" w:cs="宋体"/>
                <w:snapToGrid w:val="0"/>
                <w:color w:val="auto"/>
                <w:kern w:val="0"/>
                <w:sz w:val="24"/>
                <w:szCs w:val="24"/>
                <w:highlight w:val="none"/>
              </w:rPr>
              <w:t>身份参建的项目）合同协议书的彩色扫描件（或复印件或打印件）。</w:t>
            </w:r>
          </w:p>
          <w:p w14:paraId="1BC67424">
            <w:pPr>
              <w:keepNext w:val="0"/>
              <w:keepLines w:val="0"/>
              <w:pageBreakBefore w:val="0"/>
              <w:suppressLineNumbers w:val="0"/>
              <w:kinsoku/>
              <w:wordWrap w:val="0"/>
              <w:overflowPunct/>
              <w:topLinePunct w:val="0"/>
              <w:bidi w:val="0"/>
              <w:adjustRightInd/>
              <w:snapToGrid/>
              <w:spacing w:before="0" w:beforeAutospacing="0" w:after="0" w:afterAutospacing="0" w:line="360" w:lineRule="auto"/>
              <w:ind w:left="0" w:right="0"/>
              <w:rPr>
                <w:rFonts w:hint="eastAsia" w:ascii="宋体" w:hAnsi="宋体" w:eastAsia="宋体" w:cs="宋体"/>
                <w:strike w:val="0"/>
                <w:dstrike w:val="0"/>
                <w:snapToGrid w:val="0"/>
                <w:color w:val="auto"/>
                <w:kern w:val="0"/>
                <w:sz w:val="24"/>
                <w:szCs w:val="24"/>
                <w:highlight w:val="none"/>
              </w:rPr>
            </w:pPr>
            <w:r>
              <w:rPr>
                <w:rFonts w:hint="eastAsia" w:ascii="宋体" w:hAnsi="宋体" w:eastAsia="宋体" w:cs="宋体"/>
                <w:strike w:val="0"/>
                <w:dstrike w:val="0"/>
                <w:snapToGrid w:val="0"/>
                <w:color w:val="auto"/>
                <w:kern w:val="0"/>
                <w:sz w:val="24"/>
                <w:szCs w:val="24"/>
                <w:highlight w:val="none"/>
              </w:rPr>
              <w:t>3．业绩时间以</w:t>
            </w:r>
            <w:r>
              <w:rPr>
                <w:rFonts w:hint="eastAsia" w:ascii="宋体" w:hAnsi="宋体" w:eastAsia="宋体" w:cs="宋体"/>
                <w:strike w:val="0"/>
                <w:dstrike w:val="0"/>
                <w:snapToGrid w:val="0"/>
                <w:color w:val="auto"/>
                <w:kern w:val="0"/>
                <w:sz w:val="24"/>
                <w:szCs w:val="24"/>
                <w:highlight w:val="none"/>
                <w:lang w:val="en-US" w:eastAsia="zh-CN"/>
              </w:rPr>
              <w:t>合同协议书</w:t>
            </w:r>
            <w:r>
              <w:rPr>
                <w:rFonts w:hint="eastAsia" w:ascii="宋体" w:hAnsi="宋体" w:eastAsia="宋体" w:cs="宋体"/>
                <w:strike w:val="0"/>
                <w:dstrike w:val="0"/>
                <w:snapToGrid w:val="0"/>
                <w:color w:val="auto"/>
                <w:kern w:val="0"/>
                <w:sz w:val="24"/>
                <w:szCs w:val="24"/>
                <w:highlight w:val="none"/>
              </w:rPr>
              <w:t>日期为准。</w:t>
            </w:r>
          </w:p>
          <w:p w14:paraId="54256E98">
            <w:pPr>
              <w:keepNext w:val="0"/>
              <w:keepLines w:val="0"/>
              <w:pageBreakBefore w:val="0"/>
              <w:suppressLineNumbers w:val="0"/>
              <w:kinsoku/>
              <w:wordWrap w:val="0"/>
              <w:overflowPunct/>
              <w:topLinePunct w:val="0"/>
              <w:bidi w:val="0"/>
              <w:adjustRightInd/>
              <w:snapToGrid/>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4．任一业绩有以下情形之一的，该业绩视为无效，不予计分：</w:t>
            </w:r>
          </w:p>
          <w:p w14:paraId="3ADCB600">
            <w:pPr>
              <w:keepNext w:val="0"/>
              <w:keepLines w:val="0"/>
              <w:pageBreakBefore w:val="0"/>
              <w:suppressLineNumbers w:val="0"/>
              <w:kinsoku/>
              <w:wordWrap w:val="0"/>
              <w:overflowPunct/>
              <w:topLinePunct w:val="0"/>
              <w:bidi w:val="0"/>
              <w:adjustRightInd/>
              <w:snapToGrid/>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①业绩不属于类似工程的；</w:t>
            </w:r>
          </w:p>
          <w:p w14:paraId="12B30572">
            <w:pPr>
              <w:keepNext w:val="0"/>
              <w:keepLines w:val="0"/>
              <w:pageBreakBefore w:val="0"/>
              <w:suppressLineNumbers w:val="0"/>
              <w:kinsoku/>
              <w:wordWrap w:val="0"/>
              <w:overflowPunct/>
              <w:topLinePunct w:val="0"/>
              <w:bidi w:val="0"/>
              <w:adjustRightInd/>
              <w:snapToGrid/>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②不是以指定身份参建的；</w:t>
            </w:r>
          </w:p>
          <w:p w14:paraId="07D64CC0">
            <w:pPr>
              <w:keepNext/>
              <w:keepLines w:val="0"/>
              <w:pageBreakBefore w:val="0"/>
              <w:widowControl/>
              <w:kinsoku/>
              <w:wordWrap/>
              <w:overflowPunct/>
              <w:topLinePunct w:val="0"/>
              <w:autoSpaceDE/>
              <w:autoSpaceDN/>
              <w:bidi w:val="0"/>
              <w:snapToGrid w:val="0"/>
              <w:spacing w:line="360"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③业绩时间不符合要求的</w:t>
            </w:r>
            <w:r>
              <w:rPr>
                <w:rFonts w:hint="eastAsia" w:ascii="宋体" w:hAnsi="宋体" w:eastAsia="宋体" w:cs="宋体"/>
                <w:snapToGrid w:val="0"/>
                <w:color w:val="auto"/>
                <w:kern w:val="0"/>
                <w:sz w:val="24"/>
                <w:szCs w:val="24"/>
                <w:highlight w:val="none"/>
                <w:lang w:eastAsia="zh-CN"/>
              </w:rPr>
              <w:t>。</w:t>
            </w:r>
          </w:p>
        </w:tc>
      </w:tr>
      <w:tr w14:paraId="212BC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252" w:type="pct"/>
            <w:vMerge w:val="continue"/>
            <w:vAlign w:val="center"/>
          </w:tcPr>
          <w:p w14:paraId="2294222F">
            <w:pPr>
              <w:widowControl/>
              <w:spacing w:line="360" w:lineRule="auto"/>
              <w:jc w:val="center"/>
              <w:rPr>
                <w:rFonts w:hint="eastAsia" w:ascii="宋体" w:hAnsi="宋体" w:eastAsia="宋体" w:cs="宋体"/>
                <w:color w:val="auto"/>
                <w:kern w:val="0"/>
                <w:sz w:val="24"/>
                <w:szCs w:val="24"/>
                <w:highlight w:val="none"/>
              </w:rPr>
            </w:pPr>
          </w:p>
        </w:tc>
        <w:tc>
          <w:tcPr>
            <w:tcW w:w="501" w:type="pct"/>
            <w:vMerge w:val="continue"/>
            <w:vAlign w:val="center"/>
          </w:tcPr>
          <w:p w14:paraId="0826DF7B">
            <w:pPr>
              <w:widowControl/>
              <w:spacing w:line="360" w:lineRule="auto"/>
              <w:jc w:val="center"/>
              <w:rPr>
                <w:rFonts w:hint="eastAsia" w:ascii="宋体" w:hAnsi="宋体" w:eastAsia="宋体" w:cs="宋体"/>
                <w:color w:val="auto"/>
                <w:kern w:val="0"/>
                <w:sz w:val="24"/>
                <w:szCs w:val="24"/>
                <w:highlight w:val="none"/>
              </w:rPr>
            </w:pPr>
          </w:p>
        </w:tc>
        <w:tc>
          <w:tcPr>
            <w:tcW w:w="575" w:type="pct"/>
            <w:vMerge w:val="continue"/>
            <w:vAlign w:val="center"/>
          </w:tcPr>
          <w:p w14:paraId="4A41D3AA">
            <w:pPr>
              <w:widowControl/>
              <w:spacing w:line="360" w:lineRule="auto"/>
              <w:jc w:val="center"/>
              <w:rPr>
                <w:rFonts w:hint="eastAsia" w:ascii="宋体" w:hAnsi="宋体" w:eastAsia="宋体" w:cs="宋体"/>
                <w:color w:val="auto"/>
                <w:kern w:val="0"/>
                <w:sz w:val="24"/>
                <w:szCs w:val="24"/>
                <w:highlight w:val="none"/>
              </w:rPr>
            </w:pPr>
          </w:p>
        </w:tc>
        <w:tc>
          <w:tcPr>
            <w:tcW w:w="394" w:type="pct"/>
            <w:vAlign w:val="center"/>
          </w:tcPr>
          <w:p w14:paraId="16620A05">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企业管理体系认证</w:t>
            </w:r>
          </w:p>
          <w:p w14:paraId="156370C8">
            <w:pPr>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分）</w:t>
            </w:r>
          </w:p>
        </w:tc>
        <w:tc>
          <w:tcPr>
            <w:tcW w:w="1422" w:type="pct"/>
            <w:vAlign w:val="center"/>
          </w:tcPr>
          <w:p w14:paraId="4BD92434">
            <w:pPr>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企业</w:t>
            </w:r>
            <w:r>
              <w:rPr>
                <w:rFonts w:hint="eastAsia" w:ascii="宋体" w:hAnsi="宋体" w:eastAsia="宋体" w:cs="宋体"/>
                <w:color w:val="auto"/>
                <w:kern w:val="0"/>
                <w:sz w:val="24"/>
                <w:szCs w:val="24"/>
                <w:highlight w:val="none"/>
              </w:rPr>
              <w:t>获得质量管理体系认证、职业健康安全管理体系认证、环境管理体系认证</w:t>
            </w:r>
            <w:r>
              <w:rPr>
                <w:rFonts w:hint="eastAsia" w:ascii="宋体" w:hAnsi="宋体" w:eastAsia="宋体" w:cs="宋体"/>
                <w:color w:val="auto"/>
                <w:kern w:val="0"/>
                <w:sz w:val="24"/>
                <w:szCs w:val="24"/>
                <w:highlight w:val="none"/>
                <w:lang w:eastAsia="zh-CN"/>
              </w:rPr>
              <w:t>：</w:t>
            </w:r>
          </w:p>
          <w:p w14:paraId="35073460">
            <w:pPr>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1.同时获得</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个认证的得</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分；</w:t>
            </w:r>
          </w:p>
          <w:p w14:paraId="13A2C300">
            <w:pPr>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2.获得其中</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个的得</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分；</w:t>
            </w:r>
          </w:p>
          <w:p w14:paraId="13B980BA">
            <w:pPr>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获得其中1个的得1分；</w:t>
            </w:r>
          </w:p>
          <w:p w14:paraId="73BCAA3A">
            <w:pPr>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.未获得以上认证的，不予计分。</w:t>
            </w:r>
          </w:p>
          <w:p w14:paraId="0AEF98C9">
            <w:pPr>
              <w:spacing w:line="360" w:lineRule="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注：本项最高得</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分。</w:t>
            </w:r>
          </w:p>
        </w:tc>
        <w:tc>
          <w:tcPr>
            <w:tcW w:w="1854" w:type="pct"/>
            <w:vAlign w:val="center"/>
          </w:tcPr>
          <w:p w14:paraId="1E0368A9">
            <w:pPr>
              <w:pStyle w:val="17"/>
              <w:keepNext w:val="0"/>
              <w:keepLines w:val="0"/>
              <w:pageBreakBefore w:val="0"/>
              <w:widowControl/>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需附在有效期内的认证证书彩色扫描件（或打印件）。同时需提供国家认证认可监督管理委员会官网查询截图，否则不得分</w:t>
            </w:r>
            <w:r>
              <w:rPr>
                <w:rFonts w:hint="eastAsia" w:ascii="宋体" w:hAnsi="宋体" w:eastAsia="宋体" w:cs="宋体"/>
                <w:color w:val="auto"/>
                <w:kern w:val="0"/>
                <w:sz w:val="24"/>
                <w:szCs w:val="24"/>
                <w:highlight w:val="none"/>
              </w:rPr>
              <w:t>。</w:t>
            </w:r>
          </w:p>
          <w:p w14:paraId="4366F210">
            <w:pPr>
              <w:pStyle w:val="17"/>
              <w:keepNext w:val="0"/>
              <w:keepLines w:val="0"/>
              <w:pageBreakBefore w:val="0"/>
              <w:widowControl/>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证书有效性在国家认证认可监督管理委员会官网（http://www.cnca.gov.cn/)可查。</w:t>
            </w:r>
          </w:p>
          <w:p w14:paraId="2A046A76">
            <w:pPr>
              <w:pStyle w:val="17"/>
              <w:keepNext w:val="0"/>
              <w:keepLines w:val="0"/>
              <w:pageBreakBefore w:val="0"/>
              <w:widowControl/>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.认证证书有以下情形之一的，该认证证书视为无效，不予计分：</w:t>
            </w:r>
          </w:p>
          <w:p w14:paraId="318FE5F1">
            <w:pPr>
              <w:pStyle w:val="17"/>
              <w:keepNext w:val="0"/>
              <w:keepLines w:val="0"/>
              <w:pageBreakBefore w:val="0"/>
              <w:widowControl/>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①未提供认证证书彩色扫描件和国家认证认可监督管理委员会官网查询截图的；</w:t>
            </w:r>
          </w:p>
          <w:p w14:paraId="7468D13A">
            <w:pPr>
              <w:pStyle w:val="17"/>
              <w:keepNext w:val="0"/>
              <w:keepLines w:val="0"/>
              <w:pageBreakBefore w:val="0"/>
              <w:widowControl/>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②认证证书不在有效期内的；</w:t>
            </w:r>
          </w:p>
          <w:p w14:paraId="4D126B8B">
            <w:pPr>
              <w:pStyle w:val="17"/>
              <w:widowControl/>
              <w:wordWrap w:val="0"/>
              <w:adjustRightInd w:val="0"/>
              <w:snapToGrid w:val="0"/>
              <w:spacing w:afterLines="0" w:line="36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③获证时间不符合要求的。</w:t>
            </w:r>
          </w:p>
        </w:tc>
      </w:tr>
      <w:tr w14:paraId="73C6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252" w:type="pct"/>
            <w:vMerge w:val="continue"/>
            <w:vAlign w:val="center"/>
          </w:tcPr>
          <w:p w14:paraId="3A22FF6A">
            <w:pPr>
              <w:widowControl/>
              <w:spacing w:line="360" w:lineRule="auto"/>
              <w:jc w:val="center"/>
              <w:rPr>
                <w:rFonts w:hint="eastAsia" w:ascii="宋体" w:hAnsi="宋体" w:eastAsia="宋体" w:cs="宋体"/>
                <w:color w:val="auto"/>
                <w:kern w:val="0"/>
                <w:sz w:val="24"/>
                <w:szCs w:val="24"/>
                <w:highlight w:val="none"/>
              </w:rPr>
            </w:pPr>
          </w:p>
        </w:tc>
        <w:tc>
          <w:tcPr>
            <w:tcW w:w="501" w:type="pct"/>
            <w:vMerge w:val="continue"/>
            <w:vAlign w:val="center"/>
          </w:tcPr>
          <w:p w14:paraId="1099CA56">
            <w:pPr>
              <w:widowControl/>
              <w:spacing w:line="360" w:lineRule="auto"/>
              <w:jc w:val="center"/>
              <w:rPr>
                <w:rFonts w:hint="eastAsia" w:ascii="宋体" w:hAnsi="宋体" w:eastAsia="宋体" w:cs="宋体"/>
                <w:color w:val="auto"/>
                <w:kern w:val="0"/>
                <w:sz w:val="24"/>
                <w:szCs w:val="24"/>
                <w:highlight w:val="none"/>
              </w:rPr>
            </w:pPr>
          </w:p>
        </w:tc>
        <w:tc>
          <w:tcPr>
            <w:tcW w:w="575" w:type="pct"/>
            <w:vMerge w:val="continue"/>
            <w:vAlign w:val="center"/>
          </w:tcPr>
          <w:p w14:paraId="4CE950F5">
            <w:pPr>
              <w:widowControl/>
              <w:spacing w:line="360" w:lineRule="auto"/>
              <w:jc w:val="center"/>
              <w:rPr>
                <w:rFonts w:hint="eastAsia" w:ascii="宋体" w:hAnsi="宋体" w:eastAsia="宋体" w:cs="宋体"/>
                <w:color w:val="auto"/>
                <w:kern w:val="0"/>
                <w:sz w:val="24"/>
                <w:szCs w:val="24"/>
                <w:highlight w:val="none"/>
              </w:rPr>
            </w:pPr>
          </w:p>
        </w:tc>
        <w:tc>
          <w:tcPr>
            <w:tcW w:w="394" w:type="pct"/>
            <w:shd w:val="clear" w:color="auto" w:fill="auto"/>
            <w:vAlign w:val="center"/>
          </w:tcPr>
          <w:p w14:paraId="645EBA1D">
            <w:pPr>
              <w:keepNext/>
              <w:keepLines w:val="0"/>
              <w:pageBreakBefore w:val="0"/>
              <w:widowControl/>
              <w:kinsoku/>
              <w:wordWrap/>
              <w:overflowPunct/>
              <w:topLinePunct w:val="0"/>
              <w:autoSpaceDE/>
              <w:autoSpaceDN/>
              <w:bidi w:val="0"/>
              <w:adjustRightInd w:val="0"/>
              <w:snapToGrid w:val="0"/>
              <w:spacing w:after="0"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企业银行资信评级（</w:t>
            </w:r>
            <w:r>
              <w:rPr>
                <w:rFonts w:hint="eastAsia" w:hAnsi="宋体" w:eastAsia="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p>
        </w:tc>
        <w:tc>
          <w:tcPr>
            <w:tcW w:w="1422" w:type="pct"/>
            <w:shd w:val="clear" w:color="auto" w:fill="auto"/>
            <w:vAlign w:val="center"/>
          </w:tcPr>
          <w:p w14:paraId="028DEC35">
            <w:pPr>
              <w:keepNext/>
              <w:keepLines w:val="0"/>
              <w:pageBreakBefore w:val="0"/>
              <w:widowControl/>
              <w:kinsoku/>
              <w:wordWrap/>
              <w:overflowPunct/>
              <w:topLinePunct w:val="0"/>
              <w:autoSpaceDE/>
              <w:autoSpaceDN/>
              <w:bidi w:val="0"/>
              <w:adjustRightInd w:val="0"/>
              <w:snapToGrid w:val="0"/>
              <w:spacing w:after="0"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1．连续6年及以上获得银行资信评级AAA的，得</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hAnsi="宋体" w:eastAsia="宋体" w:cs="宋体"/>
                <w:snapToGrid w:val="0"/>
                <w:color w:val="auto"/>
                <w:kern w:val="0"/>
                <w:sz w:val="24"/>
                <w:szCs w:val="24"/>
                <w:highlight w:val="none"/>
                <w:u w:val="single"/>
                <w:lang w:val="en-US" w:eastAsia="zh-CN" w:bidi="ar-SA"/>
              </w:rPr>
              <w:t>5</w:t>
            </w:r>
            <w:r>
              <w:rPr>
                <w:rFonts w:hint="eastAsia" w:ascii="宋体" w:hAnsi="宋体" w:eastAsia="宋体" w:cs="宋体"/>
                <w:snapToGrid w:val="0"/>
                <w:color w:val="auto"/>
                <w:kern w:val="0"/>
                <w:sz w:val="24"/>
                <w:szCs w:val="24"/>
                <w:highlight w:val="none"/>
                <w:lang w:val="en-US" w:eastAsia="zh-CN" w:bidi="ar-SA"/>
              </w:rPr>
              <w:t>分；</w:t>
            </w:r>
          </w:p>
          <w:p w14:paraId="6D6AB4CF">
            <w:pPr>
              <w:keepNext/>
              <w:keepLines w:val="0"/>
              <w:pageBreakBefore w:val="0"/>
              <w:widowControl/>
              <w:kinsoku/>
              <w:wordWrap/>
              <w:overflowPunct/>
              <w:topLinePunct w:val="0"/>
              <w:autoSpaceDE/>
              <w:autoSpaceDN/>
              <w:bidi w:val="0"/>
              <w:adjustRightInd w:val="0"/>
              <w:snapToGrid w:val="0"/>
              <w:spacing w:after="0" w:line="360" w:lineRule="auto"/>
              <w:jc w:val="both"/>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2．连续3年-5年获得银行资信评级AAA的，得</w:t>
            </w:r>
            <w:r>
              <w:rPr>
                <w:rFonts w:hint="eastAsia" w:hAnsi="宋体" w:eastAsia="宋体" w:cs="宋体"/>
                <w:snapToGrid w:val="0"/>
                <w:color w:val="auto"/>
                <w:kern w:val="0"/>
                <w:sz w:val="24"/>
                <w:szCs w:val="24"/>
                <w:highlight w:val="none"/>
                <w:u w:val="single"/>
                <w:lang w:val="en-US" w:eastAsia="zh-CN" w:bidi="ar-SA"/>
              </w:rPr>
              <w:t>3</w:t>
            </w:r>
            <w:r>
              <w:rPr>
                <w:rFonts w:hint="eastAsia" w:ascii="宋体" w:hAnsi="宋体" w:eastAsia="宋体" w:cs="宋体"/>
                <w:snapToGrid w:val="0"/>
                <w:color w:val="auto"/>
                <w:kern w:val="0"/>
                <w:sz w:val="24"/>
                <w:szCs w:val="24"/>
                <w:highlight w:val="none"/>
                <w:lang w:val="en-US" w:eastAsia="zh-CN" w:bidi="ar-SA"/>
              </w:rPr>
              <w:t>分；</w:t>
            </w:r>
            <w:r>
              <w:rPr>
                <w:rFonts w:hint="eastAsia" w:hAnsi="宋体" w:eastAsia="宋体" w:cs="宋体"/>
                <w:snapToGrid w:val="0"/>
                <w:color w:val="auto"/>
                <w:kern w:val="0"/>
                <w:sz w:val="24"/>
                <w:szCs w:val="24"/>
                <w:highlight w:val="none"/>
                <w:lang w:val="en-US" w:eastAsia="zh-CN" w:bidi="ar-SA"/>
              </w:rPr>
              <w:t xml:space="preserve">  </w:t>
            </w:r>
          </w:p>
          <w:p w14:paraId="65A57DC9">
            <w:pPr>
              <w:keepNext/>
              <w:keepLines w:val="0"/>
              <w:pageBreakBefore w:val="0"/>
              <w:widowControl/>
              <w:kinsoku/>
              <w:wordWrap/>
              <w:overflowPunct/>
              <w:topLinePunct w:val="0"/>
              <w:autoSpaceDE/>
              <w:autoSpaceDN/>
              <w:bidi w:val="0"/>
              <w:adjustRightInd w:val="0"/>
              <w:snapToGrid w:val="0"/>
              <w:spacing w:after="0"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3．连续3年获得银行资信评级AAA的，得</w:t>
            </w:r>
            <w:r>
              <w:rPr>
                <w:rFonts w:hint="eastAsia" w:hAnsi="宋体" w:eastAsia="宋体" w:cs="宋体"/>
                <w:snapToGrid w:val="0"/>
                <w:color w:val="auto"/>
                <w:kern w:val="0"/>
                <w:sz w:val="24"/>
                <w:szCs w:val="24"/>
                <w:highlight w:val="none"/>
                <w:u w:val="single"/>
                <w:lang w:val="en-US" w:eastAsia="zh-CN" w:bidi="ar-SA"/>
              </w:rPr>
              <w:t>2</w:t>
            </w:r>
            <w:r>
              <w:rPr>
                <w:rFonts w:hint="eastAsia" w:ascii="宋体" w:hAnsi="宋体" w:eastAsia="宋体" w:cs="宋体"/>
                <w:snapToGrid w:val="0"/>
                <w:color w:val="auto"/>
                <w:kern w:val="0"/>
                <w:sz w:val="24"/>
                <w:szCs w:val="24"/>
                <w:highlight w:val="none"/>
                <w:lang w:val="en-US" w:eastAsia="zh-CN" w:bidi="ar-SA"/>
              </w:rPr>
              <w:t>分。</w:t>
            </w:r>
          </w:p>
          <w:p w14:paraId="02FDD371">
            <w:pPr>
              <w:keepNext/>
              <w:keepLines w:val="0"/>
              <w:pageBreakBefore w:val="0"/>
              <w:widowControl/>
              <w:kinsoku/>
              <w:wordWrap/>
              <w:overflowPunct/>
              <w:topLinePunct w:val="0"/>
              <w:autoSpaceDE/>
              <w:autoSpaceDN/>
              <w:bidi w:val="0"/>
              <w:adjustRightInd w:val="0"/>
              <w:snapToGrid w:val="0"/>
              <w:spacing w:after="0"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4．未获得过以上评级的，或评级证书无效的，不予计分。</w:t>
            </w:r>
          </w:p>
          <w:p w14:paraId="23A72480">
            <w:pPr>
              <w:pStyle w:val="13"/>
              <w:spacing w:line="360" w:lineRule="auto"/>
              <w:rPr>
                <w:rFonts w:hint="eastAsia" w:ascii="Arial" w:hAnsi="Arial" w:eastAsia="黑体" w:cs="Times New Roman"/>
                <w:b/>
                <w:color w:val="auto"/>
                <w:kern w:val="2"/>
                <w:sz w:val="32"/>
                <w:szCs w:val="21"/>
                <w:highlight w:val="none"/>
                <w:lang w:val="en-US" w:eastAsia="zh-CN" w:bidi="ar-SA"/>
              </w:rPr>
            </w:pPr>
            <w:r>
              <w:rPr>
                <w:rFonts w:hint="eastAsia" w:ascii="宋体" w:hAnsi="宋体" w:eastAsia="宋体" w:cs="宋体"/>
                <w:b w:val="0"/>
                <w:color w:val="auto"/>
                <w:sz w:val="24"/>
                <w:szCs w:val="24"/>
                <w:highlight w:val="none"/>
                <w:lang w:val="en-US" w:eastAsia="zh-CN"/>
              </w:rPr>
              <w:t>说明：本项最高得5分。</w:t>
            </w:r>
          </w:p>
        </w:tc>
        <w:tc>
          <w:tcPr>
            <w:tcW w:w="1854" w:type="pct"/>
            <w:shd w:val="clear" w:color="auto" w:fill="auto"/>
            <w:vAlign w:val="center"/>
          </w:tcPr>
          <w:p w14:paraId="02045E67">
            <w:pPr>
              <w:keepNext/>
              <w:keepLines w:val="0"/>
              <w:pageBreakBefore w:val="0"/>
              <w:widowControl/>
              <w:kinsoku/>
              <w:wordWrap/>
              <w:overflowPunct/>
              <w:topLinePunct w:val="0"/>
              <w:autoSpaceDE/>
              <w:autoSpaceDN/>
              <w:bidi w:val="0"/>
              <w:adjustRightInd w:val="0"/>
              <w:snapToGrid w:val="0"/>
              <w:spacing w:after="0"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1．需附在有效期内的资信评级证书（证明）扫描件</w:t>
            </w:r>
          </w:p>
          <w:p w14:paraId="07A62071">
            <w:pPr>
              <w:keepNext/>
              <w:keepLines w:val="0"/>
              <w:pageBreakBefore w:val="0"/>
              <w:widowControl/>
              <w:kinsoku/>
              <w:wordWrap/>
              <w:overflowPunct/>
              <w:topLinePunct w:val="0"/>
              <w:autoSpaceDE/>
              <w:autoSpaceDN/>
              <w:bidi w:val="0"/>
              <w:adjustRightInd w:val="0"/>
              <w:snapToGrid w:val="0"/>
              <w:spacing w:after="0"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2．评级证书（证明）须由</w:t>
            </w:r>
            <w:r>
              <w:rPr>
                <w:rFonts w:hint="eastAsia" w:ascii="宋体" w:hAnsi="宋体" w:eastAsia="宋体" w:cs="宋体"/>
                <w:snapToGrid w:val="0"/>
                <w:color w:val="auto"/>
                <w:kern w:val="0"/>
                <w:sz w:val="24"/>
                <w:szCs w:val="24"/>
                <w:highlight w:val="none"/>
                <w:u w:val="single"/>
                <w:lang w:val="en-US" w:eastAsia="zh-CN" w:bidi="ar-SA"/>
              </w:rPr>
              <w:t xml:space="preserve"> 企业基本账户开户银行</w:t>
            </w:r>
            <w:r>
              <w:rPr>
                <w:rFonts w:hint="eastAsia" w:hAnsi="宋体" w:eastAsia="宋体" w:cs="宋体"/>
                <w:snapToGrid w:val="0"/>
                <w:color w:val="auto"/>
                <w:kern w:val="0"/>
                <w:sz w:val="24"/>
                <w:szCs w:val="24"/>
                <w:highlight w:val="none"/>
                <w:u w:val="single"/>
                <w:lang w:val="en-US" w:eastAsia="zh-CN" w:bidi="ar-SA"/>
              </w:rPr>
              <w:t>或其上级银行</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snapToGrid w:val="0"/>
                <w:color w:val="auto"/>
                <w:kern w:val="0"/>
                <w:sz w:val="24"/>
                <w:szCs w:val="24"/>
                <w:highlight w:val="none"/>
                <w:lang w:val="en-US" w:eastAsia="zh-CN" w:bidi="ar-SA"/>
              </w:rPr>
              <w:t>出具。</w:t>
            </w:r>
          </w:p>
          <w:p w14:paraId="5D585BCF">
            <w:pPr>
              <w:keepNext/>
              <w:keepLines w:val="0"/>
              <w:pageBreakBefore w:val="0"/>
              <w:widowControl/>
              <w:kinsoku/>
              <w:wordWrap/>
              <w:overflowPunct/>
              <w:topLinePunct w:val="0"/>
              <w:autoSpaceDE/>
              <w:autoSpaceDN/>
              <w:bidi w:val="0"/>
              <w:adjustRightInd w:val="0"/>
              <w:snapToGrid w:val="0"/>
              <w:spacing w:after="0"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3．评级证书（证明）有以下情形之一的，视为无效：</w:t>
            </w:r>
          </w:p>
          <w:p w14:paraId="46E3F4EC">
            <w:pPr>
              <w:keepNext/>
              <w:keepLines w:val="0"/>
              <w:pageBreakBefore w:val="0"/>
              <w:widowControl/>
              <w:kinsoku/>
              <w:wordWrap/>
              <w:overflowPunct/>
              <w:topLinePunct w:val="0"/>
              <w:autoSpaceDE/>
              <w:autoSpaceDN/>
              <w:bidi w:val="0"/>
              <w:adjustRightInd w:val="0"/>
              <w:snapToGrid w:val="0"/>
              <w:spacing w:after="0" w:line="360" w:lineRule="auto"/>
              <w:jc w:val="both"/>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①出具机构不符合要求的。</w:t>
            </w:r>
          </w:p>
        </w:tc>
      </w:tr>
      <w:tr w14:paraId="7DA5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252" w:type="pct"/>
            <w:vMerge w:val="continue"/>
            <w:vAlign w:val="center"/>
          </w:tcPr>
          <w:p w14:paraId="4E7D693D">
            <w:pPr>
              <w:widowControl/>
              <w:spacing w:line="360" w:lineRule="auto"/>
              <w:jc w:val="center"/>
              <w:rPr>
                <w:rFonts w:hint="eastAsia" w:ascii="宋体" w:hAnsi="宋体" w:eastAsia="宋体" w:cs="宋体"/>
                <w:color w:val="auto"/>
                <w:kern w:val="0"/>
                <w:sz w:val="24"/>
                <w:szCs w:val="24"/>
                <w:highlight w:val="none"/>
              </w:rPr>
            </w:pPr>
          </w:p>
        </w:tc>
        <w:tc>
          <w:tcPr>
            <w:tcW w:w="501" w:type="pct"/>
            <w:vMerge w:val="continue"/>
            <w:vAlign w:val="center"/>
          </w:tcPr>
          <w:p w14:paraId="26B4BD28">
            <w:pPr>
              <w:widowControl/>
              <w:spacing w:line="360" w:lineRule="auto"/>
              <w:jc w:val="center"/>
              <w:rPr>
                <w:rFonts w:hint="eastAsia" w:ascii="宋体" w:hAnsi="宋体" w:eastAsia="宋体" w:cs="宋体"/>
                <w:color w:val="auto"/>
                <w:kern w:val="0"/>
                <w:sz w:val="24"/>
                <w:szCs w:val="24"/>
                <w:highlight w:val="none"/>
              </w:rPr>
            </w:pPr>
          </w:p>
        </w:tc>
        <w:tc>
          <w:tcPr>
            <w:tcW w:w="575" w:type="pct"/>
            <w:vMerge w:val="continue"/>
            <w:vAlign w:val="center"/>
          </w:tcPr>
          <w:p w14:paraId="731DAC77">
            <w:pPr>
              <w:widowControl/>
              <w:spacing w:line="360" w:lineRule="auto"/>
              <w:jc w:val="center"/>
              <w:rPr>
                <w:rFonts w:hint="eastAsia" w:ascii="宋体" w:hAnsi="宋体" w:eastAsia="宋体" w:cs="宋体"/>
                <w:color w:val="auto"/>
                <w:kern w:val="0"/>
                <w:sz w:val="24"/>
                <w:szCs w:val="24"/>
                <w:highlight w:val="none"/>
              </w:rPr>
            </w:pPr>
          </w:p>
        </w:tc>
        <w:tc>
          <w:tcPr>
            <w:tcW w:w="394" w:type="pct"/>
            <w:shd w:val="clear" w:color="auto" w:fill="auto"/>
            <w:vAlign w:val="center"/>
          </w:tcPr>
          <w:p w14:paraId="71CAD5E2">
            <w:pPr>
              <w:keepNext/>
              <w:keepLines w:val="0"/>
              <w:pageBreakBefore w:val="0"/>
              <w:widowControl/>
              <w:kinsoku/>
              <w:wordWrap/>
              <w:overflowPunct/>
              <w:topLinePunct w:val="0"/>
              <w:autoSpaceDE/>
              <w:autoSpaceDN/>
              <w:bidi w:val="0"/>
              <w:snapToGrid w:val="0"/>
              <w:spacing w:line="360" w:lineRule="auto"/>
              <w:jc w:val="center"/>
              <w:textAlignment w:val="auto"/>
              <w:rPr>
                <w:rFonts w:hint="eastAsia" w:ascii="宋体" w:hAnsi="宋体" w:eastAsia="宋体" w:cs="宋体"/>
                <w:snapToGrid w:val="0"/>
                <w:color w:val="auto"/>
                <w:kern w:val="0"/>
                <w:sz w:val="28"/>
                <w:szCs w:val="28"/>
                <w:highlight w:val="none"/>
                <w:lang w:val="en-US" w:eastAsia="zh-CN" w:bidi="ar-SA"/>
              </w:rPr>
            </w:pPr>
            <w:r>
              <w:rPr>
                <w:rFonts w:hint="eastAsia" w:ascii="宋体" w:hAnsi="宋体" w:eastAsia="宋体" w:cs="宋体"/>
                <w:color w:val="auto"/>
                <w:kern w:val="0"/>
                <w:sz w:val="24"/>
                <w:szCs w:val="24"/>
                <w:highlight w:val="none"/>
                <w:lang w:val="en-US" w:eastAsia="zh-CN"/>
              </w:rPr>
              <w:t>纳税信用（</w:t>
            </w:r>
            <w:r>
              <w:rPr>
                <w:rFonts w:hint="eastAsia" w:hAnsi="宋体" w:eastAsia="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en-US" w:eastAsia="zh-CN" w:bidi="ar-SA"/>
              </w:rPr>
              <w:t>分）</w:t>
            </w:r>
          </w:p>
        </w:tc>
        <w:tc>
          <w:tcPr>
            <w:tcW w:w="1422" w:type="pct"/>
            <w:shd w:val="clear" w:color="auto" w:fill="auto"/>
            <w:vAlign w:val="center"/>
          </w:tcPr>
          <w:p w14:paraId="0776ABF9">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企业获得纳税信用A级状况：</w:t>
            </w:r>
          </w:p>
          <w:p w14:paraId="780411B8">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1.连续</w:t>
            </w:r>
            <w:r>
              <w:rPr>
                <w:rFonts w:hint="eastAsia" w:hAnsi="宋体" w:eastAsia="宋体" w:cs="宋体"/>
                <w:color w:val="auto"/>
                <w:kern w:val="2"/>
                <w:sz w:val="24"/>
                <w:szCs w:val="24"/>
                <w:highlight w:val="none"/>
                <w:lang w:val="en-US" w:eastAsia="zh-CN" w:bidi="ar-SA"/>
              </w:rPr>
              <w:t>7</w:t>
            </w:r>
            <w:r>
              <w:rPr>
                <w:rFonts w:hint="eastAsia" w:ascii="宋体" w:hAnsi="宋体" w:eastAsia="宋体" w:cs="宋体"/>
                <w:color w:val="auto"/>
                <w:kern w:val="2"/>
                <w:sz w:val="24"/>
                <w:szCs w:val="24"/>
                <w:highlight w:val="none"/>
                <w:lang w:val="en-US" w:eastAsia="zh-CN" w:bidi="ar-SA"/>
              </w:rPr>
              <w:t>个年度或以上获得纳税信用A级的得</w:t>
            </w:r>
            <w:r>
              <w:rPr>
                <w:rFonts w:hint="eastAsia" w:hAnsi="宋体" w:eastAsia="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eastAsia="zh-CN" w:bidi="ar-SA"/>
              </w:rPr>
              <w:t>分；（其中必须有2025年度）</w:t>
            </w:r>
          </w:p>
          <w:p w14:paraId="45BD94E8">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2.连续</w:t>
            </w:r>
            <w:r>
              <w:rPr>
                <w:rFonts w:hint="eastAsia" w:hAnsi="宋体" w:eastAsia="宋体" w:cs="宋体"/>
                <w:color w:val="auto"/>
                <w:kern w:val="2"/>
                <w:sz w:val="24"/>
                <w:szCs w:val="24"/>
                <w:highlight w:val="none"/>
                <w:lang w:val="en-US" w:eastAsia="zh-CN" w:bidi="ar-SA"/>
              </w:rPr>
              <w:t>4-6</w:t>
            </w:r>
            <w:r>
              <w:rPr>
                <w:rFonts w:hint="eastAsia" w:ascii="宋体" w:hAnsi="宋体" w:eastAsia="宋体" w:cs="宋体"/>
                <w:color w:val="auto"/>
                <w:kern w:val="2"/>
                <w:sz w:val="24"/>
                <w:szCs w:val="24"/>
                <w:highlight w:val="none"/>
                <w:lang w:val="en-US" w:eastAsia="zh-CN" w:bidi="ar-SA"/>
              </w:rPr>
              <w:t>个年度或以上获得纳税信用A级的得</w:t>
            </w:r>
            <w:r>
              <w:rPr>
                <w:rFonts w:hint="eastAsia" w:hAnsi="宋体"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SA"/>
              </w:rPr>
              <w:t>分；（其中必须有2025年度）</w:t>
            </w:r>
          </w:p>
          <w:p w14:paraId="163179F6">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3.连续1-3个年度或以上获得纳税信用A级的得1分；（其中必须有2025年度）</w:t>
            </w:r>
          </w:p>
          <w:p w14:paraId="64DE194C">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4.其他情形的，不予计分。</w:t>
            </w:r>
          </w:p>
          <w:p w14:paraId="664D096A">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snapToGrid w:val="0"/>
                <w:color w:val="auto"/>
                <w:kern w:val="0"/>
                <w:sz w:val="28"/>
                <w:szCs w:val="28"/>
                <w:highlight w:val="none"/>
                <w:lang w:val="en-US" w:eastAsia="zh-CN" w:bidi="ar-SA"/>
              </w:rPr>
            </w:pPr>
            <w:r>
              <w:rPr>
                <w:rFonts w:hint="eastAsia" w:ascii="宋体" w:hAnsi="宋体" w:eastAsia="宋体" w:cs="宋体"/>
                <w:color w:val="auto"/>
                <w:kern w:val="2"/>
                <w:sz w:val="24"/>
                <w:szCs w:val="24"/>
                <w:highlight w:val="none"/>
                <w:lang w:val="en-US" w:eastAsia="zh-CN" w:bidi="ar-SA"/>
              </w:rPr>
              <w:t>说明：本项最高得</w:t>
            </w:r>
            <w:r>
              <w:rPr>
                <w:rFonts w:hint="eastAsia" w:hAnsi="宋体" w:eastAsia="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eastAsia="zh-CN" w:bidi="ar-SA"/>
              </w:rPr>
              <w:t>分。</w:t>
            </w:r>
          </w:p>
        </w:tc>
        <w:tc>
          <w:tcPr>
            <w:tcW w:w="1854" w:type="pct"/>
            <w:shd w:val="clear" w:color="auto" w:fill="auto"/>
            <w:vAlign w:val="center"/>
          </w:tcPr>
          <w:p w14:paraId="4D348C5A">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1.必须提供企业纳税信用A级纳税人证明材料（或证书）彩色扫描件及国家税务总局网上查询截图，否则不得分。</w:t>
            </w:r>
          </w:p>
          <w:p w14:paraId="46AAB309">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2.只计算投标人自身（不计算投标人的分公司、子公司及分支机构）。</w:t>
            </w:r>
          </w:p>
          <w:p w14:paraId="7E17247E">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snapToGrid w:val="0"/>
                <w:color w:val="auto"/>
                <w:kern w:val="0"/>
                <w:sz w:val="28"/>
                <w:szCs w:val="28"/>
                <w:highlight w:val="none"/>
                <w:lang w:val="en-US" w:eastAsia="zh-CN" w:bidi="ar-SA"/>
              </w:rPr>
            </w:pPr>
          </w:p>
        </w:tc>
      </w:tr>
      <w:tr w14:paraId="1055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252" w:type="pct"/>
            <w:vMerge w:val="continue"/>
            <w:vAlign w:val="center"/>
          </w:tcPr>
          <w:p w14:paraId="127D3746">
            <w:pPr>
              <w:widowControl/>
              <w:spacing w:line="360" w:lineRule="auto"/>
              <w:jc w:val="center"/>
              <w:rPr>
                <w:rFonts w:hint="eastAsia" w:ascii="宋体" w:hAnsi="宋体" w:eastAsia="宋体" w:cs="宋体"/>
                <w:color w:val="auto"/>
                <w:kern w:val="0"/>
                <w:sz w:val="24"/>
                <w:szCs w:val="24"/>
                <w:highlight w:val="none"/>
              </w:rPr>
            </w:pPr>
          </w:p>
        </w:tc>
        <w:tc>
          <w:tcPr>
            <w:tcW w:w="501" w:type="pct"/>
            <w:vMerge w:val="continue"/>
            <w:vAlign w:val="center"/>
          </w:tcPr>
          <w:p w14:paraId="67575837">
            <w:pPr>
              <w:widowControl/>
              <w:spacing w:line="360" w:lineRule="auto"/>
              <w:jc w:val="center"/>
              <w:rPr>
                <w:rFonts w:hint="eastAsia" w:ascii="宋体" w:hAnsi="宋体" w:eastAsia="宋体" w:cs="宋体"/>
                <w:color w:val="auto"/>
                <w:kern w:val="0"/>
                <w:sz w:val="24"/>
                <w:szCs w:val="24"/>
                <w:highlight w:val="none"/>
              </w:rPr>
            </w:pPr>
          </w:p>
        </w:tc>
        <w:tc>
          <w:tcPr>
            <w:tcW w:w="575" w:type="pct"/>
            <w:vMerge w:val="continue"/>
            <w:vAlign w:val="center"/>
          </w:tcPr>
          <w:p w14:paraId="62F6F153">
            <w:pPr>
              <w:widowControl/>
              <w:spacing w:line="360" w:lineRule="auto"/>
              <w:jc w:val="center"/>
              <w:rPr>
                <w:rFonts w:hint="eastAsia" w:ascii="宋体" w:hAnsi="宋体" w:eastAsia="宋体" w:cs="宋体"/>
                <w:color w:val="auto"/>
                <w:kern w:val="0"/>
                <w:sz w:val="24"/>
                <w:szCs w:val="24"/>
                <w:highlight w:val="none"/>
              </w:rPr>
            </w:pPr>
          </w:p>
        </w:tc>
        <w:tc>
          <w:tcPr>
            <w:tcW w:w="394" w:type="pct"/>
            <w:vMerge w:val="restart"/>
            <w:shd w:val="clear" w:color="auto" w:fill="auto"/>
            <w:vAlign w:val="center"/>
          </w:tcPr>
          <w:p w14:paraId="751E34CD">
            <w:pPr>
              <w:keepNext/>
              <w:keepLines w:val="0"/>
              <w:pageBreakBefore w:val="0"/>
              <w:widowControl/>
              <w:kinsoku/>
              <w:wordWrap/>
              <w:overflowPunct/>
              <w:topLinePunct w:val="0"/>
              <w:autoSpaceDE/>
              <w:autoSpaceDN/>
              <w:bidi w:val="0"/>
              <w:adjustRightInd w:val="0"/>
              <w:snapToGrid w:val="0"/>
              <w:spacing w:after="0"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企业财务状况</w:t>
            </w:r>
          </w:p>
          <w:p w14:paraId="2D10FAC4">
            <w:pPr>
              <w:keepNext/>
              <w:keepLines w:val="0"/>
              <w:pageBreakBefore w:val="0"/>
              <w:widowControl/>
              <w:kinsoku/>
              <w:wordWrap/>
              <w:overflowPunct/>
              <w:topLinePunct w:val="0"/>
              <w:autoSpaceDE/>
              <w:autoSpaceDN/>
              <w:bidi w:val="0"/>
              <w:adjustRightInd w:val="0"/>
              <w:snapToGrid w:val="0"/>
              <w:spacing w:after="0"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（5分）</w:t>
            </w:r>
          </w:p>
        </w:tc>
        <w:tc>
          <w:tcPr>
            <w:tcW w:w="1422" w:type="pct"/>
            <w:shd w:val="clear" w:color="auto" w:fill="auto"/>
            <w:vAlign w:val="center"/>
          </w:tcPr>
          <w:p w14:paraId="2950F5FB">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1.提供不少于</w:t>
            </w:r>
            <w:r>
              <w:rPr>
                <w:rFonts w:hint="eastAsia" w:hAnsi="宋体" w:eastAsia="宋体" w:cs="宋体"/>
                <w:color w:val="auto"/>
                <w:kern w:val="2"/>
                <w:sz w:val="24"/>
                <w:szCs w:val="24"/>
                <w:highlight w:val="none"/>
                <w:lang w:val="en-US" w:eastAsia="zh-CN" w:bidi="ar-SA"/>
              </w:rPr>
              <w:t>100</w:t>
            </w:r>
            <w:r>
              <w:rPr>
                <w:rFonts w:hint="eastAsia" w:ascii="宋体" w:hAnsi="宋体" w:eastAsia="宋体" w:cs="宋体"/>
                <w:color w:val="auto"/>
                <w:kern w:val="2"/>
                <w:sz w:val="24"/>
                <w:szCs w:val="24"/>
                <w:highlight w:val="none"/>
                <w:lang w:val="en-US" w:eastAsia="zh-CN" w:bidi="ar-SA"/>
              </w:rPr>
              <w:t>万元银行授信（或融资）证明的，得2分；</w:t>
            </w:r>
          </w:p>
          <w:p w14:paraId="1B13018C">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2.未提供不得分。</w:t>
            </w:r>
          </w:p>
        </w:tc>
        <w:tc>
          <w:tcPr>
            <w:tcW w:w="1854" w:type="pct"/>
            <w:shd w:val="clear" w:color="auto" w:fill="auto"/>
            <w:vAlign w:val="center"/>
          </w:tcPr>
          <w:p w14:paraId="6221C7EC">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1.需附在有效期内的有关证明彩色扫描件。</w:t>
            </w:r>
          </w:p>
          <w:p w14:paraId="62FCF7DB">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2.银行授信（或融资）证明有以下情形之一的，视为无效，不予计分：</w:t>
            </w:r>
          </w:p>
          <w:p w14:paraId="338A4863">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①授信（或融资）证明不在有效期内的；</w:t>
            </w:r>
          </w:p>
          <w:p w14:paraId="5343776D">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②授信（或融资）额度不符合要求的。</w:t>
            </w:r>
          </w:p>
        </w:tc>
      </w:tr>
      <w:tr w14:paraId="7BE7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252" w:type="pct"/>
            <w:vMerge w:val="continue"/>
            <w:vAlign w:val="center"/>
          </w:tcPr>
          <w:p w14:paraId="059D675F">
            <w:pPr>
              <w:widowControl/>
              <w:spacing w:line="360" w:lineRule="auto"/>
              <w:jc w:val="center"/>
              <w:rPr>
                <w:rFonts w:hint="eastAsia" w:ascii="宋体" w:hAnsi="宋体" w:eastAsia="宋体" w:cs="宋体"/>
                <w:color w:val="auto"/>
                <w:kern w:val="0"/>
                <w:sz w:val="24"/>
                <w:szCs w:val="24"/>
                <w:highlight w:val="none"/>
              </w:rPr>
            </w:pPr>
          </w:p>
        </w:tc>
        <w:tc>
          <w:tcPr>
            <w:tcW w:w="501" w:type="pct"/>
            <w:vMerge w:val="continue"/>
            <w:vAlign w:val="center"/>
          </w:tcPr>
          <w:p w14:paraId="325B28F6">
            <w:pPr>
              <w:widowControl/>
              <w:spacing w:line="360" w:lineRule="auto"/>
              <w:jc w:val="center"/>
              <w:rPr>
                <w:rFonts w:hint="eastAsia" w:ascii="宋体" w:hAnsi="宋体" w:eastAsia="宋体" w:cs="宋体"/>
                <w:color w:val="auto"/>
                <w:kern w:val="0"/>
                <w:sz w:val="24"/>
                <w:szCs w:val="24"/>
                <w:highlight w:val="none"/>
              </w:rPr>
            </w:pPr>
          </w:p>
        </w:tc>
        <w:tc>
          <w:tcPr>
            <w:tcW w:w="575" w:type="pct"/>
            <w:vMerge w:val="continue"/>
            <w:vAlign w:val="center"/>
          </w:tcPr>
          <w:p w14:paraId="121F61DC">
            <w:pPr>
              <w:widowControl/>
              <w:spacing w:line="360" w:lineRule="auto"/>
              <w:jc w:val="center"/>
              <w:rPr>
                <w:rFonts w:hint="eastAsia" w:ascii="宋体" w:hAnsi="宋体" w:eastAsia="宋体" w:cs="宋体"/>
                <w:color w:val="auto"/>
                <w:kern w:val="0"/>
                <w:sz w:val="24"/>
                <w:szCs w:val="24"/>
                <w:highlight w:val="none"/>
              </w:rPr>
            </w:pPr>
          </w:p>
        </w:tc>
        <w:tc>
          <w:tcPr>
            <w:tcW w:w="394" w:type="pct"/>
            <w:vMerge w:val="continue"/>
            <w:shd w:val="clear" w:color="auto" w:fill="auto"/>
            <w:vAlign w:val="center"/>
          </w:tcPr>
          <w:p w14:paraId="5402A376">
            <w:pPr>
              <w:keepNext/>
              <w:keepLines w:val="0"/>
              <w:pageBreakBefore w:val="0"/>
              <w:widowControl/>
              <w:kinsoku/>
              <w:wordWrap/>
              <w:overflowPunct/>
              <w:topLinePunct w:val="0"/>
              <w:autoSpaceDE/>
              <w:autoSpaceDN/>
              <w:bidi w:val="0"/>
              <w:adjustRightInd w:val="0"/>
              <w:snapToGrid w:val="0"/>
              <w:spacing w:after="0" w:line="360" w:lineRule="auto"/>
              <w:jc w:val="center"/>
              <w:rPr>
                <w:rFonts w:hint="eastAsia" w:ascii="宋体" w:hAnsi="宋体" w:eastAsia="宋体" w:cs="宋体"/>
                <w:snapToGrid w:val="0"/>
                <w:color w:val="auto"/>
                <w:kern w:val="0"/>
                <w:sz w:val="24"/>
                <w:szCs w:val="24"/>
                <w:highlight w:val="none"/>
                <w:lang w:val="en-US" w:eastAsia="zh-CN" w:bidi="ar-SA"/>
              </w:rPr>
            </w:pPr>
          </w:p>
        </w:tc>
        <w:tc>
          <w:tcPr>
            <w:tcW w:w="1422" w:type="pct"/>
            <w:shd w:val="clear" w:color="auto" w:fill="auto"/>
            <w:vAlign w:val="center"/>
          </w:tcPr>
          <w:p w14:paraId="1EA669D6">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1.提供投标人基本账户在本项目招标公告发布之日起至投标截止时间期间出现过至少连续3日不少于</w:t>
            </w:r>
            <w:r>
              <w:rPr>
                <w:rFonts w:hint="eastAsia" w:hAnsi="宋体" w:eastAsia="宋体" w:cs="宋体"/>
                <w:color w:val="auto"/>
                <w:kern w:val="2"/>
                <w:sz w:val="24"/>
                <w:szCs w:val="24"/>
                <w:highlight w:val="none"/>
                <w:lang w:val="en-US" w:eastAsia="zh-CN" w:bidi="ar-SA"/>
              </w:rPr>
              <w:t>100</w:t>
            </w:r>
            <w:r>
              <w:rPr>
                <w:rFonts w:hint="eastAsia" w:ascii="宋体" w:hAnsi="宋体" w:eastAsia="宋体" w:cs="宋体"/>
                <w:color w:val="auto"/>
                <w:kern w:val="2"/>
                <w:sz w:val="24"/>
                <w:szCs w:val="24"/>
                <w:highlight w:val="none"/>
                <w:lang w:val="en-US" w:eastAsia="zh-CN" w:bidi="ar-SA"/>
              </w:rPr>
              <w:t>万元存款余额资金流水证明的，得3分；</w:t>
            </w:r>
          </w:p>
          <w:p w14:paraId="31B65A94">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2.未提供证明的，不予计分。</w:t>
            </w:r>
          </w:p>
        </w:tc>
        <w:tc>
          <w:tcPr>
            <w:tcW w:w="1854" w:type="pct"/>
            <w:shd w:val="clear" w:color="auto" w:fill="auto"/>
            <w:vAlign w:val="center"/>
          </w:tcPr>
          <w:p w14:paraId="2FA0276C">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1.需附①基本账户开户许可证或基本存款账户开户银行出具的《基本存款账户信息》彩色扫描件；②存款余额资金流水证明彩色扫描件。</w:t>
            </w:r>
          </w:p>
          <w:p w14:paraId="42CCA780">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2.存款余额资金流水证明有以下情形之一的，视为无效，不予计分；</w:t>
            </w:r>
          </w:p>
          <w:p w14:paraId="15C5176D">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①存款账户不是基本账户的；</w:t>
            </w:r>
          </w:p>
          <w:p w14:paraId="73AFC854">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②存款时间不符合要求的；</w:t>
            </w:r>
          </w:p>
          <w:p w14:paraId="76DDE02A">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③存款额度不符合要求的。</w:t>
            </w:r>
          </w:p>
        </w:tc>
      </w:tr>
      <w:tr w14:paraId="7603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252" w:type="pct"/>
            <w:vMerge w:val="continue"/>
            <w:vAlign w:val="center"/>
          </w:tcPr>
          <w:p w14:paraId="72E7319E">
            <w:pPr>
              <w:widowControl/>
              <w:spacing w:line="360" w:lineRule="auto"/>
              <w:jc w:val="center"/>
              <w:rPr>
                <w:rFonts w:hint="eastAsia" w:ascii="宋体" w:hAnsi="宋体" w:eastAsia="宋体" w:cs="宋体"/>
                <w:color w:val="auto"/>
                <w:kern w:val="0"/>
                <w:sz w:val="24"/>
                <w:szCs w:val="24"/>
                <w:highlight w:val="none"/>
              </w:rPr>
            </w:pPr>
          </w:p>
        </w:tc>
        <w:tc>
          <w:tcPr>
            <w:tcW w:w="501" w:type="pct"/>
            <w:vMerge w:val="continue"/>
            <w:vAlign w:val="center"/>
          </w:tcPr>
          <w:p w14:paraId="4696C45D">
            <w:pPr>
              <w:widowControl/>
              <w:spacing w:line="360" w:lineRule="auto"/>
              <w:jc w:val="center"/>
              <w:rPr>
                <w:rFonts w:hint="eastAsia" w:ascii="宋体" w:hAnsi="宋体" w:eastAsia="宋体" w:cs="宋体"/>
                <w:color w:val="auto"/>
                <w:kern w:val="0"/>
                <w:sz w:val="24"/>
                <w:szCs w:val="24"/>
                <w:highlight w:val="none"/>
              </w:rPr>
            </w:pPr>
          </w:p>
        </w:tc>
        <w:tc>
          <w:tcPr>
            <w:tcW w:w="575" w:type="pct"/>
            <w:vMerge w:val="restart"/>
            <w:vAlign w:val="center"/>
          </w:tcPr>
          <w:p w14:paraId="2C9063F1">
            <w:pPr>
              <w:widowControl/>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设计企业（</w:t>
            </w:r>
            <w:r>
              <w:rPr>
                <w:rFonts w:hint="eastAsia" w:hAnsi="宋体" w:eastAsia="宋体" w:cs="宋体"/>
                <w:color w:val="auto"/>
                <w:kern w:val="0"/>
                <w:sz w:val="24"/>
                <w:szCs w:val="24"/>
                <w:highlight w:val="none"/>
                <w:lang w:val="en-US" w:eastAsia="zh-CN"/>
              </w:rPr>
              <w:t>20</w:t>
            </w:r>
            <w:r>
              <w:rPr>
                <w:rFonts w:hint="eastAsia" w:ascii="宋体" w:hAnsi="宋体" w:eastAsia="宋体" w:cs="宋体"/>
                <w:color w:val="auto"/>
                <w:kern w:val="0"/>
                <w:sz w:val="24"/>
                <w:szCs w:val="24"/>
                <w:highlight w:val="none"/>
              </w:rPr>
              <w:t>分）</w:t>
            </w:r>
          </w:p>
        </w:tc>
        <w:tc>
          <w:tcPr>
            <w:tcW w:w="394" w:type="pct"/>
            <w:vAlign w:val="center"/>
          </w:tcPr>
          <w:p w14:paraId="5D9176E5">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企业</w:t>
            </w:r>
          </w:p>
          <w:p w14:paraId="33B8BE97">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业绩（5分）</w:t>
            </w:r>
          </w:p>
        </w:tc>
        <w:tc>
          <w:tcPr>
            <w:tcW w:w="1422" w:type="pct"/>
            <w:vAlign w:val="center"/>
          </w:tcPr>
          <w:p w14:paraId="11EE3547">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1.投标人近 5 年来（2021年1月1日至今）承接过类似工程的，每提供一项得</w:t>
            </w:r>
            <w:r>
              <w:rPr>
                <w:rFonts w:hint="eastAsia" w:hAnsi="宋体" w:eastAsia="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eastAsia="zh-CN" w:bidi="ar-SA"/>
              </w:rPr>
              <w:t>分，最高得5分。</w:t>
            </w:r>
          </w:p>
          <w:p w14:paraId="41524A35">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2.未提供不予计分。</w:t>
            </w:r>
          </w:p>
          <w:p w14:paraId="04E7D799">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本项最高得5分。</w:t>
            </w:r>
          </w:p>
        </w:tc>
        <w:tc>
          <w:tcPr>
            <w:tcW w:w="1854" w:type="pct"/>
            <w:vAlign w:val="center"/>
          </w:tcPr>
          <w:p w14:paraId="5076A063">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1．类似工程指：建安工程费≥</w:t>
            </w:r>
            <w:r>
              <w:rPr>
                <w:rFonts w:hint="eastAsia" w:hAnsi="宋体" w:eastAsia="宋体" w:cs="宋体"/>
                <w:color w:val="auto"/>
                <w:kern w:val="2"/>
                <w:sz w:val="24"/>
                <w:szCs w:val="24"/>
                <w:highlight w:val="none"/>
                <w:lang w:val="en-US" w:eastAsia="zh-CN" w:bidi="ar-SA"/>
              </w:rPr>
              <w:t>4</w:t>
            </w:r>
            <w:r>
              <w:rPr>
                <w:rFonts w:hint="eastAsia" w:ascii="宋体" w:hAnsi="宋体" w:eastAsia="宋体" w:cs="宋体"/>
                <w:color w:val="auto"/>
                <w:kern w:val="2"/>
                <w:sz w:val="24"/>
                <w:szCs w:val="24"/>
                <w:highlight w:val="none"/>
                <w:lang w:val="en-US" w:eastAsia="zh-CN" w:bidi="ar-SA"/>
              </w:rPr>
              <w:t>00万元或勘察设计费合同价≥</w:t>
            </w:r>
            <w:r>
              <w:rPr>
                <w:rFonts w:hint="eastAsia" w:hAnsi="宋体" w:eastAsia="宋体" w:cs="宋体"/>
                <w:color w:val="auto"/>
                <w:kern w:val="2"/>
                <w:sz w:val="24"/>
                <w:szCs w:val="24"/>
                <w:highlight w:val="none"/>
                <w:lang w:val="en-US" w:eastAsia="zh-CN" w:bidi="ar-SA"/>
              </w:rPr>
              <w:t>9</w:t>
            </w:r>
            <w:r>
              <w:rPr>
                <w:rFonts w:hint="eastAsia" w:ascii="宋体" w:hAnsi="宋体" w:eastAsia="宋体" w:cs="宋体"/>
                <w:color w:val="auto"/>
                <w:kern w:val="2"/>
                <w:sz w:val="24"/>
                <w:szCs w:val="24"/>
                <w:highlight w:val="none"/>
                <w:lang w:val="en-US" w:eastAsia="zh-CN" w:bidi="ar-SA"/>
              </w:rPr>
              <w:t>万元的市政类工程。</w:t>
            </w:r>
          </w:p>
          <w:p w14:paraId="23F5C534">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2.需附有关业绩合同协议书复印件（或打印件）或中标（中选）通知书复印件（或打印件）并加盖公章。</w:t>
            </w:r>
          </w:p>
          <w:p w14:paraId="782D32EC">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3.业绩时间以合同协议书日期或中标通知书时间为准。</w:t>
            </w:r>
          </w:p>
          <w:p w14:paraId="605002EB">
            <w:pPr>
              <w:keepNext w:val="0"/>
              <w:keepLines w:val="0"/>
              <w:pageBreakBefore w:val="0"/>
              <w:widowControl/>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4.业绩不属于类似工程的，业绩时间不符合评分标准和备注规定的，按第2项标准处理。</w:t>
            </w:r>
          </w:p>
        </w:tc>
      </w:tr>
      <w:tr w14:paraId="098A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252" w:type="pct"/>
            <w:vMerge w:val="continue"/>
            <w:vAlign w:val="center"/>
          </w:tcPr>
          <w:p w14:paraId="776EE6FF">
            <w:pPr>
              <w:widowControl/>
              <w:spacing w:line="360" w:lineRule="auto"/>
              <w:jc w:val="center"/>
              <w:rPr>
                <w:rFonts w:hint="eastAsia" w:ascii="宋体" w:hAnsi="宋体" w:eastAsia="宋体" w:cs="宋体"/>
                <w:color w:val="auto"/>
                <w:kern w:val="0"/>
                <w:sz w:val="24"/>
                <w:szCs w:val="24"/>
                <w:highlight w:val="none"/>
              </w:rPr>
            </w:pPr>
          </w:p>
        </w:tc>
        <w:tc>
          <w:tcPr>
            <w:tcW w:w="501" w:type="pct"/>
            <w:vMerge w:val="continue"/>
            <w:vAlign w:val="center"/>
          </w:tcPr>
          <w:p w14:paraId="1FB05E45">
            <w:pPr>
              <w:widowControl/>
              <w:spacing w:line="360" w:lineRule="auto"/>
              <w:jc w:val="center"/>
              <w:rPr>
                <w:rFonts w:hint="eastAsia" w:ascii="宋体" w:hAnsi="宋体" w:eastAsia="宋体" w:cs="宋体"/>
                <w:color w:val="auto"/>
                <w:kern w:val="0"/>
                <w:sz w:val="24"/>
                <w:szCs w:val="24"/>
                <w:highlight w:val="none"/>
              </w:rPr>
            </w:pPr>
          </w:p>
        </w:tc>
        <w:tc>
          <w:tcPr>
            <w:tcW w:w="575" w:type="pct"/>
            <w:vMerge w:val="continue"/>
            <w:vAlign w:val="center"/>
          </w:tcPr>
          <w:p w14:paraId="4CC99F2B">
            <w:pPr>
              <w:pStyle w:val="13"/>
              <w:spacing w:line="360" w:lineRule="auto"/>
              <w:rPr>
                <w:rFonts w:hint="eastAsia" w:ascii="宋体" w:hAnsi="宋体" w:eastAsia="宋体" w:cs="宋体"/>
                <w:color w:val="auto"/>
                <w:sz w:val="24"/>
                <w:szCs w:val="24"/>
                <w:highlight w:val="none"/>
              </w:rPr>
            </w:pPr>
          </w:p>
        </w:tc>
        <w:tc>
          <w:tcPr>
            <w:tcW w:w="394" w:type="pct"/>
            <w:shd w:val="clear" w:color="auto" w:fill="auto"/>
            <w:vAlign w:val="center"/>
          </w:tcPr>
          <w:p w14:paraId="3E2C2633">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企业管理体系认证</w:t>
            </w:r>
          </w:p>
          <w:p w14:paraId="78DA3C80">
            <w:pPr>
              <w:wordWrap w:val="0"/>
              <w:adjustRightInd w:val="0"/>
              <w:snapToGrid w:val="0"/>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分）</w:t>
            </w:r>
          </w:p>
        </w:tc>
        <w:tc>
          <w:tcPr>
            <w:tcW w:w="1422" w:type="pct"/>
            <w:shd w:val="clear" w:color="auto" w:fill="auto"/>
            <w:vAlign w:val="center"/>
          </w:tcPr>
          <w:p w14:paraId="355E7EA0">
            <w:pPr>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企业</w:t>
            </w:r>
            <w:r>
              <w:rPr>
                <w:rFonts w:hint="eastAsia" w:ascii="宋体" w:hAnsi="宋体" w:eastAsia="宋体" w:cs="宋体"/>
                <w:color w:val="auto"/>
                <w:kern w:val="0"/>
                <w:sz w:val="24"/>
                <w:szCs w:val="24"/>
                <w:highlight w:val="none"/>
              </w:rPr>
              <w:t>获得质量管理体系认证、职业健康安全管理体系认证、环境管理体系认证</w:t>
            </w:r>
            <w:r>
              <w:rPr>
                <w:rFonts w:hint="eastAsia" w:ascii="宋体" w:hAnsi="宋体" w:eastAsia="宋体" w:cs="宋体"/>
                <w:color w:val="auto"/>
                <w:kern w:val="0"/>
                <w:sz w:val="24"/>
                <w:szCs w:val="24"/>
                <w:highlight w:val="none"/>
                <w:lang w:eastAsia="zh-CN"/>
              </w:rPr>
              <w:t>：</w:t>
            </w:r>
          </w:p>
          <w:p w14:paraId="2582EC36">
            <w:pPr>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1.同时获得</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个认证的得</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分；</w:t>
            </w:r>
          </w:p>
          <w:p w14:paraId="24B76F4C">
            <w:pPr>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2.获得其中</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个的得</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分；</w:t>
            </w:r>
          </w:p>
          <w:p w14:paraId="76540EDE">
            <w:pPr>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获得其中1个的得1分；</w:t>
            </w:r>
          </w:p>
          <w:p w14:paraId="6E4BDC9B">
            <w:pPr>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.未获得以上认证的，不予计分。</w:t>
            </w:r>
          </w:p>
          <w:p w14:paraId="3A69790D">
            <w:pPr>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注：本项最高得</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分。</w:t>
            </w:r>
          </w:p>
        </w:tc>
        <w:tc>
          <w:tcPr>
            <w:tcW w:w="1854" w:type="pct"/>
            <w:shd w:val="clear" w:color="auto" w:fill="auto"/>
            <w:vAlign w:val="center"/>
          </w:tcPr>
          <w:p w14:paraId="2D2D705A">
            <w:pPr>
              <w:pStyle w:val="17"/>
              <w:keepNext w:val="0"/>
              <w:keepLines w:val="0"/>
              <w:pageBreakBefore w:val="0"/>
              <w:widowControl/>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需附在有效期内的认证证书彩色扫描件（或打印件）。同时需提供国家认证认可监督管理委员会官网查询截图，否则不得分</w:t>
            </w:r>
            <w:r>
              <w:rPr>
                <w:rFonts w:hint="eastAsia" w:ascii="宋体" w:hAnsi="宋体" w:eastAsia="宋体" w:cs="宋体"/>
                <w:color w:val="auto"/>
                <w:kern w:val="0"/>
                <w:sz w:val="24"/>
                <w:szCs w:val="24"/>
                <w:highlight w:val="none"/>
              </w:rPr>
              <w:t>。</w:t>
            </w:r>
          </w:p>
          <w:p w14:paraId="10720EBE">
            <w:pPr>
              <w:pStyle w:val="17"/>
              <w:keepNext w:val="0"/>
              <w:keepLines w:val="0"/>
              <w:pageBreakBefore w:val="0"/>
              <w:widowControl/>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证书有效性在国家认证认可监督管理委员会官网（http://www.cnca.gov.cn/)可查。</w:t>
            </w:r>
          </w:p>
          <w:p w14:paraId="03891714">
            <w:pPr>
              <w:pStyle w:val="17"/>
              <w:keepNext w:val="0"/>
              <w:keepLines w:val="0"/>
              <w:pageBreakBefore w:val="0"/>
              <w:widowControl/>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.认证证书有以下情形之一的，该认证证书视为无效，不予计分：</w:t>
            </w:r>
          </w:p>
          <w:p w14:paraId="2554347E">
            <w:pPr>
              <w:pStyle w:val="17"/>
              <w:keepNext w:val="0"/>
              <w:keepLines w:val="0"/>
              <w:pageBreakBefore w:val="0"/>
              <w:widowControl/>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①未提供认证证书彩色扫描件和国家认证认可监督管理委员会官网查询截图的；</w:t>
            </w:r>
          </w:p>
          <w:p w14:paraId="40F5D2F3">
            <w:pPr>
              <w:pStyle w:val="17"/>
              <w:keepNext w:val="0"/>
              <w:keepLines w:val="0"/>
              <w:pageBreakBefore w:val="0"/>
              <w:widowControl/>
              <w:kinsoku/>
              <w:wordWrap w:val="0"/>
              <w:overflowPunct/>
              <w:topLinePunct w:val="0"/>
              <w:autoSpaceDE/>
              <w:autoSpaceDN/>
              <w:bidi w:val="0"/>
              <w:adjustRightInd w:val="0"/>
              <w:snapToGrid w:val="0"/>
              <w:spacing w:after="0" w:afterLines="0"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②认证证书不在有效期内的；</w:t>
            </w:r>
          </w:p>
          <w:p w14:paraId="2BC1EB18">
            <w:pPr>
              <w:pStyle w:val="17"/>
              <w:widowControl/>
              <w:wordWrap w:val="0"/>
              <w:adjustRightInd w:val="0"/>
              <w:snapToGrid w:val="0"/>
              <w:spacing w:afterLines="0"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③获证时间不符合要求的。</w:t>
            </w:r>
          </w:p>
        </w:tc>
      </w:tr>
      <w:tr w14:paraId="2240D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252" w:type="pct"/>
            <w:vMerge w:val="continue"/>
            <w:vAlign w:val="center"/>
          </w:tcPr>
          <w:p w14:paraId="326DA155">
            <w:pPr>
              <w:widowControl/>
              <w:spacing w:line="360" w:lineRule="auto"/>
              <w:jc w:val="center"/>
              <w:rPr>
                <w:rFonts w:hint="eastAsia" w:ascii="宋体" w:hAnsi="宋体" w:eastAsia="宋体" w:cs="宋体"/>
                <w:color w:val="auto"/>
                <w:kern w:val="0"/>
                <w:sz w:val="24"/>
                <w:szCs w:val="24"/>
                <w:highlight w:val="none"/>
              </w:rPr>
            </w:pPr>
          </w:p>
        </w:tc>
        <w:tc>
          <w:tcPr>
            <w:tcW w:w="501" w:type="pct"/>
            <w:vMerge w:val="continue"/>
            <w:vAlign w:val="center"/>
          </w:tcPr>
          <w:p w14:paraId="74AE3C69">
            <w:pPr>
              <w:widowControl/>
              <w:spacing w:line="360" w:lineRule="auto"/>
              <w:jc w:val="center"/>
              <w:rPr>
                <w:rFonts w:hint="eastAsia" w:ascii="宋体" w:hAnsi="宋体" w:eastAsia="宋体" w:cs="宋体"/>
                <w:color w:val="auto"/>
                <w:kern w:val="0"/>
                <w:sz w:val="24"/>
                <w:szCs w:val="24"/>
                <w:highlight w:val="none"/>
              </w:rPr>
            </w:pPr>
          </w:p>
        </w:tc>
        <w:tc>
          <w:tcPr>
            <w:tcW w:w="575" w:type="pct"/>
            <w:vMerge w:val="continue"/>
            <w:vAlign w:val="center"/>
          </w:tcPr>
          <w:p w14:paraId="4EC43766">
            <w:pPr>
              <w:widowControl/>
              <w:spacing w:line="360" w:lineRule="auto"/>
              <w:jc w:val="center"/>
              <w:rPr>
                <w:rFonts w:hint="eastAsia" w:ascii="宋体" w:hAnsi="宋体" w:eastAsia="宋体" w:cs="宋体"/>
                <w:color w:val="auto"/>
                <w:kern w:val="0"/>
                <w:sz w:val="24"/>
                <w:szCs w:val="24"/>
                <w:highlight w:val="none"/>
              </w:rPr>
            </w:pPr>
          </w:p>
        </w:tc>
        <w:tc>
          <w:tcPr>
            <w:tcW w:w="394" w:type="pct"/>
            <w:vAlign w:val="center"/>
          </w:tcPr>
          <w:p w14:paraId="78F6A475">
            <w:pPr>
              <w:pStyle w:val="28"/>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拟投入项目负责人情况</w:t>
            </w:r>
          </w:p>
          <w:p w14:paraId="1AD40AD7">
            <w:pPr>
              <w:pStyle w:val="28"/>
              <w:keepNext w:val="0"/>
              <w:keepLines w:val="0"/>
              <w:widowControl/>
              <w:suppressLineNumbers w:val="0"/>
              <w:spacing w:before="0" w:beforeAutospacing="0" w:after="0" w:afterAutospacing="0" w:line="360" w:lineRule="auto"/>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spacing w:val="0"/>
                <w:w w:val="100"/>
                <w:sz w:val="24"/>
                <w:szCs w:val="24"/>
                <w:highlight w:val="none"/>
                <w:vertAlign w:val="baseline"/>
              </w:rPr>
              <w:t>（</w:t>
            </w:r>
            <w:r>
              <w:rPr>
                <w:rFonts w:hint="eastAsia" w:eastAsia="宋体" w:cs="宋体"/>
                <w:b w:val="0"/>
                <w:bCs w:val="0"/>
                <w:i w:val="0"/>
                <w:iCs w:val="0"/>
                <w:color w:val="auto"/>
                <w:spacing w:val="0"/>
                <w:w w:val="100"/>
                <w:sz w:val="24"/>
                <w:szCs w:val="24"/>
                <w:highlight w:val="none"/>
                <w:vertAlign w:val="baseline"/>
                <w:lang w:val="en-US" w:eastAsia="zh-CN"/>
              </w:rPr>
              <w:t>5</w:t>
            </w:r>
            <w:r>
              <w:rPr>
                <w:rFonts w:hint="eastAsia" w:ascii="宋体" w:hAnsi="宋体" w:eastAsia="宋体" w:cs="宋体"/>
                <w:b w:val="0"/>
                <w:bCs w:val="0"/>
                <w:i w:val="0"/>
                <w:iCs w:val="0"/>
                <w:color w:val="auto"/>
                <w:spacing w:val="0"/>
                <w:w w:val="100"/>
                <w:sz w:val="24"/>
                <w:szCs w:val="24"/>
                <w:highlight w:val="none"/>
                <w:vertAlign w:val="baseline"/>
              </w:rPr>
              <w:t>分）</w:t>
            </w:r>
          </w:p>
        </w:tc>
        <w:tc>
          <w:tcPr>
            <w:tcW w:w="1422" w:type="pct"/>
            <w:shd w:val="clear" w:color="auto" w:fill="auto"/>
            <w:vAlign w:val="center"/>
          </w:tcPr>
          <w:p w14:paraId="42500C41">
            <w:pPr>
              <w:pStyle w:val="28"/>
              <w:keepNext w:val="0"/>
              <w:keepLines w:val="0"/>
              <w:widowControl/>
              <w:suppressLineNumbers w:val="0"/>
              <w:spacing w:before="0" w:beforeAutospacing="0" w:after="0" w:afterAutospacing="0" w:line="360" w:lineRule="auto"/>
              <w:ind w:left="0" w:right="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val="0"/>
                <w:bCs w:val="0"/>
                <w:i w:val="0"/>
                <w:iCs w:val="0"/>
                <w:color w:val="auto"/>
                <w:spacing w:val="0"/>
                <w:w w:val="100"/>
                <w:sz w:val="24"/>
                <w:szCs w:val="24"/>
                <w:highlight w:val="none"/>
                <w:vertAlign w:val="baseline"/>
              </w:rPr>
              <w:t>1.设计负责人具有一级注册建筑师注册证书的，得</w:t>
            </w:r>
            <w:r>
              <w:rPr>
                <w:rFonts w:hint="eastAsia" w:eastAsia="宋体" w:cs="宋体"/>
                <w:b w:val="0"/>
                <w:bCs w:val="0"/>
                <w:i w:val="0"/>
                <w:iCs w:val="0"/>
                <w:color w:val="auto"/>
                <w:spacing w:val="0"/>
                <w:w w:val="100"/>
                <w:sz w:val="24"/>
                <w:szCs w:val="24"/>
                <w:highlight w:val="none"/>
                <w:vertAlign w:val="baseline"/>
                <w:lang w:val="en-US" w:eastAsia="zh-CN"/>
              </w:rPr>
              <w:t>5</w:t>
            </w:r>
            <w:r>
              <w:rPr>
                <w:rFonts w:hint="eastAsia" w:ascii="宋体" w:hAnsi="宋体" w:eastAsia="宋体" w:cs="宋体"/>
                <w:b w:val="0"/>
                <w:bCs w:val="0"/>
                <w:i w:val="0"/>
                <w:iCs w:val="0"/>
                <w:color w:val="auto"/>
                <w:spacing w:val="0"/>
                <w:w w:val="100"/>
                <w:sz w:val="24"/>
                <w:szCs w:val="24"/>
                <w:highlight w:val="none"/>
                <w:vertAlign w:val="baseline"/>
              </w:rPr>
              <w:t>分。</w:t>
            </w:r>
          </w:p>
        </w:tc>
        <w:tc>
          <w:tcPr>
            <w:tcW w:w="1854" w:type="pct"/>
            <w:shd w:val="clear" w:color="auto" w:fill="auto"/>
            <w:vAlign w:val="center"/>
          </w:tcPr>
          <w:p w14:paraId="4A66A213">
            <w:pPr>
              <w:pStyle w:val="28"/>
              <w:keepNext w:val="0"/>
              <w:keepLines w:val="0"/>
              <w:widowControl/>
              <w:numPr>
                <w:ilvl w:val="-1"/>
                <w:numId w:val="0"/>
              </w:numPr>
              <w:suppressLineNumbers w:val="0"/>
              <w:spacing w:before="0" w:beforeAutospacing="0" w:after="0" w:afterAutospacing="0" w:line="360" w:lineRule="auto"/>
              <w:ind w:left="0" w:right="0"/>
              <w:jc w:val="both"/>
              <w:rPr>
                <w:rFonts w:hint="eastAsia" w:ascii="宋体" w:hAnsi="宋体" w:eastAsia="宋体" w:cs="宋体"/>
                <w:b w:val="0"/>
                <w:bCs w:val="0"/>
                <w:i w:val="0"/>
                <w:iCs w:val="0"/>
                <w:color w:val="auto"/>
                <w:spacing w:val="0"/>
                <w:w w:val="100"/>
                <w:sz w:val="24"/>
                <w:szCs w:val="24"/>
                <w:highlight w:val="none"/>
                <w:vertAlign w:val="baseli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b w:val="0"/>
                <w:bCs w:val="0"/>
                <w:i w:val="0"/>
                <w:iCs w:val="0"/>
                <w:color w:val="auto"/>
                <w:spacing w:val="0"/>
                <w:w w:val="100"/>
                <w:sz w:val="24"/>
                <w:szCs w:val="24"/>
                <w:highlight w:val="none"/>
                <w:vertAlign w:val="baseline"/>
              </w:rPr>
              <w:t>需附设计负责人社保证明（</w:t>
            </w:r>
            <w:r>
              <w:rPr>
                <w:rFonts w:hint="eastAsia" w:eastAsia="宋体" w:cs="宋体"/>
                <w:b w:val="0"/>
                <w:bCs w:val="0"/>
                <w:i w:val="0"/>
                <w:iCs w:val="0"/>
                <w:color w:val="auto"/>
                <w:spacing w:val="0"/>
                <w:w w:val="100"/>
                <w:sz w:val="24"/>
                <w:szCs w:val="24"/>
                <w:highlight w:val="none"/>
                <w:vertAlign w:val="baseline"/>
                <w:lang w:val="en-US" w:eastAsia="zh-CN"/>
              </w:rPr>
              <w:t>至少一个月，其中必须有2026年8月</w:t>
            </w:r>
            <w:r>
              <w:rPr>
                <w:rFonts w:hint="eastAsia" w:ascii="宋体" w:hAnsi="宋体" w:eastAsia="宋体" w:cs="宋体"/>
                <w:b w:val="0"/>
                <w:bCs w:val="0"/>
                <w:i w:val="0"/>
                <w:iCs w:val="0"/>
                <w:color w:val="auto"/>
                <w:spacing w:val="0"/>
                <w:w w:val="100"/>
                <w:sz w:val="24"/>
                <w:szCs w:val="24"/>
                <w:highlight w:val="none"/>
                <w:vertAlign w:val="baseline"/>
              </w:rPr>
              <w:t>）彩色扫描件（或彩色打印件）并加盖单位公章，非独立法人分支机构出具社保，予以认可拟派人员为退休返聘人员无法提供社保证明的，须提供退休证和返聘合同彩色扫描件（或彩色打印件）并加盖单位公章。</w:t>
            </w:r>
          </w:p>
          <w:p w14:paraId="516D5ED1">
            <w:pPr>
              <w:pStyle w:val="28"/>
              <w:keepNext w:val="0"/>
              <w:keepLines w:val="0"/>
              <w:widowControl/>
              <w:numPr>
                <w:ilvl w:val="-1"/>
                <w:numId w:val="0"/>
              </w:numPr>
              <w:suppressLineNumbers w:val="0"/>
              <w:spacing w:before="0" w:beforeAutospacing="0" w:after="0" w:afterAutospacing="0" w:line="360" w:lineRule="auto"/>
              <w:ind w:left="0" w:right="0"/>
              <w:jc w:val="both"/>
              <w:rPr>
                <w:rFonts w:hint="default" w:ascii="宋体" w:hAnsi="宋体" w:eastAsia="宋体" w:cs="宋体"/>
                <w:b w:val="0"/>
                <w:bCs w:val="0"/>
                <w:i w:val="0"/>
                <w:iCs w:val="0"/>
                <w:color w:val="auto"/>
                <w:spacing w:val="0"/>
                <w:w w:val="100"/>
                <w:sz w:val="24"/>
                <w:szCs w:val="24"/>
                <w:highlight w:val="none"/>
                <w:vertAlign w:val="baseline"/>
                <w:lang w:val="en-US" w:eastAsia="zh-CN"/>
              </w:rPr>
            </w:pPr>
            <w:r>
              <w:rPr>
                <w:rFonts w:hint="eastAsia" w:eastAsia="宋体" w:cs="宋体"/>
                <w:b w:val="0"/>
                <w:bCs w:val="0"/>
                <w:i w:val="0"/>
                <w:iCs w:val="0"/>
                <w:color w:val="auto"/>
                <w:spacing w:val="0"/>
                <w:w w:val="100"/>
                <w:sz w:val="24"/>
                <w:szCs w:val="24"/>
                <w:highlight w:val="none"/>
                <w:vertAlign w:val="baseline"/>
                <w:lang w:val="en-US" w:eastAsia="zh-CN"/>
              </w:rPr>
              <w:t>2.未提供不予计分。</w:t>
            </w:r>
          </w:p>
        </w:tc>
      </w:tr>
      <w:tr w14:paraId="03141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252" w:type="pct"/>
            <w:vMerge w:val="continue"/>
            <w:vAlign w:val="center"/>
          </w:tcPr>
          <w:p w14:paraId="267F48A2">
            <w:pPr>
              <w:widowControl/>
              <w:spacing w:line="360" w:lineRule="auto"/>
              <w:jc w:val="center"/>
              <w:rPr>
                <w:rFonts w:hint="eastAsia" w:ascii="宋体" w:hAnsi="宋体" w:eastAsia="宋体" w:cs="宋体"/>
                <w:color w:val="auto"/>
                <w:kern w:val="0"/>
                <w:sz w:val="24"/>
                <w:szCs w:val="24"/>
                <w:highlight w:val="none"/>
              </w:rPr>
            </w:pPr>
          </w:p>
        </w:tc>
        <w:tc>
          <w:tcPr>
            <w:tcW w:w="501" w:type="pct"/>
            <w:vMerge w:val="continue"/>
            <w:vAlign w:val="center"/>
          </w:tcPr>
          <w:p w14:paraId="0477D1F3">
            <w:pPr>
              <w:widowControl/>
              <w:spacing w:line="360" w:lineRule="auto"/>
              <w:jc w:val="center"/>
              <w:rPr>
                <w:rFonts w:hint="eastAsia" w:ascii="宋体" w:hAnsi="宋体" w:eastAsia="宋体" w:cs="宋体"/>
                <w:color w:val="auto"/>
                <w:kern w:val="0"/>
                <w:sz w:val="24"/>
                <w:szCs w:val="24"/>
                <w:highlight w:val="none"/>
              </w:rPr>
            </w:pPr>
          </w:p>
        </w:tc>
        <w:tc>
          <w:tcPr>
            <w:tcW w:w="575" w:type="pct"/>
            <w:vMerge w:val="continue"/>
            <w:vAlign w:val="center"/>
          </w:tcPr>
          <w:p w14:paraId="173AAC48">
            <w:pPr>
              <w:widowControl/>
              <w:spacing w:line="360" w:lineRule="auto"/>
              <w:jc w:val="center"/>
              <w:rPr>
                <w:rFonts w:hint="eastAsia" w:ascii="宋体" w:hAnsi="宋体" w:eastAsia="宋体" w:cs="宋体"/>
                <w:color w:val="auto"/>
                <w:kern w:val="0"/>
                <w:sz w:val="24"/>
                <w:szCs w:val="24"/>
                <w:highlight w:val="none"/>
              </w:rPr>
            </w:pPr>
          </w:p>
        </w:tc>
        <w:tc>
          <w:tcPr>
            <w:tcW w:w="394" w:type="pct"/>
            <w:vAlign w:val="center"/>
          </w:tcPr>
          <w:p w14:paraId="04BA65A6">
            <w:pPr>
              <w:pStyle w:val="28"/>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spacing w:val="0"/>
                <w:w w:val="100"/>
                <w:sz w:val="24"/>
                <w:szCs w:val="24"/>
                <w:highlight w:val="none"/>
                <w:vertAlign w:val="baseline"/>
              </w:rPr>
              <w:t>项目团队成员资历</w:t>
            </w:r>
          </w:p>
          <w:p w14:paraId="55DF060E">
            <w:pPr>
              <w:pStyle w:val="28"/>
              <w:keepNext w:val="0"/>
              <w:keepLines w:val="0"/>
              <w:widowControl/>
              <w:suppressLineNumbers w:val="0"/>
              <w:spacing w:before="0" w:beforeAutospacing="0" w:after="0" w:afterAutospacing="0" w:line="360" w:lineRule="auto"/>
              <w:ind w:left="0" w:leftChars="0" w:right="0" w:rightChars="0"/>
              <w:jc w:val="center"/>
              <w:rPr>
                <w:rFonts w:hint="eastAsia" w:ascii="宋体" w:hAnsi="宋体" w:eastAsia="宋体" w:cs="宋体"/>
                <w:color w:val="auto"/>
                <w:kern w:val="0"/>
                <w:sz w:val="24"/>
                <w:szCs w:val="24"/>
                <w:highlight w:val="none"/>
              </w:rPr>
            </w:pPr>
            <w:r>
              <w:rPr>
                <w:rFonts w:hint="eastAsia" w:ascii="宋体" w:hAnsi="宋体" w:eastAsia="宋体" w:cs="宋体"/>
                <w:b w:val="0"/>
                <w:bCs w:val="0"/>
                <w:i w:val="0"/>
                <w:iCs w:val="0"/>
                <w:color w:val="auto"/>
                <w:spacing w:val="0"/>
                <w:w w:val="100"/>
                <w:sz w:val="24"/>
                <w:szCs w:val="24"/>
                <w:highlight w:val="none"/>
                <w:vertAlign w:val="baseline"/>
              </w:rPr>
              <w:t>（</w:t>
            </w:r>
            <w:r>
              <w:rPr>
                <w:rFonts w:hint="eastAsia" w:eastAsia="宋体" w:cs="宋体"/>
                <w:b w:val="0"/>
                <w:bCs w:val="0"/>
                <w:i w:val="0"/>
                <w:iCs w:val="0"/>
                <w:color w:val="auto"/>
                <w:spacing w:val="0"/>
                <w:w w:val="100"/>
                <w:sz w:val="24"/>
                <w:szCs w:val="24"/>
                <w:highlight w:val="none"/>
                <w:vertAlign w:val="baseline"/>
                <w:lang w:val="en-US" w:eastAsia="zh-CN"/>
              </w:rPr>
              <w:t>5</w:t>
            </w:r>
            <w:r>
              <w:rPr>
                <w:rFonts w:hint="eastAsia" w:ascii="宋体" w:hAnsi="宋体" w:eastAsia="宋体" w:cs="宋体"/>
                <w:b w:val="0"/>
                <w:bCs w:val="0"/>
                <w:i w:val="0"/>
                <w:iCs w:val="0"/>
                <w:color w:val="auto"/>
                <w:spacing w:val="0"/>
                <w:w w:val="100"/>
                <w:sz w:val="24"/>
                <w:szCs w:val="24"/>
                <w:highlight w:val="none"/>
                <w:vertAlign w:val="baseline"/>
              </w:rPr>
              <w:t>分）</w:t>
            </w:r>
          </w:p>
        </w:tc>
        <w:tc>
          <w:tcPr>
            <w:tcW w:w="1422" w:type="pct"/>
            <w:shd w:val="clear" w:color="auto" w:fill="auto"/>
            <w:vAlign w:val="center"/>
          </w:tcPr>
          <w:p w14:paraId="7329BAF5">
            <w:pPr>
              <w:pStyle w:val="28"/>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spacing w:val="0"/>
                <w:w w:val="100"/>
                <w:sz w:val="24"/>
                <w:szCs w:val="24"/>
                <w:highlight w:val="none"/>
                <w:vertAlign w:val="baseline"/>
              </w:rPr>
              <w:t>投标人拟委派其他主要人员配备情况：</w:t>
            </w:r>
          </w:p>
          <w:p w14:paraId="1E91E082">
            <w:pPr>
              <w:pStyle w:val="28"/>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4"/>
                <w:szCs w:val="24"/>
                <w:highlight w:val="none"/>
              </w:rPr>
            </w:pPr>
            <w:r>
              <w:rPr>
                <w:rFonts w:hint="eastAsia" w:ascii="宋体" w:hAnsi="宋体" w:eastAsia="宋体" w:cs="宋体"/>
                <w:b/>
                <w:bCs/>
                <w:i w:val="0"/>
                <w:iCs w:val="0"/>
                <w:color w:val="auto"/>
                <w:spacing w:val="0"/>
                <w:w w:val="100"/>
                <w:sz w:val="24"/>
                <w:szCs w:val="24"/>
                <w:highlight w:val="none"/>
                <w:vertAlign w:val="baseline"/>
              </w:rPr>
              <w:t>1.拟派相关专业（建筑）负责人：</w:t>
            </w:r>
            <w:r>
              <w:rPr>
                <w:rFonts w:hint="eastAsia" w:ascii="宋体" w:hAnsi="宋体" w:eastAsia="宋体" w:cs="宋体"/>
                <w:b w:val="0"/>
                <w:bCs w:val="0"/>
                <w:i w:val="0"/>
                <w:iCs w:val="0"/>
                <w:color w:val="auto"/>
                <w:spacing w:val="0"/>
                <w:w w:val="100"/>
                <w:sz w:val="24"/>
                <w:szCs w:val="24"/>
                <w:highlight w:val="none"/>
                <w:vertAlign w:val="baseline"/>
              </w:rPr>
              <w:t>①具有一级注册建筑师注册证书的，得</w:t>
            </w:r>
            <w:r>
              <w:rPr>
                <w:rFonts w:hint="eastAsia" w:ascii="宋体" w:hAnsi="宋体" w:eastAsia="宋体" w:cs="宋体"/>
                <w:b w:val="0"/>
                <w:bCs w:val="0"/>
                <w:i w:val="0"/>
                <w:iCs w:val="0"/>
                <w:color w:val="auto"/>
                <w:spacing w:val="0"/>
                <w:w w:val="100"/>
                <w:sz w:val="24"/>
                <w:szCs w:val="24"/>
                <w:highlight w:val="none"/>
                <w:vertAlign w:val="baseline"/>
                <w:lang w:val="en-US" w:eastAsia="zh-CN"/>
              </w:rPr>
              <w:t>0.5</w:t>
            </w:r>
            <w:r>
              <w:rPr>
                <w:rFonts w:hint="eastAsia" w:ascii="宋体" w:hAnsi="宋体" w:eastAsia="宋体" w:cs="宋体"/>
                <w:b w:val="0"/>
                <w:bCs w:val="0"/>
                <w:i w:val="0"/>
                <w:iCs w:val="0"/>
                <w:color w:val="auto"/>
                <w:spacing w:val="0"/>
                <w:w w:val="100"/>
                <w:sz w:val="24"/>
                <w:szCs w:val="24"/>
                <w:highlight w:val="none"/>
                <w:vertAlign w:val="baseline"/>
              </w:rPr>
              <w:t>分；②具有建筑类相关专业高级工程师</w:t>
            </w:r>
            <w:r>
              <w:rPr>
                <w:rFonts w:hint="eastAsia" w:ascii="宋体" w:hAnsi="宋体" w:eastAsia="宋体" w:cs="宋体"/>
                <w:b w:val="0"/>
                <w:bCs w:val="0"/>
                <w:i w:val="0"/>
                <w:iCs w:val="0"/>
                <w:color w:val="auto"/>
                <w:spacing w:val="0"/>
                <w:w w:val="100"/>
                <w:sz w:val="24"/>
                <w:szCs w:val="24"/>
                <w:highlight w:val="none"/>
                <w:vertAlign w:val="baseline"/>
                <w:lang w:val="en-US" w:eastAsia="zh-CN"/>
              </w:rPr>
              <w:t>或</w:t>
            </w:r>
            <w:r>
              <w:rPr>
                <w:rFonts w:hint="eastAsia" w:ascii="宋体" w:hAnsi="宋体" w:eastAsia="宋体" w:cs="宋体"/>
                <w:b w:val="0"/>
                <w:bCs w:val="0"/>
                <w:i w:val="0"/>
                <w:iCs w:val="0"/>
                <w:color w:val="auto"/>
                <w:spacing w:val="0"/>
                <w:w w:val="100"/>
                <w:sz w:val="24"/>
                <w:szCs w:val="24"/>
                <w:highlight w:val="none"/>
                <w:vertAlign w:val="baseline"/>
              </w:rPr>
              <w:t>以上职称的，得</w:t>
            </w:r>
            <w:r>
              <w:rPr>
                <w:rFonts w:hint="eastAsia" w:ascii="宋体" w:hAnsi="宋体" w:eastAsia="宋体" w:cs="宋体"/>
                <w:b w:val="0"/>
                <w:bCs w:val="0"/>
                <w:i w:val="0"/>
                <w:iCs w:val="0"/>
                <w:color w:val="auto"/>
                <w:spacing w:val="0"/>
                <w:w w:val="100"/>
                <w:sz w:val="24"/>
                <w:szCs w:val="24"/>
                <w:highlight w:val="none"/>
                <w:vertAlign w:val="baseline"/>
                <w:lang w:val="en-US" w:eastAsia="zh-CN"/>
              </w:rPr>
              <w:t>0.5</w:t>
            </w:r>
            <w:r>
              <w:rPr>
                <w:rFonts w:hint="eastAsia" w:ascii="宋体" w:hAnsi="宋体" w:eastAsia="宋体" w:cs="宋体"/>
                <w:b w:val="0"/>
                <w:bCs w:val="0"/>
                <w:i w:val="0"/>
                <w:iCs w:val="0"/>
                <w:color w:val="auto"/>
                <w:spacing w:val="0"/>
                <w:w w:val="100"/>
                <w:sz w:val="24"/>
                <w:szCs w:val="24"/>
                <w:highlight w:val="none"/>
                <w:vertAlign w:val="baseline"/>
              </w:rPr>
              <w:t>分，本小项最高得</w:t>
            </w:r>
            <w:r>
              <w:rPr>
                <w:rFonts w:hint="eastAsia" w:ascii="宋体" w:hAnsi="宋体" w:eastAsia="宋体" w:cs="宋体"/>
                <w:b w:val="0"/>
                <w:bCs w:val="0"/>
                <w:i w:val="0"/>
                <w:iCs w:val="0"/>
                <w:color w:val="auto"/>
                <w:spacing w:val="0"/>
                <w:w w:val="100"/>
                <w:sz w:val="24"/>
                <w:szCs w:val="24"/>
                <w:highlight w:val="none"/>
                <w:vertAlign w:val="baseline"/>
                <w:lang w:val="en-US" w:eastAsia="zh-CN"/>
              </w:rPr>
              <w:t>1</w:t>
            </w:r>
            <w:r>
              <w:rPr>
                <w:rFonts w:hint="eastAsia" w:ascii="宋体" w:hAnsi="宋体" w:eastAsia="宋体" w:cs="宋体"/>
                <w:b w:val="0"/>
                <w:bCs w:val="0"/>
                <w:i w:val="0"/>
                <w:iCs w:val="0"/>
                <w:color w:val="auto"/>
                <w:spacing w:val="0"/>
                <w:w w:val="100"/>
                <w:sz w:val="24"/>
                <w:szCs w:val="24"/>
                <w:highlight w:val="none"/>
                <w:vertAlign w:val="baseline"/>
              </w:rPr>
              <w:t>分。</w:t>
            </w:r>
          </w:p>
          <w:p w14:paraId="40B36490">
            <w:pPr>
              <w:pStyle w:val="28"/>
              <w:keepNext w:val="0"/>
              <w:keepLines w:val="0"/>
              <w:widowControl/>
              <w:suppressLineNumbers w:val="0"/>
              <w:spacing w:before="0" w:beforeAutospacing="0" w:after="0" w:afterAutospacing="0" w:line="360" w:lineRule="auto"/>
              <w:ind w:left="0" w:right="0"/>
              <w:jc w:val="left"/>
              <w:rPr>
                <w:rFonts w:hint="eastAsia" w:ascii="宋体" w:hAnsi="宋体" w:eastAsia="宋体" w:cs="宋体"/>
                <w:b w:val="0"/>
                <w:bCs w:val="0"/>
                <w:i w:val="0"/>
                <w:iCs w:val="0"/>
                <w:color w:val="auto"/>
                <w:spacing w:val="0"/>
                <w:w w:val="100"/>
                <w:sz w:val="24"/>
                <w:szCs w:val="24"/>
                <w:highlight w:val="none"/>
                <w:vertAlign w:val="baseline"/>
              </w:rPr>
            </w:pPr>
            <w:r>
              <w:rPr>
                <w:rFonts w:hint="eastAsia" w:ascii="宋体" w:hAnsi="宋体" w:eastAsia="宋体" w:cs="宋体"/>
                <w:b/>
                <w:bCs/>
                <w:i w:val="0"/>
                <w:iCs w:val="0"/>
                <w:color w:val="auto"/>
                <w:spacing w:val="0"/>
                <w:w w:val="100"/>
                <w:sz w:val="24"/>
                <w:szCs w:val="24"/>
                <w:highlight w:val="none"/>
                <w:vertAlign w:val="baseline"/>
              </w:rPr>
              <w:t>2.拟派相关专业 (</w:t>
            </w:r>
            <w:r>
              <w:rPr>
                <w:rFonts w:hint="eastAsia" w:eastAsia="宋体" w:cs="宋体"/>
                <w:b/>
                <w:bCs/>
                <w:i w:val="0"/>
                <w:iCs w:val="0"/>
                <w:color w:val="auto"/>
                <w:spacing w:val="0"/>
                <w:w w:val="100"/>
                <w:sz w:val="24"/>
                <w:szCs w:val="24"/>
                <w:highlight w:val="none"/>
                <w:vertAlign w:val="baseline"/>
                <w:lang w:val="en-US" w:eastAsia="zh-CN"/>
              </w:rPr>
              <w:t>市政</w:t>
            </w:r>
            <w:r>
              <w:rPr>
                <w:rFonts w:hint="eastAsia" w:ascii="宋体" w:hAnsi="宋体" w:eastAsia="宋体" w:cs="宋体"/>
                <w:b/>
                <w:bCs/>
                <w:i w:val="0"/>
                <w:iCs w:val="0"/>
                <w:color w:val="auto"/>
                <w:spacing w:val="0"/>
                <w:w w:val="100"/>
                <w:sz w:val="24"/>
                <w:szCs w:val="24"/>
                <w:highlight w:val="none"/>
                <w:vertAlign w:val="baseline"/>
              </w:rPr>
              <w:t>类) 负责人：</w:t>
            </w:r>
            <w:r>
              <w:rPr>
                <w:rFonts w:hint="eastAsia" w:ascii="宋体" w:hAnsi="宋体" w:eastAsia="宋体" w:cs="宋体"/>
                <w:b w:val="0"/>
                <w:bCs w:val="0"/>
                <w:i w:val="0"/>
                <w:iCs w:val="0"/>
                <w:color w:val="auto"/>
                <w:spacing w:val="0"/>
                <w:w w:val="100"/>
                <w:sz w:val="24"/>
                <w:szCs w:val="24"/>
                <w:highlight w:val="none"/>
                <w:vertAlign w:val="baseline"/>
              </w:rPr>
              <w:t>①具有</w:t>
            </w:r>
            <w:r>
              <w:rPr>
                <w:rFonts w:hint="eastAsia" w:ascii="宋体" w:hAnsi="宋体" w:eastAsia="宋体" w:cs="宋体"/>
                <w:b w:val="0"/>
                <w:bCs w:val="0"/>
                <w:i w:val="0"/>
                <w:iCs w:val="0"/>
                <w:color w:val="auto"/>
                <w:spacing w:val="0"/>
                <w:w w:val="100"/>
                <w:sz w:val="24"/>
                <w:szCs w:val="24"/>
                <w:highlight w:val="none"/>
                <w:vertAlign w:val="baseline"/>
                <w:lang w:val="en-US" w:eastAsia="zh-CN"/>
              </w:rPr>
              <w:t>市政</w:t>
            </w:r>
            <w:r>
              <w:rPr>
                <w:rFonts w:hint="eastAsia" w:ascii="宋体" w:hAnsi="宋体" w:eastAsia="宋体" w:cs="宋体"/>
                <w:b w:val="0"/>
                <w:bCs w:val="0"/>
                <w:i w:val="0"/>
                <w:iCs w:val="0"/>
                <w:color w:val="auto"/>
                <w:spacing w:val="0"/>
                <w:w w:val="100"/>
                <w:sz w:val="24"/>
                <w:szCs w:val="24"/>
                <w:highlight w:val="none"/>
                <w:vertAlign w:val="baseline"/>
              </w:rPr>
              <w:t>类相关专业工程师</w:t>
            </w:r>
            <w:r>
              <w:rPr>
                <w:rFonts w:hint="eastAsia" w:eastAsia="宋体" w:cs="宋体"/>
                <w:b w:val="0"/>
                <w:bCs w:val="0"/>
                <w:i w:val="0"/>
                <w:iCs w:val="0"/>
                <w:color w:val="auto"/>
                <w:spacing w:val="0"/>
                <w:w w:val="100"/>
                <w:sz w:val="24"/>
                <w:szCs w:val="24"/>
                <w:highlight w:val="none"/>
                <w:vertAlign w:val="baseline"/>
                <w:lang w:val="en-US" w:eastAsia="zh-CN"/>
              </w:rPr>
              <w:t>或以上</w:t>
            </w:r>
            <w:r>
              <w:rPr>
                <w:rFonts w:hint="eastAsia" w:ascii="宋体" w:hAnsi="宋体" w:eastAsia="宋体" w:cs="宋体"/>
                <w:b w:val="0"/>
                <w:bCs w:val="0"/>
                <w:i w:val="0"/>
                <w:iCs w:val="0"/>
                <w:color w:val="auto"/>
                <w:spacing w:val="0"/>
                <w:w w:val="100"/>
                <w:sz w:val="24"/>
                <w:szCs w:val="24"/>
                <w:highlight w:val="none"/>
                <w:vertAlign w:val="baseline"/>
              </w:rPr>
              <w:t>职称的，得</w:t>
            </w:r>
            <w:r>
              <w:rPr>
                <w:rFonts w:hint="eastAsia" w:ascii="宋体" w:hAnsi="宋体" w:eastAsia="宋体" w:cs="宋体"/>
                <w:b w:val="0"/>
                <w:bCs w:val="0"/>
                <w:i w:val="0"/>
                <w:iCs w:val="0"/>
                <w:color w:val="auto"/>
                <w:spacing w:val="0"/>
                <w:w w:val="100"/>
                <w:sz w:val="24"/>
                <w:szCs w:val="24"/>
                <w:highlight w:val="none"/>
                <w:vertAlign w:val="baseline"/>
                <w:lang w:val="en-US" w:eastAsia="zh-CN"/>
              </w:rPr>
              <w:t>0.5</w:t>
            </w:r>
            <w:r>
              <w:rPr>
                <w:rFonts w:hint="eastAsia" w:ascii="宋体" w:hAnsi="宋体" w:eastAsia="宋体" w:cs="宋体"/>
                <w:b w:val="0"/>
                <w:bCs w:val="0"/>
                <w:i w:val="0"/>
                <w:iCs w:val="0"/>
                <w:color w:val="auto"/>
                <w:spacing w:val="0"/>
                <w:w w:val="100"/>
                <w:sz w:val="24"/>
                <w:szCs w:val="24"/>
                <w:highlight w:val="none"/>
                <w:vertAlign w:val="baseline"/>
              </w:rPr>
              <w:t>分；本小项最高</w:t>
            </w:r>
            <w:r>
              <w:rPr>
                <w:rFonts w:hint="eastAsia" w:eastAsia="宋体" w:cs="宋体"/>
                <w:b w:val="0"/>
                <w:bCs w:val="0"/>
                <w:i w:val="0"/>
                <w:iCs w:val="0"/>
                <w:color w:val="auto"/>
                <w:spacing w:val="0"/>
                <w:w w:val="100"/>
                <w:sz w:val="24"/>
                <w:szCs w:val="24"/>
                <w:highlight w:val="none"/>
                <w:vertAlign w:val="baseline"/>
                <w:lang w:val="en-US" w:eastAsia="zh-CN"/>
              </w:rPr>
              <w:t>0.5</w:t>
            </w:r>
            <w:r>
              <w:rPr>
                <w:rFonts w:hint="eastAsia" w:ascii="宋体" w:hAnsi="宋体" w:eastAsia="宋体" w:cs="宋体"/>
                <w:b w:val="0"/>
                <w:bCs w:val="0"/>
                <w:i w:val="0"/>
                <w:iCs w:val="0"/>
                <w:color w:val="auto"/>
                <w:spacing w:val="0"/>
                <w:w w:val="100"/>
                <w:sz w:val="24"/>
                <w:szCs w:val="24"/>
                <w:highlight w:val="none"/>
                <w:vertAlign w:val="baseline"/>
              </w:rPr>
              <w:t>分。</w:t>
            </w:r>
          </w:p>
          <w:p w14:paraId="70DE7D55">
            <w:pPr>
              <w:pStyle w:val="28"/>
              <w:keepNext w:val="0"/>
              <w:keepLines w:val="0"/>
              <w:widowControl/>
              <w:suppressLineNumbers w:val="0"/>
              <w:spacing w:before="0" w:beforeAutospacing="0" w:after="0" w:afterAutospacing="0" w:line="360" w:lineRule="auto"/>
              <w:ind w:left="0" w:right="0"/>
              <w:jc w:val="left"/>
              <w:rPr>
                <w:rFonts w:hint="eastAsia" w:ascii="宋体" w:hAnsi="宋体" w:eastAsia="宋体" w:cs="宋体"/>
                <w:b w:val="0"/>
                <w:bCs w:val="0"/>
                <w:i w:val="0"/>
                <w:iCs w:val="0"/>
                <w:color w:val="auto"/>
                <w:spacing w:val="0"/>
                <w:w w:val="100"/>
                <w:sz w:val="24"/>
                <w:szCs w:val="24"/>
                <w:highlight w:val="none"/>
                <w:vertAlign w:val="baseline"/>
              </w:rPr>
            </w:pPr>
            <w:r>
              <w:rPr>
                <w:rFonts w:hint="eastAsia" w:ascii="宋体" w:hAnsi="宋体" w:eastAsia="宋体" w:cs="宋体"/>
                <w:b/>
                <w:bCs/>
                <w:i w:val="0"/>
                <w:iCs w:val="0"/>
                <w:color w:val="auto"/>
                <w:spacing w:val="0"/>
                <w:w w:val="100"/>
                <w:sz w:val="24"/>
                <w:szCs w:val="24"/>
                <w:highlight w:val="none"/>
                <w:vertAlign w:val="baseline"/>
              </w:rPr>
              <w:t>4.拟派相关专业 (造价) 负责人：</w:t>
            </w:r>
            <w:r>
              <w:rPr>
                <w:rFonts w:hint="eastAsia" w:ascii="宋体" w:hAnsi="宋体" w:eastAsia="宋体" w:cs="宋体"/>
                <w:b w:val="0"/>
                <w:bCs w:val="0"/>
                <w:i w:val="0"/>
                <w:iCs w:val="0"/>
                <w:color w:val="auto"/>
                <w:spacing w:val="0"/>
                <w:w w:val="100"/>
                <w:sz w:val="24"/>
                <w:szCs w:val="24"/>
                <w:highlight w:val="none"/>
                <w:vertAlign w:val="baseline"/>
              </w:rPr>
              <w:t>①具有一级造价工程师注册证书</w:t>
            </w:r>
            <w:r>
              <w:rPr>
                <w:rFonts w:hint="eastAsia" w:ascii="宋体" w:hAnsi="宋体" w:eastAsia="宋体" w:cs="宋体"/>
                <w:b w:val="0"/>
                <w:bCs w:val="0"/>
                <w:i w:val="0"/>
                <w:iCs w:val="0"/>
                <w:color w:val="auto"/>
                <w:spacing w:val="0"/>
                <w:w w:val="100"/>
                <w:sz w:val="24"/>
                <w:szCs w:val="24"/>
                <w:highlight w:val="none"/>
                <w:vertAlign w:val="baseline"/>
                <w:lang w:val="en-US" w:eastAsia="zh-CN"/>
              </w:rPr>
              <w:t>或</w:t>
            </w:r>
            <w:r>
              <w:rPr>
                <w:rFonts w:hint="eastAsia" w:ascii="宋体" w:hAnsi="宋体" w:eastAsia="宋体" w:cs="宋体"/>
                <w:b w:val="0"/>
                <w:bCs w:val="0"/>
                <w:i w:val="0"/>
                <w:iCs w:val="0"/>
                <w:color w:val="auto"/>
                <w:spacing w:val="0"/>
                <w:w w:val="100"/>
                <w:sz w:val="24"/>
                <w:szCs w:val="24"/>
                <w:highlight w:val="none"/>
                <w:vertAlign w:val="baseline"/>
              </w:rPr>
              <w:t>注册咨询工程师证书的，得</w:t>
            </w:r>
            <w:r>
              <w:rPr>
                <w:rFonts w:hint="eastAsia" w:ascii="宋体" w:hAnsi="宋体" w:eastAsia="宋体" w:cs="宋体"/>
                <w:b w:val="0"/>
                <w:bCs w:val="0"/>
                <w:i w:val="0"/>
                <w:iCs w:val="0"/>
                <w:color w:val="auto"/>
                <w:spacing w:val="0"/>
                <w:w w:val="100"/>
                <w:sz w:val="24"/>
                <w:szCs w:val="24"/>
                <w:highlight w:val="none"/>
                <w:vertAlign w:val="baseline"/>
                <w:lang w:val="en-US" w:eastAsia="zh-CN"/>
              </w:rPr>
              <w:t>0.5</w:t>
            </w:r>
            <w:r>
              <w:rPr>
                <w:rFonts w:hint="eastAsia" w:ascii="宋体" w:hAnsi="宋体" w:eastAsia="宋体" w:cs="宋体"/>
                <w:b w:val="0"/>
                <w:bCs w:val="0"/>
                <w:i w:val="0"/>
                <w:iCs w:val="0"/>
                <w:color w:val="auto"/>
                <w:spacing w:val="0"/>
                <w:w w:val="100"/>
                <w:sz w:val="24"/>
                <w:szCs w:val="24"/>
                <w:highlight w:val="none"/>
                <w:vertAlign w:val="baseline"/>
              </w:rPr>
              <w:t>分；②具有建筑类相关专业工程师或以上职称的，得</w:t>
            </w:r>
            <w:r>
              <w:rPr>
                <w:rFonts w:hint="eastAsia" w:ascii="宋体" w:hAnsi="宋体" w:eastAsia="宋体" w:cs="宋体"/>
                <w:b w:val="0"/>
                <w:bCs w:val="0"/>
                <w:i w:val="0"/>
                <w:iCs w:val="0"/>
                <w:color w:val="auto"/>
                <w:spacing w:val="0"/>
                <w:w w:val="100"/>
                <w:sz w:val="24"/>
                <w:szCs w:val="24"/>
                <w:highlight w:val="none"/>
                <w:vertAlign w:val="baseline"/>
                <w:lang w:val="en-US" w:eastAsia="zh-CN"/>
              </w:rPr>
              <w:t>0.5</w:t>
            </w:r>
            <w:r>
              <w:rPr>
                <w:rFonts w:hint="eastAsia" w:ascii="宋体" w:hAnsi="宋体" w:eastAsia="宋体" w:cs="宋体"/>
                <w:b w:val="0"/>
                <w:bCs w:val="0"/>
                <w:i w:val="0"/>
                <w:iCs w:val="0"/>
                <w:color w:val="auto"/>
                <w:spacing w:val="0"/>
                <w:w w:val="100"/>
                <w:sz w:val="24"/>
                <w:szCs w:val="24"/>
                <w:highlight w:val="none"/>
                <w:vertAlign w:val="baseline"/>
              </w:rPr>
              <w:t>分。本小项最高得</w:t>
            </w:r>
            <w:r>
              <w:rPr>
                <w:rFonts w:hint="eastAsia" w:ascii="宋体" w:hAnsi="宋体" w:eastAsia="宋体" w:cs="宋体"/>
                <w:b w:val="0"/>
                <w:bCs w:val="0"/>
                <w:i w:val="0"/>
                <w:iCs w:val="0"/>
                <w:color w:val="auto"/>
                <w:spacing w:val="0"/>
                <w:w w:val="100"/>
                <w:sz w:val="24"/>
                <w:szCs w:val="24"/>
                <w:highlight w:val="none"/>
                <w:vertAlign w:val="baseline"/>
                <w:lang w:val="en-US" w:eastAsia="zh-CN"/>
              </w:rPr>
              <w:t>1</w:t>
            </w:r>
            <w:r>
              <w:rPr>
                <w:rFonts w:hint="eastAsia" w:ascii="宋体" w:hAnsi="宋体" w:eastAsia="宋体" w:cs="宋体"/>
                <w:b w:val="0"/>
                <w:bCs w:val="0"/>
                <w:i w:val="0"/>
                <w:iCs w:val="0"/>
                <w:color w:val="auto"/>
                <w:spacing w:val="0"/>
                <w:w w:val="100"/>
                <w:sz w:val="24"/>
                <w:szCs w:val="24"/>
                <w:highlight w:val="none"/>
                <w:vertAlign w:val="baseline"/>
              </w:rPr>
              <w:t>分。</w:t>
            </w:r>
          </w:p>
          <w:p w14:paraId="3151FC55">
            <w:pPr>
              <w:pStyle w:val="28"/>
              <w:keepNext w:val="0"/>
              <w:keepLines w:val="0"/>
              <w:widowControl/>
              <w:suppressLineNumbers w:val="0"/>
              <w:spacing w:before="0" w:beforeAutospacing="0" w:after="0" w:afterAutospacing="0" w:line="360" w:lineRule="auto"/>
              <w:ind w:left="0" w:right="0"/>
              <w:jc w:val="left"/>
              <w:rPr>
                <w:rFonts w:hint="eastAsia" w:ascii="宋体" w:hAnsi="宋体" w:eastAsia="宋体" w:cs="宋体"/>
                <w:b w:val="0"/>
                <w:bCs w:val="0"/>
                <w:i w:val="0"/>
                <w:iCs w:val="0"/>
                <w:color w:val="auto"/>
                <w:spacing w:val="0"/>
                <w:w w:val="100"/>
                <w:sz w:val="24"/>
                <w:szCs w:val="24"/>
                <w:highlight w:val="none"/>
                <w:vertAlign w:val="baseline"/>
              </w:rPr>
            </w:pPr>
            <w:r>
              <w:rPr>
                <w:rFonts w:hint="eastAsia" w:ascii="宋体" w:hAnsi="宋体" w:eastAsia="宋体" w:cs="宋体"/>
                <w:b/>
                <w:bCs/>
                <w:i w:val="0"/>
                <w:iCs w:val="0"/>
                <w:color w:val="auto"/>
                <w:spacing w:val="0"/>
                <w:w w:val="100"/>
                <w:sz w:val="24"/>
                <w:szCs w:val="24"/>
                <w:highlight w:val="none"/>
                <w:vertAlign w:val="baseline"/>
              </w:rPr>
              <w:t>5.拟派相关专业 (给水排水) 负责人：</w:t>
            </w:r>
            <w:r>
              <w:rPr>
                <w:rFonts w:hint="eastAsia" w:ascii="宋体" w:hAnsi="宋体" w:eastAsia="宋体" w:cs="宋体"/>
                <w:b w:val="0"/>
                <w:bCs w:val="0"/>
                <w:i w:val="0"/>
                <w:iCs w:val="0"/>
                <w:color w:val="auto"/>
                <w:spacing w:val="0"/>
                <w:w w:val="100"/>
                <w:sz w:val="24"/>
                <w:szCs w:val="24"/>
                <w:highlight w:val="none"/>
                <w:vertAlign w:val="baseline"/>
              </w:rPr>
              <w:t>①具有注册公用设备工程师（给水排水）注册证书的，得</w:t>
            </w:r>
            <w:r>
              <w:rPr>
                <w:rFonts w:hint="eastAsia" w:eastAsia="宋体" w:cs="宋体"/>
                <w:b w:val="0"/>
                <w:bCs w:val="0"/>
                <w:i w:val="0"/>
                <w:iCs w:val="0"/>
                <w:color w:val="auto"/>
                <w:spacing w:val="0"/>
                <w:w w:val="100"/>
                <w:sz w:val="24"/>
                <w:szCs w:val="24"/>
                <w:highlight w:val="none"/>
                <w:vertAlign w:val="baseline"/>
                <w:lang w:val="en-US" w:eastAsia="zh-CN"/>
              </w:rPr>
              <w:t>1</w:t>
            </w:r>
            <w:r>
              <w:rPr>
                <w:rFonts w:hint="eastAsia" w:ascii="宋体" w:hAnsi="宋体" w:eastAsia="宋体" w:cs="宋体"/>
                <w:b w:val="0"/>
                <w:bCs w:val="0"/>
                <w:i w:val="0"/>
                <w:iCs w:val="0"/>
                <w:color w:val="auto"/>
                <w:spacing w:val="0"/>
                <w:w w:val="100"/>
                <w:sz w:val="24"/>
                <w:szCs w:val="24"/>
                <w:highlight w:val="none"/>
                <w:vertAlign w:val="baseline"/>
              </w:rPr>
              <w:t>分；②</w:t>
            </w:r>
          </w:p>
          <w:p w14:paraId="57AD7D17">
            <w:pPr>
              <w:pStyle w:val="28"/>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i w:val="0"/>
                <w:iCs w:val="0"/>
                <w:color w:val="auto"/>
                <w:spacing w:val="0"/>
                <w:w w:val="100"/>
                <w:sz w:val="24"/>
                <w:szCs w:val="24"/>
                <w:highlight w:val="none"/>
                <w:vertAlign w:val="baseline"/>
              </w:rPr>
              <w:t>具有给排水类相关专业高级工程师或以上职称的，得</w:t>
            </w:r>
            <w:r>
              <w:rPr>
                <w:rFonts w:hint="eastAsia" w:ascii="宋体" w:hAnsi="宋体" w:eastAsia="宋体" w:cs="宋体"/>
                <w:b w:val="0"/>
                <w:bCs w:val="0"/>
                <w:i w:val="0"/>
                <w:iCs w:val="0"/>
                <w:color w:val="auto"/>
                <w:spacing w:val="0"/>
                <w:w w:val="100"/>
                <w:sz w:val="24"/>
                <w:szCs w:val="24"/>
                <w:highlight w:val="none"/>
                <w:vertAlign w:val="baseline"/>
                <w:lang w:val="en-US" w:eastAsia="zh-CN"/>
              </w:rPr>
              <w:t>0.5</w:t>
            </w:r>
            <w:r>
              <w:rPr>
                <w:rFonts w:hint="eastAsia" w:ascii="宋体" w:hAnsi="宋体" w:eastAsia="宋体" w:cs="宋体"/>
                <w:b w:val="0"/>
                <w:bCs w:val="0"/>
                <w:i w:val="0"/>
                <w:iCs w:val="0"/>
                <w:color w:val="auto"/>
                <w:spacing w:val="0"/>
                <w:w w:val="100"/>
                <w:sz w:val="24"/>
                <w:szCs w:val="24"/>
                <w:highlight w:val="none"/>
                <w:vertAlign w:val="baseline"/>
              </w:rPr>
              <w:t>分；本小项最高得</w:t>
            </w:r>
            <w:r>
              <w:rPr>
                <w:rFonts w:hint="eastAsia" w:ascii="宋体" w:hAnsi="宋体" w:eastAsia="宋体" w:cs="宋体"/>
                <w:b w:val="0"/>
                <w:bCs w:val="0"/>
                <w:i w:val="0"/>
                <w:iCs w:val="0"/>
                <w:color w:val="auto"/>
                <w:spacing w:val="0"/>
                <w:w w:val="100"/>
                <w:sz w:val="24"/>
                <w:szCs w:val="24"/>
                <w:highlight w:val="none"/>
                <w:vertAlign w:val="baseline"/>
                <w:lang w:val="en-US" w:eastAsia="zh-CN"/>
              </w:rPr>
              <w:t>1</w:t>
            </w:r>
            <w:r>
              <w:rPr>
                <w:rFonts w:hint="eastAsia" w:eastAsia="宋体" w:cs="宋体"/>
                <w:b w:val="0"/>
                <w:bCs w:val="0"/>
                <w:i w:val="0"/>
                <w:iCs w:val="0"/>
                <w:color w:val="auto"/>
                <w:spacing w:val="0"/>
                <w:w w:val="100"/>
                <w:sz w:val="24"/>
                <w:szCs w:val="24"/>
                <w:highlight w:val="none"/>
                <w:vertAlign w:val="baseline"/>
                <w:lang w:val="en-US" w:eastAsia="zh-CN"/>
              </w:rPr>
              <w:t>.5</w:t>
            </w:r>
            <w:r>
              <w:rPr>
                <w:rFonts w:hint="eastAsia" w:ascii="宋体" w:hAnsi="宋体" w:eastAsia="宋体" w:cs="宋体"/>
                <w:b w:val="0"/>
                <w:bCs w:val="0"/>
                <w:i w:val="0"/>
                <w:iCs w:val="0"/>
                <w:color w:val="auto"/>
                <w:spacing w:val="0"/>
                <w:w w:val="100"/>
                <w:sz w:val="24"/>
                <w:szCs w:val="24"/>
                <w:highlight w:val="none"/>
                <w:vertAlign w:val="baseline"/>
              </w:rPr>
              <w:t>分。</w:t>
            </w:r>
          </w:p>
        </w:tc>
        <w:tc>
          <w:tcPr>
            <w:tcW w:w="1854" w:type="pct"/>
            <w:shd w:val="clear" w:color="auto" w:fill="auto"/>
            <w:vAlign w:val="center"/>
          </w:tcPr>
          <w:p w14:paraId="405EACB5">
            <w:pPr>
              <w:pStyle w:val="28"/>
              <w:keepNext w:val="0"/>
              <w:keepLines w:val="0"/>
              <w:widowControl/>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spacing w:val="0"/>
                <w:w w:val="100"/>
                <w:sz w:val="24"/>
                <w:szCs w:val="24"/>
                <w:highlight w:val="none"/>
                <w:vertAlign w:val="baseline"/>
              </w:rPr>
              <w:t>1.拟派各专业设计负责人不得为同一人，须提供相关人员证书彩色扫描件（或彩色打印件）并加盖单位公章。</w:t>
            </w:r>
          </w:p>
          <w:p w14:paraId="09CE9983">
            <w:pPr>
              <w:pStyle w:val="28"/>
              <w:keepNext w:val="0"/>
              <w:keepLines w:val="0"/>
              <w:widowControl/>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spacing w:val="0"/>
                <w:w w:val="100"/>
                <w:sz w:val="24"/>
                <w:szCs w:val="24"/>
                <w:highlight w:val="none"/>
                <w:vertAlign w:val="baseline"/>
              </w:rPr>
              <w:t>2.须提供拟派相关人员社保证明（</w:t>
            </w:r>
            <w:r>
              <w:rPr>
                <w:rFonts w:hint="eastAsia" w:eastAsia="宋体" w:cs="宋体"/>
                <w:b w:val="0"/>
                <w:bCs w:val="0"/>
                <w:i w:val="0"/>
                <w:iCs w:val="0"/>
                <w:color w:val="auto"/>
                <w:spacing w:val="0"/>
                <w:w w:val="100"/>
                <w:sz w:val="24"/>
                <w:szCs w:val="24"/>
                <w:highlight w:val="none"/>
                <w:vertAlign w:val="baseline"/>
                <w:lang w:val="en-US" w:eastAsia="zh-CN"/>
              </w:rPr>
              <w:t>至少一个月，其中必须有2026年8月</w:t>
            </w:r>
            <w:r>
              <w:rPr>
                <w:rFonts w:hint="eastAsia" w:ascii="宋体" w:hAnsi="宋体" w:eastAsia="宋体" w:cs="宋体"/>
                <w:b w:val="0"/>
                <w:bCs w:val="0"/>
                <w:i w:val="0"/>
                <w:iCs w:val="0"/>
                <w:color w:val="auto"/>
                <w:spacing w:val="0"/>
                <w:w w:val="100"/>
                <w:sz w:val="24"/>
                <w:szCs w:val="24"/>
                <w:highlight w:val="none"/>
                <w:vertAlign w:val="baseline"/>
              </w:rPr>
              <w:t>）彩色扫描件（或彩色打印件）并加盖单位公章，非独立法人分支机构出具社保，予以认可拟派人员为退休返聘人员无法提供社保证明的，须提供退休证和返聘合同彩色扫描件（或彩色打印件）并加盖单位公章。</w:t>
            </w:r>
          </w:p>
          <w:p w14:paraId="6E88EDC2">
            <w:pPr>
              <w:pStyle w:val="28"/>
              <w:keepNext w:val="0"/>
              <w:keepLines w:val="0"/>
              <w:widowControl/>
              <w:suppressLineNumbers w:val="0"/>
              <w:spacing w:before="0" w:beforeAutospacing="0" w:after="0" w:afterAutospacing="0" w:line="360" w:lineRule="auto"/>
              <w:ind w:left="0" w:leftChars="0" w:right="0" w:rightChars="0"/>
              <w:jc w:val="both"/>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spacing w:val="0"/>
                <w:w w:val="100"/>
                <w:sz w:val="24"/>
                <w:szCs w:val="24"/>
                <w:highlight w:val="none"/>
                <w:vertAlign w:val="baseline"/>
              </w:rPr>
              <w:t>3.不符合评分标准和备注规定的，不予计分。</w:t>
            </w:r>
          </w:p>
        </w:tc>
      </w:tr>
      <w:tr w14:paraId="23A61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jc w:val="center"/>
        </w:trPr>
        <w:tc>
          <w:tcPr>
            <w:tcW w:w="252" w:type="pct"/>
            <w:vMerge w:val="restart"/>
            <w:vAlign w:val="center"/>
          </w:tcPr>
          <w:p w14:paraId="479A82F6">
            <w:pPr>
              <w:widowControl/>
              <w:spacing w:line="360" w:lineRule="auto"/>
              <w:jc w:val="center"/>
              <w:rPr>
                <w:rFonts w:hint="eastAsia" w:ascii="宋体"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w:t>
            </w:r>
          </w:p>
        </w:tc>
        <w:tc>
          <w:tcPr>
            <w:tcW w:w="501" w:type="pct"/>
            <w:vMerge w:val="restart"/>
            <w:vAlign w:val="center"/>
          </w:tcPr>
          <w:p w14:paraId="37F42374">
            <w:pPr>
              <w:widowControl/>
              <w:spacing w:line="360" w:lineRule="auto"/>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技术部分得</w:t>
            </w:r>
          </w:p>
          <w:p w14:paraId="36BDBCA6">
            <w:pPr>
              <w:widowControl/>
              <w:spacing w:line="360" w:lineRule="auto"/>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w:t>
            </w:r>
            <w:r>
              <w:rPr>
                <w:rFonts w:hint="eastAsia" w:hAnsi="宋体" w:eastAsia="宋体" w:cs="宋体"/>
                <w:color w:val="auto"/>
                <w:kern w:val="0"/>
                <w:sz w:val="24"/>
                <w:szCs w:val="24"/>
                <w:highlight w:val="none"/>
                <w:lang w:val="en-US" w:eastAsia="zh-CN"/>
              </w:rPr>
              <w:t>20</w:t>
            </w:r>
            <w:r>
              <w:rPr>
                <w:rFonts w:hint="eastAsia" w:ascii="宋体" w:hAnsi="宋体" w:eastAsia="宋体" w:cs="宋体"/>
                <w:color w:val="auto"/>
                <w:kern w:val="0"/>
                <w:sz w:val="24"/>
                <w:szCs w:val="24"/>
                <w:highlight w:val="none"/>
              </w:rPr>
              <w:t>分）</w:t>
            </w:r>
          </w:p>
        </w:tc>
        <w:tc>
          <w:tcPr>
            <w:tcW w:w="969" w:type="pct"/>
            <w:gridSpan w:val="2"/>
            <w:shd w:val="clear" w:color="auto" w:fill="auto"/>
            <w:vAlign w:val="center"/>
          </w:tcPr>
          <w:p w14:paraId="69199ECF">
            <w:pPr>
              <w:shd w:val="clear" w:color="auto" w:fill="auto"/>
              <w:wordWrap w:val="0"/>
              <w:adjustRightInd w:val="0"/>
              <w:snapToGrid w:val="0"/>
              <w:spacing w:line="360" w:lineRule="auto"/>
              <w:jc w:val="center"/>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color w:val="auto"/>
                <w:spacing w:val="-2"/>
                <w:sz w:val="24"/>
                <w:szCs w:val="24"/>
                <w:highlight w:val="none"/>
              </w:rPr>
              <w:t>对项目的概况的了解（</w:t>
            </w:r>
            <w:r>
              <w:rPr>
                <w:rFonts w:hint="eastAsia" w:ascii="宋体" w:hAnsi="宋体" w:eastAsia="宋体" w:cs="宋体"/>
                <w:b w:val="0"/>
                <w:bCs w:val="0"/>
                <w:color w:val="auto"/>
                <w:spacing w:val="-2"/>
                <w:sz w:val="24"/>
                <w:szCs w:val="24"/>
                <w:highlight w:val="none"/>
                <w:lang w:val="en-US" w:eastAsia="zh-CN"/>
              </w:rPr>
              <w:t>4</w:t>
            </w:r>
            <w:r>
              <w:rPr>
                <w:rFonts w:hint="eastAsia" w:ascii="宋体" w:hAnsi="宋体" w:eastAsia="宋体" w:cs="宋体"/>
                <w:b w:val="0"/>
                <w:bCs w:val="0"/>
                <w:color w:val="auto"/>
                <w:spacing w:val="-2"/>
                <w:sz w:val="24"/>
                <w:szCs w:val="24"/>
                <w:highlight w:val="none"/>
              </w:rPr>
              <w:t>分）</w:t>
            </w:r>
          </w:p>
        </w:tc>
        <w:tc>
          <w:tcPr>
            <w:tcW w:w="3276" w:type="pct"/>
            <w:gridSpan w:val="2"/>
            <w:shd w:val="clear" w:color="auto" w:fill="auto"/>
            <w:vAlign w:val="center"/>
          </w:tcPr>
          <w:p w14:paraId="6F18421D">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对本次招标项目的概况、规模等描述详尽、透彻的。</w:t>
            </w:r>
          </w:p>
          <w:p w14:paraId="4F22A7E5">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有此项描述得基本分</w:t>
            </w:r>
            <w:r>
              <w:rPr>
                <w:rFonts w:hint="eastAsia" w:ascii="宋体" w:hAnsi="宋体" w:eastAsia="宋体" w:cs="宋体"/>
                <w:b w:val="0"/>
                <w:bCs w:val="0"/>
                <w:color w:val="auto"/>
                <w:spacing w:val="-2"/>
                <w:sz w:val="24"/>
                <w:szCs w:val="24"/>
                <w:highlight w:val="none"/>
                <w:lang w:val="en-US" w:eastAsia="zh-CN"/>
              </w:rPr>
              <w:t>2.5</w:t>
            </w:r>
            <w:r>
              <w:rPr>
                <w:rFonts w:hint="eastAsia" w:ascii="宋体" w:hAnsi="宋体" w:eastAsia="宋体" w:cs="宋体"/>
                <w:b w:val="0"/>
                <w:bCs w:val="0"/>
                <w:color w:val="auto"/>
                <w:spacing w:val="-2"/>
                <w:sz w:val="24"/>
                <w:szCs w:val="24"/>
                <w:highlight w:val="none"/>
              </w:rPr>
              <w:t>分。</w:t>
            </w:r>
          </w:p>
          <w:p w14:paraId="1C10DC1A">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【优】得该细项分的</w:t>
            </w:r>
            <w:r>
              <w:rPr>
                <w:rFonts w:hint="eastAsia" w:ascii="宋体" w:hAnsi="宋体" w:eastAsia="宋体" w:cs="宋体"/>
                <w:b w:val="0"/>
                <w:bCs w:val="0"/>
                <w:color w:val="auto"/>
                <w:spacing w:val="-2"/>
                <w:sz w:val="24"/>
                <w:szCs w:val="24"/>
                <w:highlight w:val="none"/>
                <w:lang w:val="en-US" w:eastAsia="zh-CN"/>
              </w:rPr>
              <w:t>3.5-4.0</w:t>
            </w:r>
            <w:r>
              <w:rPr>
                <w:rFonts w:hint="eastAsia" w:ascii="宋体" w:hAnsi="宋体" w:eastAsia="宋体" w:cs="宋体"/>
                <w:b w:val="0"/>
                <w:bCs w:val="0"/>
                <w:color w:val="auto"/>
                <w:spacing w:val="-2"/>
                <w:sz w:val="24"/>
                <w:szCs w:val="24"/>
                <w:highlight w:val="none"/>
              </w:rPr>
              <w:t>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含3.5分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w:t>
            </w:r>
          </w:p>
          <w:p w14:paraId="7D8504BA">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w:t>
            </w:r>
            <w:r>
              <w:rPr>
                <w:rFonts w:hint="eastAsia" w:ascii="宋体" w:hAnsi="宋体" w:eastAsia="宋体" w:cs="宋体"/>
                <w:b w:val="0"/>
                <w:bCs w:val="0"/>
                <w:color w:val="auto"/>
                <w:spacing w:val="-2"/>
                <w:sz w:val="24"/>
                <w:szCs w:val="24"/>
                <w:highlight w:val="none"/>
                <w:lang w:val="en-US" w:eastAsia="zh-CN"/>
              </w:rPr>
              <w:t>中</w:t>
            </w:r>
            <w:r>
              <w:rPr>
                <w:rFonts w:hint="eastAsia" w:ascii="宋体" w:hAnsi="宋体" w:eastAsia="宋体" w:cs="宋体"/>
                <w:b w:val="0"/>
                <w:bCs w:val="0"/>
                <w:color w:val="auto"/>
                <w:spacing w:val="-2"/>
                <w:sz w:val="24"/>
                <w:szCs w:val="24"/>
                <w:highlight w:val="none"/>
              </w:rPr>
              <w:t>】得该细项分的</w:t>
            </w:r>
            <w:r>
              <w:rPr>
                <w:rFonts w:hint="eastAsia" w:ascii="宋体" w:hAnsi="宋体" w:eastAsia="宋体" w:cs="宋体"/>
                <w:b w:val="0"/>
                <w:bCs w:val="0"/>
                <w:color w:val="auto"/>
                <w:spacing w:val="-2"/>
                <w:sz w:val="24"/>
                <w:szCs w:val="24"/>
                <w:highlight w:val="none"/>
                <w:lang w:val="en-US" w:eastAsia="zh-CN"/>
              </w:rPr>
              <w:t>3.0-3.5</w:t>
            </w:r>
            <w:r>
              <w:rPr>
                <w:rFonts w:hint="eastAsia" w:ascii="宋体" w:hAnsi="宋体" w:eastAsia="宋体" w:cs="宋体"/>
                <w:b w:val="0"/>
                <w:bCs w:val="0"/>
                <w:color w:val="auto"/>
                <w:spacing w:val="-2"/>
                <w:sz w:val="24"/>
                <w:szCs w:val="24"/>
                <w:highlight w:val="none"/>
              </w:rPr>
              <w:t>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含3.0分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w:t>
            </w:r>
          </w:p>
          <w:p w14:paraId="17EDF3A8">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w:t>
            </w:r>
            <w:r>
              <w:rPr>
                <w:rFonts w:hint="eastAsia" w:ascii="宋体" w:hAnsi="宋体" w:eastAsia="宋体" w:cs="宋体"/>
                <w:b w:val="0"/>
                <w:bCs w:val="0"/>
                <w:color w:val="auto"/>
                <w:spacing w:val="-2"/>
                <w:sz w:val="24"/>
                <w:szCs w:val="24"/>
                <w:highlight w:val="none"/>
                <w:lang w:val="en-US" w:eastAsia="zh-CN"/>
              </w:rPr>
              <w:t>合格</w:t>
            </w:r>
            <w:r>
              <w:rPr>
                <w:rFonts w:hint="eastAsia" w:ascii="宋体" w:hAnsi="宋体" w:eastAsia="宋体" w:cs="宋体"/>
                <w:b w:val="0"/>
                <w:bCs w:val="0"/>
                <w:color w:val="auto"/>
                <w:spacing w:val="-2"/>
                <w:sz w:val="24"/>
                <w:szCs w:val="24"/>
                <w:highlight w:val="none"/>
              </w:rPr>
              <w:t>】得该细项分的</w:t>
            </w:r>
            <w:r>
              <w:rPr>
                <w:rFonts w:hint="eastAsia" w:ascii="宋体" w:hAnsi="宋体" w:eastAsia="宋体" w:cs="宋体"/>
                <w:b w:val="0"/>
                <w:bCs w:val="0"/>
                <w:color w:val="auto"/>
                <w:spacing w:val="-2"/>
                <w:sz w:val="24"/>
                <w:szCs w:val="24"/>
                <w:highlight w:val="none"/>
                <w:lang w:val="en-US" w:eastAsia="zh-CN"/>
              </w:rPr>
              <w:t>2.5-3.0</w:t>
            </w:r>
            <w:r>
              <w:rPr>
                <w:rFonts w:hint="eastAsia" w:ascii="宋体" w:hAnsi="宋体" w:eastAsia="宋体" w:cs="宋体"/>
                <w:b w:val="0"/>
                <w:bCs w:val="0"/>
                <w:color w:val="auto"/>
                <w:spacing w:val="-2"/>
                <w:sz w:val="24"/>
                <w:szCs w:val="24"/>
                <w:highlight w:val="none"/>
              </w:rPr>
              <w:t>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含2.5分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w:t>
            </w:r>
          </w:p>
          <w:p w14:paraId="5ABBFD45">
            <w:pPr>
              <w:shd w:val="clear" w:color="auto" w:fill="auto"/>
              <w:spacing w:line="360" w:lineRule="auto"/>
              <w:jc w:val="left"/>
              <w:rPr>
                <w:rFonts w:hint="eastAsia" w:ascii="宋体" w:hAnsi="等线" w:eastAsia="等线" w:cs="Times New Roman"/>
                <w:color w:val="auto"/>
                <w:kern w:val="2"/>
                <w:sz w:val="24"/>
                <w:szCs w:val="24"/>
                <w:highlight w:val="none"/>
                <w:lang w:val="en-US" w:eastAsia="zh-CN" w:bidi="ar-SA"/>
              </w:rPr>
            </w:pPr>
            <w:r>
              <w:rPr>
                <w:rFonts w:hint="eastAsia" w:ascii="宋体" w:hAnsi="宋体" w:eastAsia="宋体" w:cs="宋体"/>
                <w:b w:val="0"/>
                <w:bCs w:val="0"/>
                <w:color w:val="auto"/>
                <w:spacing w:val="-2"/>
                <w:sz w:val="24"/>
                <w:szCs w:val="24"/>
                <w:highlight w:val="none"/>
                <w:lang w:val="en-US" w:eastAsia="zh-CN"/>
              </w:rPr>
              <w:t>不提供材料或无该项描述的</w:t>
            </w:r>
            <w:r>
              <w:rPr>
                <w:rFonts w:hint="eastAsia" w:ascii="宋体" w:hAnsi="宋体" w:eastAsia="宋体" w:cs="宋体"/>
                <w:b w:val="0"/>
                <w:bCs w:val="0"/>
                <w:color w:val="auto"/>
                <w:spacing w:val="-2"/>
                <w:sz w:val="24"/>
                <w:szCs w:val="24"/>
                <w:highlight w:val="none"/>
              </w:rPr>
              <w:t>得0分</w:t>
            </w:r>
            <w:r>
              <w:rPr>
                <w:rFonts w:hint="eastAsia" w:ascii="宋体" w:hAnsi="宋体" w:eastAsia="宋体" w:cs="宋体"/>
                <w:b w:val="0"/>
                <w:bCs w:val="0"/>
                <w:color w:val="auto"/>
                <w:spacing w:val="-2"/>
                <w:sz w:val="24"/>
                <w:szCs w:val="24"/>
                <w:highlight w:val="none"/>
                <w:lang w:eastAsia="zh-CN"/>
              </w:rPr>
              <w:t>。</w:t>
            </w:r>
          </w:p>
        </w:tc>
      </w:tr>
      <w:tr w14:paraId="344C8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252" w:type="pct"/>
            <w:vMerge w:val="continue"/>
            <w:vAlign w:val="center"/>
          </w:tcPr>
          <w:p w14:paraId="4BC9CD07">
            <w:pPr>
              <w:widowControl/>
              <w:spacing w:line="360" w:lineRule="auto"/>
              <w:jc w:val="center"/>
              <w:rPr>
                <w:rFonts w:hint="eastAsia" w:ascii="宋体" w:hAnsi="宋体" w:eastAsia="宋体" w:cs="宋体"/>
                <w:color w:val="auto"/>
                <w:kern w:val="0"/>
                <w:sz w:val="24"/>
                <w:szCs w:val="24"/>
                <w:highlight w:val="none"/>
              </w:rPr>
            </w:pPr>
          </w:p>
        </w:tc>
        <w:tc>
          <w:tcPr>
            <w:tcW w:w="501" w:type="pct"/>
            <w:vMerge w:val="continue"/>
            <w:vAlign w:val="center"/>
          </w:tcPr>
          <w:p w14:paraId="4F490D69">
            <w:pPr>
              <w:widowControl/>
              <w:spacing w:line="360" w:lineRule="auto"/>
              <w:jc w:val="center"/>
              <w:rPr>
                <w:rFonts w:hint="eastAsia" w:ascii="宋体" w:hAnsi="宋体" w:eastAsia="宋体" w:cs="宋体"/>
                <w:color w:val="auto"/>
                <w:kern w:val="0"/>
                <w:sz w:val="24"/>
                <w:szCs w:val="24"/>
                <w:highlight w:val="none"/>
              </w:rPr>
            </w:pPr>
          </w:p>
        </w:tc>
        <w:tc>
          <w:tcPr>
            <w:tcW w:w="969" w:type="pct"/>
            <w:gridSpan w:val="2"/>
            <w:shd w:val="clear" w:color="auto" w:fill="auto"/>
            <w:vAlign w:val="center"/>
          </w:tcPr>
          <w:p w14:paraId="2D960837">
            <w:pPr>
              <w:shd w:val="clear" w:color="auto" w:fill="auto"/>
              <w:spacing w:line="360" w:lineRule="auto"/>
              <w:rPr>
                <w:rFonts w:hint="eastAsia" w:ascii="宋体" w:hAnsi="宋体" w:eastAsia="宋体" w:cs="宋体"/>
                <w:b w:val="0"/>
                <w:bCs w:val="0"/>
                <w:color w:val="auto"/>
                <w:spacing w:val="-2"/>
                <w:kern w:val="2"/>
                <w:sz w:val="24"/>
                <w:szCs w:val="24"/>
                <w:highlight w:val="none"/>
                <w:lang w:val="en-US" w:eastAsia="zh-CN" w:bidi="ar-SA"/>
              </w:rPr>
            </w:pPr>
            <w:r>
              <w:rPr>
                <w:rFonts w:hint="eastAsia" w:ascii="宋体" w:hAnsi="宋体" w:eastAsia="宋体" w:cs="宋体"/>
                <w:b w:val="0"/>
                <w:bCs w:val="0"/>
                <w:color w:val="auto"/>
                <w:spacing w:val="-2"/>
                <w:sz w:val="24"/>
                <w:szCs w:val="24"/>
                <w:highlight w:val="none"/>
              </w:rPr>
              <w:t>对本招标项目所在地的建设条件的认识（</w:t>
            </w:r>
            <w:r>
              <w:rPr>
                <w:rFonts w:hint="eastAsia" w:ascii="宋体" w:hAnsi="宋体" w:eastAsia="宋体" w:cs="宋体"/>
                <w:b w:val="0"/>
                <w:bCs w:val="0"/>
                <w:color w:val="auto"/>
                <w:spacing w:val="-2"/>
                <w:sz w:val="24"/>
                <w:szCs w:val="24"/>
                <w:highlight w:val="none"/>
                <w:lang w:val="en-US" w:eastAsia="zh-CN"/>
              </w:rPr>
              <w:t>4</w:t>
            </w:r>
            <w:r>
              <w:rPr>
                <w:rFonts w:hint="eastAsia" w:ascii="宋体" w:hAnsi="宋体" w:eastAsia="宋体" w:cs="宋体"/>
                <w:b w:val="0"/>
                <w:bCs w:val="0"/>
                <w:color w:val="auto"/>
                <w:spacing w:val="-2"/>
                <w:sz w:val="24"/>
                <w:szCs w:val="24"/>
                <w:highlight w:val="none"/>
              </w:rPr>
              <w:t>分）</w:t>
            </w:r>
          </w:p>
        </w:tc>
        <w:tc>
          <w:tcPr>
            <w:tcW w:w="3276" w:type="pct"/>
            <w:gridSpan w:val="2"/>
            <w:shd w:val="clear" w:color="auto" w:fill="auto"/>
            <w:vAlign w:val="center"/>
          </w:tcPr>
          <w:p w14:paraId="790AA8EC">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对招标项目所在区域建设条件的认识全面、深刻的</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有现场调研记录的</w:t>
            </w:r>
            <w:r>
              <w:rPr>
                <w:rFonts w:hint="eastAsia" w:ascii="宋体" w:hAnsi="宋体" w:eastAsia="宋体" w:cs="宋体"/>
                <w:b w:val="0"/>
                <w:bCs w:val="0"/>
                <w:color w:val="auto"/>
                <w:spacing w:val="-2"/>
                <w:sz w:val="24"/>
                <w:szCs w:val="24"/>
                <w:highlight w:val="none"/>
              </w:rPr>
              <w:t>。有此项描述得基本分</w:t>
            </w:r>
            <w:r>
              <w:rPr>
                <w:rFonts w:hint="eastAsia" w:ascii="宋体" w:hAnsi="宋体" w:eastAsia="宋体" w:cs="宋体"/>
                <w:b w:val="0"/>
                <w:bCs w:val="0"/>
                <w:color w:val="auto"/>
                <w:spacing w:val="-2"/>
                <w:sz w:val="24"/>
                <w:szCs w:val="24"/>
                <w:highlight w:val="none"/>
                <w:lang w:val="en-US" w:eastAsia="zh-CN"/>
              </w:rPr>
              <w:t>2.5</w:t>
            </w:r>
            <w:r>
              <w:rPr>
                <w:rFonts w:hint="eastAsia" w:ascii="宋体" w:hAnsi="宋体" w:eastAsia="宋体" w:cs="宋体"/>
                <w:b w:val="0"/>
                <w:bCs w:val="0"/>
                <w:color w:val="auto"/>
                <w:spacing w:val="-2"/>
                <w:sz w:val="24"/>
                <w:szCs w:val="24"/>
                <w:highlight w:val="none"/>
              </w:rPr>
              <w:t>分。</w:t>
            </w:r>
          </w:p>
          <w:p w14:paraId="2BCE2D42">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【优】得该细项分的</w:t>
            </w:r>
            <w:r>
              <w:rPr>
                <w:rFonts w:hint="eastAsia" w:ascii="宋体" w:hAnsi="宋体" w:eastAsia="宋体" w:cs="宋体"/>
                <w:b w:val="0"/>
                <w:bCs w:val="0"/>
                <w:color w:val="auto"/>
                <w:spacing w:val="-2"/>
                <w:sz w:val="24"/>
                <w:szCs w:val="24"/>
                <w:highlight w:val="none"/>
                <w:lang w:val="en-US" w:eastAsia="zh-CN"/>
              </w:rPr>
              <w:t>3.5-4.0</w:t>
            </w:r>
            <w:r>
              <w:rPr>
                <w:rFonts w:hint="eastAsia" w:ascii="宋体" w:hAnsi="宋体" w:eastAsia="宋体" w:cs="宋体"/>
                <w:b w:val="0"/>
                <w:bCs w:val="0"/>
                <w:color w:val="auto"/>
                <w:spacing w:val="-2"/>
                <w:sz w:val="24"/>
                <w:szCs w:val="24"/>
                <w:highlight w:val="none"/>
              </w:rPr>
              <w:t>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含3.5分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w:t>
            </w:r>
          </w:p>
          <w:p w14:paraId="6BAEF13E">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w:t>
            </w:r>
            <w:r>
              <w:rPr>
                <w:rFonts w:hint="eastAsia" w:ascii="宋体" w:hAnsi="宋体" w:eastAsia="宋体" w:cs="宋体"/>
                <w:b w:val="0"/>
                <w:bCs w:val="0"/>
                <w:color w:val="auto"/>
                <w:spacing w:val="-2"/>
                <w:sz w:val="24"/>
                <w:szCs w:val="24"/>
                <w:highlight w:val="none"/>
                <w:lang w:val="en-US" w:eastAsia="zh-CN"/>
              </w:rPr>
              <w:t>中</w:t>
            </w:r>
            <w:r>
              <w:rPr>
                <w:rFonts w:hint="eastAsia" w:ascii="宋体" w:hAnsi="宋体" w:eastAsia="宋体" w:cs="宋体"/>
                <w:b w:val="0"/>
                <w:bCs w:val="0"/>
                <w:color w:val="auto"/>
                <w:spacing w:val="-2"/>
                <w:sz w:val="24"/>
                <w:szCs w:val="24"/>
                <w:highlight w:val="none"/>
              </w:rPr>
              <w:t>】得该细项分的</w:t>
            </w:r>
            <w:r>
              <w:rPr>
                <w:rFonts w:hint="eastAsia" w:ascii="宋体" w:hAnsi="宋体" w:eastAsia="宋体" w:cs="宋体"/>
                <w:b w:val="0"/>
                <w:bCs w:val="0"/>
                <w:color w:val="auto"/>
                <w:spacing w:val="-2"/>
                <w:sz w:val="24"/>
                <w:szCs w:val="24"/>
                <w:highlight w:val="none"/>
                <w:lang w:val="en-US" w:eastAsia="zh-CN"/>
              </w:rPr>
              <w:t>3.0-3.5</w:t>
            </w:r>
            <w:r>
              <w:rPr>
                <w:rFonts w:hint="eastAsia" w:ascii="宋体" w:hAnsi="宋体" w:eastAsia="宋体" w:cs="宋体"/>
                <w:b w:val="0"/>
                <w:bCs w:val="0"/>
                <w:color w:val="auto"/>
                <w:spacing w:val="-2"/>
                <w:sz w:val="24"/>
                <w:szCs w:val="24"/>
                <w:highlight w:val="none"/>
              </w:rPr>
              <w:t>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含3.0分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w:t>
            </w:r>
          </w:p>
          <w:p w14:paraId="4531679C">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w:t>
            </w:r>
            <w:r>
              <w:rPr>
                <w:rFonts w:hint="eastAsia" w:ascii="宋体" w:hAnsi="宋体" w:eastAsia="宋体" w:cs="宋体"/>
                <w:b w:val="0"/>
                <w:bCs w:val="0"/>
                <w:color w:val="auto"/>
                <w:spacing w:val="-2"/>
                <w:sz w:val="24"/>
                <w:szCs w:val="24"/>
                <w:highlight w:val="none"/>
                <w:lang w:val="en-US" w:eastAsia="zh-CN"/>
              </w:rPr>
              <w:t>合格</w:t>
            </w:r>
            <w:r>
              <w:rPr>
                <w:rFonts w:hint="eastAsia" w:ascii="宋体" w:hAnsi="宋体" w:eastAsia="宋体" w:cs="宋体"/>
                <w:b w:val="0"/>
                <w:bCs w:val="0"/>
                <w:color w:val="auto"/>
                <w:spacing w:val="-2"/>
                <w:sz w:val="24"/>
                <w:szCs w:val="24"/>
                <w:highlight w:val="none"/>
              </w:rPr>
              <w:t>】得该细项分的</w:t>
            </w:r>
            <w:r>
              <w:rPr>
                <w:rFonts w:hint="eastAsia" w:ascii="宋体" w:hAnsi="宋体" w:eastAsia="宋体" w:cs="宋体"/>
                <w:b w:val="0"/>
                <w:bCs w:val="0"/>
                <w:color w:val="auto"/>
                <w:spacing w:val="-2"/>
                <w:sz w:val="24"/>
                <w:szCs w:val="24"/>
                <w:highlight w:val="none"/>
                <w:lang w:val="en-US" w:eastAsia="zh-CN"/>
              </w:rPr>
              <w:t>2.5-3.0</w:t>
            </w:r>
            <w:r>
              <w:rPr>
                <w:rFonts w:hint="eastAsia" w:ascii="宋体" w:hAnsi="宋体" w:eastAsia="宋体" w:cs="宋体"/>
                <w:b w:val="0"/>
                <w:bCs w:val="0"/>
                <w:color w:val="auto"/>
                <w:spacing w:val="-2"/>
                <w:sz w:val="24"/>
                <w:szCs w:val="24"/>
                <w:highlight w:val="none"/>
              </w:rPr>
              <w:t>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含2.5分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w:t>
            </w:r>
          </w:p>
          <w:p w14:paraId="1D4603A9">
            <w:pPr>
              <w:shd w:val="clear" w:color="auto" w:fill="auto"/>
              <w:spacing w:line="360" w:lineRule="auto"/>
              <w:jc w:val="left"/>
              <w:rPr>
                <w:rFonts w:hint="eastAsia" w:ascii="宋体" w:hAnsi="等线" w:eastAsia="等线" w:cs="Times New Roman"/>
                <w:color w:val="auto"/>
                <w:kern w:val="2"/>
                <w:sz w:val="24"/>
                <w:szCs w:val="24"/>
                <w:highlight w:val="none"/>
                <w:lang w:val="en-US" w:eastAsia="zh-CN" w:bidi="ar-SA"/>
              </w:rPr>
            </w:pPr>
            <w:r>
              <w:rPr>
                <w:rFonts w:hint="eastAsia" w:ascii="宋体" w:hAnsi="宋体" w:eastAsia="宋体" w:cs="宋体"/>
                <w:b w:val="0"/>
                <w:bCs w:val="0"/>
                <w:color w:val="auto"/>
                <w:spacing w:val="-2"/>
                <w:sz w:val="24"/>
                <w:szCs w:val="24"/>
                <w:highlight w:val="none"/>
                <w:lang w:val="en-US" w:eastAsia="zh-CN"/>
              </w:rPr>
              <w:t>不提供材料或无该项描述的</w:t>
            </w:r>
            <w:r>
              <w:rPr>
                <w:rFonts w:hint="eastAsia" w:ascii="宋体" w:hAnsi="宋体" w:eastAsia="宋体" w:cs="宋体"/>
                <w:b w:val="0"/>
                <w:bCs w:val="0"/>
                <w:color w:val="auto"/>
                <w:spacing w:val="-2"/>
                <w:sz w:val="24"/>
                <w:szCs w:val="24"/>
                <w:highlight w:val="none"/>
              </w:rPr>
              <w:t>得0分</w:t>
            </w:r>
            <w:r>
              <w:rPr>
                <w:rFonts w:hint="eastAsia" w:ascii="宋体" w:hAnsi="宋体" w:eastAsia="宋体" w:cs="宋体"/>
                <w:b w:val="0"/>
                <w:bCs w:val="0"/>
                <w:color w:val="auto"/>
                <w:spacing w:val="-2"/>
                <w:sz w:val="24"/>
                <w:szCs w:val="24"/>
                <w:highlight w:val="none"/>
                <w:lang w:eastAsia="zh-CN"/>
              </w:rPr>
              <w:t>。</w:t>
            </w:r>
          </w:p>
        </w:tc>
      </w:tr>
      <w:tr w14:paraId="62877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jc w:val="center"/>
        </w:trPr>
        <w:tc>
          <w:tcPr>
            <w:tcW w:w="252" w:type="pct"/>
            <w:vMerge w:val="continue"/>
            <w:vAlign w:val="center"/>
          </w:tcPr>
          <w:p w14:paraId="2CBE2A7C">
            <w:pPr>
              <w:widowControl/>
              <w:spacing w:line="360" w:lineRule="auto"/>
              <w:jc w:val="center"/>
              <w:rPr>
                <w:rFonts w:hint="eastAsia" w:ascii="宋体" w:hAnsi="宋体" w:eastAsia="宋体" w:cs="宋体"/>
                <w:color w:val="auto"/>
                <w:kern w:val="0"/>
                <w:sz w:val="24"/>
                <w:szCs w:val="24"/>
                <w:highlight w:val="none"/>
              </w:rPr>
            </w:pPr>
          </w:p>
        </w:tc>
        <w:tc>
          <w:tcPr>
            <w:tcW w:w="501" w:type="pct"/>
            <w:vMerge w:val="continue"/>
            <w:vAlign w:val="center"/>
          </w:tcPr>
          <w:p w14:paraId="18693ECC">
            <w:pPr>
              <w:widowControl/>
              <w:spacing w:line="360" w:lineRule="auto"/>
              <w:jc w:val="center"/>
              <w:rPr>
                <w:rFonts w:hint="eastAsia" w:ascii="宋体" w:hAnsi="宋体" w:eastAsia="宋体" w:cs="宋体"/>
                <w:color w:val="auto"/>
                <w:kern w:val="0"/>
                <w:sz w:val="24"/>
                <w:szCs w:val="24"/>
                <w:highlight w:val="none"/>
              </w:rPr>
            </w:pPr>
          </w:p>
        </w:tc>
        <w:tc>
          <w:tcPr>
            <w:tcW w:w="969" w:type="pct"/>
            <w:gridSpan w:val="2"/>
            <w:shd w:val="clear" w:color="auto" w:fill="auto"/>
            <w:vAlign w:val="center"/>
          </w:tcPr>
          <w:p w14:paraId="7DF0CCE1">
            <w:pPr>
              <w:shd w:val="clear" w:color="auto" w:fill="auto"/>
              <w:spacing w:line="360" w:lineRule="auto"/>
              <w:jc w:val="center"/>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color w:val="auto"/>
                <w:spacing w:val="-2"/>
                <w:sz w:val="24"/>
                <w:szCs w:val="24"/>
                <w:highlight w:val="none"/>
              </w:rPr>
              <w:t>设计方案思路（</w:t>
            </w:r>
            <w:r>
              <w:rPr>
                <w:rFonts w:hint="eastAsia" w:ascii="宋体" w:hAnsi="宋体" w:eastAsia="宋体" w:cs="宋体"/>
                <w:b w:val="0"/>
                <w:bCs w:val="0"/>
                <w:color w:val="auto"/>
                <w:spacing w:val="-2"/>
                <w:sz w:val="24"/>
                <w:szCs w:val="24"/>
                <w:highlight w:val="none"/>
                <w:lang w:val="en-US" w:eastAsia="zh-CN"/>
              </w:rPr>
              <w:t>4</w:t>
            </w:r>
            <w:r>
              <w:rPr>
                <w:rFonts w:hint="eastAsia" w:ascii="宋体" w:hAnsi="宋体" w:eastAsia="宋体" w:cs="宋体"/>
                <w:b w:val="0"/>
                <w:bCs w:val="0"/>
                <w:color w:val="auto"/>
                <w:spacing w:val="-2"/>
                <w:sz w:val="24"/>
                <w:szCs w:val="24"/>
                <w:highlight w:val="none"/>
              </w:rPr>
              <w:t>分）</w:t>
            </w:r>
          </w:p>
        </w:tc>
        <w:tc>
          <w:tcPr>
            <w:tcW w:w="3276" w:type="pct"/>
            <w:gridSpan w:val="2"/>
            <w:shd w:val="clear" w:color="auto" w:fill="auto"/>
            <w:vAlign w:val="center"/>
          </w:tcPr>
          <w:p w14:paraId="39D631DB">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方案能对项目设计所涉及的相关方面问题提出合理设计思路、经济性及可行性分析详细的</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符合现场客观情况的</w:t>
            </w:r>
            <w:r>
              <w:rPr>
                <w:rFonts w:hint="eastAsia" w:ascii="宋体" w:hAnsi="宋体" w:eastAsia="宋体" w:cs="宋体"/>
                <w:b w:val="0"/>
                <w:bCs w:val="0"/>
                <w:color w:val="auto"/>
                <w:spacing w:val="-2"/>
                <w:sz w:val="24"/>
                <w:szCs w:val="24"/>
                <w:highlight w:val="none"/>
              </w:rPr>
              <w:t>。有此项描述得基本分</w:t>
            </w:r>
            <w:r>
              <w:rPr>
                <w:rFonts w:hint="eastAsia" w:ascii="宋体" w:hAnsi="宋体" w:eastAsia="宋体" w:cs="宋体"/>
                <w:b w:val="0"/>
                <w:bCs w:val="0"/>
                <w:color w:val="auto"/>
                <w:spacing w:val="-2"/>
                <w:sz w:val="24"/>
                <w:szCs w:val="24"/>
                <w:highlight w:val="none"/>
                <w:lang w:val="en-US" w:eastAsia="zh-CN"/>
              </w:rPr>
              <w:t>2.5</w:t>
            </w:r>
            <w:r>
              <w:rPr>
                <w:rFonts w:hint="eastAsia" w:ascii="宋体" w:hAnsi="宋体" w:eastAsia="宋体" w:cs="宋体"/>
                <w:b w:val="0"/>
                <w:bCs w:val="0"/>
                <w:color w:val="auto"/>
                <w:spacing w:val="-2"/>
                <w:sz w:val="24"/>
                <w:szCs w:val="24"/>
                <w:highlight w:val="none"/>
              </w:rPr>
              <w:t>分。</w:t>
            </w:r>
          </w:p>
          <w:p w14:paraId="71B100BA">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【优】得该细项分的</w:t>
            </w:r>
            <w:r>
              <w:rPr>
                <w:rFonts w:hint="eastAsia" w:ascii="宋体" w:hAnsi="宋体" w:eastAsia="宋体" w:cs="宋体"/>
                <w:b w:val="0"/>
                <w:bCs w:val="0"/>
                <w:color w:val="auto"/>
                <w:spacing w:val="-2"/>
                <w:sz w:val="24"/>
                <w:szCs w:val="24"/>
                <w:highlight w:val="none"/>
                <w:lang w:val="en-US" w:eastAsia="zh-CN"/>
              </w:rPr>
              <w:t>3.5-4.0</w:t>
            </w:r>
            <w:r>
              <w:rPr>
                <w:rFonts w:hint="eastAsia" w:ascii="宋体" w:hAnsi="宋体" w:eastAsia="宋体" w:cs="宋体"/>
                <w:b w:val="0"/>
                <w:bCs w:val="0"/>
                <w:color w:val="auto"/>
                <w:spacing w:val="-2"/>
                <w:sz w:val="24"/>
                <w:szCs w:val="24"/>
                <w:highlight w:val="none"/>
              </w:rPr>
              <w:t>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含3.5分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w:t>
            </w:r>
          </w:p>
          <w:p w14:paraId="2081A305">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w:t>
            </w:r>
            <w:r>
              <w:rPr>
                <w:rFonts w:hint="eastAsia" w:ascii="宋体" w:hAnsi="宋体" w:eastAsia="宋体" w:cs="宋体"/>
                <w:b w:val="0"/>
                <w:bCs w:val="0"/>
                <w:color w:val="auto"/>
                <w:spacing w:val="-2"/>
                <w:sz w:val="24"/>
                <w:szCs w:val="24"/>
                <w:highlight w:val="none"/>
                <w:lang w:val="en-US" w:eastAsia="zh-CN"/>
              </w:rPr>
              <w:t>中</w:t>
            </w:r>
            <w:r>
              <w:rPr>
                <w:rFonts w:hint="eastAsia" w:ascii="宋体" w:hAnsi="宋体" w:eastAsia="宋体" w:cs="宋体"/>
                <w:b w:val="0"/>
                <w:bCs w:val="0"/>
                <w:color w:val="auto"/>
                <w:spacing w:val="-2"/>
                <w:sz w:val="24"/>
                <w:szCs w:val="24"/>
                <w:highlight w:val="none"/>
              </w:rPr>
              <w:t>】得该细项分的</w:t>
            </w:r>
            <w:r>
              <w:rPr>
                <w:rFonts w:hint="eastAsia" w:ascii="宋体" w:hAnsi="宋体" w:eastAsia="宋体" w:cs="宋体"/>
                <w:b w:val="0"/>
                <w:bCs w:val="0"/>
                <w:color w:val="auto"/>
                <w:spacing w:val="-2"/>
                <w:sz w:val="24"/>
                <w:szCs w:val="24"/>
                <w:highlight w:val="none"/>
                <w:lang w:val="en-US" w:eastAsia="zh-CN"/>
              </w:rPr>
              <w:t>3.0-3.5</w:t>
            </w:r>
            <w:r>
              <w:rPr>
                <w:rFonts w:hint="eastAsia" w:ascii="宋体" w:hAnsi="宋体" w:eastAsia="宋体" w:cs="宋体"/>
                <w:b w:val="0"/>
                <w:bCs w:val="0"/>
                <w:color w:val="auto"/>
                <w:spacing w:val="-2"/>
                <w:sz w:val="24"/>
                <w:szCs w:val="24"/>
                <w:highlight w:val="none"/>
              </w:rPr>
              <w:t>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含3.0分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w:t>
            </w:r>
          </w:p>
          <w:p w14:paraId="21998131">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w:t>
            </w:r>
            <w:r>
              <w:rPr>
                <w:rFonts w:hint="eastAsia" w:ascii="宋体" w:hAnsi="宋体" w:eastAsia="宋体" w:cs="宋体"/>
                <w:b w:val="0"/>
                <w:bCs w:val="0"/>
                <w:color w:val="auto"/>
                <w:spacing w:val="-2"/>
                <w:sz w:val="24"/>
                <w:szCs w:val="24"/>
                <w:highlight w:val="none"/>
                <w:lang w:val="en-US" w:eastAsia="zh-CN"/>
              </w:rPr>
              <w:t>合格</w:t>
            </w:r>
            <w:r>
              <w:rPr>
                <w:rFonts w:hint="eastAsia" w:ascii="宋体" w:hAnsi="宋体" w:eastAsia="宋体" w:cs="宋体"/>
                <w:b w:val="0"/>
                <w:bCs w:val="0"/>
                <w:color w:val="auto"/>
                <w:spacing w:val="-2"/>
                <w:sz w:val="24"/>
                <w:szCs w:val="24"/>
                <w:highlight w:val="none"/>
              </w:rPr>
              <w:t>】得该细项分的</w:t>
            </w:r>
            <w:r>
              <w:rPr>
                <w:rFonts w:hint="eastAsia" w:ascii="宋体" w:hAnsi="宋体" w:eastAsia="宋体" w:cs="宋体"/>
                <w:b w:val="0"/>
                <w:bCs w:val="0"/>
                <w:color w:val="auto"/>
                <w:spacing w:val="-2"/>
                <w:sz w:val="24"/>
                <w:szCs w:val="24"/>
                <w:highlight w:val="none"/>
                <w:lang w:val="en-US" w:eastAsia="zh-CN"/>
              </w:rPr>
              <w:t>2.5-3.0</w:t>
            </w:r>
            <w:r>
              <w:rPr>
                <w:rFonts w:hint="eastAsia" w:ascii="宋体" w:hAnsi="宋体" w:eastAsia="宋体" w:cs="宋体"/>
                <w:b w:val="0"/>
                <w:bCs w:val="0"/>
                <w:color w:val="auto"/>
                <w:spacing w:val="-2"/>
                <w:sz w:val="24"/>
                <w:szCs w:val="24"/>
                <w:highlight w:val="none"/>
              </w:rPr>
              <w:t>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含2.5分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w:t>
            </w:r>
          </w:p>
          <w:p w14:paraId="4E015090">
            <w:pPr>
              <w:shd w:val="clear" w:color="auto" w:fill="auto"/>
              <w:spacing w:line="360" w:lineRule="auto"/>
              <w:jc w:val="left"/>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color w:val="auto"/>
                <w:spacing w:val="-2"/>
                <w:sz w:val="24"/>
                <w:szCs w:val="24"/>
                <w:highlight w:val="none"/>
                <w:lang w:val="en-US" w:eastAsia="zh-CN"/>
              </w:rPr>
              <w:t>不提供材料或无该项描述的</w:t>
            </w:r>
            <w:r>
              <w:rPr>
                <w:rFonts w:hint="eastAsia" w:ascii="宋体" w:hAnsi="宋体" w:eastAsia="宋体" w:cs="宋体"/>
                <w:b w:val="0"/>
                <w:bCs w:val="0"/>
                <w:color w:val="auto"/>
                <w:spacing w:val="-2"/>
                <w:sz w:val="24"/>
                <w:szCs w:val="24"/>
                <w:highlight w:val="none"/>
              </w:rPr>
              <w:t>得0分</w:t>
            </w:r>
            <w:r>
              <w:rPr>
                <w:rFonts w:hint="eastAsia" w:ascii="宋体" w:hAnsi="宋体" w:eastAsia="宋体" w:cs="宋体"/>
                <w:b w:val="0"/>
                <w:bCs w:val="0"/>
                <w:color w:val="auto"/>
                <w:spacing w:val="-2"/>
                <w:sz w:val="24"/>
                <w:szCs w:val="24"/>
                <w:highlight w:val="none"/>
                <w:lang w:eastAsia="zh-CN"/>
              </w:rPr>
              <w:t>。</w:t>
            </w:r>
          </w:p>
        </w:tc>
      </w:tr>
      <w:tr w14:paraId="20F2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jc w:val="center"/>
        </w:trPr>
        <w:tc>
          <w:tcPr>
            <w:tcW w:w="252" w:type="pct"/>
            <w:vMerge w:val="continue"/>
            <w:vAlign w:val="center"/>
          </w:tcPr>
          <w:p w14:paraId="49653657">
            <w:pPr>
              <w:widowControl/>
              <w:spacing w:line="360" w:lineRule="auto"/>
              <w:jc w:val="center"/>
              <w:rPr>
                <w:rFonts w:hint="eastAsia" w:ascii="宋体" w:hAnsi="宋体" w:eastAsia="宋体" w:cs="宋体"/>
                <w:color w:val="auto"/>
                <w:kern w:val="0"/>
                <w:sz w:val="24"/>
                <w:szCs w:val="24"/>
                <w:highlight w:val="none"/>
              </w:rPr>
            </w:pPr>
          </w:p>
        </w:tc>
        <w:tc>
          <w:tcPr>
            <w:tcW w:w="501" w:type="pct"/>
            <w:vMerge w:val="continue"/>
            <w:vAlign w:val="center"/>
          </w:tcPr>
          <w:p w14:paraId="7BBD41AB">
            <w:pPr>
              <w:widowControl/>
              <w:spacing w:line="360" w:lineRule="auto"/>
              <w:jc w:val="center"/>
              <w:rPr>
                <w:rFonts w:hint="eastAsia" w:ascii="宋体" w:hAnsi="宋体" w:eastAsia="宋体" w:cs="宋体"/>
                <w:color w:val="auto"/>
                <w:kern w:val="0"/>
                <w:sz w:val="24"/>
                <w:szCs w:val="24"/>
                <w:highlight w:val="none"/>
              </w:rPr>
            </w:pPr>
          </w:p>
        </w:tc>
        <w:tc>
          <w:tcPr>
            <w:tcW w:w="969" w:type="pct"/>
            <w:gridSpan w:val="2"/>
            <w:shd w:val="clear" w:color="auto" w:fill="auto"/>
            <w:vAlign w:val="center"/>
          </w:tcPr>
          <w:p w14:paraId="009C5153">
            <w:pPr>
              <w:shd w:val="clear" w:color="auto" w:fill="auto"/>
              <w:wordWrap w:val="0"/>
              <w:adjustRightInd w:val="0"/>
              <w:snapToGrid w:val="0"/>
              <w:spacing w:line="360" w:lineRule="auto"/>
              <w:jc w:val="center"/>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设计进度计划安排及保证措施</w:t>
            </w:r>
          </w:p>
          <w:p w14:paraId="171EFE4F">
            <w:pPr>
              <w:shd w:val="clear" w:color="auto" w:fill="auto"/>
              <w:wordWrap w:val="0"/>
              <w:adjustRightInd w:val="0"/>
              <w:snapToGrid w:val="0"/>
              <w:spacing w:line="360" w:lineRule="auto"/>
              <w:jc w:val="center"/>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color w:val="auto"/>
                <w:spacing w:val="-2"/>
                <w:sz w:val="24"/>
                <w:szCs w:val="24"/>
                <w:highlight w:val="none"/>
              </w:rPr>
              <w:t>（</w:t>
            </w:r>
            <w:r>
              <w:rPr>
                <w:rFonts w:hint="eastAsia" w:ascii="宋体" w:hAnsi="宋体" w:eastAsia="宋体" w:cs="宋体"/>
                <w:b w:val="0"/>
                <w:bCs w:val="0"/>
                <w:color w:val="auto"/>
                <w:spacing w:val="-2"/>
                <w:sz w:val="24"/>
                <w:szCs w:val="24"/>
                <w:highlight w:val="none"/>
                <w:lang w:val="en-US" w:eastAsia="zh-CN"/>
              </w:rPr>
              <w:t>4</w:t>
            </w:r>
            <w:r>
              <w:rPr>
                <w:rFonts w:hint="eastAsia" w:ascii="宋体" w:hAnsi="宋体" w:eastAsia="宋体" w:cs="宋体"/>
                <w:b w:val="0"/>
                <w:bCs w:val="0"/>
                <w:color w:val="auto"/>
                <w:spacing w:val="-2"/>
                <w:sz w:val="24"/>
                <w:szCs w:val="24"/>
                <w:highlight w:val="none"/>
              </w:rPr>
              <w:t>分）</w:t>
            </w:r>
          </w:p>
        </w:tc>
        <w:tc>
          <w:tcPr>
            <w:tcW w:w="3276" w:type="pct"/>
            <w:gridSpan w:val="2"/>
            <w:shd w:val="clear" w:color="auto" w:fill="auto"/>
            <w:vAlign w:val="center"/>
          </w:tcPr>
          <w:p w14:paraId="6DBA8937">
            <w:pPr>
              <w:shd w:val="clear" w:color="auto" w:fill="auto"/>
              <w:spacing w:line="360" w:lineRule="auto"/>
              <w:jc w:val="left"/>
              <w:rPr>
                <w:rFonts w:hint="eastAsia" w:ascii="宋体" w:hAnsi="宋体" w:eastAsia="宋体" w:cs="宋体"/>
                <w:b w:val="0"/>
                <w:bCs w:val="0"/>
                <w:color w:val="auto"/>
                <w:spacing w:val="-2"/>
                <w:sz w:val="24"/>
                <w:szCs w:val="24"/>
                <w:highlight w:val="none"/>
                <w:lang w:val="zh-CN"/>
              </w:rPr>
            </w:pPr>
            <w:r>
              <w:rPr>
                <w:rFonts w:hint="eastAsia" w:ascii="宋体" w:hAnsi="宋体" w:eastAsia="宋体" w:cs="宋体"/>
                <w:b w:val="0"/>
                <w:bCs w:val="0"/>
                <w:color w:val="auto"/>
                <w:spacing w:val="-2"/>
                <w:sz w:val="24"/>
                <w:szCs w:val="24"/>
                <w:highlight w:val="none"/>
              </w:rPr>
              <w:t>设计进度、</w:t>
            </w:r>
            <w:r>
              <w:rPr>
                <w:rFonts w:hint="eastAsia" w:ascii="宋体" w:hAnsi="宋体" w:eastAsia="宋体" w:cs="宋体"/>
                <w:b w:val="0"/>
                <w:bCs w:val="0"/>
                <w:color w:val="auto"/>
                <w:spacing w:val="-2"/>
                <w:sz w:val="24"/>
                <w:szCs w:val="24"/>
                <w:highlight w:val="none"/>
                <w:lang w:val="zh-CN"/>
              </w:rPr>
              <w:t>质量保证措施具体、针对性强。</w:t>
            </w:r>
            <w:r>
              <w:rPr>
                <w:rFonts w:hint="eastAsia" w:ascii="宋体" w:hAnsi="宋体" w:eastAsia="宋体" w:cs="宋体"/>
                <w:b w:val="0"/>
                <w:bCs w:val="0"/>
                <w:color w:val="auto"/>
                <w:spacing w:val="-2"/>
                <w:sz w:val="24"/>
                <w:szCs w:val="24"/>
                <w:highlight w:val="none"/>
              </w:rPr>
              <w:t>有此项描述得基本分</w:t>
            </w:r>
            <w:r>
              <w:rPr>
                <w:rFonts w:hint="eastAsia" w:ascii="宋体" w:hAnsi="宋体" w:eastAsia="宋体" w:cs="宋体"/>
                <w:b w:val="0"/>
                <w:bCs w:val="0"/>
                <w:color w:val="auto"/>
                <w:spacing w:val="-2"/>
                <w:sz w:val="24"/>
                <w:szCs w:val="24"/>
                <w:highlight w:val="none"/>
                <w:lang w:val="en-US" w:eastAsia="zh-CN"/>
              </w:rPr>
              <w:t>2.5</w:t>
            </w:r>
            <w:r>
              <w:rPr>
                <w:rFonts w:hint="eastAsia" w:ascii="宋体" w:hAnsi="宋体" w:eastAsia="宋体" w:cs="宋体"/>
                <w:b w:val="0"/>
                <w:bCs w:val="0"/>
                <w:color w:val="auto"/>
                <w:spacing w:val="-2"/>
                <w:sz w:val="24"/>
                <w:szCs w:val="24"/>
                <w:highlight w:val="none"/>
              </w:rPr>
              <w:t>分。</w:t>
            </w:r>
          </w:p>
          <w:p w14:paraId="18FEDD4C">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【优】得该细项分的</w:t>
            </w:r>
            <w:r>
              <w:rPr>
                <w:rFonts w:hint="eastAsia" w:ascii="宋体" w:hAnsi="宋体" w:eastAsia="宋体" w:cs="宋体"/>
                <w:b w:val="0"/>
                <w:bCs w:val="0"/>
                <w:color w:val="auto"/>
                <w:spacing w:val="-2"/>
                <w:sz w:val="24"/>
                <w:szCs w:val="24"/>
                <w:highlight w:val="none"/>
                <w:lang w:val="en-US" w:eastAsia="zh-CN"/>
              </w:rPr>
              <w:t>3.5-4.0</w:t>
            </w:r>
            <w:r>
              <w:rPr>
                <w:rFonts w:hint="eastAsia" w:ascii="宋体" w:hAnsi="宋体" w:eastAsia="宋体" w:cs="宋体"/>
                <w:b w:val="0"/>
                <w:bCs w:val="0"/>
                <w:color w:val="auto"/>
                <w:spacing w:val="-2"/>
                <w:sz w:val="24"/>
                <w:szCs w:val="24"/>
                <w:highlight w:val="none"/>
              </w:rPr>
              <w:t>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含3.5分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w:t>
            </w:r>
          </w:p>
          <w:p w14:paraId="72E2D52A">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w:t>
            </w:r>
            <w:r>
              <w:rPr>
                <w:rFonts w:hint="eastAsia" w:ascii="宋体" w:hAnsi="宋体" w:eastAsia="宋体" w:cs="宋体"/>
                <w:b w:val="0"/>
                <w:bCs w:val="0"/>
                <w:color w:val="auto"/>
                <w:spacing w:val="-2"/>
                <w:sz w:val="24"/>
                <w:szCs w:val="24"/>
                <w:highlight w:val="none"/>
                <w:lang w:val="en-US" w:eastAsia="zh-CN"/>
              </w:rPr>
              <w:t>中</w:t>
            </w:r>
            <w:r>
              <w:rPr>
                <w:rFonts w:hint="eastAsia" w:ascii="宋体" w:hAnsi="宋体" w:eastAsia="宋体" w:cs="宋体"/>
                <w:b w:val="0"/>
                <w:bCs w:val="0"/>
                <w:color w:val="auto"/>
                <w:spacing w:val="-2"/>
                <w:sz w:val="24"/>
                <w:szCs w:val="24"/>
                <w:highlight w:val="none"/>
              </w:rPr>
              <w:t>】得该细项分的</w:t>
            </w:r>
            <w:r>
              <w:rPr>
                <w:rFonts w:hint="eastAsia" w:ascii="宋体" w:hAnsi="宋体" w:eastAsia="宋体" w:cs="宋体"/>
                <w:b w:val="0"/>
                <w:bCs w:val="0"/>
                <w:color w:val="auto"/>
                <w:spacing w:val="-2"/>
                <w:sz w:val="24"/>
                <w:szCs w:val="24"/>
                <w:highlight w:val="none"/>
                <w:lang w:val="en-US" w:eastAsia="zh-CN"/>
              </w:rPr>
              <w:t>3.0-3.5</w:t>
            </w:r>
            <w:r>
              <w:rPr>
                <w:rFonts w:hint="eastAsia" w:ascii="宋体" w:hAnsi="宋体" w:eastAsia="宋体" w:cs="宋体"/>
                <w:b w:val="0"/>
                <w:bCs w:val="0"/>
                <w:color w:val="auto"/>
                <w:spacing w:val="-2"/>
                <w:sz w:val="24"/>
                <w:szCs w:val="24"/>
                <w:highlight w:val="none"/>
              </w:rPr>
              <w:t>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含3.0分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w:t>
            </w:r>
          </w:p>
          <w:p w14:paraId="77F8C938">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w:t>
            </w:r>
            <w:r>
              <w:rPr>
                <w:rFonts w:hint="eastAsia" w:ascii="宋体" w:hAnsi="宋体" w:eastAsia="宋体" w:cs="宋体"/>
                <w:b w:val="0"/>
                <w:bCs w:val="0"/>
                <w:color w:val="auto"/>
                <w:spacing w:val="-2"/>
                <w:sz w:val="24"/>
                <w:szCs w:val="24"/>
                <w:highlight w:val="none"/>
                <w:lang w:val="en-US" w:eastAsia="zh-CN"/>
              </w:rPr>
              <w:t>合格</w:t>
            </w:r>
            <w:r>
              <w:rPr>
                <w:rFonts w:hint="eastAsia" w:ascii="宋体" w:hAnsi="宋体" w:eastAsia="宋体" w:cs="宋体"/>
                <w:b w:val="0"/>
                <w:bCs w:val="0"/>
                <w:color w:val="auto"/>
                <w:spacing w:val="-2"/>
                <w:sz w:val="24"/>
                <w:szCs w:val="24"/>
                <w:highlight w:val="none"/>
              </w:rPr>
              <w:t>】得该细项分的</w:t>
            </w:r>
            <w:r>
              <w:rPr>
                <w:rFonts w:hint="eastAsia" w:ascii="宋体" w:hAnsi="宋体" w:eastAsia="宋体" w:cs="宋体"/>
                <w:b w:val="0"/>
                <w:bCs w:val="0"/>
                <w:color w:val="auto"/>
                <w:spacing w:val="-2"/>
                <w:sz w:val="24"/>
                <w:szCs w:val="24"/>
                <w:highlight w:val="none"/>
                <w:lang w:val="en-US" w:eastAsia="zh-CN"/>
              </w:rPr>
              <w:t>2.5-3.0</w:t>
            </w:r>
            <w:r>
              <w:rPr>
                <w:rFonts w:hint="eastAsia" w:ascii="宋体" w:hAnsi="宋体" w:eastAsia="宋体" w:cs="宋体"/>
                <w:b w:val="0"/>
                <w:bCs w:val="0"/>
                <w:color w:val="auto"/>
                <w:spacing w:val="-2"/>
                <w:sz w:val="24"/>
                <w:szCs w:val="24"/>
                <w:highlight w:val="none"/>
              </w:rPr>
              <w:t>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含2.5分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w:t>
            </w:r>
          </w:p>
          <w:p w14:paraId="0150F878">
            <w:pPr>
              <w:shd w:val="clear" w:color="auto" w:fill="auto"/>
              <w:spacing w:line="360" w:lineRule="auto"/>
              <w:jc w:val="left"/>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color w:val="auto"/>
                <w:spacing w:val="-2"/>
                <w:sz w:val="24"/>
                <w:szCs w:val="24"/>
                <w:highlight w:val="none"/>
                <w:lang w:val="en-US" w:eastAsia="zh-CN"/>
              </w:rPr>
              <w:t>不提供材料或无该项描述的</w:t>
            </w:r>
            <w:r>
              <w:rPr>
                <w:rFonts w:hint="eastAsia" w:ascii="宋体" w:hAnsi="宋体" w:eastAsia="宋体" w:cs="宋体"/>
                <w:b w:val="0"/>
                <w:bCs w:val="0"/>
                <w:color w:val="auto"/>
                <w:spacing w:val="-2"/>
                <w:sz w:val="24"/>
                <w:szCs w:val="24"/>
                <w:highlight w:val="none"/>
              </w:rPr>
              <w:t>得0分</w:t>
            </w:r>
            <w:r>
              <w:rPr>
                <w:rFonts w:hint="eastAsia" w:ascii="宋体" w:hAnsi="宋体" w:eastAsia="宋体" w:cs="宋体"/>
                <w:b w:val="0"/>
                <w:bCs w:val="0"/>
                <w:color w:val="auto"/>
                <w:spacing w:val="-2"/>
                <w:sz w:val="24"/>
                <w:szCs w:val="24"/>
                <w:highlight w:val="none"/>
                <w:lang w:eastAsia="zh-CN"/>
              </w:rPr>
              <w:t>。</w:t>
            </w:r>
          </w:p>
        </w:tc>
      </w:tr>
      <w:tr w14:paraId="3633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jc w:val="center"/>
        </w:trPr>
        <w:tc>
          <w:tcPr>
            <w:tcW w:w="252" w:type="pct"/>
            <w:vMerge w:val="continue"/>
            <w:vAlign w:val="center"/>
          </w:tcPr>
          <w:p w14:paraId="52F4F1FF">
            <w:pPr>
              <w:widowControl/>
              <w:spacing w:line="360" w:lineRule="auto"/>
              <w:jc w:val="center"/>
              <w:rPr>
                <w:rFonts w:hint="eastAsia" w:ascii="宋体" w:hAnsi="宋体" w:eastAsia="宋体" w:cs="宋体"/>
                <w:color w:val="auto"/>
                <w:kern w:val="0"/>
                <w:sz w:val="24"/>
                <w:szCs w:val="24"/>
                <w:highlight w:val="none"/>
              </w:rPr>
            </w:pPr>
          </w:p>
        </w:tc>
        <w:tc>
          <w:tcPr>
            <w:tcW w:w="501" w:type="pct"/>
            <w:vMerge w:val="continue"/>
            <w:vAlign w:val="center"/>
          </w:tcPr>
          <w:p w14:paraId="5911112E">
            <w:pPr>
              <w:widowControl/>
              <w:spacing w:line="360" w:lineRule="auto"/>
              <w:jc w:val="center"/>
              <w:rPr>
                <w:rFonts w:hint="eastAsia" w:ascii="宋体" w:hAnsi="宋体" w:eastAsia="宋体" w:cs="宋体"/>
                <w:color w:val="auto"/>
                <w:kern w:val="0"/>
                <w:sz w:val="24"/>
                <w:szCs w:val="24"/>
                <w:highlight w:val="none"/>
              </w:rPr>
            </w:pPr>
          </w:p>
        </w:tc>
        <w:tc>
          <w:tcPr>
            <w:tcW w:w="969" w:type="pct"/>
            <w:gridSpan w:val="2"/>
            <w:shd w:val="clear" w:color="auto" w:fill="auto"/>
            <w:vAlign w:val="center"/>
          </w:tcPr>
          <w:p w14:paraId="669739C5">
            <w:pPr>
              <w:shd w:val="clear" w:color="auto" w:fill="auto"/>
              <w:spacing w:line="360" w:lineRule="auto"/>
              <w:jc w:val="center"/>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后续服务内容及承诺</w:t>
            </w:r>
          </w:p>
          <w:p w14:paraId="3794FFB4">
            <w:pPr>
              <w:shd w:val="clear" w:color="auto" w:fill="auto"/>
              <w:spacing w:line="360" w:lineRule="auto"/>
              <w:jc w:val="center"/>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color w:val="auto"/>
                <w:spacing w:val="-2"/>
                <w:sz w:val="24"/>
                <w:szCs w:val="24"/>
                <w:highlight w:val="none"/>
              </w:rPr>
              <w:t>（</w:t>
            </w:r>
            <w:r>
              <w:rPr>
                <w:rFonts w:hint="eastAsia" w:ascii="宋体" w:hAnsi="宋体" w:eastAsia="宋体" w:cs="宋体"/>
                <w:b w:val="0"/>
                <w:bCs w:val="0"/>
                <w:color w:val="auto"/>
                <w:spacing w:val="-2"/>
                <w:sz w:val="24"/>
                <w:szCs w:val="24"/>
                <w:highlight w:val="none"/>
                <w:lang w:val="en-US" w:eastAsia="zh-CN"/>
              </w:rPr>
              <w:t>4</w:t>
            </w:r>
            <w:r>
              <w:rPr>
                <w:rFonts w:hint="eastAsia" w:ascii="宋体" w:hAnsi="宋体" w:eastAsia="宋体" w:cs="宋体"/>
                <w:b w:val="0"/>
                <w:bCs w:val="0"/>
                <w:color w:val="auto"/>
                <w:spacing w:val="-2"/>
                <w:sz w:val="24"/>
                <w:szCs w:val="24"/>
                <w:highlight w:val="none"/>
              </w:rPr>
              <w:t>分）</w:t>
            </w:r>
          </w:p>
        </w:tc>
        <w:tc>
          <w:tcPr>
            <w:tcW w:w="3276" w:type="pct"/>
            <w:gridSpan w:val="2"/>
            <w:shd w:val="clear" w:color="auto" w:fill="auto"/>
            <w:vAlign w:val="center"/>
          </w:tcPr>
          <w:p w14:paraId="1C8CC940">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后续服务安排措施合理、全面、切实可行并提供合理、可靠的承诺。有此项描述得基本分</w:t>
            </w:r>
            <w:r>
              <w:rPr>
                <w:rFonts w:hint="eastAsia" w:ascii="宋体" w:hAnsi="宋体" w:eastAsia="宋体" w:cs="宋体"/>
                <w:b w:val="0"/>
                <w:bCs w:val="0"/>
                <w:color w:val="auto"/>
                <w:spacing w:val="-2"/>
                <w:sz w:val="24"/>
                <w:szCs w:val="24"/>
                <w:highlight w:val="none"/>
                <w:lang w:val="en-US" w:eastAsia="zh-CN"/>
              </w:rPr>
              <w:t>2.5</w:t>
            </w:r>
            <w:r>
              <w:rPr>
                <w:rFonts w:hint="eastAsia" w:ascii="宋体" w:hAnsi="宋体" w:eastAsia="宋体" w:cs="宋体"/>
                <w:b w:val="0"/>
                <w:bCs w:val="0"/>
                <w:color w:val="auto"/>
                <w:spacing w:val="-2"/>
                <w:sz w:val="24"/>
                <w:szCs w:val="24"/>
                <w:highlight w:val="none"/>
              </w:rPr>
              <w:t>分。</w:t>
            </w:r>
          </w:p>
          <w:p w14:paraId="78FB18AA">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【优】得该细项分的</w:t>
            </w:r>
            <w:r>
              <w:rPr>
                <w:rFonts w:hint="eastAsia" w:ascii="宋体" w:hAnsi="宋体" w:eastAsia="宋体" w:cs="宋体"/>
                <w:b w:val="0"/>
                <w:bCs w:val="0"/>
                <w:color w:val="auto"/>
                <w:spacing w:val="-2"/>
                <w:sz w:val="24"/>
                <w:szCs w:val="24"/>
                <w:highlight w:val="none"/>
                <w:lang w:val="en-US" w:eastAsia="zh-CN"/>
              </w:rPr>
              <w:t>3.5-4.0</w:t>
            </w:r>
            <w:r>
              <w:rPr>
                <w:rFonts w:hint="eastAsia" w:ascii="宋体" w:hAnsi="宋体" w:eastAsia="宋体" w:cs="宋体"/>
                <w:b w:val="0"/>
                <w:bCs w:val="0"/>
                <w:color w:val="auto"/>
                <w:spacing w:val="-2"/>
                <w:sz w:val="24"/>
                <w:szCs w:val="24"/>
                <w:highlight w:val="none"/>
              </w:rPr>
              <w:t>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含3.5分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w:t>
            </w:r>
          </w:p>
          <w:p w14:paraId="3922BC80">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w:t>
            </w:r>
            <w:r>
              <w:rPr>
                <w:rFonts w:hint="eastAsia" w:ascii="宋体" w:hAnsi="宋体" w:eastAsia="宋体" w:cs="宋体"/>
                <w:b w:val="0"/>
                <w:bCs w:val="0"/>
                <w:color w:val="auto"/>
                <w:spacing w:val="-2"/>
                <w:sz w:val="24"/>
                <w:szCs w:val="24"/>
                <w:highlight w:val="none"/>
                <w:lang w:val="en-US" w:eastAsia="zh-CN"/>
              </w:rPr>
              <w:t>中</w:t>
            </w:r>
            <w:r>
              <w:rPr>
                <w:rFonts w:hint="eastAsia" w:ascii="宋体" w:hAnsi="宋体" w:eastAsia="宋体" w:cs="宋体"/>
                <w:b w:val="0"/>
                <w:bCs w:val="0"/>
                <w:color w:val="auto"/>
                <w:spacing w:val="-2"/>
                <w:sz w:val="24"/>
                <w:szCs w:val="24"/>
                <w:highlight w:val="none"/>
              </w:rPr>
              <w:t>】得该细项分的</w:t>
            </w:r>
            <w:r>
              <w:rPr>
                <w:rFonts w:hint="eastAsia" w:ascii="宋体" w:hAnsi="宋体" w:eastAsia="宋体" w:cs="宋体"/>
                <w:b w:val="0"/>
                <w:bCs w:val="0"/>
                <w:color w:val="auto"/>
                <w:spacing w:val="-2"/>
                <w:sz w:val="24"/>
                <w:szCs w:val="24"/>
                <w:highlight w:val="none"/>
                <w:lang w:val="en-US" w:eastAsia="zh-CN"/>
              </w:rPr>
              <w:t>3.0-3.5</w:t>
            </w:r>
            <w:r>
              <w:rPr>
                <w:rFonts w:hint="eastAsia" w:ascii="宋体" w:hAnsi="宋体" w:eastAsia="宋体" w:cs="宋体"/>
                <w:b w:val="0"/>
                <w:bCs w:val="0"/>
                <w:color w:val="auto"/>
                <w:spacing w:val="-2"/>
                <w:sz w:val="24"/>
                <w:szCs w:val="24"/>
                <w:highlight w:val="none"/>
              </w:rPr>
              <w:t>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含3.0分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w:t>
            </w:r>
          </w:p>
          <w:p w14:paraId="39EB0F30">
            <w:pPr>
              <w:shd w:val="clear" w:color="auto" w:fill="auto"/>
              <w:spacing w:line="360" w:lineRule="auto"/>
              <w:jc w:val="left"/>
              <w:rPr>
                <w:rFonts w:hint="eastAsia" w:ascii="宋体" w:hAnsi="宋体" w:eastAsia="宋体" w:cs="宋体"/>
                <w:b w:val="0"/>
                <w:bCs w:val="0"/>
                <w:color w:val="auto"/>
                <w:spacing w:val="-2"/>
                <w:sz w:val="24"/>
                <w:szCs w:val="24"/>
                <w:highlight w:val="none"/>
              </w:rPr>
            </w:pPr>
            <w:r>
              <w:rPr>
                <w:rFonts w:hint="eastAsia" w:ascii="宋体" w:hAnsi="宋体" w:eastAsia="宋体" w:cs="宋体"/>
                <w:b w:val="0"/>
                <w:bCs w:val="0"/>
                <w:color w:val="auto"/>
                <w:spacing w:val="-2"/>
                <w:sz w:val="24"/>
                <w:szCs w:val="24"/>
                <w:highlight w:val="none"/>
              </w:rPr>
              <w:t>【</w:t>
            </w:r>
            <w:r>
              <w:rPr>
                <w:rFonts w:hint="eastAsia" w:ascii="宋体" w:hAnsi="宋体" w:eastAsia="宋体" w:cs="宋体"/>
                <w:b w:val="0"/>
                <w:bCs w:val="0"/>
                <w:color w:val="auto"/>
                <w:spacing w:val="-2"/>
                <w:sz w:val="24"/>
                <w:szCs w:val="24"/>
                <w:highlight w:val="none"/>
                <w:lang w:val="en-US" w:eastAsia="zh-CN"/>
              </w:rPr>
              <w:t>合格</w:t>
            </w:r>
            <w:r>
              <w:rPr>
                <w:rFonts w:hint="eastAsia" w:ascii="宋体" w:hAnsi="宋体" w:eastAsia="宋体" w:cs="宋体"/>
                <w:b w:val="0"/>
                <w:bCs w:val="0"/>
                <w:color w:val="auto"/>
                <w:spacing w:val="-2"/>
                <w:sz w:val="24"/>
                <w:szCs w:val="24"/>
                <w:highlight w:val="none"/>
              </w:rPr>
              <w:t>】得该细项分的</w:t>
            </w:r>
            <w:r>
              <w:rPr>
                <w:rFonts w:hint="eastAsia" w:ascii="宋体" w:hAnsi="宋体" w:eastAsia="宋体" w:cs="宋体"/>
                <w:b w:val="0"/>
                <w:bCs w:val="0"/>
                <w:color w:val="auto"/>
                <w:spacing w:val="-2"/>
                <w:sz w:val="24"/>
                <w:szCs w:val="24"/>
                <w:highlight w:val="none"/>
                <w:lang w:val="en-US" w:eastAsia="zh-CN"/>
              </w:rPr>
              <w:t>2.5-3.0</w:t>
            </w:r>
            <w:r>
              <w:rPr>
                <w:rFonts w:hint="eastAsia" w:ascii="宋体" w:hAnsi="宋体" w:eastAsia="宋体" w:cs="宋体"/>
                <w:b w:val="0"/>
                <w:bCs w:val="0"/>
                <w:color w:val="auto"/>
                <w:spacing w:val="-2"/>
                <w:sz w:val="24"/>
                <w:szCs w:val="24"/>
                <w:highlight w:val="none"/>
              </w:rPr>
              <w:t>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lang w:val="en-US" w:eastAsia="zh-CN"/>
              </w:rPr>
              <w:t>含2.5分</w:t>
            </w:r>
            <w:r>
              <w:rPr>
                <w:rFonts w:hint="eastAsia" w:ascii="宋体" w:hAnsi="宋体" w:eastAsia="宋体" w:cs="宋体"/>
                <w:b w:val="0"/>
                <w:bCs w:val="0"/>
                <w:color w:val="auto"/>
                <w:spacing w:val="-2"/>
                <w:sz w:val="24"/>
                <w:szCs w:val="24"/>
                <w:highlight w:val="none"/>
                <w:lang w:eastAsia="zh-CN"/>
              </w:rPr>
              <w:t>）</w:t>
            </w:r>
            <w:r>
              <w:rPr>
                <w:rFonts w:hint="eastAsia" w:ascii="宋体" w:hAnsi="宋体" w:eastAsia="宋体" w:cs="宋体"/>
                <w:b w:val="0"/>
                <w:bCs w:val="0"/>
                <w:color w:val="auto"/>
                <w:spacing w:val="-2"/>
                <w:sz w:val="24"/>
                <w:szCs w:val="24"/>
                <w:highlight w:val="none"/>
              </w:rPr>
              <w:t>；</w:t>
            </w:r>
          </w:p>
          <w:p w14:paraId="0235BF2F">
            <w:pPr>
              <w:shd w:val="clear" w:color="auto" w:fill="auto"/>
              <w:spacing w:line="360" w:lineRule="auto"/>
              <w:jc w:val="left"/>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color w:val="auto"/>
                <w:spacing w:val="-2"/>
                <w:sz w:val="24"/>
                <w:szCs w:val="24"/>
                <w:highlight w:val="none"/>
                <w:lang w:val="en-US" w:eastAsia="zh-CN"/>
              </w:rPr>
              <w:t>不提供材料或无该项描述的</w:t>
            </w:r>
            <w:r>
              <w:rPr>
                <w:rFonts w:hint="eastAsia" w:ascii="宋体" w:hAnsi="宋体" w:eastAsia="宋体" w:cs="宋体"/>
                <w:b w:val="0"/>
                <w:bCs w:val="0"/>
                <w:color w:val="auto"/>
                <w:spacing w:val="-2"/>
                <w:sz w:val="24"/>
                <w:szCs w:val="24"/>
                <w:highlight w:val="none"/>
              </w:rPr>
              <w:t>得0分</w:t>
            </w:r>
            <w:r>
              <w:rPr>
                <w:rFonts w:hint="eastAsia" w:ascii="宋体" w:hAnsi="宋体" w:eastAsia="宋体" w:cs="宋体"/>
                <w:b w:val="0"/>
                <w:bCs w:val="0"/>
                <w:color w:val="auto"/>
                <w:spacing w:val="-2"/>
                <w:sz w:val="24"/>
                <w:szCs w:val="24"/>
                <w:highlight w:val="none"/>
                <w:lang w:eastAsia="zh-CN"/>
              </w:rPr>
              <w:t>。</w:t>
            </w:r>
          </w:p>
        </w:tc>
      </w:tr>
      <w:tr w14:paraId="5BD8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252" w:type="pct"/>
            <w:vMerge w:val="restart"/>
            <w:vAlign w:val="center"/>
          </w:tcPr>
          <w:p w14:paraId="30976050">
            <w:pPr>
              <w:widowControl/>
              <w:spacing w:line="360" w:lineRule="auto"/>
              <w:jc w:val="center"/>
              <w:rPr>
                <w:rFonts w:hint="eastAsia" w:ascii="宋体" w:hAnsi="宋体" w:eastAsia="宋体" w:cs="宋体"/>
                <w:color w:val="auto"/>
                <w:kern w:val="0"/>
                <w:sz w:val="24"/>
                <w:szCs w:val="24"/>
                <w:highlight w:val="none"/>
                <w:lang w:eastAsia="zh-CN"/>
              </w:rPr>
            </w:pPr>
            <w:r>
              <w:rPr>
                <w:rFonts w:hint="eastAsia" w:hAnsi="宋体" w:eastAsia="宋体" w:cs="宋体"/>
                <w:color w:val="auto"/>
                <w:kern w:val="0"/>
                <w:sz w:val="24"/>
                <w:szCs w:val="24"/>
                <w:highlight w:val="none"/>
                <w:lang w:val="en-US" w:eastAsia="zh-CN"/>
              </w:rPr>
              <w:t>3</w:t>
            </w:r>
          </w:p>
        </w:tc>
        <w:tc>
          <w:tcPr>
            <w:tcW w:w="501" w:type="pct"/>
            <w:vMerge w:val="restart"/>
            <w:vAlign w:val="center"/>
          </w:tcPr>
          <w:p w14:paraId="2E81F63E">
            <w:pPr>
              <w:pStyle w:val="17"/>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经济部分得分</w:t>
            </w:r>
            <w:r>
              <w:rPr>
                <w:rFonts w:hint="eastAsia" w:ascii="宋体" w:hAnsi="宋体" w:eastAsia="宋体" w:cs="宋体"/>
                <w:b/>
                <w:color w:val="auto"/>
                <w:sz w:val="24"/>
                <w:szCs w:val="24"/>
                <w:highlight w:val="none"/>
              </w:rPr>
              <w:t>（</w:t>
            </w:r>
            <w:r>
              <w:rPr>
                <w:rFonts w:hint="eastAsia"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0分）</w:t>
            </w:r>
          </w:p>
        </w:tc>
        <w:tc>
          <w:tcPr>
            <w:tcW w:w="575" w:type="pct"/>
            <w:vAlign w:val="center"/>
          </w:tcPr>
          <w:p w14:paraId="4EA73DF2">
            <w:pPr>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评标基准价D</w:t>
            </w:r>
          </w:p>
        </w:tc>
        <w:tc>
          <w:tcPr>
            <w:tcW w:w="3670" w:type="pct"/>
            <w:gridSpan w:val="3"/>
            <w:vAlign w:val="center"/>
          </w:tcPr>
          <w:p w14:paraId="6193777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（1）确定</w:t>
            </w:r>
            <w:r>
              <w:rPr>
                <w:rFonts w:hint="eastAsia" w:ascii="宋体" w:hAnsi="宋体" w:eastAsia="宋体" w:cs="宋体"/>
                <w:color w:val="auto"/>
                <w:sz w:val="24"/>
                <w:szCs w:val="24"/>
                <w:highlight w:val="none"/>
                <w:lang w:eastAsia="zh-CN"/>
              </w:rPr>
              <w:t>最高投标限价</w:t>
            </w:r>
            <w:r>
              <w:rPr>
                <w:rFonts w:hint="eastAsia" w:ascii="宋体" w:hAnsi="宋体" w:eastAsia="宋体" w:cs="宋体"/>
                <w:color w:val="auto"/>
                <w:sz w:val="24"/>
                <w:szCs w:val="24"/>
                <w:highlight w:val="none"/>
              </w:rPr>
              <w:t>下浮系数n：用1～21号球分别代表一个下浮系数，由评委代表从这21个号码中随机抽取3次，每次抽取1个号码，抽出的号球不参与下次抽取。所抽取的3个号码对应下浮系数的算术平均值作为</w:t>
            </w:r>
            <w:r>
              <w:rPr>
                <w:rFonts w:hint="eastAsia" w:ascii="宋体" w:hAnsi="宋体" w:eastAsia="宋体" w:cs="宋体"/>
                <w:color w:val="auto"/>
                <w:sz w:val="24"/>
                <w:szCs w:val="24"/>
                <w:highlight w:val="none"/>
                <w:lang w:eastAsia="zh-CN"/>
              </w:rPr>
              <w:t>最高投标限价</w:t>
            </w:r>
            <w:r>
              <w:rPr>
                <w:rFonts w:hint="eastAsia" w:ascii="宋体" w:hAnsi="宋体" w:eastAsia="宋体" w:cs="宋体"/>
                <w:color w:val="auto"/>
                <w:sz w:val="24"/>
                <w:szCs w:val="24"/>
                <w:highlight w:val="none"/>
              </w:rPr>
              <w:t>下浮系数n。具体号码对应的下浮系数可参考下表。</w:t>
            </w:r>
          </w:p>
          <w:tbl>
            <w:tblPr>
              <w:tblStyle w:val="31"/>
              <w:tblW w:w="0" w:type="auto"/>
              <w:jc w:val="center"/>
              <w:shd w:val="clear" w:color="auto" w:fill="FFFFFF"/>
              <w:tblLayout w:type="autofit"/>
              <w:tblCellMar>
                <w:top w:w="0" w:type="dxa"/>
                <w:left w:w="108" w:type="dxa"/>
                <w:bottom w:w="0" w:type="dxa"/>
                <w:right w:w="108" w:type="dxa"/>
              </w:tblCellMar>
            </w:tblPr>
            <w:tblGrid>
              <w:gridCol w:w="1188"/>
              <w:gridCol w:w="666"/>
              <w:gridCol w:w="706"/>
              <w:gridCol w:w="712"/>
              <w:gridCol w:w="859"/>
              <w:gridCol w:w="824"/>
              <w:gridCol w:w="789"/>
              <w:gridCol w:w="688"/>
            </w:tblGrid>
            <w:tr w14:paraId="256C8280">
              <w:tblPrEx>
                <w:tblCellMar>
                  <w:top w:w="0" w:type="dxa"/>
                  <w:left w:w="108" w:type="dxa"/>
                  <w:bottom w:w="0" w:type="dxa"/>
                  <w:right w:w="108" w:type="dxa"/>
                </w:tblCellMar>
              </w:tblPrEx>
              <w:trPr>
                <w:trHeight w:val="396" w:hRule="atLeast"/>
                <w:jc w:val="center"/>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C3A18">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号球</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C0A7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02095">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EBE58">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70AF4">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9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F27A3">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9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9344B">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16B1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r>
            <w:tr w14:paraId="6CA3772D">
              <w:tblPrEx>
                <w:tblCellMar>
                  <w:top w:w="0" w:type="dxa"/>
                  <w:left w:w="108" w:type="dxa"/>
                  <w:bottom w:w="0" w:type="dxa"/>
                  <w:right w:w="108" w:type="dxa"/>
                </w:tblCellMar>
              </w:tblPrEx>
              <w:trPr>
                <w:trHeight w:val="408" w:hRule="atLeast"/>
                <w:jc w:val="center"/>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35C7A">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下浮系数（%）</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C5CD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C059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22DE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53A2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9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88004">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9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0CC33">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B7D6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r>
            <w:tr w14:paraId="0D666095">
              <w:tblPrEx>
                <w:tblCellMar>
                  <w:top w:w="0" w:type="dxa"/>
                  <w:left w:w="108" w:type="dxa"/>
                  <w:bottom w:w="0" w:type="dxa"/>
                  <w:right w:w="108" w:type="dxa"/>
                </w:tblCellMar>
              </w:tblPrEx>
              <w:trPr>
                <w:trHeight w:val="413" w:hRule="atLeast"/>
                <w:jc w:val="center"/>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2F7E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号球</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38B4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80068">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F263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D095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9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C720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9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D005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E81A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r>
            <w:tr w14:paraId="601CC5B9">
              <w:tblPrEx>
                <w:tblCellMar>
                  <w:top w:w="0" w:type="dxa"/>
                  <w:left w:w="108" w:type="dxa"/>
                  <w:bottom w:w="0" w:type="dxa"/>
                  <w:right w:w="108" w:type="dxa"/>
                </w:tblCellMar>
              </w:tblPrEx>
              <w:trPr>
                <w:trHeight w:val="408" w:hRule="atLeast"/>
                <w:jc w:val="center"/>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F402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下浮系数（%）</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EA68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9B8A4">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CD57B">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23EF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9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5F8DA">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9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A594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92893">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p>
              </w:tc>
            </w:tr>
            <w:tr w14:paraId="5F268119">
              <w:tblPrEx>
                <w:tblCellMar>
                  <w:top w:w="0" w:type="dxa"/>
                  <w:left w:w="108" w:type="dxa"/>
                  <w:bottom w:w="0" w:type="dxa"/>
                  <w:right w:w="108" w:type="dxa"/>
                </w:tblCellMar>
              </w:tblPrEx>
              <w:trPr>
                <w:trHeight w:val="396" w:hRule="atLeast"/>
                <w:jc w:val="center"/>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D7E93">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号球</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BBEF8">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6729D">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F760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62F3F">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9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77A3D">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9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C4BD7">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2E71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r>
            <w:tr w14:paraId="62A042AD">
              <w:tblPrEx>
                <w:tblCellMar>
                  <w:top w:w="0" w:type="dxa"/>
                  <w:left w:w="108" w:type="dxa"/>
                  <w:bottom w:w="0" w:type="dxa"/>
                  <w:right w:w="108" w:type="dxa"/>
                </w:tblCellMar>
              </w:tblPrEx>
              <w:trPr>
                <w:trHeight w:val="417" w:hRule="atLeast"/>
                <w:jc w:val="center"/>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58E87">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下浮系数（%）</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3B81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w:t>
                  </w: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989E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w:t>
                  </w: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AB21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DDF8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w:t>
                  </w:r>
                </w:p>
              </w:tc>
              <w:tc>
                <w:tcPr>
                  <w:tcW w:w="9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E42C7">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w:t>
                  </w:r>
                </w:p>
              </w:tc>
              <w:tc>
                <w:tcPr>
                  <w:tcW w:w="9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2B467">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w:t>
                  </w: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9DA1B">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r>
          </w:tbl>
          <w:p w14:paraId="29CF67AB">
            <w:pPr>
              <w:spacing w:line="360" w:lineRule="auto"/>
              <w:rPr>
                <w:rFonts w:hint="eastAsia" w:ascii="宋体" w:hAnsi="宋体" w:eastAsia="宋体" w:cs="宋体"/>
                <w:color w:val="auto"/>
                <w:kern w:val="0"/>
                <w:sz w:val="24"/>
                <w:szCs w:val="24"/>
                <w:highlight w:val="none"/>
                <w:lang w:bidi="ar"/>
              </w:rPr>
            </w:pPr>
            <w:r>
              <w:rPr>
                <w:rFonts w:hint="eastAsia" w:ascii="宋体" w:hAnsi="宋体" w:eastAsia="宋体" w:cs="宋体"/>
                <w:color w:val="auto"/>
                <w:sz w:val="24"/>
                <w:szCs w:val="24"/>
                <w:highlight w:val="none"/>
              </w:rPr>
              <w:t>（2）评标基准价D＝</w:t>
            </w:r>
            <w:r>
              <w:rPr>
                <w:rFonts w:hint="eastAsia" w:ascii="宋体" w:hAnsi="宋体" w:eastAsia="宋体" w:cs="宋体"/>
                <w:color w:val="auto"/>
                <w:sz w:val="24"/>
                <w:szCs w:val="24"/>
                <w:highlight w:val="none"/>
                <w:lang w:eastAsia="zh-CN"/>
              </w:rPr>
              <w:t>最高投标限价</w:t>
            </w:r>
            <w:r>
              <w:rPr>
                <w:rFonts w:hint="eastAsia" w:ascii="宋体" w:hAnsi="宋体" w:eastAsia="宋体" w:cs="宋体"/>
                <w:color w:val="auto"/>
                <w:sz w:val="24"/>
                <w:szCs w:val="24"/>
                <w:highlight w:val="none"/>
              </w:rPr>
              <w:t>×（1－n）</w:t>
            </w:r>
          </w:p>
        </w:tc>
      </w:tr>
      <w:tr w14:paraId="0C472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52" w:type="pct"/>
            <w:vMerge w:val="continue"/>
            <w:vAlign w:val="center"/>
          </w:tcPr>
          <w:p w14:paraId="6EC809C5">
            <w:pPr>
              <w:widowControl/>
              <w:spacing w:line="360" w:lineRule="auto"/>
              <w:jc w:val="center"/>
              <w:rPr>
                <w:rFonts w:hint="eastAsia" w:ascii="宋体" w:hAnsi="宋体" w:eastAsia="宋体" w:cs="宋体"/>
                <w:color w:val="auto"/>
                <w:kern w:val="0"/>
                <w:sz w:val="24"/>
                <w:szCs w:val="24"/>
                <w:highlight w:val="none"/>
              </w:rPr>
            </w:pPr>
          </w:p>
        </w:tc>
        <w:tc>
          <w:tcPr>
            <w:tcW w:w="501" w:type="pct"/>
            <w:vMerge w:val="continue"/>
            <w:vAlign w:val="center"/>
          </w:tcPr>
          <w:p w14:paraId="1DCEECFD">
            <w:pPr>
              <w:widowControl/>
              <w:spacing w:line="360" w:lineRule="auto"/>
              <w:jc w:val="center"/>
              <w:rPr>
                <w:rFonts w:hint="eastAsia" w:ascii="宋体" w:hAnsi="宋体" w:eastAsia="宋体" w:cs="宋体"/>
                <w:color w:val="auto"/>
                <w:kern w:val="0"/>
                <w:sz w:val="24"/>
                <w:szCs w:val="24"/>
                <w:highlight w:val="none"/>
              </w:rPr>
            </w:pPr>
          </w:p>
        </w:tc>
        <w:tc>
          <w:tcPr>
            <w:tcW w:w="575" w:type="pct"/>
            <w:vAlign w:val="center"/>
          </w:tcPr>
          <w:p w14:paraId="7F1A12B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w:t>
            </w:r>
          </w:p>
          <w:p w14:paraId="0BC7A5C8">
            <w:pPr>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得分N</w:t>
            </w:r>
          </w:p>
        </w:tc>
        <w:tc>
          <w:tcPr>
            <w:tcW w:w="3670" w:type="pct"/>
            <w:gridSpan w:val="3"/>
            <w:vAlign w:val="center"/>
          </w:tcPr>
          <w:p w14:paraId="4C480460">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采用内插法计算某投标人的投标报价得分N，即当投标人的投标总价等于评标基准价时得</w:t>
            </w:r>
            <w:r>
              <w:rPr>
                <w:rFonts w:hint="eastAsia"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分，每高于评标基准价一个百分点扣0.5分, 每低于评标基准价一个百分点扣0.3分，扣完为止。公式如下：</w:t>
            </w:r>
          </w:p>
          <w:p w14:paraId="1F7FC09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N＝</w:t>
            </w:r>
            <w:r>
              <w:rPr>
                <w:rFonts w:hint="eastAsia"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 Di－D | ÷D）×100×E</w:t>
            </w:r>
          </w:p>
          <w:p w14:paraId="5C0A3A2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式中：D为评标基准价；Di为某投标人的投标总价；E为扣分因子，当Di＞D时，E＝0.5；当Di＜D时，E＝0.3。</w:t>
            </w:r>
          </w:p>
        </w:tc>
      </w:tr>
      <w:tr w14:paraId="68D2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329" w:type="pct"/>
            <w:gridSpan w:val="3"/>
            <w:vAlign w:val="center"/>
          </w:tcPr>
          <w:p w14:paraId="7C889A48">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w:t>
            </w:r>
          </w:p>
        </w:tc>
        <w:tc>
          <w:tcPr>
            <w:tcW w:w="3670" w:type="pct"/>
            <w:gridSpan w:val="3"/>
            <w:vAlign w:val="center"/>
          </w:tcPr>
          <w:p w14:paraId="2B290B3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w:t>
            </w:r>
            <w:r>
              <w:rPr>
                <w:rFonts w:hint="eastAsia" w:ascii="宋体" w:hAnsi="宋体" w:eastAsia="宋体" w:cs="宋体"/>
                <w:color w:val="auto"/>
                <w:sz w:val="24"/>
                <w:szCs w:val="24"/>
                <w:highlight w:val="none"/>
                <w:lang w:val="en-US" w:eastAsia="zh-CN"/>
              </w:rPr>
              <w:t>部分</w:t>
            </w:r>
            <w:r>
              <w:rPr>
                <w:rFonts w:hint="eastAsia" w:ascii="宋体" w:hAnsi="宋体" w:eastAsia="宋体" w:cs="宋体"/>
                <w:color w:val="auto"/>
                <w:sz w:val="24"/>
                <w:szCs w:val="24"/>
                <w:highlight w:val="none"/>
              </w:rPr>
              <w:t>得分</w:t>
            </w:r>
            <w:r>
              <w:rPr>
                <w:rFonts w:hint="eastAsia" w:ascii="宋体" w:hAnsi="宋体" w:eastAsia="宋体" w:cs="宋体"/>
                <w:color w:val="auto"/>
                <w:sz w:val="24"/>
                <w:szCs w:val="24"/>
                <w:highlight w:val="none"/>
                <w:lang w:val="en-US" w:eastAsia="zh-CN"/>
              </w:rPr>
              <w:t>+技术部分得分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经济部分</w:t>
            </w:r>
            <w:r>
              <w:rPr>
                <w:rFonts w:hint="eastAsia" w:ascii="宋体" w:hAnsi="宋体" w:eastAsia="宋体" w:cs="宋体"/>
                <w:color w:val="auto"/>
                <w:sz w:val="24"/>
                <w:szCs w:val="24"/>
                <w:highlight w:val="none"/>
              </w:rPr>
              <w:t>报价得分=总得分</w:t>
            </w:r>
          </w:p>
        </w:tc>
      </w:tr>
    </w:tbl>
    <w:p w14:paraId="652B4D38">
      <w:pPr>
        <w:spacing w:line="360" w:lineRule="auto"/>
        <w:rPr>
          <w:rFonts w:hint="eastAsia" w:asciiTheme="minorEastAsia" w:hAnsiTheme="minorEastAsia" w:eastAsiaTheme="minorEastAsia" w:cstheme="minorEastAsia"/>
          <w:color w:val="auto"/>
          <w:spacing w:val="10"/>
          <w:kern w:val="0"/>
          <w:szCs w:val="24"/>
          <w:highlight w:val="none"/>
        </w:rPr>
      </w:pPr>
      <w:r>
        <w:rPr>
          <w:rFonts w:hint="eastAsia" w:asciiTheme="minorEastAsia" w:hAnsiTheme="minorEastAsia" w:eastAsiaTheme="minorEastAsia" w:cstheme="minorEastAsia"/>
          <w:color w:val="auto"/>
          <w:spacing w:val="10"/>
          <w:kern w:val="0"/>
          <w:szCs w:val="24"/>
          <w:highlight w:val="none"/>
        </w:rPr>
        <w:t>备注：</w:t>
      </w:r>
    </w:p>
    <w:p w14:paraId="4203939C">
      <w:pPr>
        <w:spacing w:line="360" w:lineRule="auto"/>
        <w:ind w:firstLine="482" w:firstLineChars="200"/>
        <w:rPr>
          <w:rFonts w:hint="eastAsia" w:asciiTheme="minorEastAsia" w:hAnsiTheme="minorEastAsia" w:eastAsiaTheme="minorEastAsia" w:cstheme="minorEastAsia"/>
          <w:b/>
          <w:bCs/>
          <w:color w:val="auto"/>
          <w:szCs w:val="24"/>
          <w:highlight w:val="none"/>
          <w:u w:val="doubl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u w:val="double"/>
        </w:rPr>
        <w:t>综合评分表中注明“扫描件”为原件扫描件。</w:t>
      </w:r>
    </w:p>
    <w:p w14:paraId="4C82F864">
      <w:pPr>
        <w:spacing w:line="360" w:lineRule="auto"/>
        <w:ind w:firstLine="482" w:firstLineChars="200"/>
        <w:rPr>
          <w:rFonts w:hint="eastAsia" w:asciiTheme="minorEastAsia" w:hAnsiTheme="minorEastAsia" w:eastAsiaTheme="minorEastAsia" w:cstheme="minorEastAsia"/>
          <w:b/>
          <w:bCs/>
          <w:color w:val="auto"/>
          <w:szCs w:val="24"/>
          <w:highlight w:val="none"/>
          <w:u w:val="double"/>
        </w:rPr>
      </w:pPr>
      <w:r>
        <w:rPr>
          <w:rFonts w:hint="eastAsia" w:asciiTheme="minorEastAsia" w:hAnsiTheme="minorEastAsia" w:eastAsiaTheme="minorEastAsia" w:cstheme="minorEastAsia"/>
          <w:b/>
          <w:bCs/>
          <w:color w:val="auto"/>
          <w:szCs w:val="24"/>
          <w:highlight w:val="none"/>
        </w:rPr>
        <w:t>2、</w:t>
      </w:r>
      <w:r>
        <w:rPr>
          <w:rFonts w:hint="eastAsia" w:asciiTheme="minorEastAsia" w:hAnsiTheme="minorEastAsia" w:eastAsiaTheme="minorEastAsia" w:cstheme="minorEastAsia"/>
          <w:b/>
          <w:bCs/>
          <w:color w:val="auto"/>
          <w:szCs w:val="24"/>
          <w:highlight w:val="none"/>
          <w:u w:val="double"/>
        </w:rPr>
        <w:t>评分如出现小数点，则保留小数点后两位，第三位四舍五入。</w:t>
      </w:r>
    </w:p>
    <w:p w14:paraId="60FF2AA3">
      <w:pPr>
        <w:spacing w:line="360" w:lineRule="auto"/>
        <w:ind w:firstLine="482" w:firstLineChars="200"/>
        <w:rPr>
          <w:rFonts w:hint="eastAsia" w:asciiTheme="minorEastAsia" w:hAnsiTheme="minorEastAsia" w:eastAsiaTheme="minorEastAsia" w:cstheme="minorEastAsia"/>
          <w:b/>
          <w:color w:val="auto"/>
          <w:kern w:val="1"/>
          <w:highlight w:val="none"/>
          <w:u w:val="single"/>
        </w:rPr>
      </w:pPr>
      <w:r>
        <w:rPr>
          <w:rFonts w:hint="eastAsia" w:asciiTheme="minorEastAsia" w:hAnsiTheme="minorEastAsia" w:eastAsiaTheme="minorEastAsia" w:cstheme="minorEastAsia"/>
          <w:b/>
          <w:bCs/>
          <w:color w:val="auto"/>
          <w:szCs w:val="24"/>
          <w:highlight w:val="none"/>
        </w:rPr>
        <w:t>3、</w:t>
      </w:r>
      <w:r>
        <w:rPr>
          <w:rFonts w:hint="eastAsia" w:asciiTheme="minorEastAsia" w:hAnsiTheme="minorEastAsia" w:eastAsiaTheme="minorEastAsia" w:cstheme="minorEastAsia"/>
          <w:b/>
          <w:bCs/>
          <w:color w:val="auto"/>
          <w:szCs w:val="24"/>
          <w:highlight w:val="none"/>
          <w:u w:val="double"/>
        </w:rPr>
        <w:t>如果某投标人的建安工程费下浮率高于15%时，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644408AA">
      <w:pPr>
        <w:wordWrap w:val="0"/>
        <w:adjustRightInd w:val="0"/>
        <w:snapToGrid w:val="0"/>
        <w:spacing w:line="360" w:lineRule="auto"/>
        <w:ind w:firstLine="520" w:firstLineChars="200"/>
        <w:rPr>
          <w:rFonts w:hint="eastAsia" w:asciiTheme="minorEastAsia" w:hAnsiTheme="minorEastAsia" w:eastAsiaTheme="minorEastAsia" w:cstheme="minorEastAsia"/>
          <w:bCs/>
          <w:color w:val="auto"/>
          <w:spacing w:val="10"/>
          <w:kern w:val="0"/>
          <w:szCs w:val="24"/>
          <w:highlight w:val="none"/>
        </w:rPr>
      </w:pPr>
    </w:p>
    <w:p w14:paraId="124DC73F">
      <w:pPr>
        <w:wordWrap w:val="0"/>
        <w:adjustRightInd w:val="0"/>
        <w:snapToGrid w:val="0"/>
        <w:spacing w:line="360" w:lineRule="auto"/>
        <w:ind w:firstLine="52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Cs/>
          <w:color w:val="auto"/>
          <w:spacing w:val="10"/>
          <w:kern w:val="0"/>
          <w:szCs w:val="24"/>
          <w:highlight w:val="none"/>
        </w:rPr>
        <w:t>14.</w:t>
      </w:r>
      <w:r>
        <w:rPr>
          <w:rFonts w:hint="eastAsia" w:asciiTheme="minorEastAsia" w:hAnsiTheme="minorEastAsia" w:eastAsiaTheme="minorEastAsia" w:cstheme="minorEastAsia"/>
          <w:bCs/>
          <w:color w:val="auto"/>
          <w:spacing w:val="10"/>
          <w:kern w:val="0"/>
          <w:szCs w:val="24"/>
          <w:highlight w:val="none"/>
          <w:lang w:val="en-US" w:eastAsia="zh-CN"/>
        </w:rPr>
        <w:t>5</w:t>
      </w:r>
      <w:r>
        <w:rPr>
          <w:rFonts w:hint="eastAsia" w:asciiTheme="minorEastAsia" w:hAnsiTheme="minorEastAsia" w:eastAsiaTheme="minorEastAsia" w:cstheme="minorEastAsia"/>
          <w:bCs/>
          <w:color w:val="auto"/>
          <w:spacing w:val="10"/>
          <w:kern w:val="0"/>
          <w:szCs w:val="24"/>
          <w:highlight w:val="none"/>
        </w:rPr>
        <w:t>.2</w:t>
      </w:r>
      <w:r>
        <w:rPr>
          <w:rFonts w:hint="eastAsia" w:asciiTheme="minorEastAsia" w:hAnsiTheme="minorEastAsia" w:eastAsiaTheme="minorEastAsia" w:cstheme="minorEastAsia"/>
          <w:snapToGrid w:val="0"/>
          <w:color w:val="auto"/>
          <w:kern w:val="0"/>
          <w:szCs w:val="24"/>
          <w:highlight w:val="none"/>
        </w:rPr>
        <w:t>否决投标说明</w:t>
      </w:r>
    </w:p>
    <w:p w14:paraId="2F46DD7E">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详细评审阶段否决投标的全部条件，在本章第四节“否决投标条件”第1条至第4条中集中列示。投标人有其中所列任何一种情形的，由评标委员会否决其投标。经详细评审后，有效投标人数量不足3个时，招标人应依法重新组织招标。</w:t>
      </w:r>
    </w:p>
    <w:p w14:paraId="524E4F43">
      <w:pPr>
        <w:pStyle w:val="47"/>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bCs/>
          <w:snapToGrid w:val="0"/>
          <w:color w:val="auto"/>
          <w:kern w:val="0"/>
          <w:szCs w:val="24"/>
          <w:highlight w:val="none"/>
        </w:rPr>
        <w:t>注：投标人在详细评审阶段根据评分方法提供的佐证材料，其合法性、有效性和准确性不符合要求的，有关量化因素（或评分因素）的折算、调整（或评分）按相应量化标准（或评分标准）处理，但不否决投标。</w:t>
      </w:r>
    </w:p>
    <w:p w14:paraId="70091841">
      <w:pPr>
        <w:pStyle w:val="57"/>
        <w:spacing w:line="360" w:lineRule="auto"/>
        <w:ind w:firstLine="482" w:firstLineChars="200"/>
        <w:jc w:val="both"/>
        <w:outlineLvl w:val="9"/>
        <w:rPr>
          <w:rFonts w:hint="eastAsia" w:asciiTheme="minorEastAsia" w:hAnsiTheme="minorEastAsia" w:eastAsiaTheme="minorEastAsia" w:cstheme="minorEastAsia"/>
          <w:b/>
          <w:color w:val="auto"/>
          <w:highlight w:val="none"/>
        </w:rPr>
      </w:pPr>
    </w:p>
    <w:p w14:paraId="13A69B6E">
      <w:pPr>
        <w:pStyle w:val="49"/>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278" w:name="_Toc32481"/>
      <w:bookmarkStart w:id="279" w:name="_Toc25535"/>
      <w:r>
        <w:rPr>
          <w:rFonts w:hint="eastAsia" w:asciiTheme="minorEastAsia" w:hAnsiTheme="minorEastAsia" w:eastAsiaTheme="minorEastAsia" w:cstheme="minorEastAsia"/>
          <w:b/>
          <w:color w:val="auto"/>
          <w:kern w:val="2"/>
          <w:highlight w:val="none"/>
        </w:rPr>
        <w:t>15</w:t>
      </w:r>
      <w:r>
        <w:rPr>
          <w:rFonts w:hint="eastAsia" w:asciiTheme="minorEastAsia" w:hAnsiTheme="minorEastAsia" w:eastAsiaTheme="minorEastAsia" w:cstheme="minorEastAsia"/>
          <w:b/>
          <w:color w:val="auto"/>
          <w:kern w:val="2"/>
          <w:highlight w:val="none"/>
          <w:lang w:val="en-US" w:eastAsia="zh-CN"/>
        </w:rPr>
        <w:t>、</w:t>
      </w:r>
      <w:bookmarkEnd w:id="278"/>
      <w:bookmarkEnd w:id="279"/>
      <w:r>
        <w:rPr>
          <w:rFonts w:hint="eastAsia" w:ascii="Times New Roman"/>
          <w:b/>
          <w:snapToGrid w:val="0"/>
          <w:color w:val="auto"/>
          <w:highlight w:val="none"/>
        </w:rPr>
        <w:t>评标结果</w:t>
      </w:r>
      <w:r>
        <w:rPr>
          <w:rFonts w:hint="eastAsia" w:ascii="Times New Roman"/>
          <w:b/>
          <w:snapToGrid w:val="0"/>
          <w:color w:val="auto"/>
          <w:highlight w:val="none"/>
          <w:lang w:eastAsia="zh-CN"/>
        </w:rPr>
        <w:t>公示</w:t>
      </w:r>
    </w:p>
    <w:p w14:paraId="5FDE95B5">
      <w:pPr>
        <w:pStyle w:val="11"/>
        <w:keepNext w:val="0"/>
        <w:keepLines w:val="0"/>
        <w:pageBreakBefore w:val="0"/>
        <w:widowControl w:val="0"/>
        <w:kinsoku/>
        <w:wordWrap w:val="0"/>
        <w:overflowPunct/>
        <w:topLinePunct w:val="0"/>
        <w:autoSpaceDE/>
        <w:autoSpaceDN/>
        <w:bidi w:val="0"/>
        <w:adjustRightInd w:val="0"/>
        <w:snapToGrid w:val="0"/>
        <w:spacing w:after="260" w:line="360" w:lineRule="auto"/>
        <w:ind w:firstLine="480" w:firstLineChars="200"/>
        <w:jc w:val="left"/>
        <w:textAlignment w:val="auto"/>
        <w:rPr>
          <w:rFonts w:hint="eastAsia" w:asciiTheme="minorEastAsia" w:hAnsiTheme="minorEastAsia" w:eastAsiaTheme="minorEastAsia" w:cstheme="minorEastAsia"/>
          <w:snapToGrid w:val="0"/>
          <w:color w:val="auto"/>
          <w:kern w:val="0"/>
          <w:sz w:val="24"/>
          <w:szCs w:val="24"/>
          <w:highlight w:val="none"/>
          <w:lang w:val="en-US" w:eastAsia="zh-CN" w:bidi="ar-SA"/>
        </w:rPr>
      </w:pPr>
      <w:bookmarkStart w:id="280" w:name="_Toc20094"/>
      <w:bookmarkStart w:id="281" w:name="_Toc16203"/>
      <w:bookmarkStart w:id="282" w:name="_Toc16649"/>
      <w:bookmarkStart w:id="283" w:name="_Toc13416"/>
      <w:bookmarkStart w:id="284" w:name="_Toc11519"/>
      <w:bookmarkStart w:id="285" w:name="_Toc16300"/>
      <w:bookmarkStart w:id="286" w:name="_Toc21045"/>
      <w:bookmarkStart w:id="287" w:name="_Toc9083"/>
      <w:bookmarkStart w:id="288" w:name="_Toc24184"/>
      <w:bookmarkStart w:id="289" w:name="_Hlt69698765"/>
      <w:bookmarkStart w:id="290" w:name="_Hlt69698713"/>
      <w:r>
        <w:rPr>
          <w:rFonts w:hint="eastAsia" w:asciiTheme="minorEastAsia" w:hAnsiTheme="minorEastAsia" w:eastAsiaTheme="minorEastAsia" w:cstheme="minorEastAsia"/>
          <w:snapToGrid w:val="0"/>
          <w:color w:val="auto"/>
          <w:kern w:val="0"/>
          <w:sz w:val="24"/>
          <w:szCs w:val="24"/>
          <w:highlight w:val="none"/>
          <w:lang w:val="en-US" w:eastAsia="zh-CN" w:bidi="ar-SA"/>
        </w:rPr>
        <w:t>评标委员会按照投标人评审综合总得分由高到低的原则,向招标人推荐已明确的定标候选人数量（不标明排序）。评标委员会推荐定标候选人后，招标人应于评标会结束后3个工作日内将定标候选人和评标情况在广东省招标投标监管网和全国公共资源交易平台（广东省·韶关市）网上公示，公示时间不少于3个工作日。公示主要内容包括：（1）定标候选人名称、投标报价、质量、工期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6D8A865F">
      <w:pPr>
        <w:pStyle w:val="11"/>
        <w:keepNext w:val="0"/>
        <w:keepLines w:val="0"/>
        <w:pageBreakBefore w:val="0"/>
        <w:widowControl w:val="0"/>
        <w:kinsoku/>
        <w:wordWrap w:val="0"/>
        <w:overflowPunct/>
        <w:topLinePunct w:val="0"/>
        <w:autoSpaceDE/>
        <w:autoSpaceDN/>
        <w:bidi w:val="0"/>
        <w:adjustRightInd w:val="0"/>
        <w:snapToGrid w:val="0"/>
        <w:spacing w:after="260" w:line="360" w:lineRule="auto"/>
        <w:ind w:firstLine="480" w:firstLineChars="200"/>
        <w:jc w:val="left"/>
        <w:textAlignment w:val="auto"/>
        <w:rPr>
          <w:rFonts w:hint="eastAsia" w:asciiTheme="minorEastAsia" w:hAnsiTheme="minorEastAsia" w:eastAsiaTheme="minorEastAsia" w:cstheme="minorEastAsia"/>
          <w:snapToGrid w:val="0"/>
          <w:color w:val="auto"/>
          <w:kern w:val="0"/>
          <w:sz w:val="24"/>
          <w:szCs w:val="24"/>
          <w:highlight w:val="none"/>
          <w:lang w:val="en-US" w:eastAsia="zh-CN" w:bidi="ar-SA"/>
        </w:rPr>
        <w:sectPr>
          <w:endnotePr>
            <w:numFmt w:val="decimal"/>
          </w:endnotePr>
          <w:pgSz w:w="11906" w:h="16838"/>
          <w:pgMar w:top="1701" w:right="1531" w:bottom="1417" w:left="1531" w:header="850" w:footer="992" w:gutter="0"/>
          <w:pgNumType w:fmt="decimal"/>
          <w:cols w:space="720" w:num="1"/>
          <w:docGrid w:linePitch="327" w:charSpace="0"/>
        </w:sectPr>
      </w:pPr>
    </w:p>
    <w:p w14:paraId="419DA419">
      <w:pPr>
        <w:pStyle w:val="11"/>
        <w:wordWrap w:val="0"/>
        <w:autoSpaceDE/>
        <w:autoSpaceDN/>
        <w:snapToGrid w:val="0"/>
        <w:spacing w:after="260" w:line="360" w:lineRule="auto"/>
        <w:jc w:val="center"/>
        <w:rPr>
          <w:rFonts w:hint="eastAsia" w:asciiTheme="minorEastAsia" w:hAnsiTheme="minorEastAsia" w:eastAsiaTheme="minorEastAsia" w:cstheme="minorEastAsia"/>
          <w:b/>
          <w:color w:val="auto"/>
          <w:kern w:val="2"/>
          <w:szCs w:val="24"/>
          <w:highlight w:val="none"/>
        </w:rPr>
      </w:pPr>
      <w:r>
        <w:rPr>
          <w:rFonts w:hint="eastAsia" w:asciiTheme="minorEastAsia" w:hAnsiTheme="minorEastAsia" w:eastAsiaTheme="minorEastAsia" w:cstheme="minorEastAsia"/>
          <w:b/>
          <w:color w:val="auto"/>
          <w:kern w:val="2"/>
          <w:szCs w:val="24"/>
          <w:highlight w:val="none"/>
        </w:rPr>
        <w:t>第四节 否决投标条件</w:t>
      </w:r>
      <w:bookmarkEnd w:id="280"/>
    </w:p>
    <w:p w14:paraId="37D31EA2">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highlight w:val="none"/>
        </w:rPr>
        <w:t>　　</w:t>
      </w:r>
      <w:r>
        <w:rPr>
          <w:rFonts w:hint="eastAsia" w:asciiTheme="minorEastAsia" w:hAnsiTheme="minorEastAsia" w:eastAsiaTheme="minorEastAsia" w:cstheme="minorEastAsia"/>
          <w:snapToGrid w:val="0"/>
          <w:color w:val="auto"/>
          <w:kern w:val="0"/>
          <w:szCs w:val="24"/>
          <w:highlight w:val="none"/>
        </w:rPr>
        <w:t xml:space="preserve">  本节所集中列示的否决投标条件，是本章第三节“投标人须知正文”的组成部分，是对本章第三节所规定的否决投标条件的总结和补充。投标人未有列入本节情形的，评标时一律不得否决其投标。本节所称“规定”均指招标文件的规定。</w:t>
      </w:r>
    </w:p>
    <w:p w14:paraId="057A333B">
      <w:pPr>
        <w:wordWrap w:val="0"/>
        <w:adjustRightInd w:val="0"/>
        <w:snapToGrid w:val="0"/>
        <w:spacing w:line="360" w:lineRule="auto"/>
        <w:outlineLvl w:val="1"/>
        <w:rPr>
          <w:rFonts w:hint="eastAsia" w:asciiTheme="minorEastAsia" w:hAnsiTheme="minorEastAsia" w:eastAsiaTheme="minorEastAsia" w:cstheme="minorEastAsia"/>
          <w:b/>
          <w:bCs/>
          <w:snapToGrid w:val="0"/>
          <w:color w:val="auto"/>
          <w:kern w:val="0"/>
          <w:szCs w:val="24"/>
          <w:highlight w:val="none"/>
        </w:rPr>
      </w:pPr>
      <w:bookmarkStart w:id="291" w:name="_Toc25868"/>
      <w:r>
        <w:rPr>
          <w:rFonts w:hint="eastAsia" w:asciiTheme="minorEastAsia" w:hAnsiTheme="minorEastAsia" w:eastAsiaTheme="minorEastAsia" w:cstheme="minorEastAsia"/>
          <w:b/>
          <w:bCs/>
          <w:snapToGrid w:val="0"/>
          <w:color w:val="auto"/>
          <w:kern w:val="0"/>
          <w:szCs w:val="24"/>
          <w:highlight w:val="none"/>
        </w:rPr>
        <w:t>1．资格评审环节</w:t>
      </w:r>
      <w:bookmarkEnd w:id="291"/>
    </w:p>
    <w:p w14:paraId="5EBB77B9">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投标人有下列情形之一的，评标委员会应否决其投标。被否决的投标人，不进入形式评审环节。</w:t>
      </w:r>
    </w:p>
    <w:p w14:paraId="42BF76F7">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（1）有本章第三节第4.4条“禁止投标条款”规定的任何一种情形；</w:t>
      </w:r>
    </w:p>
    <w:p w14:paraId="303439CA">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（2）投标人资质不符合规定的；</w:t>
      </w:r>
    </w:p>
    <w:p w14:paraId="6772FD05">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14:paraId="0CA531CE">
      <w:pPr>
        <w:wordWrap w:val="0"/>
        <w:adjustRightInd w:val="0"/>
        <w:snapToGrid w:val="0"/>
        <w:spacing w:line="360" w:lineRule="auto"/>
        <w:ind w:firstLine="723" w:firstLineChars="30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7523EE7F">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根据有关文件精神，投标人的企业相关证书到期的，均按该证书的发证机构相关行政主管部门最新文件执行（如自动顺延或推迟办理延期业务的通知等）投标人须提供相关证明材料附在该证书后面，证明在开标日继续有效的。</w:t>
      </w:r>
    </w:p>
    <w:p w14:paraId="11CA74C1">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（4）拟派项目经理、项目技术负责人、专职安全员、设计负责人的条件不符合规定的；拟派专职安全员数量不符合规定的；</w:t>
      </w:r>
    </w:p>
    <w:p w14:paraId="3A8BE00D">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（5）《项目经理简历表》中拟派项目经理与《开标一览表》不一致的；建造师的注册证书不是</w:t>
      </w:r>
      <w:r>
        <w:rPr>
          <w:rFonts w:hint="eastAsia" w:asciiTheme="minorEastAsia" w:hAnsiTheme="minorEastAsia" w:eastAsiaTheme="minorEastAsia" w:cstheme="minorEastAsia"/>
          <w:snapToGrid w:val="0"/>
          <w:color w:val="auto"/>
          <w:kern w:val="0"/>
          <w:szCs w:val="24"/>
          <w:highlight w:val="none"/>
          <w:lang w:eastAsia="zh-CN"/>
        </w:rPr>
        <w:t>住房和城乡建设部</w:t>
      </w:r>
      <w:r>
        <w:rPr>
          <w:rFonts w:hint="eastAsia" w:asciiTheme="minorEastAsia" w:hAnsiTheme="minorEastAsia" w:eastAsiaTheme="minorEastAsia" w:cstheme="minorEastAsia"/>
          <w:snapToGrid w:val="0"/>
          <w:color w:val="auto"/>
          <w:kern w:val="0"/>
          <w:szCs w:val="24"/>
          <w:highlight w:val="none"/>
        </w:rPr>
        <w:t>门颁发的；建造师</w:t>
      </w:r>
      <w:r>
        <w:rPr>
          <w:rFonts w:hint="eastAsia" w:asciiTheme="minorEastAsia" w:hAnsiTheme="minorEastAsia" w:eastAsiaTheme="minorEastAsia" w:cstheme="minorEastAsia"/>
          <w:snapToGrid w:val="0"/>
          <w:color w:val="auto"/>
          <w:kern w:val="0"/>
          <w:szCs w:val="24"/>
          <w:highlight w:val="none"/>
          <w:lang w:eastAsia="zh-CN"/>
        </w:rPr>
        <w:t>、</w:t>
      </w:r>
      <w:r>
        <w:rPr>
          <w:rFonts w:hint="eastAsia" w:asciiTheme="minorEastAsia" w:hAnsiTheme="minorEastAsia" w:eastAsiaTheme="minorEastAsia" w:cstheme="minorEastAsia"/>
          <w:snapToGrid w:val="0"/>
          <w:color w:val="auto"/>
          <w:kern w:val="0"/>
          <w:szCs w:val="24"/>
          <w:highlight w:val="none"/>
          <w:lang w:val="en-US" w:eastAsia="zh-CN"/>
        </w:rPr>
        <w:t>设计负责人</w:t>
      </w:r>
      <w:r>
        <w:rPr>
          <w:rFonts w:hint="eastAsia" w:asciiTheme="minorEastAsia" w:hAnsiTheme="minorEastAsia" w:eastAsiaTheme="minorEastAsia" w:cstheme="minorEastAsia"/>
          <w:snapToGrid w:val="0"/>
          <w:color w:val="auto"/>
          <w:kern w:val="0"/>
          <w:szCs w:val="24"/>
          <w:highlight w:val="none"/>
        </w:rPr>
        <w:t>的注册单位与投标人不一致的；项目管理班子组成人员的各类证书、证件、证明不在有效期内的（建造师注册证书不在使用有效期内的）；擅自修改、遗漏《项目经理任职声明》实质性内容的；</w:t>
      </w:r>
    </w:p>
    <w:p w14:paraId="5C290081">
      <w:pPr>
        <w:wordWrap w:val="0"/>
        <w:adjustRightInd w:val="0"/>
        <w:snapToGrid w:val="0"/>
        <w:spacing w:line="360" w:lineRule="auto"/>
        <w:ind w:firstLine="723" w:firstLineChars="30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注：投标人已经工商变更，但其员工执业资格注册证书的注册单位名称未完成变更的，不得否决其投标。</w:t>
      </w:r>
    </w:p>
    <w:p w14:paraId="3E6E6AC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（6）联合体投标，未提交《联合体协议书》的；擅自修改、遗漏《联合体协议书》实质性内容的；联合体成员的数量、资质不符合规定的；联合体成员同时以自己名义单独投标或者参加其他联合体投标的；</w:t>
      </w:r>
    </w:p>
    <w:p w14:paraId="37BB7948">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（7）投标人为外省建筑企业，但未提供“进粤企业和人员诚信信息登记平台”企业和拟派人员信息情况打印页或网页截图的。</w:t>
      </w:r>
    </w:p>
    <w:p w14:paraId="41D23B3A">
      <w:pPr>
        <w:wordWrap w:val="0"/>
        <w:adjustRightInd w:val="0"/>
        <w:snapToGrid w:val="0"/>
        <w:spacing w:line="360" w:lineRule="auto"/>
        <w:outlineLvl w:val="1"/>
        <w:rPr>
          <w:rFonts w:hint="eastAsia" w:asciiTheme="minorEastAsia" w:hAnsiTheme="minorEastAsia" w:eastAsiaTheme="minorEastAsia" w:cstheme="minorEastAsia"/>
          <w:b/>
          <w:bCs/>
          <w:snapToGrid w:val="0"/>
          <w:color w:val="auto"/>
          <w:kern w:val="0"/>
          <w:szCs w:val="24"/>
          <w:highlight w:val="none"/>
        </w:rPr>
      </w:pPr>
      <w:bookmarkStart w:id="292" w:name="_Toc16862"/>
      <w:r>
        <w:rPr>
          <w:rFonts w:hint="eastAsia" w:asciiTheme="minorEastAsia" w:hAnsiTheme="minorEastAsia" w:eastAsiaTheme="minorEastAsia" w:cstheme="minorEastAsia"/>
          <w:b/>
          <w:bCs/>
          <w:snapToGrid w:val="0"/>
          <w:color w:val="auto"/>
          <w:kern w:val="0"/>
          <w:szCs w:val="24"/>
          <w:highlight w:val="none"/>
        </w:rPr>
        <w:t>2．形式评审环节</w:t>
      </w:r>
      <w:bookmarkEnd w:id="292"/>
    </w:p>
    <w:p w14:paraId="5BD3436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投标人有下列情形之一的，评标委员会应否决其投标。被否决的投标人，不进入响应性评审环节。</w:t>
      </w:r>
    </w:p>
    <w:p w14:paraId="2208CC05">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1</w:t>
      </w:r>
      <w:r>
        <w:rPr>
          <w:rFonts w:hint="eastAsia" w:asciiTheme="minorEastAsia" w:hAnsiTheme="minorEastAsia" w:eastAsiaTheme="minorEastAsia" w:cstheme="minorEastAsia"/>
          <w:snapToGrid w:val="0"/>
          <w:color w:val="auto"/>
          <w:kern w:val="0"/>
          <w:szCs w:val="24"/>
          <w:highlight w:val="none"/>
        </w:rPr>
        <w:t>）本章第三节第11.2.2目中规定的“所有投标人均应提供”的组成内容（包括该组成内容的所附资料）中，任何一项有缺漏的；</w:t>
      </w:r>
    </w:p>
    <w:p w14:paraId="3D21ACF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2</w:t>
      </w:r>
      <w:r>
        <w:rPr>
          <w:rFonts w:hint="eastAsia" w:asciiTheme="minorEastAsia" w:hAnsiTheme="minorEastAsia" w:eastAsiaTheme="minorEastAsia" w:cstheme="minorEastAsia"/>
          <w:snapToGrid w:val="0"/>
          <w:color w:val="auto"/>
          <w:kern w:val="0"/>
          <w:szCs w:val="24"/>
          <w:highlight w:val="none"/>
        </w:rPr>
        <w:t>）关键字迹模糊、无法辨认，且该种过错将导致评标委员会无法判断投标文件是否响应招标文件实质性要求的；出现手工涂改、行间插字或删除，但未加盖单位章或由投标人的法定代表人或其委托代理人签字确认的；</w:t>
      </w:r>
    </w:p>
    <w:p w14:paraId="7414069F">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3</w:t>
      </w:r>
      <w:r>
        <w:rPr>
          <w:rFonts w:hint="eastAsia" w:asciiTheme="minorEastAsia" w:hAnsiTheme="minorEastAsia" w:eastAsiaTheme="minorEastAsia" w:cstheme="minorEastAsia"/>
          <w:snapToGrid w:val="0"/>
          <w:color w:val="auto"/>
          <w:kern w:val="0"/>
          <w:szCs w:val="24"/>
          <w:highlight w:val="none"/>
        </w:rPr>
        <w:t>）投标文件未按规定签字、盖章的；</w:t>
      </w:r>
    </w:p>
    <w:p w14:paraId="290C357F">
      <w:pPr>
        <w:wordWrap w:val="0"/>
        <w:adjustRightInd w:val="0"/>
        <w:snapToGrid w:val="0"/>
        <w:spacing w:line="360" w:lineRule="auto"/>
        <w:outlineLvl w:val="1"/>
        <w:rPr>
          <w:rFonts w:hint="eastAsia" w:asciiTheme="minorEastAsia" w:hAnsiTheme="minorEastAsia" w:eastAsiaTheme="minorEastAsia" w:cstheme="minorEastAsia"/>
          <w:b/>
          <w:bCs/>
          <w:snapToGrid w:val="0"/>
          <w:color w:val="auto"/>
          <w:kern w:val="0"/>
          <w:szCs w:val="24"/>
          <w:highlight w:val="none"/>
        </w:rPr>
      </w:pPr>
      <w:bookmarkStart w:id="293" w:name="_Toc11607"/>
      <w:r>
        <w:rPr>
          <w:rFonts w:hint="eastAsia" w:asciiTheme="minorEastAsia" w:hAnsiTheme="minorEastAsia" w:eastAsiaTheme="minorEastAsia" w:cstheme="minorEastAsia"/>
          <w:b/>
          <w:bCs/>
          <w:snapToGrid w:val="0"/>
          <w:color w:val="auto"/>
          <w:kern w:val="0"/>
          <w:szCs w:val="24"/>
          <w:highlight w:val="none"/>
        </w:rPr>
        <w:t>3．响应性评审环节</w:t>
      </w:r>
      <w:bookmarkEnd w:id="293"/>
    </w:p>
    <w:p w14:paraId="7F5913C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投标人有下列情形之一的，评标委员会应否决其投标。被否决的投标人，不进入详细评审阶段。</w:t>
      </w:r>
    </w:p>
    <w:p w14:paraId="6D3A250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1</w:t>
      </w:r>
      <w:r>
        <w:rPr>
          <w:rFonts w:hint="eastAsia" w:asciiTheme="minorEastAsia" w:hAnsiTheme="minorEastAsia" w:eastAsiaTheme="minorEastAsia" w:cstheme="minorEastAsia"/>
          <w:snapToGrid w:val="0"/>
          <w:color w:val="auto"/>
          <w:kern w:val="0"/>
          <w:szCs w:val="24"/>
          <w:highlight w:val="none"/>
        </w:rPr>
        <w:t>）承诺的投标有效期短于规定的；工期超出规定的；擅自修改、遗漏《投标函》《各项承诺一览表》实质性内容的；</w:t>
      </w:r>
    </w:p>
    <w:p w14:paraId="6AF21AAC">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2</w:t>
      </w:r>
      <w:r>
        <w:rPr>
          <w:rFonts w:hint="eastAsia" w:asciiTheme="minorEastAsia" w:hAnsiTheme="minorEastAsia" w:eastAsiaTheme="minorEastAsia" w:cstheme="minorEastAsia"/>
          <w:snapToGrid w:val="0"/>
          <w:color w:val="auto"/>
          <w:kern w:val="0"/>
          <w:szCs w:val="24"/>
          <w:highlight w:val="none"/>
        </w:rPr>
        <w:t>）两个或两个以上投标总价的（同一个投标总价大、小写不一致的除外）；投标总价超出最高投标限价的；投标总价下浮率超过15%，又未提供相应书面说明和佐证材料或提供的书面说明和佐证材料不能令人信服，被评标委员会认定以低于成本报价竞标的；</w:t>
      </w:r>
    </w:p>
    <w:p w14:paraId="6118D55F">
      <w:pPr>
        <w:wordWrap w:val="0"/>
        <w:adjustRightInd w:val="0"/>
        <w:snapToGrid w:val="0"/>
        <w:spacing w:line="360" w:lineRule="auto"/>
        <w:outlineLvl w:val="1"/>
        <w:rPr>
          <w:rFonts w:hint="eastAsia" w:asciiTheme="minorEastAsia" w:hAnsiTheme="minorEastAsia" w:eastAsiaTheme="minorEastAsia" w:cstheme="minorEastAsia"/>
          <w:b/>
          <w:bCs/>
          <w:snapToGrid w:val="0"/>
          <w:color w:val="auto"/>
          <w:kern w:val="0"/>
          <w:szCs w:val="24"/>
          <w:highlight w:val="none"/>
        </w:rPr>
      </w:pPr>
      <w:bookmarkStart w:id="294" w:name="_Toc29578"/>
      <w:r>
        <w:rPr>
          <w:rFonts w:hint="eastAsia" w:asciiTheme="minorEastAsia" w:hAnsiTheme="minorEastAsia" w:eastAsiaTheme="minorEastAsia" w:cstheme="minorEastAsia"/>
          <w:b/>
          <w:bCs/>
          <w:snapToGrid w:val="0"/>
          <w:color w:val="auto"/>
          <w:kern w:val="0"/>
          <w:szCs w:val="24"/>
          <w:highlight w:val="none"/>
        </w:rPr>
        <w:t>4．其他</w:t>
      </w:r>
      <w:bookmarkEnd w:id="294"/>
    </w:p>
    <w:p w14:paraId="29E56635">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在任何评标环节（或阶段），投标人有下列情形之一的，评标委员会应否决其投标。被否决的投标人，不进入下一环节（或阶段）。</w:t>
      </w:r>
    </w:p>
    <w:p w14:paraId="3A2D1E1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（14）不按评标委员会要求澄清、说明或补正的；</w:t>
      </w:r>
    </w:p>
    <w:p w14:paraId="3E049FB5">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（15）有下列情形之一，被评标委员会认定属于串通投标的：</w:t>
      </w:r>
    </w:p>
    <w:p w14:paraId="7D30B0F8">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①不同投标人的投标文件两处以上（含两处）错、漏一致；</w:t>
      </w:r>
    </w:p>
    <w:p w14:paraId="572F1E6B">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②不同投标人的投标总价相近且各分项报价、综合单价分析表内容混乱不能相互对应、乱调乱压或乱抬的，而在询标时没有合理的解释或者不能提供计算依据和报价依据；</w:t>
      </w:r>
    </w:p>
    <w:p w14:paraId="2D72A87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③不同投标人的投标各项报价存在异常一致或者呈规律性变化；</w:t>
      </w:r>
    </w:p>
    <w:p w14:paraId="5FBCB267">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④不同投标人的投标文件由同一单位或者同一个人编制；</w:t>
      </w:r>
    </w:p>
    <w:p w14:paraId="2C8B44E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⑤不同投标人的投标文件中投标资料（包括电子资料）相互混装或项目班子成员出现同一人；</w:t>
      </w:r>
    </w:p>
    <w:p w14:paraId="530885B0">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⑥不同投标人的投标文件由同一电脑编制或同一台附属设备打印，或投标报价用同一个预算编制软件密码锁制作或出自同一电子文档；</w:t>
      </w:r>
    </w:p>
    <w:p w14:paraId="6A9CD7D9">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⑦不同投标人的投标保证由同一企业或同一账户资金缴纳；</w:t>
      </w:r>
    </w:p>
    <w:p w14:paraId="69D505B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⑧不同投标人委托同一个人或注册在同一家企业的注册人员或同一家企业为其投标提供投标咨询、商务报价、技术咨询（招标工程本身要求采用专有技术的除外）等服务。</w:t>
      </w:r>
    </w:p>
    <w:p w14:paraId="728F1526">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sectPr>
          <w:footerReference r:id="rId6" w:type="default"/>
          <w:endnotePr>
            <w:numFmt w:val="decimal"/>
          </w:endnotePr>
          <w:pgSz w:w="11905" w:h="16838"/>
          <w:pgMar w:top="1134" w:right="1134" w:bottom="1134" w:left="1134" w:header="850" w:footer="992" w:gutter="0"/>
          <w:pgNumType w:fmt="decimal"/>
          <w:cols w:space="0" w:num="1"/>
          <w:rtlGutter w:val="0"/>
          <w:docGrid w:linePitch="327" w:charSpace="0"/>
        </w:sectPr>
      </w:pPr>
    </w:p>
    <w:p w14:paraId="4B0826C1">
      <w:pPr>
        <w:pStyle w:val="11"/>
        <w:shd w:val="clear" w:color="auto" w:fill="auto"/>
        <w:wordWrap w:val="0"/>
        <w:autoSpaceDE/>
        <w:autoSpaceDN/>
        <w:snapToGrid w:val="0"/>
        <w:spacing w:before="260" w:after="260" w:line="360" w:lineRule="auto"/>
        <w:jc w:val="center"/>
        <w:rPr>
          <w:rFonts w:hint="eastAsia" w:ascii="Times New Roman"/>
          <w:b/>
          <w:snapToGrid w:val="0"/>
          <w:color w:val="auto"/>
          <w:kern w:val="0"/>
          <w:highlight w:val="none"/>
        </w:rPr>
      </w:pPr>
      <w:bookmarkStart w:id="295" w:name="_Toc8252"/>
      <w:r>
        <w:rPr>
          <w:rFonts w:hint="eastAsia" w:ascii="宋体" w:hAnsi="宋体" w:eastAsia="宋体" w:cs="宋体"/>
          <w:b/>
          <w:color w:val="auto"/>
          <w:sz w:val="28"/>
          <w:szCs w:val="28"/>
          <w:highlight w:val="none"/>
          <w:lang w:eastAsia="zh-CN"/>
        </w:rPr>
        <w:t>第五节 定</w:t>
      </w:r>
      <w:r>
        <w:rPr>
          <w:rFonts w:hint="eastAsia" w:ascii="宋体" w:hAnsi="宋体" w:eastAsia="宋体" w:cs="宋体"/>
          <w:b/>
          <w:color w:val="auto"/>
          <w:sz w:val="28"/>
          <w:szCs w:val="28"/>
          <w:highlight w:val="none"/>
        </w:rPr>
        <w:t>标</w:t>
      </w:r>
      <w:r>
        <w:rPr>
          <w:rFonts w:hint="eastAsia" w:ascii="宋体" w:hAnsi="宋体" w:eastAsia="宋体" w:cs="宋体"/>
          <w:b/>
          <w:color w:val="auto"/>
          <w:sz w:val="28"/>
          <w:szCs w:val="28"/>
          <w:highlight w:val="none"/>
          <w:lang w:eastAsia="zh-CN"/>
        </w:rPr>
        <w:t>规定及定标办法</w:t>
      </w:r>
      <w:bookmarkEnd w:id="295"/>
    </w:p>
    <w:p w14:paraId="3CA4220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1. 定标规定</w:t>
      </w:r>
    </w:p>
    <w:p w14:paraId="1341F1B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default" w:ascii="Times New Roman" w:eastAsia="宋体"/>
          <w:b/>
          <w:snapToGrid w:val="0"/>
          <w:color w:val="auto"/>
          <w:kern w:val="0"/>
          <w:highlight w:val="none"/>
          <w:lang w:val="en-US" w:eastAsia="zh-CN"/>
        </w:rPr>
      </w:pPr>
      <w:r>
        <w:rPr>
          <w:rFonts w:hint="eastAsia" w:ascii="宋体" w:hAnsi="宋体" w:eastAsia="宋体" w:cs="宋体"/>
          <w:b/>
          <w:bCs/>
          <w:color w:val="auto"/>
          <w:sz w:val="24"/>
          <w:highlight w:val="none"/>
          <w:lang w:val="en-US" w:eastAsia="zh-CN"/>
        </w:rPr>
        <w:t>1.1 确定定</w:t>
      </w:r>
      <w:r>
        <w:rPr>
          <w:rFonts w:hint="eastAsia" w:ascii="宋体" w:hAnsi="宋体" w:eastAsia="宋体" w:cs="宋体"/>
          <w:b/>
          <w:bCs/>
          <w:color w:val="auto"/>
          <w:sz w:val="24"/>
          <w:szCs w:val="24"/>
          <w:highlight w:val="none"/>
          <w:u w:val="none"/>
        </w:rPr>
        <w:t>标时间</w:t>
      </w:r>
    </w:p>
    <w:p w14:paraId="389D73F0">
      <w:pPr>
        <w:shd w:val="clear" w:color="auto" w:fill="auto"/>
        <w:wordWrap w:val="0"/>
        <w:adjustRightInd w:val="0"/>
        <w:snapToGrid w:val="0"/>
        <w:spacing w:line="360" w:lineRule="auto"/>
        <w:ind w:firstLine="480" w:firstLineChars="200"/>
        <w:rPr>
          <w:rFonts w:hint="eastAsia" w:ascii="Times New Roman"/>
          <w:b/>
          <w:snapToGrid w:val="0"/>
          <w:color w:val="auto"/>
          <w:kern w:val="0"/>
          <w:highlight w:val="none"/>
        </w:rPr>
      </w:pPr>
      <w:r>
        <w:rPr>
          <w:rFonts w:hint="eastAsia" w:ascii="宋体" w:hAnsi="宋体" w:eastAsia="宋体" w:cs="宋体"/>
          <w:color w:val="auto"/>
          <w:sz w:val="24"/>
          <w:szCs w:val="24"/>
          <w:highlight w:val="none"/>
          <w:u w:val="none"/>
        </w:rPr>
        <w:t>招标人</w:t>
      </w:r>
      <w:r>
        <w:rPr>
          <w:rFonts w:hint="eastAsia" w:ascii="宋体" w:hAnsi="宋体" w:eastAsia="宋体" w:cs="宋体"/>
          <w:color w:val="auto"/>
          <w:sz w:val="24"/>
          <w:szCs w:val="24"/>
          <w:highlight w:val="none"/>
          <w:u w:val="none"/>
          <w:lang w:eastAsia="zh-CN"/>
        </w:rPr>
        <w:t>应</w:t>
      </w:r>
      <w:r>
        <w:rPr>
          <w:rFonts w:hint="eastAsia" w:ascii="宋体" w:hAnsi="宋体" w:eastAsia="宋体" w:cs="宋体"/>
          <w:color w:val="auto"/>
          <w:sz w:val="24"/>
          <w:szCs w:val="24"/>
          <w:highlight w:val="none"/>
          <w:u w:val="none"/>
        </w:rPr>
        <w:t>自</w:t>
      </w:r>
      <w:r>
        <w:rPr>
          <w:rFonts w:hint="eastAsia" w:ascii="宋体" w:hAnsi="宋体" w:eastAsia="宋体" w:cs="宋体"/>
          <w:color w:val="auto"/>
          <w:sz w:val="24"/>
          <w:szCs w:val="24"/>
          <w:highlight w:val="none"/>
          <w:u w:val="none"/>
          <w:lang w:val="en-US" w:eastAsia="zh-CN"/>
        </w:rPr>
        <w:t>定标候选人</w:t>
      </w:r>
      <w:r>
        <w:rPr>
          <w:rFonts w:hint="eastAsia" w:ascii="宋体" w:hAnsi="宋体" w:eastAsia="宋体" w:cs="宋体"/>
          <w:color w:val="auto"/>
          <w:sz w:val="24"/>
          <w:szCs w:val="24"/>
          <w:highlight w:val="none"/>
          <w:u w:val="none"/>
        </w:rPr>
        <w:t>公示期满后</w:t>
      </w:r>
      <w:r>
        <w:rPr>
          <w:rFonts w:hint="eastAsia" w:ascii="宋体" w:hAnsi="宋体" w:eastAsia="宋体" w:cs="宋体"/>
          <w:color w:val="auto"/>
          <w:sz w:val="24"/>
          <w:szCs w:val="24"/>
          <w:highlight w:val="none"/>
          <w:u w:val="none"/>
          <w:lang w:val="en-US" w:eastAsia="zh-CN"/>
        </w:rPr>
        <w:t>5</w:t>
      </w:r>
      <w:r>
        <w:rPr>
          <w:rFonts w:hint="eastAsia" w:ascii="宋体" w:hAnsi="宋体" w:eastAsia="宋体" w:cs="宋体"/>
          <w:color w:val="auto"/>
          <w:sz w:val="24"/>
          <w:szCs w:val="24"/>
          <w:highlight w:val="none"/>
          <w:u w:val="none"/>
        </w:rPr>
        <w:t>个工作日内进入公共资源交易平台（与评标阶段公共资源交易平台相同）进行定标。定标会议全过程录音录像。招标人需要延期定标的，</w:t>
      </w:r>
      <w:r>
        <w:rPr>
          <w:rFonts w:hint="eastAsia" w:ascii="宋体" w:hAnsi="宋体" w:eastAsia="宋体" w:cs="宋体"/>
          <w:color w:val="auto"/>
          <w:sz w:val="24"/>
          <w:szCs w:val="24"/>
          <w:highlight w:val="none"/>
          <w:u w:val="none"/>
          <w:lang w:eastAsia="zh-CN"/>
        </w:rPr>
        <w:t>应</w:t>
      </w:r>
      <w:r>
        <w:rPr>
          <w:rFonts w:hint="eastAsia" w:ascii="宋体" w:hAnsi="宋体" w:eastAsia="宋体" w:cs="宋体"/>
          <w:color w:val="auto"/>
          <w:sz w:val="24"/>
          <w:szCs w:val="24"/>
          <w:highlight w:val="none"/>
          <w:u w:val="none"/>
        </w:rPr>
        <w:t>通过公共资源交易平台公布延期原因和定标时间。</w:t>
      </w:r>
    </w:p>
    <w:p w14:paraId="5107AA2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auto"/>
          <w:sz w:val="24"/>
          <w:highlight w:val="none"/>
          <w:lang w:eastAsia="zh-CN"/>
        </w:rPr>
      </w:pPr>
      <w:r>
        <w:rPr>
          <w:rFonts w:hint="eastAsia" w:ascii="宋体" w:hAnsi="宋体" w:eastAsia="宋体" w:cs="宋体"/>
          <w:b/>
          <w:bCs/>
          <w:color w:val="auto"/>
          <w:sz w:val="24"/>
          <w:highlight w:val="none"/>
          <w:lang w:val="en-US" w:eastAsia="zh-CN"/>
        </w:rPr>
        <w:t xml:space="preserve">1.2 </w:t>
      </w:r>
      <w:r>
        <w:rPr>
          <w:rFonts w:hint="eastAsia" w:ascii="宋体" w:hAnsi="宋体" w:eastAsia="宋体" w:cs="宋体"/>
          <w:b/>
          <w:color w:val="auto"/>
          <w:sz w:val="24"/>
          <w:highlight w:val="none"/>
          <w:lang w:eastAsia="zh-CN"/>
        </w:rPr>
        <w:t>定标委员会</w:t>
      </w:r>
    </w:p>
    <w:p w14:paraId="2A2739B8">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ind w:left="0" w:leftChars="0" w:firstLine="480" w:firstLineChars="200"/>
        <w:jc w:val="both"/>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招标人负责组建定标委员会，定标委员会成员数量为7人。</w:t>
      </w:r>
    </w:p>
    <w:p w14:paraId="164F90AF">
      <w:pPr>
        <w:pStyle w:val="16"/>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2"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rPr>
      </w:pPr>
      <w:r>
        <w:rPr>
          <w:rFonts w:hint="eastAsia" w:ascii="宋体" w:hAnsi="宋体" w:eastAsia="宋体" w:cs="宋体"/>
          <w:b/>
          <w:bCs/>
          <w:color w:val="auto"/>
          <w:sz w:val="24"/>
          <w:highlight w:val="none"/>
          <w:lang w:val="en-US" w:eastAsia="zh-CN"/>
        </w:rPr>
        <w:t>1.3</w:t>
      </w:r>
      <w:r>
        <w:rPr>
          <w:rFonts w:hint="eastAsia" w:ascii="宋体" w:hAnsi="宋体" w:eastAsia="宋体" w:cs="宋体"/>
          <w:b/>
          <w:bCs/>
          <w:color w:val="auto"/>
          <w:sz w:val="24"/>
          <w:highlight w:val="none"/>
        </w:rPr>
        <w:t>.</w:t>
      </w:r>
      <w:r>
        <w:rPr>
          <w:rFonts w:hint="eastAsia" w:ascii="宋体" w:hAnsi="宋体" w:eastAsia="宋体" w:cs="宋体"/>
          <w:b/>
          <w:bCs/>
          <w:strike w:val="0"/>
          <w:dstrike w:val="0"/>
          <w:color w:val="auto"/>
          <w:kern w:val="2"/>
          <w:sz w:val="24"/>
          <w:szCs w:val="24"/>
          <w:highlight w:val="none"/>
          <w:u w:val="none"/>
          <w:lang w:val="en-US" w:eastAsia="zh-CN"/>
        </w:rPr>
        <w:t>组建招标监督小组</w:t>
      </w:r>
    </w:p>
    <w:p w14:paraId="51FBACB5">
      <w:pPr>
        <w:pStyle w:val="2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rPr>
      </w:pPr>
      <w:r>
        <w:rPr>
          <w:rFonts w:hint="eastAsia" w:ascii="宋体" w:hAnsi="宋体" w:eastAsia="宋体" w:cs="宋体"/>
          <w:strike w:val="0"/>
          <w:dstrike w:val="0"/>
          <w:color w:val="auto"/>
          <w:kern w:val="2"/>
          <w:sz w:val="24"/>
          <w:szCs w:val="24"/>
          <w:highlight w:val="none"/>
          <w:u w:val="none"/>
          <w:lang w:val="en-US" w:eastAsia="zh-CN"/>
        </w:rPr>
        <w:t>招标人应组建招标监督小组，对招标投标活动全过程进行监督。</w:t>
      </w:r>
    </w:p>
    <w:p w14:paraId="29F60803">
      <w:pPr>
        <w:pStyle w:val="2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rPr>
      </w:pPr>
    </w:p>
    <w:p w14:paraId="740499E0">
      <w:pPr>
        <w:keepNext w:val="0"/>
        <w:keepLines w:val="0"/>
        <w:pageBreakBefore w:val="0"/>
        <w:kinsoku/>
        <w:wordWrap/>
        <w:overflowPunct/>
        <w:topLinePunct w:val="0"/>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lang w:val="en-US" w:eastAsia="zh-CN"/>
        </w:rPr>
        <w:t>2</w:t>
      </w:r>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eastAsia="zh-CN"/>
        </w:rPr>
        <w:t>定标办法</w:t>
      </w:r>
    </w:p>
    <w:p w14:paraId="2CE06FD3">
      <w:pPr>
        <w:keepNext w:val="0"/>
        <w:keepLines w:val="0"/>
        <w:pageBreakBefore w:val="0"/>
        <w:kinsoku/>
        <w:wordWrap/>
        <w:overflowPunct/>
        <w:topLinePunct w:val="0"/>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bidi="ar-SA"/>
        </w:rPr>
      </w:pPr>
      <w:r>
        <w:rPr>
          <w:rFonts w:hint="eastAsia" w:ascii="宋体" w:hAnsi="宋体" w:eastAsia="宋体" w:cs="宋体"/>
          <w:strike w:val="0"/>
          <w:dstrike w:val="0"/>
          <w:color w:val="auto"/>
          <w:kern w:val="2"/>
          <w:sz w:val="24"/>
          <w:szCs w:val="24"/>
          <w:highlight w:val="none"/>
          <w:u w:val="none"/>
          <w:lang w:val="en-US" w:eastAsia="zh-CN" w:bidi="ar-SA"/>
        </w:rPr>
        <w:t>本项目定标办法由招标人按本投标人须知前附表的规定确定（只能选定其中一种定标办法）。</w:t>
      </w:r>
    </w:p>
    <w:p w14:paraId="253CF42B">
      <w:pPr>
        <w:keepNext w:val="0"/>
        <w:keepLines w:val="0"/>
        <w:pageBreakBefore w:val="0"/>
        <w:kinsoku/>
        <w:wordWrap/>
        <w:overflowPunct/>
        <w:topLinePunct w:val="0"/>
        <w:autoSpaceDE/>
        <w:autoSpaceDN/>
        <w:bidi w:val="0"/>
        <w:adjustRightInd/>
        <w:snapToGrid/>
        <w:spacing w:line="360" w:lineRule="auto"/>
        <w:ind w:firstLine="422" w:firstLineChars="150"/>
        <w:jc w:val="center"/>
        <w:textAlignment w:val="auto"/>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票决数量法</w:t>
      </w:r>
    </w:p>
    <w:p w14:paraId="736AD37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本项目采用票决数量法定标。</w:t>
      </w:r>
    </w:p>
    <w:p w14:paraId="12BFC2B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一、票决数量法程序</w:t>
      </w:r>
    </w:p>
    <w:p w14:paraId="10C5F52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i w:val="0"/>
          <w:snapToGrid/>
          <w:color w:val="auto"/>
          <w:sz w:val="24"/>
          <w:szCs w:val="24"/>
          <w:highlight w:val="none"/>
          <w:u w:val="none"/>
          <w:shd w:val="clear" w:color="auto" w:fill="FFFFFF"/>
          <w:lang w:eastAsia="zh-CN"/>
        </w:rPr>
        <w:t>定标委员会根据定标因素对定标候选人进行评审比较后，每名定标委员会成员</w:t>
      </w:r>
      <w:r>
        <w:rPr>
          <w:rFonts w:hint="eastAsia" w:ascii="宋体" w:hAnsi="宋体" w:eastAsia="宋体" w:cs="宋体"/>
          <w:color w:val="auto"/>
          <w:sz w:val="24"/>
          <w:szCs w:val="24"/>
          <w:highlight w:val="none"/>
          <w:u w:val="none"/>
          <w:lang w:val="en-US" w:eastAsia="zh-CN"/>
        </w:rPr>
        <w:t>有且仅有投出1票的权利，1票只能投1名定标候选人，</w:t>
      </w:r>
      <w:r>
        <w:rPr>
          <w:rFonts w:hint="eastAsia" w:ascii="宋体" w:hAnsi="宋体" w:eastAsia="宋体" w:cs="宋体"/>
          <w:b w:val="0"/>
          <w:i w:val="0"/>
          <w:snapToGrid/>
          <w:color w:val="auto"/>
          <w:sz w:val="24"/>
          <w:szCs w:val="24"/>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4"/>
          <w:szCs w:val="24"/>
          <w:highlight w:val="none"/>
          <w:u w:val="none"/>
          <w:lang w:val="en-US" w:eastAsia="zh-CN"/>
        </w:rPr>
        <w:t>若第一轮投票中前三名中标候选人有</w:t>
      </w:r>
      <w:r>
        <w:rPr>
          <w:rFonts w:hint="eastAsia" w:ascii="宋体" w:hAnsi="宋体" w:eastAsia="宋体" w:cs="宋体"/>
          <w:color w:val="auto"/>
          <w:sz w:val="24"/>
          <w:szCs w:val="24"/>
          <w:highlight w:val="none"/>
          <w:u w:val="none"/>
          <w:shd w:val="clear" w:color="auto" w:fill="FFFFFF"/>
          <w:lang w:val="en-US" w:eastAsia="zh-CN"/>
        </w:rPr>
        <w:t>得票相同且影响中标候选人排序确定的，由定标委员会对总票数相同的单位进行再次票决确定排序,</w:t>
      </w:r>
      <w:r>
        <w:rPr>
          <w:rFonts w:hint="eastAsia" w:ascii="宋体" w:hAnsi="宋体" w:eastAsia="宋体" w:cs="宋体"/>
          <w:color w:val="auto"/>
          <w:sz w:val="24"/>
          <w:szCs w:val="24"/>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snapToGrid/>
          <w:color w:val="auto"/>
          <w:sz w:val="24"/>
          <w:szCs w:val="24"/>
          <w:highlight w:val="none"/>
          <w:u w:val="none"/>
          <w:shd w:val="clear" w:color="auto" w:fill="FFFFFF"/>
          <w:lang w:eastAsia="zh-CN"/>
        </w:rPr>
        <w:t>票决采用记名方式并注明投票理由。</w:t>
      </w:r>
    </w:p>
    <w:p w14:paraId="3547033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w:t>
      </w:r>
      <w:r>
        <w:rPr>
          <w:rFonts w:hint="eastAsia" w:ascii="宋体" w:hAnsi="宋体" w:eastAsia="宋体" w:cs="宋体"/>
          <w:b/>
          <w:bCs/>
          <w:color w:val="auto"/>
          <w:sz w:val="24"/>
          <w:szCs w:val="24"/>
          <w:highlight w:val="none"/>
          <w:u w:val="none"/>
          <w:shd w:val="clear" w:color="auto" w:fill="FFFFFF"/>
        </w:rPr>
        <w:t>项目情况介绍</w:t>
      </w:r>
    </w:p>
    <w:p w14:paraId="223F516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招标人代表介绍项目的概况及招标要求，以及定标方法与定标工作规则，不得发表具有倾向性的言论。</w:t>
      </w:r>
    </w:p>
    <w:p w14:paraId="46C95E3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（2）</w:t>
      </w:r>
      <w:r>
        <w:rPr>
          <w:rFonts w:hint="eastAsia" w:ascii="宋体" w:hAnsi="宋体" w:eastAsia="宋体" w:cs="宋体"/>
          <w:b/>
          <w:bCs/>
          <w:color w:val="auto"/>
          <w:sz w:val="24"/>
          <w:szCs w:val="24"/>
          <w:highlight w:val="none"/>
          <w:u w:val="none"/>
          <w:shd w:val="clear" w:color="auto" w:fill="FFFFFF"/>
        </w:rPr>
        <w:t>审阅定标资料</w:t>
      </w:r>
    </w:p>
    <w:p w14:paraId="1D19888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定标委员会成员对各定标候选人的投标文件进行审阅，审阅内容主要是定标工作规则所规定的定标因素，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14:paraId="03238207">
      <w:pPr>
        <w:pStyle w:val="28"/>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（3）</w:t>
      </w:r>
      <w:r>
        <w:rPr>
          <w:rFonts w:hint="eastAsia" w:ascii="宋体" w:hAnsi="宋体" w:eastAsia="宋体" w:cs="宋体"/>
          <w:b/>
          <w:bCs/>
          <w:color w:val="auto"/>
          <w:sz w:val="24"/>
          <w:szCs w:val="24"/>
          <w:highlight w:val="none"/>
          <w:u w:val="none"/>
          <w:shd w:val="clear" w:color="auto" w:fill="FFFFFF"/>
        </w:rPr>
        <w:t>疑问澄清</w:t>
      </w:r>
    </w:p>
    <w:p w14:paraId="291591F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5F1C445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spacing w:val="0"/>
          <w:position w:val="0"/>
          <w:sz w:val="24"/>
          <w:szCs w:val="24"/>
          <w:highlight w:val="none"/>
          <w:u w:val="none" w:color="auto"/>
          <w:lang w:val="en-US" w:eastAsia="zh-CN"/>
        </w:rPr>
        <w:t>（4）</w:t>
      </w:r>
      <w:r>
        <w:rPr>
          <w:rFonts w:hint="eastAsia" w:ascii="宋体" w:hAnsi="宋体" w:eastAsia="宋体" w:cs="宋体"/>
          <w:b/>
          <w:bCs/>
          <w:color w:val="auto"/>
          <w:kern w:val="0"/>
          <w:sz w:val="24"/>
          <w:szCs w:val="24"/>
          <w:highlight w:val="none"/>
          <w:u w:val="none"/>
          <w:shd w:val="clear" w:color="auto" w:fill="FFFFFF"/>
          <w:lang w:val="en-US" w:eastAsia="zh-CN" w:bidi="ar-SA"/>
        </w:rPr>
        <w:t>投票，收票，点票和汇总</w:t>
      </w:r>
    </w:p>
    <w:p w14:paraId="41B5A9E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735E575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spacing w:val="0"/>
          <w:position w:val="0"/>
          <w:sz w:val="24"/>
          <w:szCs w:val="24"/>
          <w:highlight w:val="none"/>
          <w:u w:val="none" w:color="auto"/>
          <w:lang w:val="en-US" w:eastAsia="zh-CN"/>
        </w:rPr>
        <w:t>（5）</w:t>
      </w:r>
      <w:r>
        <w:rPr>
          <w:rFonts w:hint="eastAsia" w:ascii="宋体" w:hAnsi="宋体" w:eastAsia="宋体" w:cs="宋体"/>
          <w:b/>
          <w:bCs/>
          <w:color w:val="auto"/>
          <w:kern w:val="0"/>
          <w:sz w:val="24"/>
          <w:szCs w:val="24"/>
          <w:highlight w:val="none"/>
          <w:u w:val="none"/>
          <w:shd w:val="clear" w:color="auto" w:fill="FFFFFF"/>
          <w:lang w:val="en-US" w:eastAsia="zh-CN" w:bidi="ar-SA"/>
        </w:rPr>
        <w:t>公布结果和出具定标报告</w:t>
      </w:r>
    </w:p>
    <w:p w14:paraId="3A1ACD4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14:paraId="38F8E02C">
      <w:pPr>
        <w:pStyle w:val="28"/>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（6）</w:t>
      </w:r>
      <w:r>
        <w:rPr>
          <w:rFonts w:hint="eastAsia" w:ascii="宋体" w:hAnsi="宋体" w:eastAsia="宋体" w:cs="宋体"/>
          <w:b/>
          <w:bCs/>
          <w:color w:val="auto"/>
          <w:sz w:val="24"/>
          <w:szCs w:val="24"/>
          <w:highlight w:val="none"/>
          <w:u w:val="none"/>
          <w:shd w:val="clear" w:color="auto" w:fill="FFFFFF"/>
        </w:rPr>
        <w:t>全程监督</w:t>
      </w:r>
    </w:p>
    <w:p w14:paraId="29C2AAE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14:paraId="55B5A5C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二、定标因素</w:t>
      </w:r>
      <w:r>
        <w:rPr>
          <w:rFonts w:hint="eastAsia" w:hAnsi="宋体" w:eastAsia="宋体" w:cs="宋体"/>
          <w:b/>
          <w:bCs/>
          <w:color w:val="auto"/>
          <w:spacing w:val="0"/>
          <w:position w:val="0"/>
          <w:sz w:val="24"/>
          <w:szCs w:val="24"/>
          <w:highlight w:val="none"/>
          <w:u w:val="none" w:color="auto"/>
          <w:lang w:val="en-US" w:eastAsia="zh-CN"/>
        </w:rPr>
        <w:t>（需提供相关佐证材料）</w:t>
      </w:r>
    </w:p>
    <w:p w14:paraId="4256983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14:paraId="22598B0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kern w:val="2"/>
          <w:position w:val="0"/>
          <w:sz w:val="24"/>
          <w:szCs w:val="24"/>
          <w:highlight w:val="none"/>
          <w:u w:color="auto"/>
          <w:lang w:val="en-US" w:eastAsia="zh-CN" w:bidi="ar-SA"/>
        </w:rPr>
        <w:t>（1）</w:t>
      </w:r>
      <w:r>
        <w:rPr>
          <w:rFonts w:hint="eastAsia" w:ascii="宋体" w:hAnsi="宋体" w:eastAsia="宋体" w:cs="宋体"/>
          <w:b w:val="0"/>
          <w:bCs w:val="0"/>
          <w:color w:val="auto"/>
          <w:spacing w:val="0"/>
          <w:position w:val="0"/>
          <w:sz w:val="24"/>
          <w:szCs w:val="24"/>
          <w:highlight w:val="none"/>
          <w:u w:val="none" w:color="auto"/>
          <w:lang w:val="en-US" w:eastAsia="zh-CN"/>
        </w:rPr>
        <w:t>拟派团队管理能力与水平（履约能力）</w:t>
      </w:r>
    </w:p>
    <w:p w14:paraId="240F4E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相对标准：拟派团队管理能力与水平（履约能力）强的定标候选人优于拟派团队管理能力与水平（履约能力）一般的定标候选人。</w:t>
      </w:r>
    </w:p>
    <w:p w14:paraId="17756C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kern w:val="2"/>
          <w:position w:val="0"/>
          <w:sz w:val="24"/>
          <w:szCs w:val="24"/>
          <w:highlight w:val="none"/>
          <w:u w:color="auto"/>
          <w:lang w:val="en-US" w:eastAsia="zh-CN" w:bidi="ar-SA"/>
        </w:rPr>
        <w:t>（2）</w:t>
      </w:r>
      <w:r>
        <w:rPr>
          <w:rFonts w:hint="eastAsia" w:ascii="宋体" w:hAnsi="宋体" w:eastAsia="宋体" w:cs="宋体"/>
          <w:b w:val="0"/>
          <w:bCs w:val="0"/>
          <w:color w:val="auto"/>
          <w:spacing w:val="0"/>
          <w:position w:val="0"/>
          <w:sz w:val="24"/>
          <w:szCs w:val="24"/>
          <w:highlight w:val="none"/>
          <w:u w:val="none" w:color="auto"/>
          <w:lang w:val="en-US" w:eastAsia="zh-CN"/>
        </w:rPr>
        <w:t>企业信誉</w:t>
      </w:r>
      <w:r>
        <w:rPr>
          <w:rFonts w:hint="eastAsia" w:hAnsi="宋体" w:eastAsia="宋体" w:cs="宋体"/>
          <w:b w:val="0"/>
          <w:bCs w:val="0"/>
          <w:color w:val="auto"/>
          <w:spacing w:val="0"/>
          <w:position w:val="0"/>
          <w:sz w:val="24"/>
          <w:szCs w:val="24"/>
          <w:highlight w:val="none"/>
          <w:u w:val="none" w:color="auto"/>
          <w:lang w:val="en-US" w:eastAsia="zh-CN"/>
        </w:rPr>
        <w:t>和荣誉</w:t>
      </w:r>
    </w:p>
    <w:p w14:paraId="5939A5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相对标准：企业信誉和荣誉评价好的定标候选人优于企业信誉和荣誉评价一般的定标候选人。</w:t>
      </w:r>
    </w:p>
    <w:p w14:paraId="3DFCBB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b w:val="0"/>
          <w:bCs w:val="0"/>
          <w:color w:val="auto"/>
          <w:spacing w:val="0"/>
          <w:position w:val="0"/>
          <w:sz w:val="24"/>
          <w:szCs w:val="24"/>
          <w:highlight w:val="none"/>
          <w:u w:val="none" w:color="auto"/>
          <w:lang w:val="en-US" w:eastAsia="zh-CN"/>
        </w:rPr>
        <w:t>技术方案</w:t>
      </w:r>
    </w:p>
    <w:p w14:paraId="64D25A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jc w:val="both"/>
        <w:textAlignment w:val="auto"/>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相对标准：技术方案优良的定标候选人优于技术方案一般的定标候选人。</w:t>
      </w:r>
    </w:p>
    <w:p w14:paraId="3B0FD2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kern w:val="2"/>
          <w:position w:val="0"/>
          <w:sz w:val="24"/>
          <w:szCs w:val="24"/>
          <w:highlight w:val="none"/>
          <w:u w:color="auto"/>
          <w:lang w:val="en-US" w:eastAsia="zh-CN" w:bidi="ar-SA"/>
        </w:rPr>
        <w:t>（4）</w:t>
      </w:r>
      <w:r>
        <w:rPr>
          <w:rFonts w:hint="eastAsia" w:ascii="宋体" w:hAnsi="宋体" w:eastAsia="宋体" w:cs="宋体"/>
          <w:b w:val="0"/>
          <w:bCs w:val="0"/>
          <w:color w:val="auto"/>
          <w:spacing w:val="0"/>
          <w:position w:val="0"/>
          <w:sz w:val="24"/>
          <w:szCs w:val="24"/>
          <w:highlight w:val="none"/>
          <w:u w:val="none" w:color="auto"/>
          <w:lang w:val="en-US" w:eastAsia="zh-CN"/>
        </w:rPr>
        <w:t>评标报告</w:t>
      </w:r>
    </w:p>
    <w:p w14:paraId="3BE4B9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73BCCE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kern w:val="2"/>
          <w:position w:val="0"/>
          <w:sz w:val="24"/>
          <w:szCs w:val="24"/>
          <w:highlight w:val="none"/>
          <w:u w:color="auto"/>
          <w:lang w:val="en-US" w:eastAsia="zh-CN" w:bidi="ar-SA"/>
        </w:rPr>
        <w:t>（5）</w:t>
      </w:r>
      <w:r>
        <w:rPr>
          <w:rFonts w:hint="eastAsia" w:ascii="宋体" w:hAnsi="宋体" w:eastAsia="宋体" w:cs="宋体"/>
          <w:b w:val="0"/>
          <w:bCs w:val="0"/>
          <w:color w:val="auto"/>
          <w:spacing w:val="0"/>
          <w:position w:val="0"/>
          <w:sz w:val="24"/>
          <w:szCs w:val="24"/>
          <w:highlight w:val="none"/>
          <w:u w:val="none" w:color="auto"/>
          <w:lang w:val="en-US" w:eastAsia="zh-CN"/>
        </w:rPr>
        <w:t>农民工工资保障情况</w:t>
      </w:r>
    </w:p>
    <w:p w14:paraId="498162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hAnsi="宋体" w:eastAsia="宋体" w:cs="宋体"/>
          <w:b w:val="0"/>
          <w:bCs w:val="0"/>
          <w:color w:val="auto"/>
          <w:spacing w:val="0"/>
          <w:position w:val="0"/>
          <w:sz w:val="24"/>
          <w:szCs w:val="24"/>
          <w:highlight w:val="none"/>
          <w:u w:val="none" w:color="auto"/>
          <w:lang w:val="en-US" w:eastAsia="zh-CN"/>
        </w:rPr>
      </w:pPr>
      <w:r>
        <w:rPr>
          <w:rFonts w:hint="eastAsia" w:hAnsi="宋体" w:eastAsia="宋体" w:cs="宋体"/>
          <w:b w:val="0"/>
          <w:bCs w:val="0"/>
          <w:color w:val="auto"/>
          <w:spacing w:val="0"/>
          <w:position w:val="0"/>
          <w:sz w:val="24"/>
          <w:szCs w:val="24"/>
          <w:highlight w:val="none"/>
          <w:u w:val="none" w:color="auto"/>
          <w:lang w:val="en-US" w:eastAsia="zh-CN"/>
        </w:rPr>
        <w:t>相对标准：农民工工资保障情况好的定标候选人优于农民工工资保障情况差的定标候选人（结合定标候选人提交的证明材料和招标人查询的材料进行评审）。</w:t>
      </w:r>
    </w:p>
    <w:p w14:paraId="5FD7C84E">
      <w:pPr>
        <w:keepNext w:val="0"/>
        <w:keepLines w:val="0"/>
        <w:pageBreakBefore w:val="0"/>
        <w:widowControl w:val="0"/>
        <w:kinsoku/>
        <w:wordWrap/>
        <w:overflowPunct/>
        <w:topLinePunct w:val="0"/>
        <w:autoSpaceDE/>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rPr>
        <w:t>3.</w:t>
      </w:r>
      <w:r>
        <w:rPr>
          <w:rFonts w:hint="eastAsia" w:ascii="宋体" w:hAnsi="宋体" w:eastAsia="宋体" w:cs="宋体"/>
          <w:b/>
          <w:color w:val="auto"/>
          <w:sz w:val="24"/>
          <w:highlight w:val="none"/>
          <w:lang w:val="en-US" w:eastAsia="zh-CN"/>
        </w:rPr>
        <w:t>定标结果</w:t>
      </w:r>
      <w:r>
        <w:rPr>
          <w:rFonts w:hint="eastAsia" w:ascii="宋体" w:hAnsi="宋体" w:eastAsia="宋体" w:cs="宋体"/>
          <w:b/>
          <w:color w:val="auto"/>
          <w:sz w:val="24"/>
          <w:highlight w:val="none"/>
        </w:rPr>
        <w:t>公示</w:t>
      </w:r>
    </w:p>
    <w:p w14:paraId="31FB9B8C">
      <w:pPr>
        <w:shd w:val="clear" w:color="auto" w:fill="auto"/>
        <w:wordWrap w:val="0"/>
        <w:adjustRightInd w:val="0"/>
        <w:snapToGrid w:val="0"/>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strike w:val="0"/>
          <w:dstrike w:val="0"/>
          <w:color w:val="auto"/>
          <w:kern w:val="2"/>
          <w:sz w:val="24"/>
          <w:szCs w:val="24"/>
          <w:highlight w:val="none"/>
          <w:u w:val="none"/>
          <w:lang w:val="en-US" w:eastAsia="zh-CN" w:bidi="ar-SA"/>
        </w:rPr>
        <w:t>定标委员会完成定标后，招标人应于定标会结束后3个工作日内将中标候选人和定标情况在广东省招标投标监管网和全国公共资源交易平台（广东省·韶关市）网上公示，公示时间不少于3个工作日。公示主要内容包括：定标报告（定标成员信息除外）、中标人名单、中标价和拟投入本项目的项目负责人、技术负责人及各专业负责人（如有）等内容。</w:t>
      </w:r>
    </w:p>
    <w:p w14:paraId="716AA2B1">
      <w:pPr>
        <w:keepNext w:val="0"/>
        <w:keepLines w:val="0"/>
        <w:pageBreakBefore w:val="0"/>
        <w:shd w:val="clear" w:color="auto" w:fill="auto"/>
        <w:kinsoku/>
        <w:wordWrap/>
        <w:overflowPunct/>
        <w:topLinePunct w:val="0"/>
        <w:bidi w:val="0"/>
        <w:adjustRightInd/>
        <w:snapToGrid/>
        <w:spacing w:line="360" w:lineRule="auto"/>
        <w:ind w:left="0" w:leftChars="0" w:firstLine="482"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.中标人确定</w:t>
      </w:r>
    </w:p>
    <w:p w14:paraId="27231C1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color w:val="auto"/>
          <w:kern w:val="2"/>
          <w:highlight w:val="none"/>
          <w:u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.1 中标</w:t>
      </w:r>
      <w:r>
        <w:rPr>
          <w:rFonts w:hint="eastAsia" w:ascii="宋体" w:hAnsi="宋体" w:eastAsia="宋体" w:cs="宋体"/>
          <w:color w:val="auto"/>
          <w:sz w:val="24"/>
          <w:highlight w:val="none"/>
          <w:lang w:eastAsia="zh-CN"/>
        </w:rPr>
        <w:t>候选人</w:t>
      </w:r>
      <w:r>
        <w:rPr>
          <w:rFonts w:hint="eastAsia" w:ascii="宋体" w:hAnsi="宋体" w:eastAsia="宋体" w:cs="宋体"/>
          <w:color w:val="auto"/>
          <w:sz w:val="24"/>
          <w:highlight w:val="none"/>
        </w:rPr>
        <w:t>公示期满无异议的，招标人确认</w:t>
      </w:r>
      <w:r>
        <w:rPr>
          <w:rFonts w:hint="eastAsia" w:ascii="宋体" w:hAnsi="宋体" w:eastAsia="宋体" w:cs="宋体"/>
          <w:strike w:val="0"/>
          <w:dstrike w:val="0"/>
          <w:color w:val="auto"/>
          <w:sz w:val="24"/>
          <w:highlight w:val="none"/>
        </w:rPr>
        <w:t>排名第一的</w:t>
      </w:r>
      <w:r>
        <w:rPr>
          <w:rFonts w:hint="eastAsia" w:ascii="宋体" w:hAnsi="宋体" w:eastAsia="宋体" w:cs="宋体"/>
          <w:color w:val="auto"/>
          <w:sz w:val="24"/>
          <w:highlight w:val="none"/>
        </w:rPr>
        <w:t>中标候选人为中标人，中标人的投标报价即为中标价。</w:t>
      </w:r>
    </w:p>
    <w:p w14:paraId="0087A75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b/>
          <w:bCs/>
          <w:color w:val="auto"/>
          <w:sz w:val="24"/>
          <w:highlight w:val="none"/>
          <w:lang w:val="en-US" w:eastAsia="zh-CN"/>
        </w:rPr>
        <w:t>5</w:t>
      </w:r>
      <w:r>
        <w:rPr>
          <w:rFonts w:hint="eastAsia" w:ascii="宋体" w:hAnsi="宋体" w:eastAsia="宋体" w:cs="宋体"/>
          <w:b/>
          <w:bCs/>
          <w:color w:val="auto"/>
          <w:sz w:val="24"/>
          <w:highlight w:val="none"/>
        </w:rPr>
        <w:t>.</w:t>
      </w:r>
      <w:r>
        <w:rPr>
          <w:rFonts w:hint="eastAsia" w:ascii="宋体" w:hAnsi="宋体" w:eastAsia="宋体" w:cs="宋体"/>
          <w:b/>
          <w:bCs/>
          <w:color w:val="auto"/>
          <w:sz w:val="24"/>
          <w:highlight w:val="none"/>
          <w:lang w:eastAsia="zh-CN"/>
        </w:rPr>
        <w:t>异议和投诉</w:t>
      </w:r>
    </w:p>
    <w:p w14:paraId="4AFD89C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 xml:space="preserve"> 投标人或者其他利害关系人对招标项目的</w:t>
      </w:r>
      <w:r>
        <w:rPr>
          <w:rFonts w:hint="eastAsia" w:ascii="宋体" w:hAnsi="宋体" w:eastAsia="宋体" w:cs="宋体"/>
          <w:color w:val="auto"/>
          <w:sz w:val="24"/>
          <w:highlight w:val="none"/>
          <w:lang w:eastAsia="zh-CN"/>
        </w:rPr>
        <w:t>评</w:t>
      </w:r>
      <w:r>
        <w:rPr>
          <w:rFonts w:hint="eastAsia" w:ascii="宋体" w:hAnsi="宋体" w:eastAsia="宋体" w:cs="宋体"/>
          <w:color w:val="auto"/>
          <w:sz w:val="24"/>
          <w:highlight w:val="none"/>
        </w:rPr>
        <w:t>标</w:t>
      </w:r>
      <w:r>
        <w:rPr>
          <w:rFonts w:hint="eastAsia" w:ascii="宋体" w:hAnsi="宋体" w:eastAsia="宋体" w:cs="宋体"/>
          <w:color w:val="auto"/>
          <w:sz w:val="24"/>
          <w:highlight w:val="none"/>
          <w:lang w:eastAsia="zh-CN"/>
        </w:rPr>
        <w:t>和中标</w:t>
      </w:r>
      <w:r>
        <w:rPr>
          <w:rFonts w:hint="eastAsia" w:ascii="宋体" w:hAnsi="宋体" w:eastAsia="宋体" w:cs="宋体"/>
          <w:color w:val="auto"/>
          <w:sz w:val="24"/>
          <w:highlight w:val="none"/>
        </w:rPr>
        <w:t>结果有异议的，应当在</w:t>
      </w:r>
      <w:r>
        <w:rPr>
          <w:rFonts w:hint="eastAsia" w:ascii="宋体" w:hAnsi="宋体" w:eastAsia="宋体" w:cs="宋体"/>
          <w:b w:val="0"/>
          <w:bCs w:val="0"/>
          <w:color w:val="auto"/>
          <w:spacing w:val="0"/>
          <w:position w:val="0"/>
          <w:sz w:val="24"/>
          <w:szCs w:val="24"/>
          <w:highlight w:val="none"/>
          <w:u w:val="none" w:color="auto"/>
          <w:lang w:val="en-US" w:eastAsia="zh-CN"/>
        </w:rPr>
        <w:t>定标候选人和中标候选人</w:t>
      </w:r>
      <w:r>
        <w:rPr>
          <w:rFonts w:hint="eastAsia" w:ascii="宋体" w:hAnsi="宋体" w:eastAsia="宋体" w:cs="宋体"/>
          <w:color w:val="auto"/>
          <w:sz w:val="24"/>
          <w:highlight w:val="none"/>
        </w:rPr>
        <w:t>公示期</w:t>
      </w:r>
      <w:r>
        <w:rPr>
          <w:rFonts w:hint="eastAsia" w:ascii="宋体" w:hAnsi="宋体" w:eastAsia="宋体" w:cs="宋体"/>
          <w:color w:val="auto"/>
          <w:sz w:val="24"/>
          <w:highlight w:val="none"/>
          <w:lang w:eastAsia="zh-CN"/>
        </w:rPr>
        <w:t>间按规定</w:t>
      </w:r>
      <w:r>
        <w:rPr>
          <w:rFonts w:hint="eastAsia" w:ascii="宋体" w:hAnsi="宋体" w:eastAsia="宋体" w:cs="宋体"/>
          <w:color w:val="auto"/>
          <w:sz w:val="24"/>
          <w:highlight w:val="none"/>
        </w:rPr>
        <w:t>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法审〔2020〕19 号）执行。如通过交易服务平台提出异议，投标人必须上传提交异议书扫描件（作为附件），异议书格式内容按照《韶关市工程建设项目招标投标活动异议和投诉处理办法》（韶法审〔2020〕19 号）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690CA0C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kern w:val="0"/>
          <w:sz w:val="24"/>
          <w:szCs w:val="24"/>
          <w:highlight w:val="none"/>
        </w:rPr>
        <w:t>在</w:t>
      </w:r>
      <w:r>
        <w:rPr>
          <w:rFonts w:hint="eastAsia" w:ascii="宋体" w:hAnsi="宋体" w:eastAsia="宋体" w:cs="宋体"/>
          <w:b w:val="0"/>
          <w:bCs w:val="0"/>
          <w:color w:val="auto"/>
          <w:spacing w:val="0"/>
          <w:position w:val="0"/>
          <w:sz w:val="24"/>
          <w:szCs w:val="24"/>
          <w:highlight w:val="none"/>
          <w:u w:val="none" w:color="auto"/>
          <w:lang w:val="en-US" w:eastAsia="zh-CN"/>
        </w:rPr>
        <w:t>定标候选人和中标候选人</w:t>
      </w:r>
      <w:r>
        <w:rPr>
          <w:rFonts w:hint="eastAsia" w:ascii="宋体" w:hAnsi="宋体" w:eastAsia="宋体" w:cs="宋体"/>
          <w:color w:val="auto"/>
          <w:kern w:val="0"/>
          <w:sz w:val="24"/>
          <w:szCs w:val="24"/>
          <w:highlight w:val="none"/>
        </w:rPr>
        <w:t>公示期间有关评标结果的异议成立的，招标人</w:t>
      </w:r>
      <w:r>
        <w:rPr>
          <w:rFonts w:hint="eastAsia" w:ascii="宋体" w:hAnsi="宋体" w:eastAsia="宋体" w:cs="宋体"/>
          <w:color w:val="auto"/>
          <w:kern w:val="0"/>
          <w:sz w:val="24"/>
          <w:szCs w:val="24"/>
          <w:highlight w:val="none"/>
          <w:lang w:eastAsia="zh-CN"/>
        </w:rPr>
        <w:t>原则上</w:t>
      </w:r>
      <w:r>
        <w:rPr>
          <w:rFonts w:hint="eastAsia" w:ascii="宋体" w:hAnsi="宋体" w:eastAsia="宋体" w:cs="宋体"/>
          <w:color w:val="auto"/>
          <w:kern w:val="0"/>
          <w:sz w:val="24"/>
          <w:szCs w:val="24"/>
          <w:highlight w:val="none"/>
        </w:rPr>
        <w:t>应当组织原评标委员会</w:t>
      </w:r>
      <w:r>
        <w:rPr>
          <w:rFonts w:hint="eastAsia" w:ascii="宋体" w:hAnsi="宋体" w:eastAsia="宋体" w:cs="宋体"/>
          <w:color w:val="auto"/>
          <w:kern w:val="0"/>
          <w:sz w:val="24"/>
          <w:szCs w:val="24"/>
          <w:highlight w:val="none"/>
          <w:lang w:eastAsia="zh-CN"/>
        </w:rPr>
        <w:t>和原定标委员会</w:t>
      </w:r>
      <w:r>
        <w:rPr>
          <w:rFonts w:hint="eastAsia" w:ascii="宋体" w:hAnsi="宋体" w:eastAsia="宋体" w:cs="宋体"/>
          <w:color w:val="auto"/>
          <w:kern w:val="0"/>
          <w:sz w:val="24"/>
          <w:szCs w:val="24"/>
          <w:highlight w:val="none"/>
        </w:rPr>
        <w:t>对有关的问题予以纠正，问题纠正后再公示</w:t>
      </w:r>
      <w:r>
        <w:rPr>
          <w:rFonts w:hint="eastAsia" w:ascii="宋体" w:hAnsi="宋体" w:eastAsia="宋体" w:cs="宋体"/>
          <w:color w:val="auto"/>
          <w:kern w:val="0"/>
          <w:sz w:val="24"/>
          <w:szCs w:val="24"/>
          <w:highlight w:val="none"/>
          <w:lang w:eastAsia="zh-CN"/>
        </w:rPr>
        <w:t>定标候选人和</w:t>
      </w:r>
      <w:r>
        <w:rPr>
          <w:rFonts w:hint="eastAsia" w:ascii="宋体" w:hAnsi="宋体" w:eastAsia="宋体" w:cs="宋体"/>
          <w:color w:val="auto"/>
          <w:kern w:val="0"/>
          <w:sz w:val="24"/>
          <w:szCs w:val="24"/>
          <w:highlight w:val="none"/>
        </w:rPr>
        <w:t>中标候选人。</w:t>
      </w:r>
    </w:p>
    <w:p w14:paraId="4B70D4B1">
      <w:pPr>
        <w:pStyle w:val="13"/>
        <w:spacing w:line="360" w:lineRule="auto"/>
        <w:rPr>
          <w:rFonts w:hint="eastAsia"/>
          <w:color w:val="auto"/>
          <w:highlight w:val="none"/>
        </w:rPr>
        <w:sectPr>
          <w:endnotePr>
            <w:numFmt w:val="decimal"/>
          </w:endnotePr>
          <w:pgSz w:w="11905" w:h="16838"/>
          <w:pgMar w:top="1134" w:right="1134" w:bottom="1134" w:left="1134" w:header="850" w:footer="992" w:gutter="0"/>
          <w:pgNumType w:fmt="decimal"/>
          <w:cols w:space="0" w:num="1"/>
          <w:rtlGutter w:val="0"/>
          <w:docGrid w:linePitch="327" w:charSpace="0"/>
        </w:sectPr>
      </w:pPr>
    </w:p>
    <w:p w14:paraId="2680555D">
      <w:pPr>
        <w:pStyle w:val="48"/>
        <w:keepNext/>
        <w:keepLines/>
        <w:tabs>
          <w:tab w:val="left" w:pos="885"/>
        </w:tabs>
        <w:spacing w:line="360" w:lineRule="auto"/>
        <w:jc w:val="center"/>
        <w:rPr>
          <w:rFonts w:hint="eastAsia" w:asciiTheme="minorEastAsia" w:hAnsiTheme="minorEastAsia" w:eastAsiaTheme="minorEastAsia" w:cstheme="minorEastAsia"/>
          <w:b/>
          <w:color w:val="auto"/>
          <w:kern w:val="44"/>
          <w:sz w:val="36"/>
          <w:szCs w:val="36"/>
          <w:highlight w:val="none"/>
        </w:rPr>
      </w:pPr>
      <w:bookmarkStart w:id="296" w:name="_Toc13118"/>
      <w:r>
        <w:rPr>
          <w:rFonts w:hint="eastAsia" w:asciiTheme="minorEastAsia" w:hAnsiTheme="minorEastAsia" w:eastAsiaTheme="minorEastAsia" w:cstheme="minorEastAsia"/>
          <w:b/>
          <w:color w:val="auto"/>
          <w:kern w:val="44"/>
          <w:sz w:val="36"/>
          <w:szCs w:val="36"/>
          <w:highlight w:val="none"/>
        </w:rPr>
        <w:t>第二章</w:t>
      </w:r>
      <w:bookmarkStart w:id="297" w:name="_Hlt87793831"/>
      <w:bookmarkEnd w:id="297"/>
      <w:r>
        <w:rPr>
          <w:rFonts w:hint="eastAsia" w:asciiTheme="minorEastAsia" w:hAnsiTheme="minorEastAsia" w:eastAsiaTheme="minorEastAsia" w:cstheme="minorEastAsia"/>
          <w:b/>
          <w:color w:val="auto"/>
          <w:kern w:val="44"/>
          <w:sz w:val="36"/>
          <w:szCs w:val="36"/>
          <w:highlight w:val="none"/>
        </w:rPr>
        <w:t xml:space="preserve"> 拟签订合同的主要条款</w:t>
      </w:r>
      <w:bookmarkEnd w:id="281"/>
      <w:bookmarkEnd w:id="282"/>
      <w:bookmarkEnd w:id="283"/>
      <w:bookmarkEnd w:id="284"/>
      <w:bookmarkEnd w:id="285"/>
      <w:bookmarkEnd w:id="286"/>
      <w:bookmarkEnd w:id="287"/>
      <w:bookmarkEnd w:id="288"/>
      <w:bookmarkEnd w:id="296"/>
    </w:p>
    <w:p w14:paraId="028A984B">
      <w:pPr>
        <w:pStyle w:val="47"/>
        <w:spacing w:line="360" w:lineRule="auto"/>
        <w:rPr>
          <w:rFonts w:hint="eastAsia" w:asciiTheme="minorEastAsia" w:hAnsiTheme="minorEastAsia" w:eastAsiaTheme="minorEastAsia" w:cstheme="minorEastAsia"/>
          <w:color w:val="auto"/>
          <w:highlight w:val="none"/>
        </w:rPr>
      </w:pPr>
    </w:p>
    <w:bookmarkEnd w:id="289"/>
    <w:bookmarkEnd w:id="290"/>
    <w:p w14:paraId="5B0BC685">
      <w:pPr>
        <w:pStyle w:val="49"/>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298" w:name="_Toc326916629"/>
      <w:bookmarkStart w:id="299" w:name="_Toc322793288"/>
      <w:bookmarkStart w:id="300" w:name="_Toc19931"/>
      <w:bookmarkStart w:id="301" w:name="_Toc26552"/>
      <w:bookmarkStart w:id="302" w:name="_Toc22879"/>
      <w:bookmarkStart w:id="303" w:name="_Toc8407"/>
      <w:bookmarkStart w:id="304" w:name="_Toc28378"/>
      <w:bookmarkStart w:id="305" w:name="_Toc12651"/>
      <w:bookmarkStart w:id="306" w:name="_Toc7347"/>
      <w:bookmarkStart w:id="307" w:name="_Toc19637"/>
      <w:bookmarkStart w:id="308" w:name="_Toc18454"/>
      <w:bookmarkStart w:id="309" w:name="_Toc21667"/>
      <w:bookmarkStart w:id="310" w:name="_Hlt69698769"/>
      <w:bookmarkStart w:id="311" w:name="_Hlt69698722"/>
      <w:bookmarkStart w:id="312" w:name="_Hlt69698741"/>
      <w:r>
        <w:rPr>
          <w:rFonts w:hint="eastAsia" w:asciiTheme="minorEastAsia" w:hAnsiTheme="minorEastAsia" w:eastAsiaTheme="minorEastAsia" w:cstheme="minorEastAsia"/>
          <w:b/>
          <w:color w:val="auto"/>
          <w:kern w:val="2"/>
          <w:highlight w:val="none"/>
        </w:rPr>
        <w:t>1 工程承包方式</w:t>
      </w:r>
      <w:bookmarkEnd w:id="298"/>
      <w:bookmarkEnd w:id="299"/>
      <w:bookmarkEnd w:id="300"/>
      <w:bookmarkEnd w:id="301"/>
      <w:bookmarkEnd w:id="302"/>
      <w:bookmarkEnd w:id="303"/>
      <w:bookmarkEnd w:id="304"/>
      <w:bookmarkEnd w:id="305"/>
      <w:bookmarkEnd w:id="306"/>
      <w:bookmarkEnd w:id="307"/>
      <w:bookmarkEnd w:id="308"/>
      <w:bookmarkEnd w:id="309"/>
    </w:p>
    <w:p w14:paraId="127D77C7">
      <w:pPr>
        <w:pStyle w:val="47"/>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1.1承包人按中标价以总承包方式在规定的期限内对设计、施工（包工</w:t>
      </w:r>
      <w:bookmarkStart w:id="313" w:name="_Hlt87948212"/>
      <w:bookmarkEnd w:id="313"/>
      <w:r>
        <w:rPr>
          <w:rFonts w:hint="eastAsia" w:asciiTheme="minorEastAsia" w:hAnsiTheme="minorEastAsia" w:eastAsiaTheme="minorEastAsia" w:cstheme="minorEastAsia"/>
          <w:color w:val="auto"/>
          <w:highlight w:val="none"/>
        </w:rPr>
        <w:t>包料、包质量、包机械、包绿色安全文明施工、包工期等）进行总承包，不允许转包和违法分包，如承包人无相应专业资质，确需分包须与发包人协商并得到发包人和监理人同意并报工程主管部门备案。</w:t>
      </w:r>
    </w:p>
    <w:p w14:paraId="610509CE">
      <w:pPr>
        <w:pStyle w:val="47"/>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 包工包料：材料符合招标文件要求</w:t>
      </w:r>
      <w:r>
        <w:rPr>
          <w:rFonts w:hint="eastAsia" w:asciiTheme="minorEastAsia" w:hAnsiTheme="minorEastAsia" w:eastAsiaTheme="minorEastAsia" w:cstheme="minorEastAsia"/>
          <w:snapToGrid w:val="0"/>
          <w:color w:val="auto"/>
          <w:kern w:val="0"/>
          <w:highlight w:val="none"/>
        </w:rPr>
        <w:t>及合同的相关约定</w:t>
      </w:r>
      <w:r>
        <w:rPr>
          <w:rFonts w:hint="eastAsia" w:asciiTheme="minorEastAsia" w:hAnsiTheme="minorEastAsia" w:eastAsiaTheme="minorEastAsia" w:cstheme="minorEastAsia"/>
          <w:color w:val="auto"/>
          <w:highlight w:val="none"/>
        </w:rPr>
        <w:t>，报验使用；办理用工保险。</w:t>
      </w:r>
    </w:p>
    <w:p w14:paraId="6F1A281D">
      <w:pPr>
        <w:pStyle w:val="47"/>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1.1.2 包质量：符合招标文件要求</w:t>
      </w:r>
      <w:r>
        <w:rPr>
          <w:rFonts w:hint="eastAsia" w:asciiTheme="minorEastAsia" w:hAnsiTheme="minorEastAsia" w:eastAsiaTheme="minorEastAsia" w:cstheme="minorEastAsia"/>
          <w:color w:val="auto"/>
          <w:szCs w:val="24"/>
          <w:highlight w:val="none"/>
        </w:rPr>
        <w:t>及合同有关质量的相关约定</w:t>
      </w:r>
      <w:r>
        <w:rPr>
          <w:rFonts w:hint="eastAsia" w:asciiTheme="minorEastAsia" w:hAnsiTheme="minorEastAsia" w:eastAsiaTheme="minorEastAsia" w:cstheme="minorEastAsia"/>
          <w:color w:val="auto"/>
          <w:highlight w:val="none"/>
        </w:rPr>
        <w:t>。</w:t>
      </w:r>
    </w:p>
    <w:p w14:paraId="49CBA812">
      <w:pPr>
        <w:wordWrap w:val="0"/>
        <w:adjustRightInd w:val="0"/>
        <w:snapToGrid w:val="0"/>
        <w:spacing w:line="360" w:lineRule="auto"/>
        <w:ind w:firstLine="480" w:firstLineChars="200"/>
        <w:rPr>
          <w:rFonts w:hint="eastAsia" w:asciiTheme="minorEastAsia" w:hAnsiTheme="minorEastAsia" w:eastAsiaTheme="minorEastAsia" w:cstheme="minorEastAsia"/>
          <w:color w:val="auto"/>
          <w:szCs w:val="22"/>
          <w:highlight w:val="none"/>
        </w:rPr>
      </w:pPr>
      <w:r>
        <w:rPr>
          <w:rFonts w:hint="eastAsia" w:asciiTheme="minorEastAsia" w:hAnsiTheme="minorEastAsia" w:eastAsiaTheme="minorEastAsia" w:cstheme="minorEastAsia"/>
          <w:color w:val="auto"/>
          <w:szCs w:val="22"/>
          <w:highlight w:val="none"/>
        </w:rPr>
        <w:t>1.1.3 包安全包文明施工：符合国家及省、市的相关规定及招标文件、合同的相关约定要求。</w:t>
      </w:r>
    </w:p>
    <w:p w14:paraId="0721E94B">
      <w:pPr>
        <w:pStyle w:val="47"/>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1.1.4 包工期：</w:t>
      </w:r>
      <w:r>
        <w:rPr>
          <w:rFonts w:hint="eastAsia"/>
          <w:snapToGrid w:val="0"/>
          <w:color w:val="auto"/>
          <w:kern w:val="0"/>
          <w:szCs w:val="21"/>
          <w:highlight w:val="none"/>
        </w:rPr>
        <w:t>本招标工程</w:t>
      </w:r>
      <w:r>
        <w:rPr>
          <w:rFonts w:hint="eastAsia" w:ascii="宋体" w:hAnsi="宋体" w:cs="宋体"/>
          <w:bCs/>
          <w:color w:val="auto"/>
          <w:szCs w:val="21"/>
          <w:highlight w:val="none"/>
        </w:rPr>
        <w:t>设计、施工</w:t>
      </w:r>
      <w:r>
        <w:rPr>
          <w:rFonts w:hint="eastAsia"/>
          <w:snapToGrid w:val="0"/>
          <w:color w:val="auto"/>
          <w:kern w:val="0"/>
          <w:szCs w:val="21"/>
          <w:highlight w:val="none"/>
        </w:rPr>
        <w:t>必须在招标</w:t>
      </w:r>
      <w:r>
        <w:rPr>
          <w:rFonts w:hint="eastAsia"/>
          <w:snapToGrid w:val="0"/>
          <w:color w:val="auto"/>
          <w:kern w:val="0"/>
          <w:szCs w:val="21"/>
          <w:highlight w:val="none"/>
          <w:lang w:val="en-US" w:eastAsia="zh-CN"/>
        </w:rPr>
        <w:t>文件</w:t>
      </w:r>
      <w:r>
        <w:rPr>
          <w:rFonts w:hint="eastAsia" w:ascii="宋体" w:hAnsi="宋体" w:eastAsia="宋体" w:cs="宋体"/>
          <w:color w:val="auto"/>
          <w:highlight w:val="none"/>
        </w:rPr>
        <w:t>规定</w:t>
      </w:r>
      <w:r>
        <w:rPr>
          <w:rFonts w:hint="eastAsia" w:ascii="宋体" w:hAnsi="宋体" w:eastAsia="宋体" w:cs="宋体"/>
          <w:color w:val="auto"/>
          <w:highlight w:val="none"/>
          <w:lang w:val="en-US" w:eastAsia="zh-CN"/>
        </w:rPr>
        <w:t>的</w:t>
      </w:r>
      <w:r>
        <w:rPr>
          <w:rFonts w:hint="eastAsia"/>
          <w:snapToGrid w:val="0"/>
          <w:color w:val="auto"/>
          <w:kern w:val="0"/>
          <w:szCs w:val="21"/>
          <w:highlight w:val="none"/>
        </w:rPr>
        <w:t>工期内完成</w:t>
      </w:r>
      <w:r>
        <w:rPr>
          <w:rFonts w:hint="eastAsia" w:asciiTheme="minorEastAsia" w:hAnsiTheme="minorEastAsia" w:eastAsiaTheme="minorEastAsia" w:cstheme="minorEastAsia"/>
          <w:color w:val="auto"/>
          <w:highlight w:val="none"/>
        </w:rPr>
        <w:t>。</w:t>
      </w:r>
    </w:p>
    <w:p w14:paraId="5DC2B73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2"/>
          <w:highlight w:val="none"/>
        </w:rPr>
        <w:t xml:space="preserve">1.2 </w:t>
      </w:r>
      <w:r>
        <w:rPr>
          <w:rFonts w:hint="eastAsia" w:asciiTheme="minorEastAsia" w:hAnsiTheme="minorEastAsia" w:eastAsiaTheme="minorEastAsia" w:cstheme="minorEastAsia"/>
          <w:color w:val="auto"/>
          <w:szCs w:val="24"/>
          <w:highlight w:val="none"/>
        </w:rPr>
        <w:t>限额设计要求：</w:t>
      </w:r>
    </w:p>
    <w:p w14:paraId="0C35371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1.2.1施工图预算中的建安工程费不得超过初步设计概算中的建安工程费且不得超过建安工程费的中标价。</w:t>
      </w:r>
    </w:p>
    <w:p w14:paraId="6C5E2BD5">
      <w:pPr>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4"/>
          <w:highlight w:val="none"/>
        </w:rPr>
        <w:t>1.2.2 施工图预算作为承包人自我核算是否符合限额设计要求的依据。若造价咨询单位按施工图编制或审核的建安工程费高于前条1.2.1条规定时，承包人必须无条件对施工图进行修改，直至满足限额设计要求，不另行增加设计费，且由此造成发包人委托的造价咨询单位重复编制或审核施工图预算的费用由承包人承担，结算时在设计费中扣除。</w:t>
      </w:r>
    </w:p>
    <w:p w14:paraId="78691A86">
      <w:pPr>
        <w:pStyle w:val="63"/>
        <w:keepNext/>
        <w:keepLines/>
        <w:spacing w:line="360" w:lineRule="auto"/>
        <w:ind w:firstLine="480"/>
        <w:jc w:val="both"/>
        <w:rPr>
          <w:rFonts w:hint="eastAsia" w:asciiTheme="minorEastAsia" w:hAnsiTheme="minorEastAsia" w:eastAsiaTheme="minorEastAsia" w:cstheme="minorEastAsia"/>
          <w:b/>
          <w:color w:val="auto"/>
          <w:highlight w:val="none"/>
        </w:rPr>
      </w:pPr>
      <w:bookmarkStart w:id="314" w:name="_Toc16000"/>
      <w:bookmarkStart w:id="315" w:name="_Toc4817"/>
      <w:bookmarkStart w:id="316" w:name="_Toc3936"/>
      <w:bookmarkStart w:id="317" w:name="_Toc20951"/>
      <w:bookmarkStart w:id="318" w:name="_Toc17692"/>
      <w:bookmarkStart w:id="319" w:name="_Toc10533"/>
      <w:bookmarkStart w:id="320" w:name="_Toc13383"/>
      <w:bookmarkStart w:id="321" w:name="_Toc467587699"/>
      <w:bookmarkStart w:id="322" w:name="_Toc27815"/>
      <w:bookmarkStart w:id="323" w:name="_Toc469940920"/>
      <w:bookmarkStart w:id="324" w:name="_Toc16582"/>
      <w:bookmarkStart w:id="325" w:name="_Toc1359"/>
      <w:r>
        <w:rPr>
          <w:rFonts w:hint="eastAsia" w:asciiTheme="minorEastAsia" w:hAnsiTheme="minorEastAsia" w:eastAsiaTheme="minorEastAsia" w:cstheme="minorEastAsia"/>
          <w:b/>
          <w:color w:val="auto"/>
          <w:highlight w:val="none"/>
        </w:rPr>
        <w:t>2 施工图工程量清单预算的编制原则</w:t>
      </w:r>
      <w:bookmarkEnd w:id="314"/>
      <w:bookmarkEnd w:id="315"/>
      <w:bookmarkEnd w:id="316"/>
      <w:bookmarkEnd w:id="317"/>
      <w:bookmarkEnd w:id="318"/>
      <w:bookmarkEnd w:id="319"/>
      <w:bookmarkEnd w:id="320"/>
      <w:bookmarkEnd w:id="321"/>
      <w:bookmarkEnd w:id="322"/>
      <w:bookmarkEnd w:id="323"/>
      <w:bookmarkEnd w:id="324"/>
      <w:bookmarkEnd w:id="325"/>
    </w:p>
    <w:p w14:paraId="09A1E1C1">
      <w:pPr>
        <w:pStyle w:val="64"/>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2.1 施工图设计必须符合本项目限额设计要求。本项目的建安工程费预算价不得超过已批复概算中相应的建安工程费</w:t>
      </w:r>
      <w:r>
        <w:rPr>
          <w:rFonts w:hint="eastAsia" w:asciiTheme="minorEastAsia" w:hAnsiTheme="minorEastAsia" w:eastAsiaTheme="minorEastAsia" w:cstheme="minorEastAsia"/>
          <w:color w:val="auto"/>
          <w:szCs w:val="24"/>
          <w:highlight w:val="none"/>
        </w:rPr>
        <w:t>且不得超过建安工程费的中标价</w:t>
      </w:r>
      <w:r>
        <w:rPr>
          <w:rFonts w:hint="eastAsia" w:asciiTheme="minorEastAsia" w:hAnsiTheme="minorEastAsia" w:eastAsiaTheme="minorEastAsia" w:cstheme="minorEastAsia"/>
          <w:color w:val="auto"/>
          <w:kern w:val="0"/>
          <w:highlight w:val="none"/>
        </w:rPr>
        <w:t>。否则，承包人必须进行调整，直至符合限额设计要求为止。</w:t>
      </w:r>
    </w:p>
    <w:p w14:paraId="6FED40E9">
      <w:pPr>
        <w:spacing w:line="360" w:lineRule="auto"/>
        <w:ind w:firstLine="480" w:firstLineChars="200"/>
        <w:jc w:val="left"/>
        <w:rPr>
          <w:rFonts w:hint="eastAsia" w:asciiTheme="minorEastAsia" w:hAnsiTheme="minorEastAsia" w:eastAsiaTheme="minorEastAsia" w:cstheme="minorEastAsia"/>
          <w:i/>
          <w:strike/>
          <w:color w:val="auto"/>
          <w:szCs w:val="24"/>
          <w:highlight w:val="none"/>
        </w:rPr>
      </w:pPr>
      <w:r>
        <w:rPr>
          <w:rFonts w:hint="eastAsia" w:asciiTheme="minorEastAsia" w:hAnsiTheme="minorEastAsia" w:eastAsiaTheme="minorEastAsia" w:cstheme="minorEastAsia"/>
          <w:color w:val="auto"/>
          <w:kern w:val="0"/>
          <w:highlight w:val="none"/>
        </w:rPr>
        <w:t>2.2</w:t>
      </w:r>
      <w:r>
        <w:rPr>
          <w:rFonts w:hint="eastAsia" w:asciiTheme="minorEastAsia" w:hAnsiTheme="minorEastAsia" w:eastAsiaTheme="minorEastAsia" w:cstheme="minorEastAsia"/>
          <w:color w:val="auto"/>
          <w:szCs w:val="24"/>
          <w:highlight w:val="none"/>
        </w:rPr>
        <w:t xml:space="preserve"> 施工图工程量清单预算价的编制：承包人根据招标文件等相关的文件完成本项目的设计工作，承包人设计的施工图经发包人确认后由发包人委托有资质的审图公司审查，施工图经审查合格后，由</w:t>
      </w:r>
      <w:r>
        <w:rPr>
          <w:rFonts w:hint="eastAsia" w:asciiTheme="minorEastAsia" w:hAnsiTheme="minorEastAsia" w:eastAsiaTheme="minorEastAsia" w:cstheme="minorEastAsia"/>
          <w:color w:val="auto"/>
          <w:szCs w:val="24"/>
          <w:highlight w:val="none"/>
          <w:lang w:val="en-US" w:eastAsia="zh-CN"/>
        </w:rPr>
        <w:t>发包人委托有资质的第三方</w:t>
      </w:r>
      <w:r>
        <w:rPr>
          <w:rFonts w:hint="eastAsia" w:asciiTheme="minorEastAsia" w:hAnsiTheme="minorEastAsia" w:eastAsiaTheme="minorEastAsia" w:cstheme="minorEastAsia"/>
          <w:color w:val="auto"/>
          <w:szCs w:val="24"/>
          <w:highlight w:val="none"/>
        </w:rPr>
        <w:t>编制的施工图工程量清单预算</w:t>
      </w:r>
      <w:r>
        <w:rPr>
          <w:rFonts w:hint="eastAsia" w:asciiTheme="minorEastAsia" w:hAnsiTheme="minorEastAsia" w:eastAsiaTheme="minorEastAsia" w:cstheme="minorEastAsia"/>
          <w:color w:val="auto"/>
          <w:kern w:val="0"/>
          <w:szCs w:val="24"/>
          <w:highlight w:val="none"/>
        </w:rPr>
        <w:t>报</w:t>
      </w:r>
      <w:r>
        <w:rPr>
          <w:rFonts w:hint="eastAsia" w:asciiTheme="minorEastAsia" w:hAnsiTheme="minorEastAsia" w:eastAsiaTheme="minorEastAsia" w:cstheme="minorEastAsia"/>
          <w:color w:val="auto"/>
          <w:szCs w:val="24"/>
          <w:highlight w:val="none"/>
          <w:lang w:val="en-US" w:eastAsia="zh-CN"/>
        </w:rPr>
        <w:t>南雄市</w:t>
      </w:r>
      <w:r>
        <w:rPr>
          <w:rFonts w:hint="eastAsia" w:asciiTheme="minorEastAsia" w:hAnsiTheme="minorEastAsia" w:eastAsiaTheme="minorEastAsia" w:cstheme="minorEastAsia"/>
          <w:color w:val="auto"/>
          <w:szCs w:val="24"/>
          <w:highlight w:val="none"/>
        </w:rPr>
        <w:t>财政局投资评审中心</w:t>
      </w:r>
      <w:r>
        <w:rPr>
          <w:rFonts w:hint="eastAsia" w:asciiTheme="minorEastAsia" w:hAnsiTheme="minorEastAsia" w:eastAsiaTheme="minorEastAsia" w:cstheme="minorEastAsia"/>
          <w:color w:val="auto"/>
          <w:kern w:val="0"/>
          <w:szCs w:val="24"/>
          <w:highlight w:val="none"/>
        </w:rPr>
        <w:t>审核</w:t>
      </w:r>
      <w:r>
        <w:rPr>
          <w:rFonts w:hint="eastAsia" w:asciiTheme="minorEastAsia" w:hAnsiTheme="minorEastAsia" w:eastAsiaTheme="minorEastAsia" w:cstheme="minorEastAsia"/>
          <w:color w:val="auto"/>
          <w:szCs w:val="24"/>
          <w:highlight w:val="none"/>
        </w:rPr>
        <w:t>。施工图工程量清单预算的编制依据为：（1）</w:t>
      </w:r>
      <w:r>
        <w:rPr>
          <w:rFonts w:hint="eastAsia" w:asciiTheme="minorEastAsia" w:hAnsiTheme="minorEastAsia" w:eastAsiaTheme="minorEastAsia" w:cstheme="minorEastAsia"/>
          <w:color w:val="auto"/>
          <w:szCs w:val="24"/>
          <w:highlight w:val="none"/>
          <w:lang w:eastAsia="zh-CN"/>
        </w:rPr>
        <w:t>《建设工程工程量清单计价标准》（GB/T50500-2024）</w:t>
      </w:r>
      <w:r>
        <w:rPr>
          <w:rFonts w:hint="eastAsia" w:asciiTheme="minorEastAsia" w:hAnsiTheme="minorEastAsia" w:eastAsiaTheme="minorEastAsia" w:cstheme="minorEastAsia"/>
          <w:color w:val="auto"/>
          <w:szCs w:val="24"/>
          <w:highlight w:val="none"/>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r>
        <w:rPr>
          <w:rFonts w:hint="eastAsia" w:asciiTheme="minorEastAsia" w:hAnsiTheme="minorEastAsia" w:eastAsiaTheme="minorEastAsia" w:cstheme="minorEastAsia"/>
          <w:color w:val="auto"/>
          <w:kern w:val="0"/>
          <w:szCs w:val="24"/>
          <w:highlight w:val="none"/>
        </w:rPr>
        <w:t>工程量按施工图计算，主要材料价格按预算编制时（招标文件所规定的设计预算编制工期内）当季</w:t>
      </w:r>
      <w:r>
        <w:rPr>
          <w:rFonts w:hint="eastAsia" w:asciiTheme="minorEastAsia" w:hAnsiTheme="minorEastAsia" w:eastAsiaTheme="minorEastAsia" w:cstheme="minorEastAsia"/>
          <w:i w:val="0"/>
          <w:iCs w:val="0"/>
          <w:caps w:val="0"/>
          <w:color w:val="auto"/>
          <w:spacing w:val="0"/>
          <w:kern w:val="0"/>
          <w:sz w:val="24"/>
          <w:szCs w:val="24"/>
          <w:highlight w:val="none"/>
          <w:shd w:val="clear"/>
          <w:lang w:eastAsia="zh-CN"/>
        </w:rPr>
        <w:t>南雄市</w:t>
      </w:r>
      <w:r>
        <w:rPr>
          <w:rFonts w:hint="eastAsia" w:asciiTheme="minorEastAsia" w:hAnsiTheme="minorEastAsia" w:eastAsiaTheme="minorEastAsia" w:cstheme="minorEastAsia"/>
          <w:color w:val="auto"/>
          <w:kern w:val="0"/>
          <w:szCs w:val="24"/>
          <w:highlight w:val="none"/>
        </w:rPr>
        <w:t>工程造价管理机构发布的人工、材料、机械台班综合单价（若</w:t>
      </w:r>
      <w:r>
        <w:rPr>
          <w:rFonts w:hint="eastAsia" w:asciiTheme="minorEastAsia" w:hAnsiTheme="minorEastAsia" w:eastAsiaTheme="minorEastAsia" w:cstheme="minorEastAsia"/>
          <w:i w:val="0"/>
          <w:iCs w:val="0"/>
          <w:caps w:val="0"/>
          <w:color w:val="auto"/>
          <w:spacing w:val="0"/>
          <w:kern w:val="0"/>
          <w:sz w:val="24"/>
          <w:szCs w:val="24"/>
          <w:highlight w:val="none"/>
          <w:shd w:val="clear" w:fill="auto"/>
          <w:lang w:eastAsia="zh-CN"/>
        </w:rPr>
        <w:t>南雄市</w:t>
      </w:r>
      <w:r>
        <w:rPr>
          <w:rFonts w:hint="eastAsia" w:asciiTheme="minorEastAsia" w:hAnsiTheme="minorEastAsia" w:eastAsiaTheme="minorEastAsia" w:cstheme="minorEastAsia"/>
          <w:color w:val="auto"/>
          <w:kern w:val="0"/>
          <w:szCs w:val="24"/>
          <w:highlight w:val="none"/>
        </w:rPr>
        <w:t>未发布信息则依次参照广东省韶关市、广东省清远市、广东省肇庆市、广东省佛山市、广东省东莞市、广东省广州市，若以上城市均没有信息价则按市场询价，市场询价方式优先从京东、国美、苏宁等大型电商平台查询）执行、经发包人确认的材料价格或暂定材料价格计算，规费、税金等其它费用则按有关规定计算（费率有上、下限的按平均值计算），预算包干费按2018年广东省计价办法的规定计算，赶工措施费不另行计算。</w:t>
      </w:r>
    </w:p>
    <w:p w14:paraId="34CE21CF">
      <w:pPr>
        <w:pStyle w:val="11"/>
        <w:keepNext/>
        <w:keepLines/>
        <w:spacing w:line="360" w:lineRule="auto"/>
        <w:ind w:firstLine="480"/>
        <w:jc w:val="both"/>
        <w:rPr>
          <w:rFonts w:hint="eastAsia" w:asciiTheme="minorEastAsia" w:hAnsiTheme="minorEastAsia" w:eastAsiaTheme="minorEastAsia" w:cstheme="minorEastAsia"/>
          <w:b/>
          <w:color w:val="auto"/>
          <w:kern w:val="2"/>
          <w:szCs w:val="24"/>
          <w:highlight w:val="none"/>
        </w:rPr>
      </w:pPr>
      <w:bookmarkStart w:id="326" w:name="_Toc466640604"/>
      <w:bookmarkStart w:id="327" w:name="_Toc13437"/>
      <w:bookmarkStart w:id="328" w:name="_Toc6675"/>
      <w:bookmarkStart w:id="329" w:name="_Toc11307"/>
      <w:bookmarkStart w:id="330" w:name="_Toc25565"/>
      <w:bookmarkStart w:id="331" w:name="_Toc28537"/>
      <w:bookmarkStart w:id="332" w:name="_Toc31151"/>
      <w:bookmarkStart w:id="333" w:name="_Toc2286"/>
      <w:bookmarkStart w:id="334" w:name="_Toc3958"/>
      <w:bookmarkStart w:id="335" w:name="_Toc755"/>
      <w:bookmarkStart w:id="336" w:name="_Toc30405"/>
      <w:bookmarkStart w:id="337" w:name="_Hlt87948447"/>
      <w:bookmarkStart w:id="338" w:name="_Hlt87948449"/>
      <w:r>
        <w:rPr>
          <w:rFonts w:hint="eastAsia" w:asciiTheme="minorEastAsia" w:hAnsiTheme="minorEastAsia" w:eastAsiaTheme="minorEastAsia" w:cstheme="minorEastAsia"/>
          <w:b/>
          <w:color w:val="auto"/>
          <w:kern w:val="2"/>
          <w:szCs w:val="24"/>
          <w:highlight w:val="none"/>
        </w:rPr>
        <w:t>3 工程结算原则</w:t>
      </w:r>
      <w:bookmarkEnd w:id="326"/>
      <w:bookmarkEnd w:id="327"/>
      <w:bookmarkEnd w:id="328"/>
      <w:bookmarkEnd w:id="329"/>
      <w:bookmarkEnd w:id="330"/>
      <w:bookmarkEnd w:id="331"/>
      <w:bookmarkEnd w:id="332"/>
      <w:bookmarkEnd w:id="333"/>
      <w:bookmarkEnd w:id="334"/>
      <w:bookmarkEnd w:id="335"/>
      <w:bookmarkEnd w:id="336"/>
    </w:p>
    <w:p w14:paraId="5AC93BA6">
      <w:pPr>
        <w:spacing w:line="360" w:lineRule="auto"/>
        <w:ind w:firstLine="480" w:firstLineChars="200"/>
        <w:jc w:val="left"/>
        <w:rPr>
          <w:rFonts w:hint="eastAsia" w:asciiTheme="minorEastAsia" w:hAnsiTheme="minorEastAsia" w:eastAsiaTheme="minorEastAsia" w:cstheme="minorEastAsia"/>
          <w:color w:val="auto"/>
          <w:szCs w:val="24"/>
          <w:highlight w:val="none"/>
          <w:lang w:eastAsia="zh-CN"/>
        </w:rPr>
      </w:pPr>
      <w:r>
        <w:rPr>
          <w:rFonts w:hint="eastAsia" w:asciiTheme="minorEastAsia" w:hAnsiTheme="minorEastAsia" w:eastAsiaTheme="minorEastAsia" w:cstheme="minorEastAsia"/>
          <w:color w:val="auto"/>
          <w:szCs w:val="24"/>
          <w:highlight w:val="none"/>
        </w:rPr>
        <w:t>3.1设计费结算原则</w:t>
      </w:r>
      <w:r>
        <w:rPr>
          <w:rFonts w:hint="eastAsia" w:asciiTheme="minorEastAsia" w:hAnsiTheme="minorEastAsia" w:eastAsiaTheme="minorEastAsia" w:cstheme="minorEastAsia"/>
          <w:color w:val="auto"/>
          <w:szCs w:val="24"/>
          <w:highlight w:val="none"/>
          <w:lang w:eastAsia="zh-CN"/>
        </w:rPr>
        <w:t>：设计费按中标价包干，结算时不作任何调整。</w:t>
      </w:r>
    </w:p>
    <w:p w14:paraId="732A3D05">
      <w:pPr>
        <w:spacing w:line="360" w:lineRule="auto"/>
        <w:ind w:firstLine="480" w:firstLineChars="200"/>
        <w:jc w:val="left"/>
        <w:rPr>
          <w:rFonts w:hint="eastAsia" w:asciiTheme="minorEastAsia" w:hAnsiTheme="minorEastAsia" w:eastAsiaTheme="minorEastAsia" w:cstheme="minorEastAsia"/>
          <w:strike/>
          <w:color w:val="auto"/>
          <w:szCs w:val="24"/>
          <w:highlight w:val="none"/>
        </w:rPr>
      </w:pPr>
      <w:r>
        <w:rPr>
          <w:rFonts w:hint="eastAsia" w:asciiTheme="minorEastAsia" w:hAnsiTheme="minorEastAsia" w:eastAsiaTheme="minorEastAsia" w:cstheme="minorEastAsia"/>
          <w:color w:val="auto"/>
          <w:szCs w:val="24"/>
          <w:highlight w:val="none"/>
        </w:rPr>
        <w:t>3.2工程费用结算基准价的确定：以</w:t>
      </w:r>
      <w:r>
        <w:rPr>
          <w:rFonts w:hint="eastAsia" w:asciiTheme="minorEastAsia" w:hAnsiTheme="minorEastAsia" w:eastAsiaTheme="minorEastAsia" w:cstheme="minorEastAsia"/>
          <w:color w:val="auto"/>
          <w:szCs w:val="24"/>
          <w:highlight w:val="none"/>
          <w:lang w:val="en-US" w:eastAsia="zh-CN"/>
        </w:rPr>
        <w:t>本章</w:t>
      </w:r>
      <w:r>
        <w:rPr>
          <w:rFonts w:hint="eastAsia" w:asciiTheme="minorEastAsia" w:hAnsiTheme="minorEastAsia" w:eastAsiaTheme="minorEastAsia" w:cstheme="minorEastAsia"/>
          <w:color w:val="auto"/>
          <w:szCs w:val="24"/>
          <w:highlight w:val="none"/>
        </w:rPr>
        <w:t>第2条工程预算价编制原则编制的经审核后的预算价乘以（1－承包人中标下浮率）作为此工程项目的建安工程结算基准价（不含预备费），其分部分项工程量清单对应的综合单价即为结算基准单价。</w:t>
      </w:r>
    </w:p>
    <w:p w14:paraId="469E3744">
      <w:pPr>
        <w:spacing w:line="360" w:lineRule="auto"/>
        <w:ind w:firstLine="480" w:firstLineChars="200"/>
        <w:jc w:val="left"/>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3.3</w:t>
      </w:r>
      <w:r>
        <w:rPr>
          <w:rFonts w:hint="eastAsia" w:asciiTheme="minorEastAsia" w:hAnsiTheme="minorEastAsia" w:eastAsiaTheme="minorEastAsia" w:cstheme="minorEastAsia"/>
          <w:color w:val="auto"/>
          <w:szCs w:val="24"/>
          <w:highlight w:val="none"/>
        </w:rPr>
        <w:t>工程</w:t>
      </w:r>
      <w:r>
        <w:rPr>
          <w:rFonts w:hint="eastAsia" w:asciiTheme="minorEastAsia" w:hAnsiTheme="minorEastAsia" w:eastAsiaTheme="minorEastAsia" w:cstheme="minorEastAsia"/>
          <w:color w:val="auto"/>
          <w:kern w:val="0"/>
          <w:szCs w:val="24"/>
          <w:highlight w:val="none"/>
        </w:rPr>
        <w:t>费用结算原则：发包人在不增减建设规模的情况下，结算价即为</w:t>
      </w:r>
      <w:r>
        <w:rPr>
          <w:rFonts w:hint="eastAsia" w:asciiTheme="minorEastAsia" w:hAnsiTheme="minorEastAsia" w:eastAsiaTheme="minorEastAsia" w:cstheme="minorEastAsia"/>
          <w:color w:val="auto"/>
          <w:szCs w:val="24"/>
          <w:highlight w:val="none"/>
        </w:rPr>
        <w:t>结算基准价</w:t>
      </w:r>
      <w:r>
        <w:rPr>
          <w:rFonts w:hint="eastAsia" w:asciiTheme="minorEastAsia" w:hAnsiTheme="minorEastAsia" w:eastAsiaTheme="minorEastAsia" w:cstheme="minorEastAsia"/>
          <w:color w:val="auto"/>
          <w:kern w:val="0"/>
          <w:szCs w:val="24"/>
          <w:highlight w:val="none"/>
        </w:rPr>
        <w:t>，但下列情形除外：</w:t>
      </w:r>
    </w:p>
    <w:p w14:paraId="26D1DB1C">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3.3.1 国家政策性人工价差调整：</w:t>
      </w:r>
      <w:r>
        <w:rPr>
          <w:rFonts w:hint="eastAsia" w:asciiTheme="minorEastAsia" w:hAnsiTheme="minorEastAsia" w:eastAsiaTheme="minorEastAsia" w:cstheme="minorEastAsia"/>
          <w:color w:val="auto"/>
          <w:kern w:val="0"/>
          <w:szCs w:val="24"/>
          <w:highlight w:val="none"/>
        </w:rPr>
        <w:t>调整方式按省、市有关规定调整。</w:t>
      </w:r>
    </w:p>
    <w:p w14:paraId="1883FD61">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3.3.2 当后继相关法律、法规、规章和政策引起安全文明施工费发生变化时，应当按照省建设行政主管部门或省、韶关市、</w:t>
      </w:r>
      <w:r>
        <w:rPr>
          <w:rFonts w:hint="eastAsia" w:asciiTheme="minorEastAsia" w:hAnsiTheme="minorEastAsia" w:eastAsiaTheme="minorEastAsia" w:cstheme="minorEastAsia"/>
          <w:i w:val="0"/>
          <w:iCs w:val="0"/>
          <w:caps w:val="0"/>
          <w:color w:val="auto"/>
          <w:spacing w:val="0"/>
          <w:kern w:val="0"/>
          <w:sz w:val="24"/>
          <w:szCs w:val="24"/>
          <w:highlight w:val="none"/>
          <w:shd w:val="clear"/>
          <w:lang w:eastAsia="zh-CN"/>
        </w:rPr>
        <w:t>南雄市</w:t>
      </w:r>
      <w:r>
        <w:rPr>
          <w:rFonts w:hint="eastAsia" w:asciiTheme="minorEastAsia" w:hAnsiTheme="minorEastAsia" w:eastAsiaTheme="minorEastAsia" w:cstheme="minorEastAsia"/>
          <w:color w:val="auto"/>
          <w:szCs w:val="24"/>
          <w:highlight w:val="none"/>
        </w:rPr>
        <w:t>工程造价管理机构据此发布的规定调整；</w:t>
      </w:r>
    </w:p>
    <w:p w14:paraId="665781D7">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3.3.3 当后继相关法律、法规、规章和政策引起规费、税金等发生变化时，应当按照省政府或省、韶关市、</w:t>
      </w:r>
      <w:r>
        <w:rPr>
          <w:rFonts w:hint="eastAsia" w:asciiTheme="minorEastAsia" w:hAnsiTheme="minorEastAsia" w:eastAsiaTheme="minorEastAsia" w:cstheme="minorEastAsia"/>
          <w:i w:val="0"/>
          <w:iCs w:val="0"/>
          <w:caps w:val="0"/>
          <w:color w:val="auto"/>
          <w:spacing w:val="0"/>
          <w:kern w:val="0"/>
          <w:sz w:val="24"/>
          <w:szCs w:val="24"/>
          <w:highlight w:val="none"/>
          <w:shd w:val="clear"/>
          <w:lang w:eastAsia="zh-CN"/>
        </w:rPr>
        <w:t>南雄市</w:t>
      </w:r>
      <w:r>
        <w:rPr>
          <w:rFonts w:hint="eastAsia" w:asciiTheme="minorEastAsia" w:hAnsiTheme="minorEastAsia" w:eastAsiaTheme="minorEastAsia" w:cstheme="minorEastAsia"/>
          <w:color w:val="auto"/>
          <w:szCs w:val="24"/>
          <w:highlight w:val="none"/>
        </w:rPr>
        <w:t>有关主管部门据此发布的规定调整；</w:t>
      </w:r>
    </w:p>
    <w:p w14:paraId="569FF8D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3.3.4 当施工期间市场物价发生涨落，引起工程所在地工程造价管理机构发布的价格信息中材料价格变化，主要建筑材料价格浮动超过±5%（指钢材、商品砼、商品砂浆、水泥、砂、石等主要材料），则双方同意调整5％以外部分价差；</w:t>
      </w:r>
      <w:r>
        <w:rPr>
          <w:rFonts w:hint="eastAsia" w:asciiTheme="minorEastAsia" w:hAnsiTheme="minorEastAsia" w:eastAsiaTheme="minorEastAsia" w:cstheme="minorEastAsia"/>
          <w:color w:val="auto"/>
          <w:kern w:val="0"/>
          <w:szCs w:val="24"/>
          <w:highlight w:val="none"/>
        </w:rPr>
        <w:t>人工费</w:t>
      </w:r>
      <w:r>
        <w:rPr>
          <w:rFonts w:hint="eastAsia" w:asciiTheme="minorEastAsia" w:hAnsiTheme="minorEastAsia" w:eastAsiaTheme="minorEastAsia" w:cstheme="minorEastAsia"/>
          <w:color w:val="auto"/>
          <w:szCs w:val="24"/>
          <w:highlight w:val="none"/>
        </w:rPr>
        <w:t>根据国家政策按实调整；机械费浮动超过±10%，双方同意调整10％以外部分价差。其工、料、机消耗量以发包人确认的</w:t>
      </w:r>
      <w:r>
        <w:rPr>
          <w:rFonts w:hint="eastAsia" w:asciiTheme="minorEastAsia" w:hAnsiTheme="minorEastAsia" w:eastAsiaTheme="minorEastAsia" w:cstheme="minorEastAsia"/>
          <w:color w:val="auto"/>
          <w:kern w:val="0"/>
          <w:szCs w:val="24"/>
          <w:highlight w:val="none"/>
        </w:rPr>
        <w:t>施工图工程量清单预算</w:t>
      </w:r>
      <w:r>
        <w:rPr>
          <w:rFonts w:hint="eastAsia" w:asciiTheme="minorEastAsia" w:hAnsiTheme="minorEastAsia" w:eastAsiaTheme="minorEastAsia" w:cstheme="minorEastAsia"/>
          <w:color w:val="auto"/>
          <w:szCs w:val="24"/>
          <w:highlight w:val="none"/>
        </w:rPr>
        <w:t>及进度中的消耗量为准。</w:t>
      </w:r>
    </w:p>
    <w:p w14:paraId="443527C1">
      <w:pPr>
        <w:spacing w:line="360" w:lineRule="auto"/>
        <w:ind w:firstLine="482" w:firstLineChars="200"/>
        <w:rPr>
          <w:rFonts w:hint="eastAsia" w:asciiTheme="minorEastAsia" w:hAnsiTheme="minorEastAsia" w:eastAsiaTheme="minorEastAsia" w:cstheme="minorEastAsia"/>
          <w:b/>
          <w:bCs/>
          <w:color w:val="auto"/>
          <w:kern w:val="0"/>
          <w:szCs w:val="24"/>
          <w:highlight w:val="none"/>
          <w:u w:val="single"/>
        </w:rPr>
      </w:pPr>
      <w:r>
        <w:rPr>
          <w:rFonts w:hint="eastAsia" w:asciiTheme="minorEastAsia" w:hAnsiTheme="minorEastAsia" w:eastAsiaTheme="minorEastAsia" w:cstheme="minorEastAsia"/>
          <w:b/>
          <w:bCs/>
          <w:color w:val="auto"/>
          <w:kern w:val="0"/>
          <w:szCs w:val="24"/>
          <w:highlight w:val="none"/>
          <w:u w:val="single"/>
        </w:rPr>
        <w:t>注：人工费、材料单价、机械台班的价差调整基数是以施工当季《</w:t>
      </w:r>
      <w:r>
        <w:rPr>
          <w:rFonts w:hint="eastAsia" w:asciiTheme="minorEastAsia" w:hAnsiTheme="minorEastAsia" w:eastAsiaTheme="minorEastAsia" w:cstheme="minorEastAsia"/>
          <w:b/>
          <w:bCs/>
          <w:i w:val="0"/>
          <w:iCs w:val="0"/>
          <w:caps w:val="0"/>
          <w:color w:val="auto"/>
          <w:spacing w:val="0"/>
          <w:kern w:val="0"/>
          <w:sz w:val="24"/>
          <w:szCs w:val="24"/>
          <w:highlight w:val="none"/>
          <w:u w:val="single"/>
          <w:shd w:val="clear"/>
          <w:lang w:eastAsia="zh-CN"/>
        </w:rPr>
        <w:t>南雄市</w:t>
      </w:r>
      <w:r>
        <w:rPr>
          <w:rFonts w:hint="eastAsia" w:asciiTheme="minorEastAsia" w:hAnsiTheme="minorEastAsia" w:eastAsiaTheme="minorEastAsia" w:cstheme="minorEastAsia"/>
          <w:b/>
          <w:bCs/>
          <w:color w:val="auto"/>
          <w:kern w:val="0"/>
          <w:szCs w:val="24"/>
          <w:highlight w:val="none"/>
          <w:u w:val="single"/>
        </w:rPr>
        <w:t>建筑工程造价信息》</w:t>
      </w:r>
      <w:r>
        <w:rPr>
          <w:rFonts w:hint="eastAsia" w:asciiTheme="minorEastAsia" w:hAnsiTheme="minorEastAsia" w:eastAsiaTheme="minorEastAsia" w:cstheme="minorEastAsia"/>
          <w:b/>
          <w:bCs/>
          <w:color w:val="auto"/>
          <w:szCs w:val="24"/>
          <w:highlight w:val="none"/>
          <w:u w:val="single"/>
        </w:rPr>
        <w:t>（如信息价没有时参考施工当月&lt;韶关建筑工程造价信息&gt;）</w:t>
      </w:r>
      <w:r>
        <w:rPr>
          <w:rFonts w:hint="eastAsia" w:asciiTheme="minorEastAsia" w:hAnsiTheme="minorEastAsia" w:eastAsiaTheme="minorEastAsia" w:cstheme="minorEastAsia"/>
          <w:b/>
          <w:bCs/>
          <w:color w:val="auto"/>
          <w:kern w:val="0"/>
          <w:szCs w:val="24"/>
          <w:highlight w:val="none"/>
          <w:u w:val="single"/>
        </w:rPr>
        <w:t>公布的信息价（包括人工费、材料单价、机械台班）为F1与编制施工图工程量清单预算当季</w:t>
      </w:r>
      <w:r>
        <w:rPr>
          <w:rFonts w:hint="eastAsia" w:asciiTheme="minorEastAsia" w:hAnsiTheme="minorEastAsia" w:eastAsiaTheme="minorEastAsia" w:cstheme="minorEastAsia"/>
          <w:b/>
          <w:color w:val="auto"/>
          <w:kern w:val="0"/>
          <w:szCs w:val="24"/>
          <w:highlight w:val="none"/>
          <w:u w:val="single"/>
        </w:rPr>
        <w:t>（招标文件所规定的设计预算编制工期内）</w:t>
      </w:r>
      <w:r>
        <w:rPr>
          <w:rFonts w:hint="eastAsia" w:asciiTheme="minorEastAsia" w:hAnsiTheme="minorEastAsia" w:eastAsiaTheme="minorEastAsia" w:cstheme="minorEastAsia"/>
          <w:b/>
          <w:bCs/>
          <w:color w:val="auto"/>
          <w:kern w:val="0"/>
          <w:szCs w:val="24"/>
          <w:highlight w:val="none"/>
          <w:u w:val="single"/>
        </w:rPr>
        <w:t>《</w:t>
      </w:r>
      <w:r>
        <w:rPr>
          <w:rFonts w:hint="eastAsia" w:asciiTheme="minorEastAsia" w:hAnsiTheme="minorEastAsia" w:eastAsiaTheme="minorEastAsia" w:cstheme="minorEastAsia"/>
          <w:b/>
          <w:bCs/>
          <w:i w:val="0"/>
          <w:iCs w:val="0"/>
          <w:caps w:val="0"/>
          <w:color w:val="auto"/>
          <w:spacing w:val="0"/>
          <w:kern w:val="0"/>
          <w:sz w:val="24"/>
          <w:szCs w:val="24"/>
          <w:highlight w:val="none"/>
          <w:u w:val="single"/>
          <w:shd w:val="clear"/>
          <w:lang w:eastAsia="zh-CN"/>
        </w:rPr>
        <w:t>南雄市</w:t>
      </w:r>
      <w:r>
        <w:rPr>
          <w:rFonts w:hint="eastAsia" w:asciiTheme="minorEastAsia" w:hAnsiTheme="minorEastAsia" w:eastAsiaTheme="minorEastAsia" w:cstheme="minorEastAsia"/>
          <w:b/>
          <w:bCs/>
          <w:color w:val="auto"/>
          <w:kern w:val="0"/>
          <w:szCs w:val="24"/>
          <w:highlight w:val="none"/>
          <w:u w:val="single"/>
        </w:rPr>
        <w:t>建筑工程造价信息》</w:t>
      </w:r>
      <w:r>
        <w:rPr>
          <w:rFonts w:hint="eastAsia" w:asciiTheme="minorEastAsia" w:hAnsiTheme="minorEastAsia" w:eastAsiaTheme="minorEastAsia" w:cstheme="minorEastAsia"/>
          <w:b/>
          <w:bCs/>
          <w:color w:val="auto"/>
          <w:szCs w:val="24"/>
          <w:highlight w:val="none"/>
          <w:u w:val="single"/>
        </w:rPr>
        <w:t>（如信息价没有时参考预算编制当月</w:t>
      </w:r>
      <w:r>
        <w:rPr>
          <w:rFonts w:hint="eastAsia" w:asciiTheme="minorEastAsia" w:hAnsiTheme="minorEastAsia" w:eastAsiaTheme="minorEastAsia" w:cstheme="minorEastAsia"/>
          <w:b/>
          <w:color w:val="auto"/>
          <w:kern w:val="0"/>
          <w:szCs w:val="24"/>
          <w:highlight w:val="none"/>
          <w:u w:val="single"/>
        </w:rPr>
        <w:t>（招标文件所规定的设计预算编制工期内）</w:t>
      </w:r>
      <w:r>
        <w:rPr>
          <w:rFonts w:hint="eastAsia" w:asciiTheme="minorEastAsia" w:hAnsiTheme="minorEastAsia" w:eastAsiaTheme="minorEastAsia" w:cstheme="minorEastAsia"/>
          <w:b/>
          <w:bCs/>
          <w:color w:val="auto"/>
          <w:szCs w:val="24"/>
          <w:highlight w:val="none"/>
          <w:u w:val="single"/>
        </w:rPr>
        <w:t>&lt;韶关建筑工程造价信息&gt;）</w:t>
      </w:r>
      <w:r>
        <w:rPr>
          <w:rFonts w:hint="eastAsia" w:asciiTheme="minorEastAsia" w:hAnsiTheme="minorEastAsia" w:eastAsiaTheme="minorEastAsia" w:cstheme="minorEastAsia"/>
          <w:b/>
          <w:bCs/>
          <w:color w:val="auto"/>
          <w:kern w:val="0"/>
          <w:szCs w:val="24"/>
          <w:highlight w:val="none"/>
          <w:u w:val="single"/>
        </w:rPr>
        <w:t>公布的信息价（包括人工费、材料单价、机械台班）F0比较。</w:t>
      </w:r>
    </w:p>
    <w:p w14:paraId="37A3F831">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1）人工费调整方式：按省、市有关规定调整。</w:t>
      </w:r>
    </w:p>
    <w:p w14:paraId="2C0380D6">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2）材料补差方式：</w:t>
      </w:r>
    </w:p>
    <w:p w14:paraId="50240B22">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调价系数A=（F1-F0）÷F0×100%</w:t>
      </w:r>
    </w:p>
    <w:p w14:paraId="22E220CC">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当材料涨价时，材料补差= F0×（A-5%），当材料跌价时，材料补差= F0×（A+5%），材料补差只计算相应的规费和税金。</w:t>
      </w:r>
    </w:p>
    <w:p w14:paraId="2DCF655F">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3）施工机械使用费补差方式：</w:t>
      </w:r>
    </w:p>
    <w:p w14:paraId="0DDF170A">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调价系数A=（F1-F0）÷F0×100%</w:t>
      </w:r>
    </w:p>
    <w:p w14:paraId="24B5ACA7">
      <w:pPr>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szCs w:val="24"/>
          <w:highlight w:val="none"/>
        </w:rPr>
        <w:t>当施工机械台班费涨价时，机械台班补差= F0×（A-10%），当施工机械台班费跌价时，机械台班补差= F0×（A+10%）， 施工机械使用费补差只计算相应的规费和税金。</w:t>
      </w:r>
    </w:p>
    <w:p w14:paraId="5FCA9015">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4）若项目规模、建设标准等发生变化，因变化而发生的措施项目费结算时进行相应增减。</w:t>
      </w:r>
    </w:p>
    <w:p w14:paraId="032C5537">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5）施工合同履行期间，由于非承包人原因导致工程变更的，发、承包双方应当按照《建设工程工程量清单计价标准》（GB/T50500-2024）和省的有关规定，依据实际变更项目调整工程价款。工程变更引起工程量发生变化，出现本合同价款调整方式第3.3.5款情形的，应当按照其规定调整；其他情形的，按照以下规定调整：</w:t>
      </w:r>
    </w:p>
    <w:p w14:paraId="662934E0">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①结算基准价中有适用于变更工程项目的，按照该项目的单价或合价调整；</w:t>
      </w:r>
    </w:p>
    <w:p w14:paraId="5C96A918">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②结算基准价中没有适用、只有类似于变更工程项目的，可在合理范围内参照类似项目的单价或合价调整；</w:t>
      </w:r>
    </w:p>
    <w:p w14:paraId="10E0BB8E">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③结算基准价中没有适用也没有类似于变更工程项目的，根据变更工程资料、计量规则和计价办法、施工期间工程造价管理机构发布的价格信息，按本结算原则第3.3.5款重新确定综合单价后，相应调整工程价款；</w:t>
      </w:r>
    </w:p>
    <w:p w14:paraId="65DD9695">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④结算基准价中没有适用也没有类似于变更工程项目，且施工期间工程造价管理机构发布的价格信息缺项的，根据变更工程资料、计量规则、计价办法和通过市场调查等的有合法依据的市场价格，按本原则第3.3.5条提出变更工程项目的单价或合价，经发、承包双方确认后调整；</w:t>
      </w:r>
    </w:p>
    <w:p w14:paraId="03A5169B">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⑤如发包人只调整材料的等级、规格或品牌，则其综合单价按结算基准价中单价＋该项材料的价差（经发包人审定后的材料单价-结算基准价中的材料单价）进行调整，规费、税金按有关规定调整。</w:t>
      </w:r>
    </w:p>
    <w:p w14:paraId="47B400A0">
      <w:pPr>
        <w:spacing w:line="360" w:lineRule="auto"/>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szCs w:val="24"/>
          <w:highlight w:val="none"/>
        </w:rPr>
        <w:t xml:space="preserve">    6）建设工程完工后，发、承包双方和受其委托具有相应资质的工程造价咨询企业必须按照《建设工程工程量清单计价标准》（GB/T50500-2024）和省的有关规定办理竣工结算。</w:t>
      </w:r>
    </w:p>
    <w:p w14:paraId="5BBE6D4D">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3.3.5 工程造价调整项目若是结算基准价中没有的项目，其造价调整如下：</w:t>
      </w:r>
    </w:p>
    <w:p w14:paraId="253A3E8D">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按（1）《建设工程工程量清单计价标准》（GB/T50500-2024）、（2）2018年广东省建设工程计价依据（包括2018年《广东省市政工程综合定额》、2018年《广东省房屋建筑与装饰工程综合定额》、2018年《广东省通用安装工程综合定额》、2018年《广东省园林绿化工程综合定额》、2018年《广东省建设工程施工机具台班费用编制规则》），工程量按发、承包双方签证确认的、应予计量的实际完成的工程量计算，主要材料价格按施工同期工程所在地工程造价管理机构发布的价格信息中的综合单价计算，工程所在地工程造价管理机构发布的价格信息中参考价没有的材料价由发、承包双方市场询价确定，规费、税金等其它费用则按有关规定计算（费率有上、下限的以下限计算），预算包干费及赶工措施费不予计算。经发包人或其指定的有关单位审核，经审核后的造价按承包人的建安工程费中标下浮率下浮后作为工程结算价。</w:t>
      </w:r>
    </w:p>
    <w:p w14:paraId="65EE150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清单项目如只单独调整人工、材料、机械台班价差的，其人工、材料、机械台班消耗量均以审定施工图预算中的该清单项目的人工、材料、机械台班消耗量为准。</w:t>
      </w:r>
    </w:p>
    <w:p w14:paraId="5A12654B">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承包人不得以不完全了解现场情况为理由，提出额外付款或延长工期等要求。对此类要求，发包人不作任何考虑及答复。</w:t>
      </w:r>
    </w:p>
    <w:p w14:paraId="0A7AF76E">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合同履行期间，由于承包人原因导致发生设计变更或现场签证的，由此增加的工程造价费用，由承包人自行承担，发包人不予以考虑和补偿，同时按相关违约条款处罚。</w:t>
      </w:r>
    </w:p>
    <w:p w14:paraId="54D8B074">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kern w:val="0"/>
          <w:szCs w:val="24"/>
          <w:highlight w:val="none"/>
        </w:rPr>
        <w:t xml:space="preserve">    3.4 如发包人减少建设规模，则</w:t>
      </w:r>
      <w:r>
        <w:rPr>
          <w:rFonts w:hint="eastAsia" w:asciiTheme="minorEastAsia" w:hAnsiTheme="minorEastAsia" w:eastAsiaTheme="minorEastAsia" w:cstheme="minorEastAsia"/>
          <w:color w:val="auto"/>
          <w:szCs w:val="24"/>
          <w:highlight w:val="none"/>
        </w:rPr>
        <w:t>根据</w:t>
      </w:r>
      <w:r>
        <w:rPr>
          <w:rFonts w:hint="eastAsia" w:asciiTheme="minorEastAsia" w:hAnsiTheme="minorEastAsia" w:eastAsiaTheme="minorEastAsia" w:cstheme="minorEastAsia"/>
          <w:color w:val="auto"/>
          <w:kern w:val="0"/>
          <w:szCs w:val="24"/>
          <w:highlight w:val="none"/>
        </w:rPr>
        <w:t>经发包人确认的预算书</w:t>
      </w:r>
      <w:r>
        <w:rPr>
          <w:rFonts w:hint="eastAsia" w:asciiTheme="minorEastAsia" w:hAnsiTheme="minorEastAsia" w:eastAsiaTheme="minorEastAsia" w:cstheme="minorEastAsia"/>
          <w:color w:val="auto"/>
          <w:szCs w:val="24"/>
          <w:highlight w:val="none"/>
        </w:rPr>
        <w:t>扣减减少</w:t>
      </w:r>
      <w:r>
        <w:rPr>
          <w:rFonts w:hint="eastAsia" w:asciiTheme="minorEastAsia" w:hAnsiTheme="minorEastAsia" w:eastAsiaTheme="minorEastAsia" w:cstheme="minorEastAsia"/>
          <w:color w:val="auto"/>
          <w:kern w:val="0"/>
          <w:szCs w:val="24"/>
          <w:highlight w:val="none"/>
        </w:rPr>
        <w:t>部分工程造价。</w:t>
      </w:r>
      <w:r>
        <w:rPr>
          <w:rFonts w:hint="eastAsia" w:asciiTheme="minorEastAsia" w:hAnsiTheme="minorEastAsia" w:eastAsiaTheme="minorEastAsia" w:cstheme="minorEastAsia"/>
          <w:color w:val="auto"/>
          <w:szCs w:val="24"/>
          <w:highlight w:val="none"/>
        </w:rPr>
        <w:t>最终结算价由</w:t>
      </w:r>
      <w:r>
        <w:rPr>
          <w:rFonts w:hint="eastAsia" w:asciiTheme="minorEastAsia" w:hAnsiTheme="minorEastAsia" w:eastAsiaTheme="minorEastAsia" w:cstheme="minorEastAsia"/>
          <w:color w:val="auto"/>
          <w:szCs w:val="24"/>
          <w:highlight w:val="none"/>
          <w:lang w:eastAsia="zh-CN"/>
        </w:rPr>
        <w:t>南雄市</w:t>
      </w:r>
      <w:r>
        <w:rPr>
          <w:rFonts w:hint="eastAsia" w:asciiTheme="minorEastAsia" w:hAnsiTheme="minorEastAsia" w:eastAsiaTheme="minorEastAsia" w:cstheme="minorEastAsia"/>
          <w:color w:val="auto"/>
          <w:szCs w:val="24"/>
          <w:highlight w:val="none"/>
        </w:rPr>
        <w:t>财政局投资评审中心审定为准</w:t>
      </w:r>
      <w:r>
        <w:rPr>
          <w:rFonts w:hint="eastAsia" w:asciiTheme="minorEastAsia" w:hAnsiTheme="minorEastAsia" w:eastAsiaTheme="minorEastAsia" w:cstheme="minorEastAsia"/>
          <w:color w:val="auto"/>
          <w:kern w:val="0"/>
          <w:szCs w:val="24"/>
          <w:highlight w:val="none"/>
        </w:rPr>
        <w:t xml:space="preserve">。 </w:t>
      </w:r>
    </w:p>
    <w:p w14:paraId="4AC7E498">
      <w:pPr>
        <w:spacing w:line="360" w:lineRule="auto"/>
        <w:rPr>
          <w:rFonts w:hint="eastAsia" w:asciiTheme="minorEastAsia" w:hAnsiTheme="minorEastAsia" w:eastAsiaTheme="minorEastAsia" w:cstheme="minorEastAsia"/>
          <w:strike/>
          <w:color w:val="auto"/>
          <w:szCs w:val="24"/>
          <w:highlight w:val="none"/>
        </w:rPr>
      </w:pPr>
      <w:r>
        <w:rPr>
          <w:rFonts w:hint="eastAsia" w:asciiTheme="minorEastAsia" w:hAnsiTheme="minorEastAsia" w:eastAsiaTheme="minorEastAsia" w:cstheme="minorEastAsia"/>
          <w:color w:val="auto"/>
          <w:szCs w:val="24"/>
          <w:highlight w:val="none"/>
        </w:rPr>
        <w:t xml:space="preserve">    3.5 预备费：</w:t>
      </w:r>
      <w:r>
        <w:rPr>
          <w:rFonts w:hint="eastAsia" w:asciiTheme="minorEastAsia" w:hAnsiTheme="minorEastAsia" w:eastAsiaTheme="minorEastAsia" w:cstheme="minorEastAsia"/>
          <w:b/>
          <w:color w:val="auto"/>
          <w:szCs w:val="24"/>
          <w:highlight w:val="none"/>
        </w:rPr>
        <w:t>由发包人掌握使用，不发生时不计入结算总价。使用范围用于以下情形：</w:t>
      </w:r>
    </w:p>
    <w:p w14:paraId="4D2F6EBF">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（1）由于发包人的要求导致发生设计变更或合同约定调整因素出现时的工程价款调整以及发生的索赔、现场签证等，其工程量按实调整，结算时按实际施工工作量及招标文件、合同约定进行结算，</w:t>
      </w:r>
      <w:r>
        <w:rPr>
          <w:rFonts w:hint="eastAsia" w:asciiTheme="minorEastAsia" w:hAnsiTheme="minorEastAsia" w:eastAsiaTheme="minorEastAsia" w:cstheme="minorEastAsia"/>
          <w:b/>
          <w:color w:val="auto"/>
          <w:szCs w:val="24"/>
          <w:highlight w:val="none"/>
        </w:rPr>
        <w:t>不发生时不计入结算总价</w:t>
      </w:r>
      <w:r>
        <w:rPr>
          <w:rFonts w:hint="eastAsia" w:asciiTheme="minorEastAsia" w:hAnsiTheme="minorEastAsia" w:eastAsiaTheme="minorEastAsia" w:cstheme="minorEastAsia"/>
          <w:color w:val="auto"/>
          <w:szCs w:val="24"/>
          <w:highlight w:val="none"/>
        </w:rPr>
        <w:t>。</w:t>
      </w:r>
    </w:p>
    <w:p w14:paraId="60EE5A42">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（2）国家政策变化导致的调整。</w:t>
      </w:r>
    </w:p>
    <w:p w14:paraId="520FB0E5">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（3）施工期间市场物价涨落，引起工程所在地工程造价管理机构发布的价格信息中材料价格变化，主要建筑材料（具体参照第3.3.4条款）价格浮动超过+5%的。</w:t>
      </w:r>
    </w:p>
    <w:p w14:paraId="33EC5932">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（4）施工合同签订时尚未确定或者不可预见的所需材料、设备、服务的采购。结算时按实际发生根据本招标文件的工程结算原则第3.3.5款进行结算。</w:t>
      </w:r>
    </w:p>
    <w:p w14:paraId="791D0F73">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（5）因不可预见的原因施工局部调整或施工技术工艺调整或应急工作需要发生的工程量。</w:t>
      </w:r>
    </w:p>
    <w:p w14:paraId="71947CF9">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（6）土石方工程等相应的投资概算范围之外的及因地质情况引起的基础变更的工程价款调整：其工程量按实调整，结算时按实际施工工作量及招标文件、合同约定进行结算。</w:t>
      </w:r>
    </w:p>
    <w:p w14:paraId="20EAC7DF">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3.6 预算包干费：根据2018年《广东省市政工程综合定额》、2018年《广东省房屋建筑与装饰工程综合定额》、2018年《广东省通用安装工程综合定额》、2018年《广东省园林绿化工程综合定额》，以各专业分部分项的人工费与施工机具费之和为基础计算预算包干费。本工程的预算包干内容包括：按《广东省建设工程计价依据（2018）》相关规定。</w:t>
      </w:r>
    </w:p>
    <w:p w14:paraId="08A75463">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3.7本工程结算不另行计取高温补贴费用、专业分包总包服务及配合费、设计优化及修改增加的费用。</w:t>
      </w:r>
    </w:p>
    <w:p w14:paraId="5F346420">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3.8 本工程暂估价（若有）为发包人用于支付必然发生但暂时不能确定价格的材料、工程设备的单价以及专业工程的金额，其结算原则按本章“</w:t>
      </w:r>
      <w:r>
        <w:rPr>
          <w:rFonts w:hint="eastAsia" w:asciiTheme="minorEastAsia" w:hAnsiTheme="minorEastAsia" w:eastAsiaTheme="minorEastAsia" w:cstheme="minorEastAsia"/>
          <w:color w:val="auto"/>
          <w:szCs w:val="24"/>
          <w:highlight w:val="none"/>
          <w:lang w:val="en-US" w:eastAsia="zh-CN"/>
        </w:rPr>
        <w:t>3</w:t>
      </w:r>
      <w:r>
        <w:rPr>
          <w:rFonts w:hint="eastAsia" w:asciiTheme="minorEastAsia" w:hAnsiTheme="minorEastAsia" w:eastAsiaTheme="minorEastAsia" w:cstheme="minorEastAsia"/>
          <w:color w:val="auto"/>
          <w:szCs w:val="24"/>
          <w:highlight w:val="none"/>
        </w:rPr>
        <w:t xml:space="preserve"> 工程结算原则”有关条款进行结算，结算时不得超过预算中所列相应的暂估价。</w:t>
      </w:r>
    </w:p>
    <w:p w14:paraId="72F28E1E">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3.9 因本项目为设计、施工总承包，如果设计图纸、施工图预算由于设计深度原因导致的设计变更，不另行增加费用。</w:t>
      </w:r>
    </w:p>
    <w:p w14:paraId="00025507">
      <w:pPr>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4"/>
          <w:highlight w:val="none"/>
        </w:rPr>
        <w:t>3.10 项目工程费用最终结算价以</w:t>
      </w:r>
      <w:r>
        <w:rPr>
          <w:rFonts w:hint="eastAsia" w:asciiTheme="minorEastAsia" w:hAnsiTheme="minorEastAsia" w:eastAsiaTheme="minorEastAsia" w:cstheme="minorEastAsia"/>
          <w:i w:val="0"/>
          <w:iCs w:val="0"/>
          <w:caps w:val="0"/>
          <w:color w:val="auto"/>
          <w:spacing w:val="0"/>
          <w:kern w:val="0"/>
          <w:sz w:val="24"/>
          <w:szCs w:val="24"/>
          <w:highlight w:val="none"/>
          <w:shd w:val="clear"/>
          <w:lang w:eastAsia="zh-CN"/>
        </w:rPr>
        <w:t>南雄市</w:t>
      </w:r>
      <w:r>
        <w:rPr>
          <w:rFonts w:hint="eastAsia" w:asciiTheme="minorEastAsia" w:hAnsiTheme="minorEastAsia" w:eastAsiaTheme="minorEastAsia" w:cstheme="minorEastAsia"/>
          <w:color w:val="auto"/>
          <w:szCs w:val="24"/>
          <w:highlight w:val="none"/>
        </w:rPr>
        <w:t>财政局投资评审中心的审定意见为准：若最终结算价超过中标价，则按中标价结算；若最终结算价未超过中标价，则按</w:t>
      </w:r>
      <w:r>
        <w:rPr>
          <w:rFonts w:hint="eastAsia" w:asciiTheme="minorEastAsia" w:hAnsiTheme="minorEastAsia" w:eastAsiaTheme="minorEastAsia" w:cstheme="minorEastAsia"/>
          <w:i w:val="0"/>
          <w:iCs w:val="0"/>
          <w:caps w:val="0"/>
          <w:color w:val="auto"/>
          <w:spacing w:val="0"/>
          <w:kern w:val="0"/>
          <w:sz w:val="24"/>
          <w:szCs w:val="24"/>
          <w:highlight w:val="none"/>
          <w:shd w:val="clear"/>
          <w:lang w:eastAsia="zh-CN"/>
        </w:rPr>
        <w:t>南雄市</w:t>
      </w:r>
      <w:r>
        <w:rPr>
          <w:rFonts w:hint="eastAsia" w:asciiTheme="minorEastAsia" w:hAnsiTheme="minorEastAsia" w:eastAsiaTheme="minorEastAsia" w:cstheme="minorEastAsia"/>
          <w:color w:val="auto"/>
          <w:szCs w:val="24"/>
          <w:highlight w:val="none"/>
        </w:rPr>
        <w:t>财政局投资评审中心审定的结算价进行结算。</w:t>
      </w:r>
    </w:p>
    <w:bookmarkEnd w:id="337"/>
    <w:bookmarkEnd w:id="338"/>
    <w:p w14:paraId="70D6157D">
      <w:pPr>
        <w:pStyle w:val="49"/>
        <w:keepNext/>
        <w:keepLines/>
        <w:spacing w:line="360" w:lineRule="auto"/>
        <w:ind w:firstLine="480"/>
        <w:jc w:val="both"/>
        <w:rPr>
          <w:rFonts w:hint="eastAsia" w:asciiTheme="minorEastAsia" w:hAnsiTheme="minorEastAsia" w:eastAsiaTheme="minorEastAsia" w:cstheme="minorEastAsia"/>
          <w:b/>
          <w:color w:val="auto"/>
          <w:kern w:val="2"/>
          <w:szCs w:val="24"/>
          <w:highlight w:val="none"/>
        </w:rPr>
      </w:pPr>
      <w:bookmarkStart w:id="339" w:name="_Hlt112206782"/>
      <w:bookmarkEnd w:id="339"/>
      <w:bookmarkStart w:id="340" w:name="_Toc23408"/>
      <w:bookmarkStart w:id="341" w:name="_Toc326916631"/>
      <w:bookmarkStart w:id="342" w:name="_Toc16793"/>
      <w:bookmarkStart w:id="343" w:name="_Toc15300"/>
      <w:bookmarkStart w:id="344" w:name="_Toc11208"/>
      <w:bookmarkStart w:id="345" w:name="_Toc24211"/>
      <w:bookmarkStart w:id="346" w:name="_Toc20983"/>
      <w:bookmarkStart w:id="347" w:name="_Toc322793290"/>
      <w:bookmarkStart w:id="348" w:name="_Toc32271"/>
      <w:bookmarkStart w:id="349" w:name="_Toc2973"/>
      <w:bookmarkStart w:id="350" w:name="_Toc30894"/>
      <w:bookmarkStart w:id="351" w:name="_Toc29998"/>
      <w:bookmarkStart w:id="352" w:name="_Hlt87951777"/>
      <w:r>
        <w:rPr>
          <w:rFonts w:hint="eastAsia" w:asciiTheme="minorEastAsia" w:hAnsiTheme="minorEastAsia" w:eastAsiaTheme="minorEastAsia" w:cstheme="minorEastAsia"/>
          <w:b/>
          <w:color w:val="auto"/>
          <w:kern w:val="2"/>
          <w:szCs w:val="24"/>
          <w:highlight w:val="none"/>
        </w:rPr>
        <w:t>4 工程付款办法</w:t>
      </w:r>
      <w:bookmarkEnd w:id="340"/>
      <w:bookmarkEnd w:id="341"/>
      <w:bookmarkEnd w:id="342"/>
      <w:bookmarkEnd w:id="343"/>
      <w:bookmarkEnd w:id="344"/>
      <w:bookmarkEnd w:id="345"/>
      <w:bookmarkEnd w:id="346"/>
      <w:bookmarkEnd w:id="347"/>
      <w:bookmarkEnd w:id="348"/>
      <w:bookmarkEnd w:id="349"/>
      <w:bookmarkEnd w:id="350"/>
      <w:bookmarkEnd w:id="351"/>
    </w:p>
    <w:bookmarkEnd w:id="352"/>
    <w:p w14:paraId="321EF06C">
      <w:pPr>
        <w:pStyle w:val="47"/>
        <w:spacing w:line="360" w:lineRule="auto"/>
        <w:ind w:firstLine="480"/>
        <w:rPr>
          <w:rFonts w:hint="eastAsia" w:asciiTheme="minorEastAsia" w:hAnsiTheme="minorEastAsia" w:eastAsiaTheme="minorEastAsia" w:cstheme="minorEastAsia"/>
          <w:color w:val="auto"/>
          <w:szCs w:val="22"/>
          <w:highlight w:val="none"/>
        </w:rPr>
      </w:pPr>
      <w:bookmarkStart w:id="353" w:name="_Hlt66591689"/>
      <w:bookmarkEnd w:id="353"/>
      <w:bookmarkStart w:id="354" w:name="_Hlt69700007"/>
      <w:bookmarkEnd w:id="354"/>
      <w:bookmarkStart w:id="355" w:name="_Hlt88976467"/>
      <w:bookmarkEnd w:id="355"/>
      <w:bookmarkStart w:id="356" w:name="_Hlt66608388"/>
      <w:bookmarkEnd w:id="356"/>
      <w:bookmarkStart w:id="357" w:name="_Hlt69669774"/>
      <w:bookmarkEnd w:id="357"/>
      <w:bookmarkStart w:id="358" w:name="_Hlt70150985"/>
      <w:bookmarkEnd w:id="358"/>
      <w:bookmarkStart w:id="359" w:name="_Hlt66593437"/>
      <w:bookmarkEnd w:id="359"/>
      <w:bookmarkStart w:id="360" w:name="_Hlt69114106"/>
      <w:bookmarkEnd w:id="360"/>
      <w:r>
        <w:rPr>
          <w:rFonts w:hint="eastAsia" w:asciiTheme="minorEastAsia" w:hAnsiTheme="minorEastAsia" w:eastAsiaTheme="minorEastAsia" w:cstheme="minorEastAsia"/>
          <w:b/>
          <w:bCs/>
          <w:color w:val="auto"/>
          <w:szCs w:val="22"/>
          <w:highlight w:val="none"/>
        </w:rPr>
        <w:t>4.1</w:t>
      </w:r>
      <w:r>
        <w:rPr>
          <w:rFonts w:hint="eastAsia" w:asciiTheme="minorEastAsia" w:hAnsiTheme="minorEastAsia" w:eastAsiaTheme="minorEastAsia" w:cstheme="minorEastAsia"/>
          <w:b/>
          <w:bCs/>
          <w:color w:val="auto"/>
          <w:szCs w:val="21"/>
          <w:highlight w:val="none"/>
        </w:rPr>
        <w:t>设计费的支付</w:t>
      </w:r>
      <w:r>
        <w:rPr>
          <w:rFonts w:hint="eastAsia" w:asciiTheme="minorEastAsia" w:hAnsiTheme="minorEastAsia" w:eastAsiaTheme="minorEastAsia" w:cstheme="minorEastAsia"/>
          <w:color w:val="auto"/>
          <w:szCs w:val="22"/>
          <w:highlight w:val="none"/>
        </w:rPr>
        <w:t>：</w:t>
      </w:r>
    </w:p>
    <w:p w14:paraId="55152C43">
      <w:pPr>
        <w:pStyle w:val="86"/>
        <w:spacing w:line="360" w:lineRule="auto"/>
        <w:ind w:firstLine="573"/>
        <w:rPr>
          <w:rFonts w:hint="eastAsia" w:asciiTheme="minorEastAsia" w:hAnsiTheme="minorEastAsia" w:eastAsiaTheme="minorEastAsia" w:cstheme="minorEastAsia"/>
          <w:color w:val="auto"/>
          <w:kern w:val="2"/>
          <w:sz w:val="24"/>
          <w:szCs w:val="24"/>
          <w:highlight w:val="none"/>
          <w:u w:val="none"/>
          <w:lang w:eastAsia="zh-CN"/>
        </w:rPr>
      </w:pPr>
      <w:r>
        <w:rPr>
          <w:rFonts w:hint="eastAsia" w:asciiTheme="minorEastAsia" w:hAnsiTheme="minorEastAsia" w:eastAsiaTheme="minorEastAsia" w:cstheme="minorEastAsia"/>
          <w:color w:val="auto"/>
          <w:kern w:val="2"/>
          <w:szCs w:val="24"/>
          <w:highlight w:val="none"/>
          <w:u w:val="none"/>
        </w:rPr>
        <w:t>4.1.1</w:t>
      </w:r>
      <w:r>
        <w:rPr>
          <w:rFonts w:hint="eastAsia" w:asciiTheme="minorEastAsia" w:hAnsiTheme="minorEastAsia" w:eastAsiaTheme="minorEastAsia" w:cstheme="minorEastAsia"/>
          <w:color w:val="auto"/>
          <w:kern w:val="2"/>
          <w:szCs w:val="24"/>
          <w:highlight w:val="none"/>
          <w:u w:val="none"/>
          <w:lang w:val="en-US" w:eastAsia="zh-CN"/>
        </w:rPr>
        <w:t xml:space="preserve"> </w:t>
      </w:r>
      <w:r>
        <w:rPr>
          <w:rFonts w:hint="eastAsia" w:asciiTheme="minorEastAsia" w:hAnsiTheme="minorEastAsia" w:eastAsiaTheme="minorEastAsia" w:cstheme="minorEastAsia"/>
          <w:color w:val="auto"/>
          <w:kern w:val="2"/>
          <w:sz w:val="24"/>
          <w:szCs w:val="24"/>
          <w:highlight w:val="none"/>
          <w:u w:val="none"/>
        </w:rPr>
        <w:t>合同签定后发包人付设计费的30%</w:t>
      </w:r>
      <w:r>
        <w:rPr>
          <w:rFonts w:hint="eastAsia" w:asciiTheme="minorEastAsia" w:hAnsiTheme="minorEastAsia" w:eastAsiaTheme="minorEastAsia" w:cstheme="minorEastAsia"/>
          <w:color w:val="auto"/>
          <w:kern w:val="2"/>
          <w:sz w:val="24"/>
          <w:szCs w:val="24"/>
          <w:highlight w:val="none"/>
          <w:u w:val="none"/>
          <w:lang w:eastAsia="zh-CN"/>
        </w:rPr>
        <w:t>；</w:t>
      </w:r>
    </w:p>
    <w:p w14:paraId="0075D262">
      <w:pPr>
        <w:pStyle w:val="47"/>
        <w:spacing w:line="360" w:lineRule="auto"/>
        <w:ind w:firstLine="48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4.1.2本项目工程施工图设计经委托具有资质的第三方审图机构审查合格并提交合格的完整施工图设计成果文件后，支付至设计费合同价款的80%。</w:t>
      </w:r>
    </w:p>
    <w:p w14:paraId="360E13A3">
      <w:pPr>
        <w:pStyle w:val="47"/>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4.1.3</w:t>
      </w:r>
      <w:r>
        <w:rPr>
          <w:rFonts w:hint="eastAsia" w:asciiTheme="minorEastAsia" w:hAnsiTheme="minorEastAsia" w:eastAsiaTheme="minorEastAsia" w:cstheme="minorEastAsia"/>
          <w:color w:val="auto"/>
          <w:szCs w:val="24"/>
          <w:highlight w:val="none"/>
        </w:rPr>
        <w:t>工程竣工验收合格后，相关请款资料经</w:t>
      </w:r>
      <w:r>
        <w:rPr>
          <w:rFonts w:hint="eastAsia" w:asciiTheme="minorEastAsia" w:hAnsiTheme="minorEastAsia" w:eastAsiaTheme="minorEastAsia" w:cstheme="minorEastAsia"/>
          <w:color w:val="auto"/>
          <w:szCs w:val="24"/>
          <w:highlight w:val="none"/>
          <w:lang w:val="en-US" w:eastAsia="zh-CN"/>
        </w:rPr>
        <w:t>南雄市</w:t>
      </w:r>
      <w:r>
        <w:rPr>
          <w:rFonts w:hint="eastAsia" w:asciiTheme="minorEastAsia" w:hAnsiTheme="minorEastAsia" w:eastAsiaTheme="minorEastAsia" w:cstheme="minorEastAsia"/>
          <w:color w:val="auto"/>
          <w:szCs w:val="24"/>
          <w:highlight w:val="none"/>
        </w:rPr>
        <w:t>财政局审批后10个工作日内支付剩余</w:t>
      </w:r>
      <w:r>
        <w:rPr>
          <w:rFonts w:hint="eastAsia" w:asciiTheme="minorEastAsia" w:hAnsiTheme="minorEastAsia" w:eastAsiaTheme="minorEastAsia" w:cstheme="minorEastAsia"/>
          <w:color w:val="auto"/>
          <w:szCs w:val="24"/>
          <w:highlight w:val="none"/>
          <w:lang w:val="en-US" w:eastAsia="zh-CN"/>
        </w:rPr>
        <w:t>的</w:t>
      </w:r>
      <w:r>
        <w:rPr>
          <w:rFonts w:hint="eastAsia" w:asciiTheme="minorEastAsia" w:hAnsiTheme="minorEastAsia" w:eastAsiaTheme="minorEastAsia" w:cstheme="minorEastAsia"/>
          <w:color w:val="auto"/>
          <w:szCs w:val="24"/>
          <w:highlight w:val="none"/>
        </w:rPr>
        <w:t>设计费余额。</w:t>
      </w:r>
    </w:p>
    <w:p w14:paraId="67BD3E49">
      <w:pPr>
        <w:pStyle w:val="47"/>
        <w:spacing w:line="360" w:lineRule="auto"/>
        <w:ind w:firstLine="482"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 xml:space="preserve">4.2 </w:t>
      </w:r>
      <w:r>
        <w:rPr>
          <w:rFonts w:hint="eastAsia" w:asciiTheme="minorEastAsia" w:hAnsiTheme="minorEastAsia" w:eastAsiaTheme="minorEastAsia" w:cstheme="minorEastAsia"/>
          <w:b/>
          <w:bCs/>
          <w:color w:val="auto"/>
          <w:szCs w:val="21"/>
          <w:highlight w:val="none"/>
        </w:rPr>
        <w:t>建安工程款的支付</w:t>
      </w:r>
      <w:r>
        <w:rPr>
          <w:rFonts w:hint="eastAsia" w:asciiTheme="minorEastAsia" w:hAnsiTheme="minorEastAsia" w:eastAsiaTheme="minorEastAsia" w:cstheme="minorEastAsia"/>
          <w:color w:val="auto"/>
          <w:szCs w:val="22"/>
          <w:highlight w:val="none"/>
        </w:rPr>
        <w:t>：</w:t>
      </w:r>
    </w:p>
    <w:p w14:paraId="68558E75">
      <w:pPr>
        <w:pStyle w:val="47"/>
        <w:spacing w:line="360" w:lineRule="auto"/>
        <w:ind w:firstLine="48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4.2.1 本工程</w:t>
      </w:r>
      <w:r>
        <w:rPr>
          <w:rFonts w:hint="eastAsia" w:asciiTheme="minorEastAsia" w:hAnsiTheme="minorEastAsia" w:eastAsiaTheme="minorEastAsia" w:cstheme="minorEastAsia"/>
          <w:color w:val="auto"/>
          <w:highlight w:val="none"/>
          <w:u w:val="single"/>
        </w:rPr>
        <w:t>支付</w:t>
      </w:r>
      <w:r>
        <w:rPr>
          <w:rFonts w:hint="eastAsia" w:asciiTheme="minorEastAsia" w:hAnsiTheme="minorEastAsia" w:eastAsiaTheme="minorEastAsia" w:cstheme="minorEastAsia"/>
          <w:color w:val="auto"/>
          <w:highlight w:val="none"/>
        </w:rPr>
        <w:t>施工预付款。</w:t>
      </w:r>
    </w:p>
    <w:p w14:paraId="60174964">
      <w:pPr>
        <w:pStyle w:val="47"/>
        <w:spacing w:line="360" w:lineRule="auto"/>
        <w:ind w:firstLine="480"/>
        <w:rPr>
          <w:rFonts w:hint="eastAsia" w:asciiTheme="minorEastAsia" w:hAnsiTheme="minorEastAsia" w:eastAsiaTheme="minorEastAsia" w:cstheme="minorEastAsia"/>
          <w:i/>
          <w:snapToGrid w:val="0"/>
          <w:color w:val="auto"/>
          <w:kern w:val="0"/>
          <w:highlight w:val="none"/>
        </w:rPr>
      </w:pPr>
      <w:r>
        <w:rPr>
          <w:rFonts w:hint="eastAsia" w:asciiTheme="minorEastAsia" w:hAnsiTheme="minorEastAsia" w:eastAsiaTheme="minorEastAsia" w:cstheme="minorEastAsia"/>
          <w:color w:val="auto"/>
          <w:highlight w:val="none"/>
        </w:rPr>
        <w:t xml:space="preserve">4.2.2 </w:t>
      </w:r>
      <w:r>
        <w:rPr>
          <w:rFonts w:hint="eastAsia" w:asciiTheme="minorEastAsia" w:hAnsiTheme="minorEastAsia" w:eastAsiaTheme="minorEastAsia" w:cstheme="minorEastAsia"/>
          <w:snapToGrid w:val="0"/>
          <w:color w:val="auto"/>
          <w:kern w:val="0"/>
          <w:highlight w:val="none"/>
        </w:rPr>
        <w:t>施工预付款必须专用于合同工程，并按以下原则支付和抵扣：</w:t>
      </w:r>
    </w:p>
    <w:p w14:paraId="786D911A">
      <w:pPr>
        <w:adjustRightInd w:val="0"/>
        <w:snapToGrid w:val="0"/>
        <w:spacing w:line="360" w:lineRule="auto"/>
        <w:ind w:firstLine="56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 施工预付款支付比例为：按施工合同价（预备费除外）的</w:t>
      </w:r>
      <w:r>
        <w:rPr>
          <w:rFonts w:hint="eastAsia" w:asciiTheme="minorEastAsia" w:hAnsiTheme="minorEastAsia" w:eastAsiaTheme="minorEastAsia" w:cstheme="minorEastAsia"/>
          <w:snapToGrid w:val="0"/>
          <w:color w:val="auto"/>
          <w:kern w:val="0"/>
          <w:szCs w:val="24"/>
          <w:highlight w:val="none"/>
          <w:u w:val="single"/>
        </w:rPr>
        <w:t xml:space="preserve">30% </w:t>
      </w:r>
      <w:r>
        <w:rPr>
          <w:rFonts w:hint="eastAsia" w:asciiTheme="minorEastAsia" w:hAnsiTheme="minorEastAsia" w:eastAsiaTheme="minorEastAsia" w:cstheme="minorEastAsia"/>
          <w:snapToGrid w:val="0"/>
          <w:color w:val="auto"/>
          <w:kern w:val="0"/>
          <w:szCs w:val="24"/>
          <w:highlight w:val="none"/>
        </w:rPr>
        <w:t>支付（视资金到位情况为准），施工预付款中包含工人工资预付款，其中工人工资预付款比例为施工合同价（预备费除外）的</w:t>
      </w:r>
      <w:r>
        <w:rPr>
          <w:rFonts w:hint="eastAsia" w:asciiTheme="minorEastAsia" w:hAnsiTheme="minorEastAsia" w:eastAsiaTheme="minorEastAsia" w:cstheme="minorEastAsia"/>
          <w:snapToGrid w:val="0"/>
          <w:color w:val="auto"/>
          <w:kern w:val="0"/>
          <w:szCs w:val="24"/>
          <w:highlight w:val="none"/>
          <w:lang w:val="en-US" w:eastAsia="zh-CN"/>
        </w:rPr>
        <w:t>30</w:t>
      </w:r>
      <w:r>
        <w:rPr>
          <w:rFonts w:hint="eastAsia" w:asciiTheme="minorEastAsia" w:hAnsiTheme="minorEastAsia" w:eastAsiaTheme="minorEastAsia" w:cstheme="minorEastAsia"/>
          <w:snapToGrid w:val="0"/>
          <w:color w:val="auto"/>
          <w:kern w:val="0"/>
          <w:szCs w:val="24"/>
          <w:highlight w:val="none"/>
        </w:rPr>
        <w:t>%。</w:t>
      </w:r>
    </w:p>
    <w:p w14:paraId="4A499DAE">
      <w:pPr>
        <w:adjustRightInd w:val="0"/>
        <w:snapToGrid w:val="0"/>
        <w:spacing w:line="360" w:lineRule="auto"/>
        <w:ind w:firstLine="560"/>
        <w:rPr>
          <w:rFonts w:hint="eastAsia" w:asciiTheme="minorEastAsia" w:hAnsiTheme="minorEastAsia" w:eastAsiaTheme="minorEastAsia" w:cstheme="minorEastAsia"/>
          <w:b/>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（2）本工程要求承包人提供与预付款等额的预付款银行保函（</w:t>
      </w:r>
      <w:r>
        <w:rPr>
          <w:rFonts w:hint="eastAsia" w:asciiTheme="minorEastAsia" w:hAnsiTheme="minorEastAsia" w:eastAsiaTheme="minorEastAsia" w:cstheme="minorEastAsia"/>
          <w:snapToGrid w:val="0"/>
          <w:color w:val="auto"/>
          <w:kern w:val="0"/>
          <w:szCs w:val="22"/>
          <w:highlight w:val="none"/>
        </w:rPr>
        <w:t>预付款银行保函按发包人提供的格式，详见招标文件第八章：预付款保函</w:t>
      </w: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b/>
          <w:snapToGrid w:val="0"/>
          <w:color w:val="auto"/>
          <w:kern w:val="0"/>
          <w:szCs w:val="24"/>
          <w:highlight w:val="none"/>
        </w:rPr>
        <w:t>且本工程预付款保函期限原则上不少于</w:t>
      </w:r>
      <w:r>
        <w:rPr>
          <w:rFonts w:hint="eastAsia" w:asciiTheme="minorEastAsia" w:hAnsiTheme="minorEastAsia" w:eastAsiaTheme="minorEastAsia" w:cstheme="minorEastAsia"/>
          <w:b/>
          <w:snapToGrid w:val="0"/>
          <w:color w:val="auto"/>
          <w:kern w:val="0"/>
          <w:szCs w:val="24"/>
          <w:highlight w:val="none"/>
          <w:lang w:val="en-US" w:eastAsia="zh-CN"/>
        </w:rPr>
        <w:t>3</w:t>
      </w:r>
      <w:r>
        <w:rPr>
          <w:rFonts w:hint="eastAsia" w:asciiTheme="minorEastAsia" w:hAnsiTheme="minorEastAsia" w:eastAsiaTheme="minorEastAsia" w:cstheme="minorEastAsia"/>
          <w:b/>
          <w:snapToGrid w:val="0"/>
          <w:color w:val="auto"/>
          <w:kern w:val="0"/>
          <w:szCs w:val="24"/>
          <w:highlight w:val="none"/>
        </w:rPr>
        <w:t>个月，承包人的预付款保函有效期应保证在扣回预付款前有效，未扣回预付款但保函过期的，承包人应重新开具预付款保函。</w:t>
      </w:r>
    </w:p>
    <w:p w14:paraId="12338FAE">
      <w:pPr>
        <w:pStyle w:val="47"/>
        <w:spacing w:line="360" w:lineRule="auto"/>
        <w:ind w:firstLine="48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szCs w:val="24"/>
          <w:highlight w:val="none"/>
        </w:rPr>
        <w:t>（3）承包人应在签订施工合同后，在提供等额的预付款保函及具备施工条件的前提下（如承包人主要人员及主要机械进场到位），向发包人提交预付款支付申请。</w:t>
      </w:r>
    </w:p>
    <w:p w14:paraId="359DBA68">
      <w:pPr>
        <w:pStyle w:val="47"/>
        <w:spacing w:line="360" w:lineRule="auto"/>
        <w:ind w:firstLine="480" w:firstLineChars="20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发包人在收到支付申请的7天内进行核实后，按程序向财政部门申请一次性支付预付款（工人工资预付款单独支付至工人工资专用账户）。</w:t>
      </w:r>
      <w:r>
        <w:rPr>
          <w:rFonts w:hint="eastAsia" w:asciiTheme="minorEastAsia" w:hAnsiTheme="minorEastAsia" w:eastAsiaTheme="minorEastAsia" w:cstheme="minorEastAsia"/>
          <w:b/>
          <w:snapToGrid w:val="0"/>
          <w:color w:val="auto"/>
          <w:kern w:val="0"/>
          <w:highlight w:val="none"/>
        </w:rPr>
        <w:t>凡未签订合同、未提供预付款保函或不具备施工条件的工程，发包人不预付工程款。</w:t>
      </w:r>
    </w:p>
    <w:p w14:paraId="75193BA4">
      <w:pPr>
        <w:pStyle w:val="47"/>
        <w:spacing w:line="360" w:lineRule="auto"/>
        <w:ind w:firstLine="480" w:firstLineChars="200"/>
        <w:rPr>
          <w:rFonts w:hint="eastAsia" w:asciiTheme="minorEastAsia" w:hAnsiTheme="minorEastAsia" w:eastAsiaTheme="minorEastAsia" w:cstheme="minorEastAsia"/>
          <w:bCs/>
          <w:snapToGrid w:val="0"/>
          <w:color w:val="auto"/>
          <w:kern w:val="0"/>
          <w:highlight w:val="none"/>
        </w:rPr>
      </w:pPr>
      <w:r>
        <w:rPr>
          <w:rFonts w:hint="eastAsia" w:asciiTheme="minorEastAsia" w:hAnsiTheme="minorEastAsia" w:eastAsiaTheme="minorEastAsia" w:cstheme="minorEastAsia"/>
          <w:bCs/>
          <w:snapToGrid w:val="0"/>
          <w:color w:val="auto"/>
          <w:kern w:val="0"/>
          <w:highlight w:val="none"/>
        </w:rPr>
        <w:t>（4）预付款应从每支付期应支付给承包人的工程进度款中扣回，扣回比例为每支付期的工程进度款的</w:t>
      </w:r>
      <w:r>
        <w:rPr>
          <w:rFonts w:hint="eastAsia" w:asciiTheme="minorEastAsia" w:hAnsiTheme="minorEastAsia" w:eastAsiaTheme="minorEastAsia" w:cstheme="minorEastAsia"/>
          <w:bCs/>
          <w:snapToGrid w:val="0"/>
          <w:color w:val="auto"/>
          <w:kern w:val="0"/>
          <w:highlight w:val="none"/>
          <w:lang w:val="en-US" w:eastAsia="zh-CN"/>
        </w:rPr>
        <w:t>4</w:t>
      </w:r>
      <w:r>
        <w:rPr>
          <w:rFonts w:hint="eastAsia" w:asciiTheme="minorEastAsia" w:hAnsiTheme="minorEastAsia" w:eastAsiaTheme="minorEastAsia" w:cstheme="minorEastAsia"/>
          <w:bCs/>
          <w:snapToGrid w:val="0"/>
          <w:color w:val="auto"/>
          <w:kern w:val="0"/>
          <w:highlight w:val="none"/>
        </w:rPr>
        <w:t>0%，直到扣回的金额达到合同约定的预付款金额为止。</w:t>
      </w:r>
    </w:p>
    <w:p w14:paraId="24B08995">
      <w:pPr>
        <w:pStyle w:val="47"/>
        <w:spacing w:line="360" w:lineRule="auto"/>
        <w:ind w:firstLine="240" w:firstLineChars="100"/>
        <w:rPr>
          <w:rFonts w:hint="eastAsia" w:asciiTheme="minorEastAsia" w:hAnsiTheme="minorEastAsia" w:eastAsiaTheme="minorEastAsia" w:cstheme="minorEastAsia"/>
          <w:bCs/>
          <w:strike w:val="0"/>
          <w:snapToGrid w:val="0"/>
          <w:color w:val="auto"/>
          <w:kern w:val="0"/>
          <w:highlight w:val="none"/>
        </w:rPr>
      </w:pPr>
      <w:r>
        <w:rPr>
          <w:rFonts w:hint="eastAsia" w:asciiTheme="minorEastAsia" w:hAnsiTheme="minorEastAsia" w:eastAsiaTheme="minorEastAsia" w:cstheme="minorEastAsia"/>
          <w:strike w:val="0"/>
          <w:color w:val="auto"/>
          <w:highlight w:val="none"/>
        </w:rPr>
        <w:t>4.2.3工程进度款支付条件：施工图预算报发包人审核后方可支付工程进度款。</w:t>
      </w:r>
    </w:p>
    <w:p w14:paraId="09E8B826">
      <w:pPr>
        <w:pStyle w:val="47"/>
        <w:spacing w:line="360" w:lineRule="auto"/>
        <w:rPr>
          <w:rFonts w:hint="eastAsia" w:asciiTheme="minorEastAsia" w:hAnsiTheme="minorEastAsia" w:eastAsiaTheme="minorEastAsia" w:cstheme="minorEastAsia"/>
          <w:strike/>
          <w:color w:val="auto"/>
          <w:highlight w:val="none"/>
        </w:rPr>
      </w:pPr>
      <w:r>
        <w:rPr>
          <w:rFonts w:hint="eastAsia" w:asciiTheme="minorEastAsia" w:hAnsiTheme="minorEastAsia" w:eastAsiaTheme="minorEastAsia" w:cstheme="minorEastAsia"/>
          <w:color w:val="auto"/>
          <w:szCs w:val="24"/>
          <w:highlight w:val="none"/>
        </w:rPr>
        <w:t xml:space="preserve"> 4.2.4</w:t>
      </w:r>
      <w:r>
        <w:rPr>
          <w:rFonts w:hint="eastAsia"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highlight w:val="none"/>
          <w:lang w:eastAsia="zh-CN"/>
        </w:rPr>
        <w:t>施工过程中按月支付工程进度款：承包人每月按工程实际完成工程量（含变更及增加工程）申报，承包人必须将《已完成工程量报表》和《工程付款申请书》于当月26日前报监理单位核实。经监理单位审核、发包人审定后的工程进度款（指已经按照合同约定，扣除该支付期内因承包人违约而应扣除的管理费），于申报次月支付</w:t>
      </w:r>
      <w:r>
        <w:rPr>
          <w:rFonts w:hint="eastAsia" w:asciiTheme="minorEastAsia" w:hAnsiTheme="minorEastAsia" w:eastAsiaTheme="minorEastAsia" w:cstheme="minorEastAsia"/>
          <w:color w:val="auto"/>
          <w:highlight w:val="none"/>
        </w:rPr>
        <w:t>。</w:t>
      </w:r>
    </w:p>
    <w:p w14:paraId="566482A7">
      <w:pPr>
        <w:spacing w:line="360" w:lineRule="auto"/>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color w:val="auto"/>
          <w:szCs w:val="24"/>
          <w:highlight w:val="none"/>
        </w:rPr>
        <w:t xml:space="preserve">     4.2.5</w:t>
      </w:r>
      <w:r>
        <w:rPr>
          <w:rFonts w:hint="eastAsia" w:asciiTheme="minorEastAsia" w:hAnsiTheme="minorEastAsia" w:eastAsiaTheme="minorEastAsia" w:cstheme="minorEastAsia"/>
          <w:snapToGrid w:val="0"/>
          <w:color w:val="auto"/>
          <w:kern w:val="0"/>
          <w:highlight w:val="none"/>
          <w:lang w:eastAsia="zh-CN"/>
        </w:rPr>
        <w:t xml:space="preserve">每月的工程进度款按工程实际完成工程量的 </w:t>
      </w:r>
      <w:r>
        <w:rPr>
          <w:rFonts w:hint="eastAsia" w:asciiTheme="minorEastAsia" w:hAnsiTheme="minorEastAsia" w:eastAsiaTheme="minorEastAsia" w:cstheme="minorEastAsia"/>
          <w:snapToGrid w:val="0"/>
          <w:color w:val="auto"/>
          <w:kern w:val="0"/>
          <w:highlight w:val="none"/>
          <w:lang w:val="en-US" w:eastAsia="zh-CN"/>
        </w:rPr>
        <w:t>8</w:t>
      </w:r>
      <w:r>
        <w:rPr>
          <w:rFonts w:hint="eastAsia" w:asciiTheme="minorEastAsia" w:hAnsiTheme="minorEastAsia" w:eastAsiaTheme="minorEastAsia" w:cstheme="minorEastAsia"/>
          <w:snapToGrid w:val="0"/>
          <w:color w:val="auto"/>
          <w:kern w:val="0"/>
          <w:highlight w:val="none"/>
          <w:lang w:eastAsia="zh-CN"/>
        </w:rPr>
        <w:t>0% 申请支付，工程进度款中的作业工人工资款项由发包人单独足额拨付到承包人的工资专户。要严格审核工程进度款。要求施工单位严格按照实际工程量编制进度款申请，确保数据真实、完整；要求监理单位（全过程造价咨询单位）对工程量清单、进度匹配性进行核验，须优先100%足额核算保障农民工工资，签署书面审核意见和建议拨付进度款和工人工资金额。同时，各单位要对申报材料及监理审核结果进行最终确认，确保拨付金额符合合同约定，农民工工资每月足额拨付，并确保在项目结算前农民工工资不拖欠。</w:t>
      </w:r>
    </w:p>
    <w:p w14:paraId="7ECE29DE">
      <w:pPr>
        <w:pStyle w:val="47"/>
        <w:spacing w:line="360" w:lineRule="auto"/>
        <w:ind w:firstLine="480" w:firstLineChars="200"/>
        <w:rPr>
          <w:rFonts w:hint="eastAsia" w:asciiTheme="minorEastAsia" w:hAnsiTheme="minorEastAsia" w:eastAsiaTheme="minorEastAsia" w:cstheme="minorEastAsia"/>
          <w:strike/>
          <w:color w:val="auto"/>
          <w:highlight w:val="none"/>
        </w:rPr>
      </w:pPr>
      <w:r>
        <w:rPr>
          <w:rFonts w:hint="eastAsia" w:asciiTheme="minorEastAsia" w:hAnsiTheme="minorEastAsia" w:eastAsiaTheme="minorEastAsia" w:cstheme="minorEastAsia"/>
          <w:color w:val="auto"/>
          <w:highlight w:val="none"/>
        </w:rPr>
        <w:t>4.3</w:t>
      </w:r>
      <w:r>
        <w:rPr>
          <w:rFonts w:hint="eastAsia" w:asciiTheme="minorEastAsia" w:hAnsiTheme="minorEastAsia" w:eastAsiaTheme="minorEastAsia" w:cstheme="minorEastAsia"/>
          <w:snapToGrid w:val="0"/>
          <w:color w:val="auto"/>
          <w:kern w:val="0"/>
          <w:szCs w:val="24"/>
          <w:highlight w:val="none"/>
          <w:lang w:eastAsia="zh-CN"/>
        </w:rPr>
        <w:t>措施项目费中的“安全生产措施费拨付按照《建设工程工程量清单计价标准》（GB/T50500一2024）执行，参照《关于印发&lt;广东省建设厅建筑工程安全防护、文明施工措施费用管理办法&gt;的通知》支付。承包人应在签订合同后，在项目开工、开通建设工程安措费专用账户、购买安全生产责任保险的前提下向发包人提交安全生产措施费中请，项目预付安全生产措施费总额的50%，其余部分应按照提前安排的原则进行分解，并与工程进度款同期支付。发承包双方在计算应付工程进度款时，预付款</w:t>
      </w:r>
      <w:r>
        <w:rPr>
          <w:rFonts w:hint="eastAsia" w:asciiTheme="minorEastAsia" w:hAnsiTheme="minorEastAsia" w:eastAsiaTheme="minorEastAsia" w:cstheme="minorEastAsia"/>
          <w:snapToGrid w:val="0"/>
          <w:color w:val="auto"/>
          <w:kern w:val="0"/>
          <w:szCs w:val="24"/>
          <w:highlight w:val="none"/>
          <w:lang w:val="en-US" w:eastAsia="zh-CN"/>
        </w:rPr>
        <w:t>中</w:t>
      </w:r>
      <w:r>
        <w:rPr>
          <w:rFonts w:hint="eastAsia" w:asciiTheme="minorEastAsia" w:hAnsiTheme="minorEastAsia" w:eastAsiaTheme="minorEastAsia" w:cstheme="minorEastAsia"/>
          <w:snapToGrid w:val="0"/>
          <w:color w:val="auto"/>
          <w:kern w:val="0"/>
          <w:szCs w:val="24"/>
          <w:highlight w:val="none"/>
          <w:lang w:eastAsia="zh-CN"/>
        </w:rPr>
        <w:t>不扣回安全生产措施费。安全生产措施费必须专款专用，并由发包人单独拨付到承包人的建设工程安全生产措施费专用账户。</w:t>
      </w:r>
    </w:p>
    <w:p w14:paraId="41722079">
      <w:pPr>
        <w:wordWrap w:val="0"/>
        <w:adjustRightInd w:val="0"/>
        <w:snapToGrid w:val="0"/>
        <w:spacing w:line="360" w:lineRule="auto"/>
        <w:ind w:firstLine="480" w:firstLineChars="200"/>
        <w:rPr>
          <w:rFonts w:hint="eastAsia" w:asciiTheme="minorEastAsia" w:hAnsiTheme="minorEastAsia" w:eastAsiaTheme="minorEastAsia" w:cstheme="minorEastAsia"/>
          <w:strike/>
          <w:color w:val="auto"/>
          <w:highlight w:val="none"/>
        </w:rPr>
      </w:pPr>
      <w:r>
        <w:rPr>
          <w:rFonts w:hint="eastAsia" w:asciiTheme="minorEastAsia" w:hAnsiTheme="minorEastAsia" w:eastAsiaTheme="minorEastAsia" w:cstheme="minorEastAsia"/>
          <w:color w:val="auto"/>
          <w:szCs w:val="24"/>
          <w:highlight w:val="none"/>
        </w:rPr>
        <w:t>4.4</w:t>
      </w:r>
      <w:r>
        <w:rPr>
          <w:rFonts w:hint="eastAsia" w:asciiTheme="minorEastAsia" w:hAnsiTheme="minorEastAsia" w:eastAsiaTheme="minorEastAsia" w:cstheme="minorEastAsia"/>
          <w:snapToGrid w:val="0"/>
          <w:color w:val="auto"/>
          <w:kern w:val="0"/>
          <w:szCs w:val="24"/>
          <w:highlight w:val="none"/>
        </w:rPr>
        <w:t>变更工程造价必须经监理单位核实及造价咨询单位（如有造价单位）审核，并经发包人核定后方可支付。</w:t>
      </w:r>
    </w:p>
    <w:p w14:paraId="16EADF1F">
      <w:pPr>
        <w:pStyle w:val="47"/>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4.5 工程完工后可支付至80％（但不局限于80％）</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结算审核完成后，于次月支付至审定总造价的97%。</w:t>
      </w:r>
    </w:p>
    <w:p w14:paraId="41A5B087">
      <w:pPr>
        <w:pStyle w:val="47"/>
        <w:spacing w:line="360" w:lineRule="auto"/>
        <w:rPr>
          <w:rFonts w:hint="eastAsia" w:asciiTheme="minorEastAsia" w:hAnsiTheme="minorEastAsia" w:eastAsiaTheme="minorEastAsia" w:cstheme="minorEastAsia"/>
          <w:strike/>
          <w:color w:val="auto"/>
          <w:highlight w:val="none"/>
        </w:rPr>
      </w:pPr>
      <w:r>
        <w:rPr>
          <w:rFonts w:hint="eastAsia" w:asciiTheme="minorEastAsia" w:hAnsiTheme="minorEastAsia" w:eastAsiaTheme="minorEastAsia" w:cstheme="minorEastAsia"/>
          <w:color w:val="auto"/>
          <w:highlight w:val="none"/>
        </w:rPr>
        <w:t xml:space="preserve">    4.6 剩余3%为工程质量保证金，从工程竣工验收合格之日起满</w:t>
      </w:r>
      <w:r>
        <w:rPr>
          <w:rFonts w:hint="eastAsia" w:asciiTheme="minorEastAsia" w:hAnsiTheme="minorEastAsia" w:eastAsiaTheme="minorEastAsia" w:cstheme="minorEastAsia"/>
          <w:color w:val="auto"/>
          <w:highlight w:val="none"/>
          <w:u w:val="single"/>
          <w:lang w:val="en-US" w:eastAsia="zh-CN"/>
        </w:rPr>
        <w:t>1</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snapToGrid w:val="0"/>
          <w:color w:val="auto"/>
          <w:kern w:val="0"/>
          <w:highlight w:val="none"/>
        </w:rPr>
        <w:t>若未发现质量问题，</w:t>
      </w:r>
      <w:r>
        <w:rPr>
          <w:rFonts w:hint="eastAsia" w:asciiTheme="minorEastAsia" w:hAnsiTheme="minorEastAsia" w:eastAsiaTheme="minorEastAsia" w:cstheme="minorEastAsia"/>
          <w:bCs/>
          <w:snapToGrid w:val="0"/>
          <w:color w:val="auto"/>
          <w:kern w:val="0"/>
          <w:highlight w:val="none"/>
        </w:rPr>
        <w:t>承包人向发包人申请退还质量保证（或保证金），发包人按照《建设工程质量保证金管理办法》及合同的有关规定和约定将质量保证（或保证金）</w:t>
      </w:r>
      <w:r>
        <w:rPr>
          <w:rFonts w:hint="eastAsia" w:asciiTheme="minorEastAsia" w:hAnsiTheme="minorEastAsia" w:eastAsiaTheme="minorEastAsia" w:cstheme="minorEastAsia"/>
          <w:bCs/>
          <w:color w:val="auto"/>
          <w:kern w:val="0"/>
          <w:highlight w:val="none"/>
        </w:rPr>
        <w:t>于次月</w:t>
      </w:r>
      <w:r>
        <w:rPr>
          <w:rFonts w:hint="eastAsia" w:asciiTheme="minorEastAsia" w:hAnsiTheme="minorEastAsia" w:eastAsiaTheme="minorEastAsia" w:cstheme="minorEastAsia"/>
          <w:bCs/>
          <w:snapToGrid w:val="0"/>
          <w:color w:val="auto"/>
          <w:kern w:val="0"/>
          <w:highlight w:val="none"/>
        </w:rPr>
        <w:t>退还给承包人</w:t>
      </w:r>
      <w:r>
        <w:rPr>
          <w:rFonts w:hint="eastAsia" w:asciiTheme="minorEastAsia" w:hAnsiTheme="minorEastAsia" w:eastAsiaTheme="minorEastAsia" w:cstheme="minorEastAsia"/>
          <w:bCs/>
          <w:color w:val="auto"/>
          <w:kern w:val="0"/>
          <w:highlight w:val="none"/>
        </w:rPr>
        <w:t>（不计息）。</w:t>
      </w:r>
    </w:p>
    <w:p w14:paraId="3B1F805D">
      <w:pPr>
        <w:wordWrap w:val="0"/>
        <w:adjustRightInd w:val="0"/>
        <w:snapToGrid w:val="0"/>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4"/>
          <w:highlight w:val="none"/>
        </w:rPr>
        <w:t xml:space="preserve"> 4.7承包人提供的工程款发票必须按照发包人要求提供相应增值税发票给发包人，发包人收到符合要求的发票后方可支付工程款。</w:t>
      </w:r>
      <w:r>
        <w:rPr>
          <w:rFonts w:hint="eastAsia" w:asciiTheme="minorEastAsia" w:hAnsiTheme="minorEastAsia" w:eastAsiaTheme="minorEastAsia" w:cstheme="minorEastAsia"/>
          <w:snapToGrid w:val="0"/>
          <w:color w:val="auto"/>
          <w:kern w:val="0"/>
          <w:szCs w:val="24"/>
          <w:highlight w:val="none"/>
        </w:rPr>
        <w:t>如果承包人无法提供符合要求的发票，由此造成的相应损失由承包人承担。</w:t>
      </w:r>
    </w:p>
    <w:p w14:paraId="7216B678">
      <w:pPr>
        <w:pStyle w:val="47"/>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4.8本项目为政府全额投资，所有支付手续经发包人审批后，还须报政府财政部门审批完毕方可支付，如经发包人审批后已及时履行了向财政部门申报审批手续，则发包人不支付延期付</w:t>
      </w:r>
      <w:r>
        <w:rPr>
          <w:rFonts w:hint="eastAsia" w:asciiTheme="minorEastAsia" w:hAnsiTheme="minorEastAsia" w:eastAsiaTheme="minorEastAsia" w:cstheme="minorEastAsia"/>
          <w:color w:val="auto"/>
          <w:szCs w:val="22"/>
          <w:highlight w:val="none"/>
        </w:rPr>
        <w:t>款的利息，承包人也不得因政府财政部门履行审批程序所造成的延期付款而暂停施工和相关服务。</w:t>
      </w:r>
    </w:p>
    <w:p w14:paraId="7E13DF6A">
      <w:pPr>
        <w:wordWrap w:val="0"/>
        <w:adjustRightInd w:val="0"/>
        <w:snapToGrid w:val="0"/>
        <w:spacing w:line="360" w:lineRule="auto"/>
        <w:ind w:firstLine="482" w:firstLineChars="200"/>
        <w:rPr>
          <w:rFonts w:hint="eastAsia" w:asciiTheme="minorEastAsia" w:hAnsiTheme="minorEastAsia" w:eastAsiaTheme="minorEastAsia" w:cstheme="minorEastAsia"/>
          <w:color w:val="auto"/>
          <w:szCs w:val="24"/>
          <w:highlight w:val="none"/>
          <w:u w:val="single"/>
        </w:rPr>
      </w:pPr>
      <w:r>
        <w:rPr>
          <w:rFonts w:hint="eastAsia" w:asciiTheme="minorEastAsia" w:hAnsiTheme="minorEastAsia" w:eastAsiaTheme="minorEastAsia" w:cstheme="minorEastAsia"/>
          <w:b/>
          <w:bCs/>
          <w:color w:val="auto"/>
          <w:szCs w:val="24"/>
          <w:highlight w:val="none"/>
        </w:rPr>
        <w:t>4.9</w:t>
      </w:r>
      <w:r>
        <w:rPr>
          <w:rFonts w:hint="eastAsia" w:asciiTheme="minorEastAsia" w:hAnsiTheme="minorEastAsia" w:eastAsiaTheme="minorEastAsia" w:cstheme="minorEastAsia"/>
          <w:color w:val="auto"/>
          <w:highlight w:val="none"/>
        </w:rPr>
        <w:t>预备费支付方式：与每个月的工程进度款一并报送（若发生符合使用范围的情形需使用预备费时），在预备费的范围内由监理单位进行签认，造价咨询单位审核，发包人确认，进度款中需要列明涉及预备费的部分。在预备费的范围内由监理单位进行签证，造价咨询单位审核后，经发包人确认后按该进度款项的50％支付，其余部分待结算完成审核后支付。预备费如有余额归发包人，不发生时不计入结算总价。</w:t>
      </w:r>
    </w:p>
    <w:p w14:paraId="609BF42D">
      <w:pPr>
        <w:wordWrap w:val="0"/>
        <w:adjustRightInd w:val="0"/>
        <w:snapToGrid w:val="0"/>
        <w:spacing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color w:val="auto"/>
          <w:szCs w:val="24"/>
          <w:highlight w:val="none"/>
        </w:rPr>
        <w:t>4.10</w:t>
      </w:r>
      <w:r>
        <w:rPr>
          <w:rFonts w:hint="eastAsia" w:asciiTheme="minorEastAsia" w:hAnsiTheme="minorEastAsia" w:eastAsiaTheme="minorEastAsia" w:cstheme="minorEastAsia"/>
          <w:color w:val="auto"/>
          <w:szCs w:val="24"/>
          <w:highlight w:val="none"/>
        </w:rPr>
        <w:t>本工程按政府有关要求或资金安排情况、合同有关约定，经双方协商可调整建安费支付办法。</w:t>
      </w:r>
    </w:p>
    <w:p w14:paraId="4D87B18B">
      <w:pPr>
        <w:pStyle w:val="47"/>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补充条款：</w:t>
      </w:r>
    </w:p>
    <w:p w14:paraId="78092894">
      <w:pPr>
        <w:pStyle w:val="47"/>
        <w:numPr>
          <w:ilvl w:val="0"/>
          <w:numId w:val="3"/>
        </w:numPr>
        <w:spacing w:line="360" w:lineRule="auto"/>
        <w:ind w:firstLine="361" w:firstLineChars="15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施工部分</w:t>
      </w:r>
    </w:p>
    <w:p w14:paraId="7C85417A">
      <w:pPr>
        <w:pStyle w:val="65"/>
        <w:widowControl/>
        <w:spacing w:line="360" w:lineRule="auto"/>
        <w:ind w:firstLine="420"/>
        <w:jc w:val="left"/>
        <w:rPr>
          <w:rFonts w:hint="eastAsia" w:asciiTheme="minorEastAsia" w:hAnsiTheme="minorEastAsia" w:eastAsiaTheme="minorEastAsia" w:cstheme="minorEastAsia"/>
          <w:b/>
          <w:bCs/>
          <w:color w:val="auto"/>
          <w:highlight w:val="none"/>
          <w:lang w:val="zh-CN"/>
        </w:rPr>
      </w:pPr>
      <w:r>
        <w:rPr>
          <w:rFonts w:hint="eastAsia" w:asciiTheme="minorEastAsia" w:hAnsiTheme="minorEastAsia" w:eastAsiaTheme="minorEastAsia" w:cstheme="minorEastAsia"/>
          <w:b/>
          <w:bCs/>
          <w:color w:val="auto"/>
          <w:highlight w:val="none"/>
        </w:rPr>
        <w:t>5.1</w:t>
      </w:r>
      <w:r>
        <w:rPr>
          <w:rFonts w:hint="eastAsia" w:asciiTheme="minorEastAsia" w:hAnsiTheme="minorEastAsia" w:eastAsiaTheme="minorEastAsia" w:cstheme="minorEastAsia"/>
          <w:b/>
          <w:bCs/>
          <w:color w:val="auto"/>
          <w:highlight w:val="none"/>
          <w:lang w:val="zh-CN"/>
        </w:rPr>
        <w:t>项目管理</w:t>
      </w:r>
    </w:p>
    <w:p w14:paraId="78BB4858">
      <w:pPr>
        <w:pStyle w:val="65"/>
        <w:widowControl/>
        <w:spacing w:line="360" w:lineRule="auto"/>
        <w:ind w:firstLine="42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5.1.1项目经理要求：</w:t>
      </w:r>
    </w:p>
    <w:p w14:paraId="102046D0">
      <w:pPr>
        <w:pStyle w:val="65"/>
        <w:widowControl/>
        <w:spacing w:line="360" w:lineRule="auto"/>
        <w:ind w:firstLine="42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项目经理与投标文件承诺不一致或未及时到位，发包人将按照下列方式对承包人进行处罚：</w:t>
      </w:r>
    </w:p>
    <w:p w14:paraId="20177E41">
      <w:pPr>
        <w:pStyle w:val="65"/>
        <w:widowControl/>
        <w:numPr>
          <w:ilvl w:val="0"/>
          <w:numId w:val="0"/>
        </w:numPr>
        <w:spacing w:line="360" w:lineRule="auto"/>
        <w:ind w:firstLine="420" w:firstLineChars="0"/>
        <w:jc w:val="left"/>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kern w:val="2"/>
          <w:sz w:val="24"/>
          <w:highlight w:val="none"/>
          <w:lang w:val="en-US" w:eastAsia="zh-CN" w:bidi="ar-SA"/>
        </w:rPr>
        <w:t>（1）</w:t>
      </w:r>
      <w:r>
        <w:rPr>
          <w:rFonts w:hint="eastAsia" w:asciiTheme="minorEastAsia" w:hAnsiTheme="minorEastAsia" w:eastAsiaTheme="minorEastAsia" w:cstheme="minorEastAsia"/>
          <w:color w:val="auto"/>
          <w:highlight w:val="none"/>
          <w:u w:val="single"/>
        </w:rPr>
        <w:t>担任项目经理的注册建造师与投标书承诺不一致，将视为承包人严重违约。除符合广东省住房和城乡建设厅《关于建设工程项目招标中标后监督检查的办法》〔2009〕8号文第九条规定的情形外，项目经理一律不得更换。承包人未经监理工程师和发包人书面同意，擅自更换投标书中确认的本工程项目经理的，监理工程师或发包人有权责令承包人三天内整改，且发包人有权提请建设行政主管部门对其作不良行为记录，有权给予承包人履约评价为不合格，同时发包人有权拒绝承包人3年内参加发包人其它工程的投标。</w:t>
      </w:r>
      <w:r>
        <w:rPr>
          <w:rFonts w:hint="eastAsia" w:asciiTheme="minorEastAsia" w:hAnsiTheme="minorEastAsia" w:eastAsiaTheme="minorEastAsia" w:cstheme="minorEastAsia"/>
          <w:snapToGrid w:val="0"/>
          <w:color w:val="auto"/>
          <w:kern w:val="0"/>
          <w:szCs w:val="24"/>
          <w:highlight w:val="none"/>
          <w:u w:val="single"/>
        </w:rPr>
        <w:t>擅自更换本工程项目经理的，</w:t>
      </w:r>
      <w:r>
        <w:rPr>
          <w:rFonts w:hint="eastAsia" w:asciiTheme="minorEastAsia" w:hAnsiTheme="minorEastAsia" w:eastAsiaTheme="minorEastAsia" w:cstheme="minorEastAsia"/>
          <w:color w:val="auto"/>
          <w:highlight w:val="none"/>
          <w:u w:val="single"/>
        </w:rPr>
        <w:t>即使发包人</w:t>
      </w:r>
      <w:r>
        <w:rPr>
          <w:rFonts w:hint="eastAsia" w:asciiTheme="minorEastAsia" w:hAnsiTheme="minorEastAsia" w:eastAsiaTheme="minorEastAsia" w:cstheme="minorEastAsia"/>
          <w:snapToGrid w:val="0"/>
          <w:color w:val="auto"/>
          <w:kern w:val="0"/>
          <w:szCs w:val="24"/>
          <w:highlight w:val="none"/>
          <w:u w:val="single"/>
        </w:rPr>
        <w:t>事后</w:t>
      </w:r>
      <w:r>
        <w:rPr>
          <w:rFonts w:hint="eastAsia" w:asciiTheme="minorEastAsia" w:hAnsiTheme="minorEastAsia" w:eastAsiaTheme="minorEastAsia" w:cstheme="minorEastAsia"/>
          <w:color w:val="auto"/>
          <w:highlight w:val="none"/>
          <w:u w:val="single"/>
        </w:rPr>
        <w:t>批准同意更换，承包人仍需支付每换一次15万元的违约金（仅被羁押或判处刑罚、身亡可免责）。</w:t>
      </w:r>
    </w:p>
    <w:p w14:paraId="484D4B2F">
      <w:pPr>
        <w:pStyle w:val="65"/>
        <w:widowControl/>
        <w:spacing w:line="360" w:lineRule="auto"/>
        <w:ind w:firstLine="48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w:t>
      </w:r>
      <w:r>
        <w:rPr>
          <w:rFonts w:hint="eastAsia" w:asciiTheme="minorEastAsia" w:hAnsiTheme="minorEastAsia" w:eastAsiaTheme="minorEastAsia" w:cstheme="minorEastAsia"/>
          <w:color w:val="auto"/>
          <w:highlight w:val="none"/>
          <w:u w:val="single"/>
          <w:lang w:val="en-US" w:eastAsia="zh-CN"/>
        </w:rPr>
        <w:t>2</w:t>
      </w:r>
      <w:r>
        <w:rPr>
          <w:rFonts w:hint="eastAsia" w:asciiTheme="minorEastAsia" w:hAnsiTheme="minorEastAsia" w:eastAsiaTheme="minorEastAsia" w:cstheme="minorEastAsia"/>
          <w:color w:val="auto"/>
          <w:highlight w:val="none"/>
          <w:u w:val="single"/>
        </w:rPr>
        <w:t>）对于难以胜任工作项目经理，发包人有权要求承包人进行更换，直至发包人满意为止，且更换人员应在接到书面通知后的3天内到位。更换项目经理期间延误的工期不予顺延，所有费用由承包人承担，给发包人造成的损失由承包人承担。</w:t>
      </w:r>
    </w:p>
    <w:p w14:paraId="103D7D44">
      <w:pPr>
        <w:pStyle w:val="65"/>
        <w:widowControl/>
        <w:spacing w:line="360" w:lineRule="auto"/>
        <w:ind w:firstLine="42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5.1.2承包人必须遵守国家相关法律法规、政府相关规定及</w:t>
      </w:r>
      <w:r>
        <w:rPr>
          <w:rFonts w:hint="eastAsia" w:asciiTheme="minorEastAsia" w:hAnsiTheme="minorEastAsia" w:eastAsiaTheme="minorEastAsia" w:cstheme="minorEastAsia"/>
          <w:color w:val="auto"/>
          <w:highlight w:val="none"/>
          <w:lang w:eastAsia="zh-CN"/>
        </w:rPr>
        <w:tab/>
      </w:r>
      <w:r>
        <w:rPr>
          <w:rFonts w:hint="eastAsia" w:asciiTheme="minorEastAsia" w:hAnsiTheme="minorEastAsia" w:eastAsiaTheme="minorEastAsia" w:cstheme="minorEastAsia"/>
          <w:color w:val="auto"/>
          <w:highlight w:val="none"/>
          <w:lang w:eastAsia="zh-CN"/>
        </w:rPr>
        <w:t>南雄市</w:t>
      </w:r>
      <w:r>
        <w:rPr>
          <w:rFonts w:hint="eastAsia" w:asciiTheme="minorEastAsia" w:hAnsiTheme="minorEastAsia" w:eastAsiaTheme="minorEastAsia" w:cstheme="minorEastAsia"/>
          <w:color w:val="auto"/>
          <w:highlight w:val="none"/>
          <w:lang w:val="en-US" w:eastAsia="zh-CN"/>
        </w:rPr>
        <w:t>油山镇</w:t>
      </w:r>
      <w:r>
        <w:rPr>
          <w:rFonts w:hint="eastAsia" w:asciiTheme="minorEastAsia" w:hAnsiTheme="minorEastAsia" w:eastAsiaTheme="minorEastAsia" w:cstheme="minorEastAsia"/>
          <w:color w:val="auto"/>
          <w:highlight w:val="none"/>
          <w:lang w:eastAsia="zh-CN"/>
        </w:rPr>
        <w:t xml:space="preserve">人民政府 </w:t>
      </w:r>
      <w:r>
        <w:rPr>
          <w:rFonts w:hint="eastAsia" w:asciiTheme="minorEastAsia" w:hAnsiTheme="minorEastAsia" w:eastAsiaTheme="minorEastAsia" w:cstheme="minorEastAsia"/>
          <w:color w:val="auto"/>
          <w:highlight w:val="none"/>
        </w:rPr>
        <w:t>的工程管理制度。</w:t>
      </w:r>
    </w:p>
    <w:p w14:paraId="1C814542">
      <w:pPr>
        <w:pStyle w:val="65"/>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5.1.3承包人应根据工程实际需要，配备满足进度要求的施工机械，自备发电机保证供电稳定，所有费用已包含在合同价中。</w:t>
      </w:r>
    </w:p>
    <w:p w14:paraId="2239CEC0">
      <w:pPr>
        <w:pStyle w:val="65"/>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5.1.4如果承包人未能按照规定的工期完成合同工程（含材料、设备采购等），或者未能在相应的工期内完成某区段或某单项工程，经发包人书面发出通知要求承包人在规定时间内完成前述工程后，承包人仍未完成，则发包人有权直接雇用他人执行该项指令，并向其支付有关费用，所发生的费用从承包人合同总价中扣除，同时，在工程结算时发包人有权扣除承包人向发包人支付所发生费用10%的违约金，并由承包人承担影响工期的一切责任。</w:t>
      </w:r>
    </w:p>
    <w:p w14:paraId="0FB0B478">
      <w:pPr>
        <w:pStyle w:val="65"/>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5.1.5在合同履行中如发包人、承包人双方发生争议，承包人不得以争议未解决为由擅自停工，否则将视为违约，由此产生工期的延误不予顺延。</w:t>
      </w:r>
    </w:p>
    <w:p w14:paraId="1ED02A19">
      <w:pPr>
        <w:pStyle w:val="65"/>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5.1.6对于隐蔽工程，若发现承包人在验收合格后到隐蔽施工前，对合格部分做任何改动，应重新进行验收；若承包人同一分项工程验收两次仍不合格，则以后每增加一次验收，承包人向发包人支付违约金5000元。如出现未经验收就进行隐蔽施工，承包人向发包人支付10万元/次的违约金，并且发包人有权暂停支付该部分进度款，直至发包人确认该部分工程合格为止，并通报相关部门，由此产生质量、工期延误等等均由承包人负责。</w:t>
      </w:r>
    </w:p>
    <w:p w14:paraId="6040F85F">
      <w:pPr>
        <w:wordWrap w:val="0"/>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经承包人的自检确认隐蔽工程和工程的隐蔽部位具备覆盖条件后的24小时内，承包人应通知监理人进行检查，通知应按规定的格式说明检查地点、内容和检查时间，并附有承包人自检记录和必要的检查资料。监理人应按通知约定的时间派员到场进行检查，在监理人员确认质量符合要求，并在检查记录上签字后，承包人才能进行覆盖。</w:t>
      </w:r>
    </w:p>
    <w:p w14:paraId="3EF93B12">
      <w:pPr>
        <w:pStyle w:val="65"/>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承包人未及时通知监理人到场检查，私自将隐蔽部位覆盖，监理人有权指示承包人采用钻孔探测揭开进行检查，由此增加的费用和工期延误责任由承包人承担。</w:t>
      </w:r>
    </w:p>
    <w:p w14:paraId="4743ECAB">
      <w:pPr>
        <w:pStyle w:val="65"/>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5.1.7承包人必须编制合理的交通维护方案并负责实施，保证施工期间的交通组织符合</w:t>
      </w:r>
      <w:r>
        <w:rPr>
          <w:rFonts w:hint="eastAsia" w:asciiTheme="minorEastAsia" w:hAnsiTheme="minorEastAsia" w:eastAsiaTheme="minorEastAsia" w:cstheme="minorEastAsia"/>
          <w:color w:val="auto"/>
          <w:szCs w:val="24"/>
          <w:highlight w:val="none"/>
          <w:lang w:val="en-US" w:eastAsia="zh-CN"/>
        </w:rPr>
        <w:t>南雄市</w:t>
      </w:r>
      <w:r>
        <w:rPr>
          <w:rFonts w:hint="eastAsia" w:asciiTheme="minorEastAsia" w:hAnsiTheme="minorEastAsia" w:eastAsiaTheme="minorEastAsia" w:cstheme="minorEastAsia"/>
          <w:color w:val="auto"/>
          <w:szCs w:val="24"/>
          <w:highlight w:val="none"/>
        </w:rPr>
        <w:t>公安交通管理的有关规定，确保施工安全，其费用包含在合同价中。</w:t>
      </w:r>
    </w:p>
    <w:p w14:paraId="776AEB15">
      <w:pPr>
        <w:pStyle w:val="65"/>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5.1.8发生伤亡事故，承包人应在第一时间通知发包人，并按规定立即上报有关部门，同时按法律、法规及相关规定的要求及时处理，否则记承包人严重违约责任一次。</w:t>
      </w:r>
    </w:p>
    <w:p w14:paraId="28DC5105">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因承包人原因，承包人施工现场发生工伤或其他责任事故的，除按相关法律法规依法接受处理和赔偿所造成的损失外，承包人还须按下列标准向发包人支付惩罚性违约金：</w:t>
      </w:r>
    </w:p>
    <w:p w14:paraId="6844ADB1">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（1）一次事故或全年累计死亡3人及以上：安全第一责任人在韶关市地区建设范围内公开检查；承包人必须撤换项目经理、安全主管，同时支付合同价款15％的惩罚性违约金。</w:t>
      </w:r>
    </w:p>
    <w:p w14:paraId="1410A39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（2）一次事故或全年累计死亡2人：安全第一责任人在韶关市地区建设范围内公开检查；承包人必须撤换项目经理、安全主管，同时支付合同价款10％的惩罚性违约金。</w:t>
      </w:r>
    </w:p>
    <w:p w14:paraId="41932B3B">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（3）全年死亡1人：安全第一责任人在韶关市地区建设范围内公开检查，并报其上级单位；承包人必须撤换项目经理、安全主管；同时支付合同价款5％的惩罚性违约金。</w:t>
      </w:r>
    </w:p>
    <w:p w14:paraId="7DDCCE72">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（4）重伤事故、造成10人及以上集体中毒住院、经济损失重大的火灾、设备及交通事故，依法由承包人承担责任，并支付惩罚性违约金3万元。</w:t>
      </w:r>
    </w:p>
    <w:p w14:paraId="2A4F27DB">
      <w:pPr>
        <w:pStyle w:val="65"/>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（5）因施工造成的道路交通中断、通讯中断、管线漏水漏气等全部责任事故，依法由承包人承担责任，并支付惩罚性违约金2万元。</w:t>
      </w:r>
    </w:p>
    <w:p w14:paraId="5183712F">
      <w:pPr>
        <w:pStyle w:val="65"/>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5.1.9 承包人必须遵守有关环境保护的法律法规，并采取有效措施控制施工现场的各种粉尘、废气、废弃物、噪声、振动等对身体健康和周边环境造成的危害和污染，有关费用已包含在合同价中。 </w:t>
      </w:r>
    </w:p>
    <w:p w14:paraId="603F17E2">
      <w:pPr>
        <w:autoSpaceDE w:val="0"/>
        <w:autoSpaceDN w:val="0"/>
        <w:adjustRightInd w:val="0"/>
        <w:snapToGrid w:val="0"/>
        <w:spacing w:beforeLines="50"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5.1.10 工程竣工验收合格后30天内，承包人必须及时</w:t>
      </w:r>
      <w:r>
        <w:rPr>
          <w:rFonts w:hint="eastAsia" w:asciiTheme="minorEastAsia" w:hAnsiTheme="minorEastAsia" w:eastAsiaTheme="minorEastAsia" w:cstheme="minorEastAsia"/>
          <w:snapToGrid w:val="0"/>
          <w:color w:val="auto"/>
          <w:kern w:val="0"/>
          <w:szCs w:val="24"/>
          <w:highlight w:val="none"/>
        </w:rPr>
        <w:t>按</w:t>
      </w:r>
      <w:r>
        <w:rPr>
          <w:rFonts w:hint="eastAsia" w:asciiTheme="minorEastAsia" w:hAnsiTheme="minorEastAsia" w:eastAsiaTheme="minorEastAsia" w:cstheme="minorEastAsia"/>
          <w:color w:val="auto"/>
          <w:szCs w:val="24"/>
          <w:highlight w:val="none"/>
        </w:rPr>
        <w:t xml:space="preserve">韶关市城市建设档案要求及发包人要求提交真实完整的竣工图纸等竣工资料，并由承包人负责汇总后，移交相关管理部门，且办理完成相关移交手续，否则每延迟１天，承包人向发包人支付2000元/天的违约金。同时，承包人向发包人提供完整的竣工图纸等竣工资料各8套（包括声像及电子文件），档案的制作费用由承包人承担。 </w:t>
      </w:r>
    </w:p>
    <w:p w14:paraId="3725CCE5">
      <w:pPr>
        <w:autoSpaceDE w:val="0"/>
        <w:autoSpaceDN w:val="0"/>
        <w:adjustRightInd w:val="0"/>
        <w:snapToGrid w:val="0"/>
        <w:spacing w:beforeLines="50"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5.1.11 如承包人不按合同内容及条款施工，或违反正常施工程序、施工工艺进行施工，或施工质量、安全、环保等达不到有关要求，或施工用材料设备不符合规定，发包人有权勒令承包人暂停施工，承包人必须停工整改，一切责任由承包人负责。</w:t>
      </w:r>
    </w:p>
    <w:p w14:paraId="32A1CF90">
      <w:pPr>
        <w:autoSpaceDE w:val="0"/>
        <w:autoSpaceDN w:val="0"/>
        <w:adjustRightInd w:val="0"/>
        <w:snapToGrid w:val="0"/>
        <w:spacing w:beforeLines="50"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5.1.12 承包人全体现场施工人员佩戴安全帽，全部施工人员佩戴工作牌。</w:t>
      </w:r>
    </w:p>
    <w:p w14:paraId="6AD3CEDC">
      <w:pPr>
        <w:autoSpaceDE w:val="0"/>
        <w:autoSpaceDN w:val="0"/>
        <w:adjustRightInd w:val="0"/>
        <w:snapToGrid w:val="0"/>
        <w:spacing w:beforeLines="50"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5.1.13 未经发包人书面许可，承包人不得在施工现场布置任何与本项目工程无关的商业广告，否则发包人有权要求承包人予以拆除，承包人并向发包人每次支付违约金10000元。</w:t>
      </w:r>
    </w:p>
    <w:p w14:paraId="5CB8657B">
      <w:pPr>
        <w:autoSpaceDE w:val="0"/>
        <w:autoSpaceDN w:val="0"/>
        <w:adjustRightInd w:val="0"/>
        <w:snapToGrid w:val="0"/>
        <w:spacing w:beforeLines="50"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5.1.14 承包人下列人员有以下情形的，承包人必须在24小时内将其调离，并应在3天内补充经发包人批准的相关合格人员。若承包人不及时履行，发包人则有权要求承包人按每人每次支付违约金1000元/天，具体情形如下：</w:t>
      </w:r>
    </w:p>
    <w:p w14:paraId="0B14D976">
      <w:pPr>
        <w:autoSpaceDE w:val="0"/>
        <w:autoSpaceDN w:val="0"/>
        <w:adjustRightInd w:val="0"/>
        <w:snapToGrid w:val="0"/>
        <w:spacing w:line="360" w:lineRule="auto"/>
        <w:ind w:firstLine="240" w:firstLineChars="1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（1）发包人确认无法胜任工作者，包括：对分部分项工程施工进度及施工质量达不到合同要求负有责任的施工人员、不熟悉本专业的施工人员、工作责任心不强的施工人员等；</w:t>
      </w:r>
    </w:p>
    <w:p w14:paraId="1B468EA9">
      <w:pPr>
        <w:autoSpaceDE w:val="0"/>
        <w:autoSpaceDN w:val="0"/>
        <w:adjustRightInd w:val="0"/>
        <w:snapToGrid w:val="0"/>
        <w:spacing w:line="360" w:lineRule="auto"/>
        <w:ind w:firstLine="240" w:firstLineChars="1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（2）不积极配合发包人、监理工程师正常工作人员；</w:t>
      </w:r>
    </w:p>
    <w:p w14:paraId="00BD5E1E">
      <w:pPr>
        <w:autoSpaceDE w:val="0"/>
        <w:autoSpaceDN w:val="0"/>
        <w:adjustRightInd w:val="0"/>
        <w:snapToGrid w:val="0"/>
        <w:spacing w:line="360" w:lineRule="auto"/>
        <w:ind w:firstLine="240" w:firstLineChars="1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（3）违反承包人或发包人工地现场管理规定的人员；</w:t>
      </w:r>
    </w:p>
    <w:p w14:paraId="3B17D936">
      <w:pPr>
        <w:autoSpaceDE w:val="0"/>
        <w:autoSpaceDN w:val="0"/>
        <w:adjustRightInd w:val="0"/>
        <w:snapToGrid w:val="0"/>
        <w:spacing w:line="360" w:lineRule="auto"/>
        <w:ind w:firstLine="240" w:firstLineChars="1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（4）无证上岗人员（适用于按规定必须有上岗证的）；</w:t>
      </w:r>
    </w:p>
    <w:p w14:paraId="787AE936">
      <w:pPr>
        <w:adjustRightInd w:val="0"/>
        <w:snapToGrid w:val="0"/>
        <w:spacing w:line="360" w:lineRule="auto"/>
        <w:ind w:firstLine="240" w:firstLineChars="1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（5）与本工程施工无关的人员。</w:t>
      </w:r>
    </w:p>
    <w:p w14:paraId="6AC7036C">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5.1.15 本工程禁止转包，若发包人和监理人认为承包人有转包行为，且经行政主管部门落实认定。发包人有权勒令承包人停工、驱逐其出现场，并提请建设行政主管部门对承包人按相关法律法规进行行政处罚；发包人还有权给予承包人履约评价为不合格，及有权拒绝承包人3年内参加发包人其它工程的投标；同时发包人有权单方面解除本合同。由此造成的损失均由承包人承担。 </w:t>
      </w:r>
    </w:p>
    <w:p w14:paraId="2DAEF134">
      <w:pPr>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5.2 用工和劳务</w:t>
      </w:r>
    </w:p>
    <w:p w14:paraId="7C93CBDF">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5.2.1承包人不得从为发包人或工程师服务的人员中招雇任何人员。</w:t>
      </w:r>
    </w:p>
    <w:p w14:paraId="19CD34B0">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5.2.2承包人不得以任何理由延期支付雇员的工资和劳务分包人的劳务费用。对发包人支付的工程款，承包人须优先用于支付工人劳动报酬，确保不发生因拖欠工人工资、劳务费而停工、上访，或因此在媒体曝光等事件。如果发生因拖欠工人工资、劳务费而停工上访，或因此在媒体曝光等事件，视为承包人违约，发包人有权要求承包人支付违约金20万元/次。</w:t>
      </w:r>
    </w:p>
    <w:p w14:paraId="415D10D3">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5.2.3承包人应避免发包人因施工工人追索劳务费或工程款而将发包人诉至法庭或仲裁庭，否则一切责任由承包人承担，所发生的所有费用（包括但不限于诉讼费、调查费、律师费、赔偿费、违约金等）全部由承包人承担，发包人有权将此等费用从任何应支付的工程款中扣除或没收履约保函中的相应金额。</w:t>
      </w:r>
    </w:p>
    <w:p w14:paraId="3F52A91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5.2.4如果现场工程师需要了解承包人在现场的管理人员和各种劳务工种操作人员情况，以及工程师要求的有关承包人机械设备、主要施工机具、周转材料等的详细资料。承包人则应向工程师提交一份详细的统计表，其格式和提交的间隔时间应符合工程师的规定。</w:t>
      </w:r>
    </w:p>
    <w:p w14:paraId="53E514FC">
      <w:pPr>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5.3施工准备工作</w:t>
      </w:r>
    </w:p>
    <w:p w14:paraId="57C4C8FD">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5.3.1承包人应充分认识到本工程的特殊性和复杂性，施工前应切实做好各项准备工作，包括但不限于以下（1）、（2）、（3）的内容：</w:t>
      </w:r>
    </w:p>
    <w:p w14:paraId="29357F19">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（1）必须按要求完成临时设施建设和现场指挥部建设。</w:t>
      </w:r>
    </w:p>
    <w:p w14:paraId="230FD77A">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（2）按照相关规定及发包人要求做好现场申报、宣传、走访、排查和解释工作。</w:t>
      </w:r>
    </w:p>
    <w:p w14:paraId="0CAB7FC9">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（3）根据现场实际环境，做好防火、防盗、防坠落等各项措施，排除安全隐患，确保施工期间施工的安全。</w:t>
      </w:r>
    </w:p>
    <w:p w14:paraId="7B09516A">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5.3.2存在设计图纸疑问，必须在施工前30日提出，不得在施工时临时提出，也不得以此手段要求任何索赔，由此造成的一切损失由承包人承担。</w:t>
      </w:r>
    </w:p>
    <w:p w14:paraId="71434D4E">
      <w:pPr>
        <w:spacing w:line="360" w:lineRule="auto"/>
        <w:ind w:left="480" w:leftChars="200"/>
        <w:rPr>
          <w:rFonts w:hint="eastAsia" w:asciiTheme="minorEastAsia" w:hAnsiTheme="minorEastAsia" w:eastAsiaTheme="minorEastAsia" w:cstheme="minorEastAsia"/>
          <w:strike/>
          <w:color w:val="auto"/>
          <w:szCs w:val="24"/>
          <w:highlight w:val="none"/>
        </w:rPr>
      </w:pPr>
      <w:r>
        <w:rPr>
          <w:rFonts w:hint="eastAsia" w:asciiTheme="minorEastAsia" w:hAnsiTheme="minorEastAsia" w:eastAsiaTheme="minorEastAsia" w:cstheme="minorEastAsia"/>
          <w:b/>
          <w:bCs/>
          <w:color w:val="auto"/>
          <w:szCs w:val="24"/>
          <w:highlight w:val="none"/>
        </w:rPr>
        <w:t>5.4工程变更</w:t>
      </w:r>
    </w:p>
    <w:p w14:paraId="1E33407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5.4.1承包人报送的变更价款，应实事求是，不得虚报数量，增加或变更的工程内容按招标文件中约定计价办法进行计量。若其报送金额超出建设工程造价管理部门或政府审核部门审定金额15%以上的，每次承包人向发包人支付人民币伍仟（￥5000）元的违约金，并在结算中予以扣除。</w:t>
      </w:r>
    </w:p>
    <w:p w14:paraId="34CBA07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5.4.2承包人应充分考虑工程设计变更带来的风险。工程变更须按政府及发包人的有关规定、审批权限和审批程序进行审批，凡未经发包人审批同意，承包人擅自实施的，一律视为无效变更，结算时发包人不予承认。</w:t>
      </w:r>
    </w:p>
    <w:p w14:paraId="1E4F8AF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5.4.3承包人应按</w:t>
      </w:r>
      <w:r>
        <w:rPr>
          <w:rFonts w:hint="eastAsia" w:asciiTheme="minorEastAsia" w:hAnsiTheme="minorEastAsia" w:eastAsiaTheme="minorEastAsia" w:cstheme="minorEastAsia"/>
          <w:color w:val="auto"/>
          <w:szCs w:val="24"/>
          <w:highlight w:val="none"/>
          <w:lang w:eastAsia="zh-CN"/>
        </w:rPr>
        <w:t>南雄市</w:t>
      </w:r>
      <w:r>
        <w:rPr>
          <w:rFonts w:hint="eastAsia" w:asciiTheme="minorEastAsia" w:hAnsiTheme="minorEastAsia" w:eastAsiaTheme="minorEastAsia" w:cstheme="minorEastAsia"/>
          <w:color w:val="auto"/>
          <w:szCs w:val="24"/>
          <w:highlight w:val="none"/>
        </w:rPr>
        <w:t>人民政府办公室《关于加强市本级政府投资项目财政投资评审监督管理的实施意见》的规定及时申报办理工程变更审批手续，并于申请当期工程款之前或一并申报完整的工程变更资料予以备案；凡不符合实施意见要求的变更均为无效变更。</w:t>
      </w:r>
    </w:p>
    <w:p w14:paraId="4413A9BD">
      <w:pPr>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5.5工程量计量的约定：</w:t>
      </w:r>
    </w:p>
    <w:p w14:paraId="1B9138F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①承包人不得自行取消施工图或清单中的任何项目，发包人根据需要取消的未施工项目，经监理工程师核实后予以扣减，相应的措施费用予以扣减。</w:t>
      </w:r>
    </w:p>
    <w:p w14:paraId="508395B1">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②承包人自身原因造成的返工工程量，不予计量。</w:t>
      </w:r>
    </w:p>
    <w:p w14:paraId="567A6974">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③凡超出图纸范围又未经变更审批的工程量，不予计量。</w:t>
      </w:r>
    </w:p>
    <w:p w14:paraId="0A91B735">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④不符合工程质量标准的工程量，不予计量。</w:t>
      </w:r>
    </w:p>
    <w:p w14:paraId="281ADA94">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⑤发包人书面通知承包人取消的工程量，不予计量。</w:t>
      </w:r>
    </w:p>
    <w:p w14:paraId="006747B2">
      <w:pPr>
        <w:pStyle w:val="42"/>
        <w:spacing w:line="360" w:lineRule="auto"/>
        <w:ind w:firstLine="480" w:firstLineChars="200"/>
        <w:jc w:val="left"/>
        <w:rPr>
          <w:rFonts w:hint="eastAsia" w:asciiTheme="minorEastAsia" w:hAnsiTheme="minorEastAsia" w:eastAsiaTheme="minorEastAsia" w:cstheme="minorEastAsia"/>
          <w:b w:val="0"/>
          <w:bCs/>
          <w:color w:val="auto"/>
          <w:highlight w:val="none"/>
        </w:rPr>
      </w:pPr>
      <w:r>
        <w:rPr>
          <w:rFonts w:hint="eastAsia" w:asciiTheme="minorEastAsia" w:hAnsiTheme="minorEastAsia" w:eastAsiaTheme="minorEastAsia" w:cstheme="minorEastAsia"/>
          <w:b w:val="0"/>
          <w:bCs/>
          <w:strike w:val="0"/>
          <w:snapToGrid w:val="0"/>
          <w:color w:val="auto"/>
          <w:kern w:val="0"/>
          <w:sz w:val="24"/>
          <w:highlight w:val="none"/>
        </w:rPr>
        <w:t>工程量预算清单中的综合单价为按技术规范与技术要求完成一个规定计量单位的工程所需的人工费、材料费、机械使用费、管理费、利润并考虑风险因素。按技术规范、招标文件、设计图纸、国标《建设工程工程量清单计价</w:t>
      </w:r>
      <w:r>
        <w:rPr>
          <w:rFonts w:hint="eastAsia" w:asciiTheme="minorEastAsia" w:hAnsiTheme="minorEastAsia" w:eastAsiaTheme="minorEastAsia" w:cstheme="minorEastAsia"/>
          <w:b w:val="0"/>
          <w:bCs/>
          <w:strike w:val="0"/>
          <w:snapToGrid w:val="0"/>
          <w:color w:val="auto"/>
          <w:kern w:val="0"/>
          <w:sz w:val="24"/>
          <w:highlight w:val="none"/>
          <w:lang w:val="en-US" w:eastAsia="zh-CN"/>
        </w:rPr>
        <w:t>标准</w:t>
      </w:r>
      <w:r>
        <w:rPr>
          <w:rFonts w:hint="eastAsia" w:asciiTheme="minorEastAsia" w:hAnsiTheme="minorEastAsia" w:eastAsiaTheme="minorEastAsia" w:cstheme="minorEastAsia"/>
          <w:b w:val="0"/>
          <w:bCs/>
          <w:strike w:val="0"/>
          <w:snapToGrid w:val="0"/>
          <w:color w:val="auto"/>
          <w:kern w:val="0"/>
          <w:sz w:val="24"/>
          <w:highlight w:val="none"/>
        </w:rPr>
        <w:t>》、省市现行计价规程等要求为完成一个规定计量单位的工程量所需的其他一切费用，承包人不得以综合单价和措施费所含工作内容缺漏项为由，向发包人提出任何变更工程价款的要求</w:t>
      </w:r>
      <w:r>
        <w:rPr>
          <w:rFonts w:hint="eastAsia" w:asciiTheme="minorEastAsia" w:hAnsiTheme="minorEastAsia" w:eastAsiaTheme="minorEastAsia" w:cstheme="minorEastAsia"/>
          <w:b w:val="0"/>
          <w:bCs/>
          <w:snapToGrid w:val="0"/>
          <w:color w:val="auto"/>
          <w:kern w:val="0"/>
          <w:sz w:val="24"/>
          <w:highlight w:val="none"/>
        </w:rPr>
        <w:t>。</w:t>
      </w:r>
    </w:p>
    <w:p w14:paraId="5B66EE14">
      <w:pPr>
        <w:spacing w:line="360" w:lineRule="auto"/>
        <w:ind w:firstLine="482" w:firstLineChars="200"/>
        <w:rPr>
          <w:rFonts w:hint="eastAsia" w:asciiTheme="minorEastAsia" w:hAnsiTheme="minorEastAsia" w:eastAsiaTheme="minorEastAsia" w:cstheme="minorEastAsia"/>
          <w:b/>
          <w:bCs/>
          <w:color w:val="auto"/>
          <w:szCs w:val="24"/>
          <w:highlight w:val="none"/>
          <w:u w:val="single"/>
        </w:rPr>
      </w:pPr>
      <w:r>
        <w:rPr>
          <w:rFonts w:hint="eastAsia" w:asciiTheme="minorEastAsia" w:hAnsiTheme="minorEastAsia" w:eastAsiaTheme="minorEastAsia" w:cstheme="minorEastAsia"/>
          <w:b/>
          <w:bCs/>
          <w:color w:val="auto"/>
          <w:szCs w:val="24"/>
          <w:highlight w:val="none"/>
        </w:rPr>
        <w:t>5.6承包人对专业分包的总要求</w:t>
      </w:r>
    </w:p>
    <w:p w14:paraId="30F3A50D">
      <w:pPr>
        <w:adjustRightInd w:val="0"/>
        <w:snapToGrid w:val="0"/>
        <w:spacing w:beforeLines="50"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5.6.1承包人对本工程所有分包人的管理费和相互间的配合费用由承包人与分包人自行商定，已含在承包人的投标报价中，发包人不予任何补偿。承包人承担全部管理、组织、协调和配合工作。</w:t>
      </w:r>
    </w:p>
    <w:p w14:paraId="746013FF">
      <w:pPr>
        <w:spacing w:line="360" w:lineRule="auto"/>
        <w:ind w:firstLine="495"/>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5.6.2若承包人的施工承包资质缺少本工程的专业承包资质，应按照有关规定事先报发包人和监理工程师审查并取得发包人批准后分包给具有相应资质的专业承包人（如果分包工程按规定需要进行招标的，由承包人在建设交易中心自行组织），由此产生的一切分包费用、配合费、招标费用以及其他可能存在风险所产生的费用都含在合同价中。承包人因上述情况提出的任何索赔或工期延长申请将不获批准。若承包人在施工过程中由于自身缺少本工程要求的专业承包资质，而又不能按规定时间发包给具有资质的专业承包企业或者分包企业不能按照设计要求实施专业工程的，由此造成工期延误，每延误1天承包人向发包人支付违约金3万元；给发包人造成质量损失的，承包人负责赔偿，同时发包人有权从合同价中按分包工程的审定预算价扣除，并委托其他施工单位实施，承包人须无条件与分包人签订合同。</w:t>
      </w:r>
    </w:p>
    <w:p w14:paraId="15DE5AF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5.6.3若同一分包工程的分包申请被否定二次，发包人有权就该分包工程采用单独招标形式确定分包人或直接指定分包人，承包人须无条件与分包人签订合同，并不得收取任何费用。同时发包人有权从合同价中按分包工程的审定预算价扣除，并委托其他施工单位实施，承包人须无条件与分包人签订合同。同时由此造成工期延误，每延误1天承包人向发包人支付违约金3万元；给发包人造成质量损失的，承包人负责赔偿。</w:t>
      </w:r>
    </w:p>
    <w:p w14:paraId="04D3C4FB">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5.6.4经工程师、发包人认可，承包人与分包人签订分包合同后的5天内，承包人必须将分包合同等相关资料按规定送建设行政主管部门及其他相关管理部门备案，分包合同与本施工合同发生抵触，以本施工合同为准。承包人对分包合同承担连带责任。分包合同不解除承包人任何义务与责任，承包人在分包现场应派驻监督管理人员，保证合同的履行。分包人的任何违约或疏忽，均视为承包人违约或疏忽。</w:t>
      </w:r>
    </w:p>
    <w:p w14:paraId="37ACC9A9">
      <w:pPr>
        <w:adjustRightInd w:val="0"/>
        <w:snapToGrid w:val="0"/>
        <w:spacing w:line="360" w:lineRule="auto"/>
        <w:ind w:firstLine="600" w:firstLineChars="25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5.6.5若发包人和监理均认定承包人有未经发包人同意的分包行为（无须承包人认可，除非承包人在发包人发出通知后3天内提出有效举证），发包人有权勒令其停工、驱逐出现场等，由此造成的损失均由承包人承担，同时承包人向发包人支付违约金30万元/每次。发包人有权提请建设行政主管部门对其作不良行为记录，有权给予承包人履约评价为不合格，同时发包人有权拒绝承包人3年内参加发包人其它工程的投标。 </w:t>
      </w:r>
    </w:p>
    <w:p w14:paraId="5A16A14B">
      <w:pPr>
        <w:adjustRightInd w:val="0"/>
        <w:snapToGrid w:val="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5.7 措施项目</w:t>
      </w:r>
    </w:p>
    <w:p w14:paraId="5E1F9954">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5.7.1现场安全文明设计必须满足国家、省市相关的要求，除此之外，尚应满足如下要求：</w:t>
      </w:r>
    </w:p>
    <w:p w14:paraId="7BC26F82">
      <w:pPr>
        <w:numPr>
          <w:ilvl w:val="0"/>
          <w:numId w:val="4"/>
        </w:num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安全、文明、临时设施要求：①主要管理人员与投标文件内填写的应一致；</w:t>
      </w:r>
    </w:p>
    <w:p w14:paraId="0D331E9E">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②施工现场应封闭施工。进出口要设大门、门卫和门卫制度。主进出口门头设企业标志，两侧要挂“七牌一图”，标牌应规范、整齐；</w:t>
      </w:r>
    </w:p>
    <w:p w14:paraId="3778AFE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③施工场地及生活区的所有临时道路，无污水、积水，地面要平整，路面满足施工及生活需要；排水要通畅，要有防止泥浆、污物堵塞排水管道的措施；按要求张挂各种安全标志牌和标语，设宣传栏，读报栏和黑板报并设有吸烟处；有绿化布置；</w:t>
      </w:r>
    </w:p>
    <w:p w14:paraId="4C8D106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④施工期间，承包人应随时根据现场情况对围挡进行维修和保护，确保施工界面达到韶关市、</w:t>
      </w:r>
      <w:r>
        <w:rPr>
          <w:rFonts w:hint="eastAsia" w:asciiTheme="minorEastAsia" w:hAnsiTheme="minorEastAsia" w:eastAsiaTheme="minorEastAsia" w:cstheme="minorEastAsia"/>
          <w:color w:val="auto"/>
          <w:szCs w:val="24"/>
          <w:highlight w:val="none"/>
          <w:lang w:eastAsia="zh-CN"/>
        </w:rPr>
        <w:t>南雄市</w:t>
      </w:r>
      <w:r>
        <w:rPr>
          <w:rFonts w:hint="eastAsia" w:asciiTheme="minorEastAsia" w:hAnsiTheme="minorEastAsia" w:eastAsiaTheme="minorEastAsia" w:cstheme="minorEastAsia"/>
          <w:color w:val="auto"/>
          <w:szCs w:val="24"/>
          <w:highlight w:val="none"/>
        </w:rPr>
        <w:t>和建设部有关规定的标准。为确保施工安全，防止无关人员进入现场，承包人必须对施工范围（特殊情况除外）进行全封闭围挡，并设置车辆进出口，若确因条件限制或环境要求无法实施封闭围挡，承包人应切实做好安全防护及安全通道，设置合理科学的安全警示标志。如果承包人开工后经监理工程师下达整改通知后3天内仍未按规定实施，发包人有权安排其他施工队伍进场作好封闭围挡，相应费用从本合同总价中的现场安全文明措施费中扣除。承包人承诺按发包人制定的此条款执行，不得有任何异议；</w:t>
      </w:r>
    </w:p>
    <w:p w14:paraId="7922672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⑤施工场内，建筑材料、构件和料具要按施工现场平面图的布置要求堆放整齐，并挂物料名称，品种，规格等标牌，施工现场渣土和垃圾清运应当采取喷淋压尘装载；</w:t>
      </w:r>
    </w:p>
    <w:p w14:paraId="2667BD1A">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⑥承包人必须按照粤建安字〔2009〕20号文件要求，在开工前按有关规定要求，编制施工组织设计和施工现场消防设施平面布置图，按规定配备合格的消防器材等，满足施工现场所需的消防措施、制度和灭火器材，灭火器材配置、消防水源所有器材和设备应合理、合格，使用明火应有动火审批手续和动火监护，所发生的费用已含合同中；</w:t>
      </w:r>
    </w:p>
    <w:p w14:paraId="47AF990D">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⑦施工现场的施工区、 办公区、生活区应当分开设置，实行区划管理，临时办公和生活用房应采用轻钢板房，并要具有抗强台风的措施，确保安全；</w:t>
      </w:r>
    </w:p>
    <w:p w14:paraId="47A5396A">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⑧工地内要配备经培训的急救人员、保健医药箱、安全急救措施和急救器材，要开展卫生、防病自救、互救宣传教育；</w:t>
      </w:r>
    </w:p>
    <w:p w14:paraId="353A981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⑨要建立治安保卫制度，责任要分解到人。承包人在施工过程中的施工人员应配备必要的劳动、安全保护用品并佩戴工作证，以及满足招标文件中其他相关规定。</w:t>
      </w:r>
    </w:p>
    <w:p w14:paraId="3DF1D3AE">
      <w:pPr>
        <w:numPr>
          <w:ilvl w:val="0"/>
          <w:numId w:val="4"/>
        </w:num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环保要求：承包人在施工过程中必须根据环保部门和城管部门的要求采取一切可能的措施做好环境保护和水土保持工作，有效控制施工现场的各种粉尘、废气、废弃物、噪音、振动、雨污水等对周边环境造成的污染和危害，避免对周围的管线、道路、构筑物、建筑物造成损坏，环境保护所采用的措施包括但不局限于：</w:t>
      </w:r>
    </w:p>
    <w:p w14:paraId="5AFB43C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①环境污染防治措施：禁止向周边和雨水口、河道倾倒一切废物，包括生产和生活污水、生产和生活垃圾等；生活废水要自建生活污水处理装置；生活垃圾要收集在有防雨棚和防地表径流冲刷的临时垃圾池内，及时集中、清运；堆土区表面进行覆盖；</w:t>
      </w:r>
    </w:p>
    <w:p w14:paraId="30DFED8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②大气污染防治措施：采用洒水湿法抑尘；重点时段防护如：对</w:t>
      </w:r>
      <w:r>
        <w:rPr>
          <w:rFonts w:hint="eastAsia" w:asciiTheme="minorEastAsia" w:hAnsiTheme="minorEastAsia" w:eastAsiaTheme="minorEastAsia" w:cstheme="minorEastAsia"/>
          <w:snapToGrid w:val="0"/>
          <w:color w:val="auto"/>
          <w:kern w:val="0"/>
          <w:szCs w:val="24"/>
          <w:highlight w:val="none"/>
        </w:rPr>
        <w:t>工地进出运输</w:t>
      </w:r>
      <w:r>
        <w:rPr>
          <w:rFonts w:hint="eastAsia" w:asciiTheme="minorEastAsia" w:hAnsiTheme="minorEastAsia" w:eastAsiaTheme="minorEastAsia" w:cstheme="minorEastAsia"/>
          <w:color w:val="auto"/>
          <w:szCs w:val="24"/>
          <w:highlight w:val="none"/>
        </w:rPr>
        <w:t>车辆进行冲洗；运送散装物料的机动车、存放散装物料的堆放场地必须用棚布遮盖，拌和设备尽量封闭；</w:t>
      </w:r>
    </w:p>
    <w:p w14:paraId="0FF90072">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③施工噪音防护措施：施工噪音执行《建筑施工噪音标准限值》（GB12523-90）规定的有关标准，未经环保部门批准中午和夜间不得施工作业；对高噪音的施工机械或加工环节尽量安排在远离民居的地方；</w:t>
      </w:r>
    </w:p>
    <w:p w14:paraId="0161DB5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fldChar w:fldCharType="begin"/>
      </w:r>
      <w:r>
        <w:rPr>
          <w:rFonts w:hint="eastAsia" w:asciiTheme="minorEastAsia" w:hAnsiTheme="minorEastAsia" w:eastAsiaTheme="minorEastAsia" w:cstheme="minorEastAsia"/>
          <w:color w:val="auto"/>
          <w:szCs w:val="24"/>
          <w:highlight w:val="none"/>
        </w:rPr>
        <w:instrText xml:space="preserve"> = 4 \* GB3 </w:instrText>
      </w:r>
      <w:r>
        <w:rPr>
          <w:rFonts w:hint="eastAsia" w:asciiTheme="minorEastAsia" w:hAnsiTheme="minorEastAsia" w:eastAsiaTheme="minorEastAsia" w:cstheme="minorEastAsia"/>
          <w:color w:val="auto"/>
          <w:szCs w:val="24"/>
          <w:highlight w:val="none"/>
        </w:rPr>
        <w:fldChar w:fldCharType="separate"/>
      </w:r>
      <w:r>
        <w:rPr>
          <w:rFonts w:hint="eastAsia" w:asciiTheme="minorEastAsia" w:hAnsiTheme="minorEastAsia" w:eastAsiaTheme="minorEastAsia" w:cstheme="minorEastAsia"/>
          <w:color w:val="auto"/>
          <w:szCs w:val="24"/>
          <w:highlight w:val="none"/>
          <w:lang w:val="zh-CN"/>
        </w:rPr>
        <w:t>④</w:t>
      </w:r>
      <w:r>
        <w:rPr>
          <w:rFonts w:hint="eastAsia" w:asciiTheme="minorEastAsia" w:hAnsiTheme="minorEastAsia" w:eastAsiaTheme="minorEastAsia" w:cstheme="minorEastAsia"/>
          <w:color w:val="auto"/>
          <w:szCs w:val="24"/>
          <w:highlight w:val="none"/>
        </w:rPr>
        <w:fldChar w:fldCharType="end"/>
      </w:r>
      <w:r>
        <w:rPr>
          <w:rFonts w:hint="eastAsia" w:asciiTheme="minorEastAsia" w:hAnsiTheme="minorEastAsia" w:eastAsiaTheme="minorEastAsia" w:cstheme="minorEastAsia"/>
          <w:color w:val="auto"/>
          <w:szCs w:val="24"/>
          <w:highlight w:val="none"/>
        </w:rPr>
        <w:t>针对固体废物可能产生的多种环境影响，须采取必要的措施分类收集，运至指定地点和按规定进行处理；</w:t>
      </w:r>
    </w:p>
    <w:p w14:paraId="718AC42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fldChar w:fldCharType="begin"/>
      </w:r>
      <w:r>
        <w:rPr>
          <w:rFonts w:hint="eastAsia" w:asciiTheme="minorEastAsia" w:hAnsiTheme="minorEastAsia" w:eastAsiaTheme="minorEastAsia" w:cstheme="minorEastAsia"/>
          <w:color w:val="auto"/>
          <w:szCs w:val="24"/>
          <w:highlight w:val="none"/>
        </w:rPr>
        <w:instrText xml:space="preserve"> = 5 \* GB3 </w:instrText>
      </w:r>
      <w:r>
        <w:rPr>
          <w:rFonts w:hint="eastAsia" w:asciiTheme="minorEastAsia" w:hAnsiTheme="minorEastAsia" w:eastAsiaTheme="minorEastAsia" w:cstheme="minorEastAsia"/>
          <w:color w:val="auto"/>
          <w:szCs w:val="24"/>
          <w:highlight w:val="none"/>
        </w:rPr>
        <w:fldChar w:fldCharType="separate"/>
      </w:r>
      <w:r>
        <w:rPr>
          <w:rFonts w:hint="eastAsia" w:asciiTheme="minorEastAsia" w:hAnsiTheme="minorEastAsia" w:eastAsiaTheme="minorEastAsia" w:cstheme="minorEastAsia"/>
          <w:color w:val="auto"/>
          <w:szCs w:val="24"/>
          <w:highlight w:val="none"/>
          <w:lang w:val="zh-CN"/>
        </w:rPr>
        <w:t>⑤</w:t>
      </w:r>
      <w:r>
        <w:rPr>
          <w:rFonts w:hint="eastAsia" w:asciiTheme="minorEastAsia" w:hAnsiTheme="minorEastAsia" w:eastAsiaTheme="minorEastAsia" w:cstheme="minorEastAsia"/>
          <w:color w:val="auto"/>
          <w:szCs w:val="24"/>
          <w:highlight w:val="none"/>
        </w:rPr>
        <w:fldChar w:fldCharType="end"/>
      </w:r>
      <w:r>
        <w:rPr>
          <w:rFonts w:hint="eastAsia" w:asciiTheme="minorEastAsia" w:hAnsiTheme="minorEastAsia" w:eastAsiaTheme="minorEastAsia" w:cstheme="minorEastAsia"/>
          <w:color w:val="auto"/>
          <w:szCs w:val="24"/>
          <w:highlight w:val="none"/>
        </w:rPr>
        <w:t>制定建筑废弃物管理计划，达到绿色安全文明施工的要求；</w:t>
      </w:r>
    </w:p>
    <w:p w14:paraId="59FE887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fldChar w:fldCharType="begin"/>
      </w:r>
      <w:r>
        <w:rPr>
          <w:rFonts w:hint="eastAsia" w:asciiTheme="minorEastAsia" w:hAnsiTheme="minorEastAsia" w:eastAsiaTheme="minorEastAsia" w:cstheme="minorEastAsia"/>
          <w:color w:val="auto"/>
          <w:szCs w:val="24"/>
          <w:highlight w:val="none"/>
        </w:rPr>
        <w:instrText xml:space="preserve"> = 6 \* GB3 </w:instrText>
      </w:r>
      <w:r>
        <w:rPr>
          <w:rFonts w:hint="eastAsia" w:asciiTheme="minorEastAsia" w:hAnsiTheme="minorEastAsia" w:eastAsiaTheme="minorEastAsia" w:cstheme="minorEastAsia"/>
          <w:color w:val="auto"/>
          <w:szCs w:val="24"/>
          <w:highlight w:val="none"/>
        </w:rPr>
        <w:fldChar w:fldCharType="separate"/>
      </w:r>
      <w:r>
        <w:rPr>
          <w:rFonts w:hint="eastAsia" w:asciiTheme="minorEastAsia" w:hAnsiTheme="minorEastAsia" w:eastAsiaTheme="minorEastAsia" w:cstheme="minorEastAsia"/>
          <w:color w:val="auto"/>
          <w:szCs w:val="24"/>
          <w:highlight w:val="none"/>
          <w:lang w:val="zh-CN"/>
        </w:rPr>
        <w:t>⑥</w:t>
      </w:r>
      <w:r>
        <w:rPr>
          <w:rFonts w:hint="eastAsia" w:asciiTheme="minorEastAsia" w:hAnsiTheme="minorEastAsia" w:eastAsiaTheme="minorEastAsia" w:cstheme="minorEastAsia"/>
          <w:color w:val="auto"/>
          <w:szCs w:val="24"/>
          <w:highlight w:val="none"/>
        </w:rPr>
        <w:fldChar w:fldCharType="end"/>
      </w:r>
      <w:r>
        <w:rPr>
          <w:rFonts w:hint="eastAsia" w:asciiTheme="minorEastAsia" w:hAnsiTheme="minorEastAsia" w:eastAsiaTheme="minorEastAsia" w:cstheme="minorEastAsia"/>
          <w:color w:val="auto"/>
          <w:szCs w:val="24"/>
          <w:highlight w:val="none"/>
        </w:rPr>
        <w:t>红线范围内必须落实雨污分流，生活污水须经过化粪池处理后接入市政管网排放。</w:t>
      </w:r>
    </w:p>
    <w:p w14:paraId="2306595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由于承包人原因导致的投诉、索赔、指控，由承包人承担全部责任，同时造成工期延误的，发包人将按照合同条款相关约定进行索赔。</w:t>
      </w:r>
    </w:p>
    <w:p w14:paraId="13761A0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以上须采取的所有措施费用及相关的费用已含在合同价中。</w:t>
      </w:r>
    </w:p>
    <w:p w14:paraId="7BA3A142">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第三、承包人须按建设主管部门的相关规定，在工地安装视频监控系统，覆盖全场，保证正常使用。采取相应保卫措施防止出现财、物被盗行为，相关费用已包括在安全文明施工措施费中，发包人不再另行支付此类费用。</w:t>
      </w:r>
    </w:p>
    <w:p w14:paraId="789AB0BF">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5.7.2已完工程及设备保护费</w:t>
      </w:r>
    </w:p>
    <w:p w14:paraId="3F98CB8B">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szCs w:val="24"/>
          <w:highlight w:val="none"/>
        </w:rPr>
        <w:t>①承包人应充分考虑本工程的</w:t>
      </w:r>
      <w:r>
        <w:rPr>
          <w:rFonts w:hint="eastAsia" w:asciiTheme="minorEastAsia" w:hAnsiTheme="minorEastAsia" w:eastAsiaTheme="minorEastAsia" w:cstheme="minorEastAsia"/>
          <w:color w:val="auto"/>
          <w:kern w:val="0"/>
          <w:szCs w:val="24"/>
          <w:highlight w:val="none"/>
        </w:rPr>
        <w:t>已完工程及设备保护，其费用已包含在合同价内，结算不再调整；</w:t>
      </w:r>
    </w:p>
    <w:p w14:paraId="781BF7E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②承包人应充分考虑施工影响范围内的地上、地下设施，建筑物的临时保护等措施，</w:t>
      </w:r>
      <w:r>
        <w:rPr>
          <w:rFonts w:hint="eastAsia" w:asciiTheme="minorEastAsia" w:hAnsiTheme="minorEastAsia" w:eastAsiaTheme="minorEastAsia" w:cstheme="minorEastAsia"/>
          <w:color w:val="auto"/>
          <w:kern w:val="0"/>
          <w:szCs w:val="24"/>
          <w:highlight w:val="none"/>
        </w:rPr>
        <w:t>以及</w:t>
      </w:r>
      <w:r>
        <w:rPr>
          <w:rFonts w:hint="eastAsia" w:asciiTheme="minorEastAsia" w:hAnsiTheme="minorEastAsia" w:eastAsiaTheme="minorEastAsia" w:cstheme="minorEastAsia"/>
          <w:color w:val="auto"/>
          <w:szCs w:val="24"/>
          <w:highlight w:val="none"/>
        </w:rPr>
        <w:t>对周围建筑物、周围道路管线的沉降和位移按照施工规范进行质量、安全性检查，对于现场及周边临近的可能发生的危险情况及时向监理工程师或主管部门报告，在施工现场根据相关要求准备应急物资并及时采取有效措施，保护费用已包含在合同价中，结算时不再调整。</w:t>
      </w:r>
    </w:p>
    <w:p w14:paraId="7D2D94E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5.7.3施工降排水</w:t>
      </w:r>
    </w:p>
    <w:p w14:paraId="6546BEE5">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szCs w:val="24"/>
          <w:highlight w:val="none"/>
        </w:rPr>
        <w:t>承包人应按照地质报告、设计图纸要求、降水水位要求、现场实际和工程经验等对降排水进行深化设计、维护和加固，其深化应经过设计单位的审批、监理工程师和发包人的同意，施工降排水应包括设计、施工、加固、维护直至竣工的全部施工和抽排水工作，同时</w:t>
      </w:r>
      <w:r>
        <w:rPr>
          <w:rFonts w:hint="eastAsia" w:asciiTheme="minorEastAsia" w:hAnsiTheme="minorEastAsia" w:eastAsiaTheme="minorEastAsia" w:cstheme="minorEastAsia"/>
          <w:color w:val="auto"/>
          <w:kern w:val="0"/>
          <w:szCs w:val="24"/>
          <w:highlight w:val="none"/>
        </w:rPr>
        <w:t>保证护栏的安全性。</w:t>
      </w:r>
    </w:p>
    <w:p w14:paraId="77FB8265">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 xml:space="preserve">本工程施工期间地表及地下水采用有组织的排放，尤其是主体结构工程施工期间，应确保满足低于设计抗浮水位要求并满足防水工程需要，采取的施工排水、降水应确保周边建（构）筑物的安全等有效措施。 </w:t>
      </w:r>
    </w:p>
    <w:p w14:paraId="39A8D46D">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承包人应综合考虑施工期间除不可抗力原因外的气候条件造成的现场工程量的增加及其它风险（如发包人提供的地质报告等相关资料可能存在与实际不符）。</w:t>
      </w:r>
    </w:p>
    <w:p w14:paraId="7F1E713F">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雨季施工随时与气象部门保持联系，在大雨、台风到来之前按有关主管部门规定的防洪防汛应急措施等。</w:t>
      </w:r>
    </w:p>
    <w:p w14:paraId="679C99AF">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以上有关费用已含在合同价中，结算不作调整。</w:t>
      </w:r>
    </w:p>
    <w:p w14:paraId="79289134">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5.7.4水土保持</w:t>
      </w:r>
    </w:p>
    <w:p w14:paraId="64FD2D2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承包人必须按照水土保持方案以及监理和检测单位的要求，采取设置排水沟、排洪沟、沉砂池、砂袋、植草等水土保持和防洪排涝措施，优化挖方填方，对土石方合理利用；对已完工土石方工程裸露表面，及时采取防护措施、严格控制水土流失，实现水土流失防治目标；及时做好排水导流工作，使地表径流和工程用水经沉砂池沉降后方可排放，沉砂池要定期清理，减轻水流对裸露地表的冲刷，防止泥砂流出对周边区域造成危害；临时堆土要全面覆盖，减少粉尘及雨水冲刷，堆土清理后或其他裸露地要采取恢复植被或其他防止水土流失措施。</w:t>
      </w:r>
    </w:p>
    <w:p w14:paraId="3AC4892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5.7.5施工用水、用电等</w:t>
      </w:r>
    </w:p>
    <w:p w14:paraId="77846A2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（1）承包人根据现场条件和工程情况，接通生活和生产区场内外的给水、排水、施工用电、通讯等工作，</w:t>
      </w:r>
      <w:r>
        <w:rPr>
          <w:rFonts w:hint="eastAsia" w:asciiTheme="minorEastAsia" w:hAnsiTheme="minorEastAsia" w:eastAsiaTheme="minorEastAsia" w:cstheme="minorEastAsia"/>
          <w:snapToGrid w:val="0"/>
          <w:color w:val="auto"/>
          <w:kern w:val="0"/>
          <w:szCs w:val="24"/>
          <w:highlight w:val="none"/>
        </w:rPr>
        <w:t>同时承包人应自备充足的发电机，确保施工过程中的水、电安全稳定供应，结算费用不作调整。</w:t>
      </w:r>
    </w:p>
    <w:p w14:paraId="6782BDD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（2）所有施工范围内涉及的清理、外运全部拆除物与垃圾，以及场地平整。</w:t>
      </w:r>
    </w:p>
    <w:p w14:paraId="20248CD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（3）为建设单位、监理单位提供施工现场临时办公用房和办公必须品，并开通通讯线路。</w:t>
      </w:r>
    </w:p>
    <w:p w14:paraId="19CD12B4">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（4）合同工期和顺延工期内临时用地（含占道）、房屋租赁的手续费和租金。</w:t>
      </w:r>
    </w:p>
    <w:p w14:paraId="3A01FA0A">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承包人在投标报价时应充分考虑施工场地现状与地形图不符的风险，谨慎报价，该部分报价为包干费用，承包人不得以任何理由提出增加费用。</w:t>
      </w:r>
    </w:p>
    <w:p w14:paraId="3A47F9A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5.7.6与其他工程的衔接、管理与配合费</w:t>
      </w:r>
    </w:p>
    <w:p w14:paraId="2A3D1D7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由承包人负责工程衔接各专业工程进度安排、施工现场管理协调等工作。对安全、文明、施工、运输、仓储、住宿统筹管理；确定合理的工序和进度计划、安排作业面与通道、提供场地；工程完工后的整体调试、验收和竣工资料整理；按专业设计图纸要求配合做好埋件、预留洞、预埋管等工作；提供脚手架供专业承包人使用；提供照明、临时水电等设施。其费用在对其他工程的衔接、管理和配合费用中报价，结算不做调整。</w:t>
      </w:r>
    </w:p>
    <w:p w14:paraId="6217F1D2">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5.7.7因承包人原因而引起的罚款、索赔和指控等责任由承包人自行承担。</w:t>
      </w:r>
    </w:p>
    <w:p w14:paraId="66C26146">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5.7.8工程完工后需要恢复的建筑物、构筑物，承包人必须及时恢复，并使监理工程师和发包人满意，满足政府管理部门的规定和要求。</w:t>
      </w:r>
    </w:p>
    <w:p w14:paraId="541B945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5.7.9承包人必须按有关法规、标准、规定或发包人的合理要求实施有关措施项目，若以上设施或措施达不到要求，工程师发出指令后，承包人应按照要求予以整改，其费用由承包人承担。承包人拒绝整改的，发包人有权要求承包人支付违约金</w:t>
      </w:r>
      <w:r>
        <w:rPr>
          <w:rFonts w:hint="eastAsia" w:asciiTheme="minorEastAsia" w:hAnsiTheme="minorEastAsia" w:eastAsiaTheme="minorEastAsia" w:cstheme="minorEastAsia"/>
          <w:color w:val="auto"/>
          <w:szCs w:val="24"/>
          <w:highlight w:val="none"/>
          <w:lang w:eastAsia="zh-CN"/>
        </w:rPr>
        <w:t>10万元</w:t>
      </w:r>
      <w:r>
        <w:rPr>
          <w:rFonts w:hint="eastAsia" w:asciiTheme="minorEastAsia" w:hAnsiTheme="minorEastAsia" w:eastAsiaTheme="minorEastAsia" w:cstheme="minorEastAsia"/>
          <w:color w:val="auto"/>
          <w:szCs w:val="24"/>
          <w:highlight w:val="none"/>
        </w:rPr>
        <w:t>，并将其列入履约考评不良记录，同时发包人有权委托第三方实施，所有费用由承包人承担。由于承包人原因导致的投诉、索赔、指控，由承包人承担全部责任，同时造成工期延误的，发包人将按照合同条款相关约定进行索赔。</w:t>
      </w:r>
    </w:p>
    <w:p w14:paraId="06D651C0">
      <w:pPr>
        <w:spacing w:line="360" w:lineRule="auto"/>
        <w:ind w:firstLine="482" w:firstLineChars="200"/>
        <w:rPr>
          <w:rFonts w:hint="eastAsia" w:asciiTheme="minorEastAsia" w:hAnsiTheme="minorEastAsia" w:eastAsiaTheme="minorEastAsia" w:cstheme="minorEastAsia"/>
          <w:b/>
          <w:color w:val="auto"/>
          <w:szCs w:val="24"/>
          <w:highlight w:val="none"/>
        </w:rPr>
      </w:pPr>
      <w:r>
        <w:rPr>
          <w:rFonts w:hint="eastAsia" w:asciiTheme="minorEastAsia" w:hAnsiTheme="minorEastAsia" w:eastAsiaTheme="minorEastAsia" w:cstheme="minorEastAsia"/>
          <w:b/>
          <w:color w:val="auto"/>
          <w:szCs w:val="24"/>
          <w:highlight w:val="none"/>
        </w:rPr>
        <w:t>5.7.10承包人必须按照《建设工程安全生产管理条例》和《危险性较大的分部分项工程安全管理办法》进行施工，应按有关规定提供相应的防护措施且在施工前编制危险性较大分部分项工程的专项施工方案，有关费用已含在合同价中。因承包人原因，导致的安全事故，由承包人承担相应责任及发生的费用。</w:t>
      </w:r>
    </w:p>
    <w:p w14:paraId="73A270B4">
      <w:pPr>
        <w:spacing w:line="360" w:lineRule="auto"/>
        <w:ind w:firstLine="480"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color w:val="auto"/>
          <w:szCs w:val="24"/>
          <w:highlight w:val="none"/>
        </w:rPr>
        <w:t>5.7.11承包人必须严格按照相关规定和安全规范等，以及设计图纸，结合实际情况对施工作业面进行处理，以保证各施工机械有效支撑，确保其施工安全和正常使用。任何对支护的修改必须经设计单位、发包人和监理工程师同意，方可实施，同时承包人必须对周边建筑物、周边道路管线的沉降和位移进行巡查和跟踪，如因承包人的措施无法满足施工安全、正常施工的要求，有关的责任、损失、补救费用全部由承包人自行承担。</w:t>
      </w:r>
    </w:p>
    <w:p w14:paraId="2F679E4E">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5.7.12根据广东省、韶关市、</w:t>
      </w:r>
      <w:r>
        <w:rPr>
          <w:rFonts w:hint="eastAsia" w:asciiTheme="minorEastAsia" w:hAnsiTheme="minorEastAsia" w:eastAsiaTheme="minorEastAsia" w:cstheme="minorEastAsia"/>
          <w:color w:val="auto"/>
          <w:szCs w:val="24"/>
          <w:highlight w:val="none"/>
          <w:lang w:eastAsia="zh-CN"/>
        </w:rPr>
        <w:t>南雄市</w:t>
      </w:r>
      <w:r>
        <w:rPr>
          <w:rFonts w:hint="eastAsia" w:asciiTheme="minorEastAsia" w:hAnsiTheme="minorEastAsia" w:eastAsiaTheme="minorEastAsia" w:cstheme="minorEastAsia"/>
          <w:color w:val="auto"/>
          <w:szCs w:val="24"/>
          <w:highlight w:val="none"/>
        </w:rPr>
        <w:t>建设主管部门的相关文件规定，承包人须在工程施工现场安装使用视频监控系统、工人实名制系统并接入至</w:t>
      </w:r>
      <w:r>
        <w:rPr>
          <w:rFonts w:hint="eastAsia" w:asciiTheme="minorEastAsia" w:hAnsiTheme="minorEastAsia" w:eastAsiaTheme="minorEastAsia" w:cstheme="minorEastAsia"/>
          <w:color w:val="auto"/>
          <w:szCs w:val="24"/>
          <w:highlight w:val="none"/>
          <w:lang w:eastAsia="zh-CN"/>
        </w:rPr>
        <w:t>南雄市</w:t>
      </w:r>
      <w:r>
        <w:rPr>
          <w:rFonts w:hint="eastAsia" w:asciiTheme="minorEastAsia" w:hAnsiTheme="minorEastAsia" w:eastAsiaTheme="minorEastAsia" w:cstheme="minorEastAsia"/>
          <w:color w:val="auto"/>
          <w:szCs w:val="24"/>
          <w:highlight w:val="none"/>
        </w:rPr>
        <w:t>住建主管部门建筑工地视频监控专网及发包人视频监控系统。</w:t>
      </w:r>
    </w:p>
    <w:p w14:paraId="6F1FC301">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以上措施项目有关费用已含在合同价中，结算不作调整。</w:t>
      </w:r>
    </w:p>
    <w:p w14:paraId="1939669D">
      <w:pPr>
        <w:adjustRightInd w:val="0"/>
        <w:snapToGrid w:val="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5.8 解除合同后续工程的补充约定</w:t>
      </w:r>
    </w:p>
    <w:p w14:paraId="4927225C">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5.8.1发包人向承包人发出解除或部分解除合同通知到达后，本合同即解除或部分解除，承包人必须在3日内停止施工，5日内将现场施工材料设备、工程用机具设备和人员等撤出施工场地，完成现场和有关资料的移交，并于完成交接工作当日内离场。承包人应保护好已完工程、已购设备材料，保证所移交的资料齐全完整。承包人无特殊原因未在规定期限内移交、离场或移交完整资料，发包人有权处理其留在现场的材料、设备和其他物件，处理费用由承包人承担。</w:t>
      </w:r>
    </w:p>
    <w:p w14:paraId="001FD7EE">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对于部分解除合同的情形，承包人拒不履行配合，发包人有权全部解除合同，如果引致发包人工期延误和其他方面的损失，发包人将要求承包人赔偿有关损失。发包人在发出解除合同的通知后，发包人即可清理现场、委托重新招标或委托新的承包人承接该工程。同时，承包人不得影响或阻碍新的承包人办理进场手续和相关工作。</w:t>
      </w:r>
    </w:p>
    <w:p w14:paraId="44A6A0B9">
      <w:pPr>
        <w:spacing w:line="360" w:lineRule="auto"/>
        <w:ind w:left="-2" w:leftChars="-1" w:firstLine="424" w:firstLineChars="177"/>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5.8.2由于承包人原因导致的合同解除或部分合同解除，承包人已经订货的材料、设备，以及已进场尚未安装的材料设备均由承包人负责退货或解除订货合同，不能退还的货款、定金、订金，因退货和解除订货合同发生的费用以及因无法退货造成的损失均由承包人承担，发包人不予补偿。</w:t>
      </w:r>
    </w:p>
    <w:p w14:paraId="53AC4137">
      <w:pPr>
        <w:spacing w:line="360" w:lineRule="auto"/>
        <w:ind w:left="-2" w:leftChars="-1" w:firstLine="424" w:firstLineChars="177"/>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szCs w:val="24"/>
          <w:highlight w:val="none"/>
        </w:rPr>
        <w:t>承包人没有正当合理的理由中途退场，除扣除合同价款20％作为履约违约金外，承包人还须承当因其无故中途退场所造成的全部损失责任。</w:t>
      </w:r>
    </w:p>
    <w:p w14:paraId="376BF3D8">
      <w:pPr>
        <w:spacing w:line="360" w:lineRule="auto"/>
        <w:ind w:left="-2" w:leftChars="-1" w:firstLine="424" w:firstLineChars="177"/>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5.8.3非承包人原因导致的合同解除或部分合同解除，承包人已经签订订货合同，但尚未进场的材料、设备；或虽已进场但发包人或监理工程师验货不合格的，解除订货合同或退货发生的费用以及因无法退货造成的损失均由承包人承担，发包人不予补偿。</w:t>
      </w:r>
    </w:p>
    <w:p w14:paraId="5A974252">
      <w:pPr>
        <w:spacing w:line="360" w:lineRule="auto"/>
        <w:ind w:left="-2" w:leftChars="-1" w:firstLine="424" w:firstLineChars="177"/>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经发包人或监理工程验货、签收，且已进场的材料设备但尚未安装的材料设备，费用由发包人承担。数量按发包人、监理工程师审核确认的数量；原投标设备材料表中已列明单价，单价按投标报价计算，原投标设备材料表中未列明单价的，按预算审定价中的材料设备价*（1－下浮率）计算。</w:t>
      </w:r>
    </w:p>
    <w:p w14:paraId="4CC66889">
      <w:pPr>
        <w:spacing w:line="360" w:lineRule="auto"/>
        <w:ind w:left="-2" w:leftChars="-1" w:firstLine="424" w:firstLineChars="177"/>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5.8.4承包人的已完工程结算时间由发包人确定。按本合同结算条款约定办理结算，同时必须按合同约定扣除违约金、赔偿金。</w:t>
      </w:r>
    </w:p>
    <w:p w14:paraId="274AA020">
      <w:pPr>
        <w:spacing w:line="360" w:lineRule="auto"/>
        <w:ind w:left="-2" w:leftChars="-1" w:firstLine="424" w:firstLineChars="177"/>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kern w:val="0"/>
          <w:szCs w:val="24"/>
          <w:highlight w:val="none"/>
        </w:rPr>
        <w:t>5.8.5因承包人原因导致解除合同，发包人所遭受的一切损失，由承包人承担全部赔偿责任。</w:t>
      </w:r>
    </w:p>
    <w:p w14:paraId="1E122EF9">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 xml:space="preserve"> 5.</w:t>
      </w:r>
      <w:r>
        <w:rPr>
          <w:rFonts w:hint="eastAsia" w:asciiTheme="minorEastAsia" w:hAnsiTheme="minorEastAsia" w:eastAsiaTheme="minorEastAsia" w:cstheme="minorEastAsia"/>
          <w:b/>
          <w:bCs/>
          <w:color w:val="auto"/>
          <w:szCs w:val="24"/>
          <w:highlight w:val="none"/>
          <w:lang w:val="en-US" w:eastAsia="zh-CN"/>
        </w:rPr>
        <w:t>9</w:t>
      </w:r>
      <w:r>
        <w:rPr>
          <w:rFonts w:hint="eastAsia" w:asciiTheme="minorEastAsia" w:hAnsiTheme="minorEastAsia" w:eastAsiaTheme="minorEastAsia" w:cstheme="minorEastAsia"/>
          <w:b/>
          <w:bCs/>
          <w:color w:val="auto"/>
          <w:szCs w:val="24"/>
          <w:highlight w:val="none"/>
        </w:rPr>
        <w:t xml:space="preserve"> 承包人提供竣工资料的约定：</w:t>
      </w:r>
    </w:p>
    <w:p w14:paraId="700D6D56">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本工程具备竣工验收条件后14天内，承包人按国家建设部、广东省及</w:t>
      </w:r>
      <w:r>
        <w:rPr>
          <w:rFonts w:hint="eastAsia" w:asciiTheme="minorEastAsia" w:hAnsiTheme="minorEastAsia" w:eastAsiaTheme="minorEastAsia" w:cstheme="minorEastAsia"/>
          <w:color w:val="auto"/>
          <w:szCs w:val="24"/>
          <w:highlight w:val="none"/>
          <w:lang w:eastAsia="zh-CN"/>
        </w:rPr>
        <w:t>南雄市</w:t>
      </w:r>
      <w:r>
        <w:rPr>
          <w:rFonts w:hint="eastAsia" w:asciiTheme="minorEastAsia" w:hAnsiTheme="minorEastAsia" w:eastAsiaTheme="minorEastAsia" w:cstheme="minorEastAsia"/>
          <w:color w:val="auto"/>
          <w:szCs w:val="24"/>
          <w:highlight w:val="none"/>
        </w:rPr>
        <w:t>的有关规定和发包人的要求编制工程竣工资料（包括施工原始记录、照片等资料），向工程师提供完整竣工验收资料8套、竣工验收报告和相应的声像、电子文件，并由承包人及时向主管部门和监督部门备案。工程师收到竣工验收资料后，应在10天内审核，若不符合要求，工程师可提出整改意见。承包人按要求整改合格后报工程师，工程师在整改验收合格后10天内应组织有关单位进行初步验收，并在10天内对工程质量予以认可或提出再次整改意见。承包人按要求再次整改，并承担由其自身原因造成的整改费用。编制竣工图、竣工资料的费用已含在合同价中。</w:t>
      </w:r>
    </w:p>
    <w:p w14:paraId="132049E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竣工验收资料包括全部工程（包括项目单位发包项目及其他分包工程）的竣工图纸和竣工资料，以及经确认的深化设计图纸和技术资料。各类分包工程的竣工资料均由承包人负责编制、指导、审阅、汇总、整理、归档，费用由本合同承包人自行承担。    </w:t>
      </w:r>
    </w:p>
    <w:p w14:paraId="42D36ACF">
      <w:pPr>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5.1</w:t>
      </w:r>
      <w:r>
        <w:rPr>
          <w:rFonts w:hint="eastAsia" w:asciiTheme="minorEastAsia" w:hAnsiTheme="minorEastAsia" w:eastAsiaTheme="minorEastAsia" w:cstheme="minorEastAsia"/>
          <w:b/>
          <w:bCs/>
          <w:color w:val="auto"/>
          <w:szCs w:val="24"/>
          <w:highlight w:val="none"/>
          <w:lang w:val="en-US" w:eastAsia="zh-CN"/>
        </w:rPr>
        <w:t>1</w:t>
      </w:r>
      <w:r>
        <w:rPr>
          <w:rFonts w:hint="eastAsia" w:asciiTheme="minorEastAsia" w:hAnsiTheme="minorEastAsia" w:eastAsiaTheme="minorEastAsia" w:cstheme="minorEastAsia"/>
          <w:b/>
          <w:bCs/>
          <w:color w:val="auto"/>
          <w:szCs w:val="24"/>
          <w:highlight w:val="none"/>
        </w:rPr>
        <w:t>工程移交及档案管理</w:t>
      </w:r>
    </w:p>
    <w:p w14:paraId="0F3C57F2">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w:t>
      </w:r>
      <w:r>
        <w:rPr>
          <w:rFonts w:hint="eastAsia" w:asciiTheme="minorEastAsia" w:hAnsiTheme="minorEastAsia" w:eastAsiaTheme="minorEastAsia" w:cstheme="minorEastAsia"/>
          <w:color w:val="auto"/>
          <w:szCs w:val="24"/>
          <w:highlight w:val="none"/>
          <w:lang w:val="en-US" w:eastAsia="zh-CN"/>
        </w:rPr>
        <w:t>1</w:t>
      </w:r>
      <w:r>
        <w:rPr>
          <w:rFonts w:hint="eastAsia" w:asciiTheme="minorEastAsia" w:hAnsiTheme="minorEastAsia" w:eastAsiaTheme="minorEastAsia" w:cstheme="minorEastAsia"/>
          <w:color w:val="auto"/>
          <w:szCs w:val="24"/>
          <w:highlight w:val="none"/>
        </w:rPr>
        <w:t>.1工程完工后，承包人必须及时按城建相关档案管理规定整理及移交竣工档案，承包人办理工程结算需提交相关工程档案移交签字单，否则结算不予办理。</w:t>
      </w:r>
    </w:p>
    <w:p w14:paraId="0797B9F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w:t>
      </w:r>
      <w:r>
        <w:rPr>
          <w:rFonts w:hint="eastAsia" w:asciiTheme="minorEastAsia" w:hAnsiTheme="minorEastAsia" w:eastAsiaTheme="minorEastAsia" w:cstheme="minorEastAsia"/>
          <w:color w:val="auto"/>
          <w:szCs w:val="24"/>
          <w:highlight w:val="none"/>
          <w:lang w:val="en-US" w:eastAsia="zh-CN"/>
        </w:rPr>
        <w:t>1</w:t>
      </w:r>
      <w:r>
        <w:rPr>
          <w:rFonts w:hint="eastAsia" w:asciiTheme="minorEastAsia" w:hAnsiTheme="minorEastAsia" w:eastAsiaTheme="minorEastAsia" w:cstheme="minorEastAsia"/>
          <w:color w:val="auto"/>
          <w:szCs w:val="24"/>
          <w:highlight w:val="none"/>
        </w:rPr>
        <w:t>.2工程竣工验收合格后承包人必须将成品移交给发包人指定的接管单位。在移交工作完成前，现场所有安全及成品保护责任和费用由承包人承担。</w:t>
      </w:r>
    </w:p>
    <w:p w14:paraId="3B368591">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w:t>
      </w:r>
      <w:r>
        <w:rPr>
          <w:rFonts w:hint="eastAsia" w:asciiTheme="minorEastAsia" w:hAnsiTheme="minorEastAsia" w:eastAsiaTheme="minorEastAsia" w:cstheme="minorEastAsia"/>
          <w:color w:val="auto"/>
          <w:szCs w:val="24"/>
          <w:highlight w:val="none"/>
          <w:lang w:val="en-US" w:eastAsia="zh-CN"/>
        </w:rPr>
        <w:t>2</w:t>
      </w:r>
      <w:r>
        <w:rPr>
          <w:rFonts w:hint="eastAsia" w:asciiTheme="minorEastAsia" w:hAnsiTheme="minorEastAsia" w:eastAsiaTheme="minorEastAsia" w:cstheme="minorEastAsia"/>
          <w:color w:val="auto"/>
          <w:szCs w:val="24"/>
          <w:highlight w:val="none"/>
        </w:rPr>
        <w:t>在质量缺陷保修期内，承包人必须在接到保修通知之日起7天内无条件派人先行保修，发生涉及结构安全、严重影响使用功能的质量缺陷或给排水、供电、燃气、通信及路灯等特殊工程的紧急抢修事故的，承包人接到保修通知后，必须立即到达现场实施保修。质量保修完成后，由发包人组织承包人和监理人，配合项目使用（管养）单位验收。涉及结构安全的，发包人将报当地相关行政主管部门备案，同时承包人应将其产生的原因、补救措施、完成保修情况以书面形式提交发包人。</w:t>
      </w:r>
    </w:p>
    <w:p w14:paraId="76C9730B">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w:t>
      </w:r>
      <w:r>
        <w:rPr>
          <w:rFonts w:hint="eastAsia" w:asciiTheme="minorEastAsia" w:hAnsiTheme="minorEastAsia" w:eastAsiaTheme="minorEastAsia" w:cstheme="minorEastAsia"/>
          <w:color w:val="auto"/>
          <w:szCs w:val="24"/>
          <w:highlight w:val="none"/>
          <w:lang w:val="en-US" w:eastAsia="zh-CN"/>
        </w:rPr>
        <w:t>3</w:t>
      </w:r>
      <w:r>
        <w:rPr>
          <w:rFonts w:hint="eastAsia" w:asciiTheme="minorEastAsia" w:hAnsiTheme="minorEastAsia" w:eastAsiaTheme="minorEastAsia" w:cstheme="minorEastAsia"/>
          <w:color w:val="auto"/>
          <w:szCs w:val="24"/>
          <w:highlight w:val="none"/>
        </w:rPr>
        <w:t>在工程质量缺陷保修期内，承包人的违约责任。</w:t>
      </w:r>
    </w:p>
    <w:p w14:paraId="2827B91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w:t>
      </w:r>
      <w:r>
        <w:rPr>
          <w:rFonts w:hint="eastAsia" w:asciiTheme="minorEastAsia" w:hAnsiTheme="minorEastAsia" w:eastAsiaTheme="minorEastAsia" w:cstheme="minorEastAsia"/>
          <w:color w:val="auto"/>
          <w:szCs w:val="24"/>
          <w:highlight w:val="none"/>
          <w:lang w:val="en-US" w:eastAsia="zh-CN"/>
        </w:rPr>
        <w:t>3</w:t>
      </w:r>
      <w:r>
        <w:rPr>
          <w:rFonts w:hint="eastAsia" w:asciiTheme="minorEastAsia" w:hAnsiTheme="minorEastAsia" w:eastAsiaTheme="minorEastAsia" w:cstheme="minorEastAsia"/>
          <w:color w:val="auto"/>
          <w:szCs w:val="24"/>
          <w:highlight w:val="none"/>
        </w:rPr>
        <w:t>.1在保修期内发生质量缺陷或紧急抢修事故的时，如发包人无法联系到承包人，或联系到承包人但承包人不能及时履行保修义务时，无论缺陷责任是否属于承包人，承包人必须承担由此产生的一切保修费用、相关损失及违约责任。</w:t>
      </w:r>
    </w:p>
    <w:p w14:paraId="25871CB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w:t>
      </w:r>
      <w:r>
        <w:rPr>
          <w:rFonts w:hint="eastAsia" w:asciiTheme="minorEastAsia" w:hAnsiTheme="minorEastAsia" w:eastAsiaTheme="minorEastAsia" w:cstheme="minorEastAsia"/>
          <w:color w:val="auto"/>
          <w:szCs w:val="24"/>
          <w:highlight w:val="none"/>
          <w:lang w:val="en-US" w:eastAsia="zh-CN"/>
        </w:rPr>
        <w:t>3</w:t>
      </w:r>
      <w:r>
        <w:rPr>
          <w:rFonts w:hint="eastAsia" w:asciiTheme="minorEastAsia" w:hAnsiTheme="minorEastAsia" w:eastAsiaTheme="minorEastAsia" w:cstheme="minorEastAsia"/>
          <w:color w:val="auto"/>
          <w:szCs w:val="24"/>
          <w:highlight w:val="none"/>
        </w:rPr>
        <w:t>.2若承包人未及时到达现场实施保修，发包人有权直接委托其他单位或管养单位代承包人组织实施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314219E5">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w:t>
      </w:r>
      <w:r>
        <w:rPr>
          <w:rFonts w:hint="eastAsia" w:asciiTheme="minorEastAsia" w:hAnsiTheme="minorEastAsia" w:eastAsiaTheme="minorEastAsia" w:cstheme="minorEastAsia"/>
          <w:color w:val="auto"/>
          <w:szCs w:val="24"/>
          <w:highlight w:val="none"/>
          <w:lang w:val="en-US" w:eastAsia="zh-CN"/>
        </w:rPr>
        <w:t>3</w:t>
      </w:r>
      <w:r>
        <w:rPr>
          <w:rFonts w:hint="eastAsia" w:asciiTheme="minorEastAsia" w:hAnsiTheme="minorEastAsia" w:eastAsiaTheme="minorEastAsia" w:cstheme="minorEastAsia"/>
          <w:color w:val="auto"/>
          <w:szCs w:val="24"/>
          <w:highlight w:val="none"/>
        </w:rPr>
        <w:t>.3若承包人及时到达现场，但认为自行无法按时完成保修义务，可与发包人协商，直接委托管养单位或发包人确认的其他单位实施保修。若承包人未及时与发包人完成协商事宜，又未能在规定时限内完成保修的，发包人有权通知管养单位或其他单位进行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3D2308D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w:t>
      </w:r>
      <w:r>
        <w:rPr>
          <w:rFonts w:hint="eastAsia" w:asciiTheme="minorEastAsia" w:hAnsiTheme="minorEastAsia" w:eastAsiaTheme="minorEastAsia" w:cstheme="minorEastAsia"/>
          <w:color w:val="auto"/>
          <w:szCs w:val="24"/>
          <w:highlight w:val="none"/>
          <w:lang w:val="en-US" w:eastAsia="zh-CN"/>
        </w:rPr>
        <w:t>3</w:t>
      </w:r>
      <w:r>
        <w:rPr>
          <w:rFonts w:hint="eastAsia" w:asciiTheme="minorEastAsia" w:hAnsiTheme="minorEastAsia" w:eastAsiaTheme="minorEastAsia" w:cstheme="minorEastAsia"/>
          <w:color w:val="auto"/>
          <w:szCs w:val="24"/>
          <w:highlight w:val="none"/>
        </w:rPr>
        <w:t>.4若承包人及时到达现场，并与发包人完成协商，同意直接委托管养单位或发包人确认的其他单位实施保修。承包人在收到支付工程保修费用的通知7天内，应将保修费用支付给代其实施保修的单位。如在规定时间内未支付有关费用的，发包人可直接从工程质量缺陷保修金中扣除该保修费用，并支付给保修单位，并处承包人保修费用30%的违约金，如缺陷质量保修金余额不足，发包人将向承包人索赔。发包人还将承包人不履行保修义务的不良行为报送相关行政主管部门。</w:t>
      </w:r>
    </w:p>
    <w:p w14:paraId="59C363C1">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w:t>
      </w:r>
      <w:r>
        <w:rPr>
          <w:rFonts w:hint="eastAsia" w:asciiTheme="minorEastAsia" w:hAnsiTheme="minorEastAsia" w:eastAsiaTheme="minorEastAsia" w:cstheme="minorEastAsia"/>
          <w:color w:val="auto"/>
          <w:szCs w:val="24"/>
          <w:highlight w:val="none"/>
          <w:lang w:val="en-US" w:eastAsia="zh-CN"/>
        </w:rPr>
        <w:t>3</w:t>
      </w:r>
      <w:r>
        <w:rPr>
          <w:rFonts w:hint="eastAsia" w:asciiTheme="minorEastAsia" w:hAnsiTheme="minorEastAsia" w:eastAsiaTheme="minorEastAsia" w:cstheme="minorEastAsia"/>
          <w:color w:val="auto"/>
          <w:szCs w:val="24"/>
          <w:highlight w:val="none"/>
        </w:rPr>
        <w:t>.5若承包人按照发包人的要求及时履行了保修义务，并能提供证据说明质量缺陷非承包人的责任，保修费用及相关损失由缺陷责任方承担。</w:t>
      </w:r>
    </w:p>
    <w:p w14:paraId="13337630">
      <w:pPr>
        <w:pStyle w:val="67"/>
        <w:adjustRightInd w:val="0"/>
        <w:snapToGrid w:val="0"/>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w:t>
      </w:r>
      <w:r>
        <w:rPr>
          <w:rFonts w:hint="eastAsia" w:asciiTheme="minorEastAsia" w:hAnsiTheme="minorEastAsia" w:eastAsiaTheme="minorEastAsia" w:cstheme="minorEastAsia"/>
          <w:color w:val="auto"/>
          <w:highlight w:val="none"/>
          <w:lang w:val="en-US" w:eastAsia="zh-CN"/>
        </w:rPr>
        <w:t>3</w:t>
      </w:r>
      <w:r>
        <w:rPr>
          <w:rFonts w:hint="eastAsia" w:asciiTheme="minorEastAsia" w:hAnsiTheme="minorEastAsia" w:eastAsiaTheme="minorEastAsia" w:cstheme="minorEastAsia"/>
          <w:color w:val="auto"/>
          <w:highlight w:val="none"/>
        </w:rPr>
        <w:t>.6对于涉及结构安全的工程质量问题，无论何时，在所有人、使用人或者第三方向当地建设行政主管部门报告并通知承包人后，承包人应立即采取安全防范措施，同时发包人将委托原设计单位或者具有相应资质等级的设计单位提出保修方案后，承包人应立即实施保修。承包人立即实施了有效的防范措施和保修的，保修费用、人身和财产损害赔偿，由经过法定程序确认的缺陷责任方承担。承包人拖延安全防范措施或者拖延保修，所造成的一切人身、财产损害责任和赔偿均由承包人承担，同时发包人将提请相关行政主管部门按相关法律、法规对承包人予以处罚。</w:t>
      </w:r>
    </w:p>
    <w:p w14:paraId="6EA2CC4B">
      <w:pPr>
        <w:tabs>
          <w:tab w:val="left" w:pos="1260"/>
        </w:tabs>
        <w:snapToGrid w:val="0"/>
        <w:spacing w:line="360" w:lineRule="auto"/>
        <w:ind w:firstLine="442" w:firstLineChars="200"/>
        <w:rPr>
          <w:rFonts w:hint="eastAsia" w:asciiTheme="minorEastAsia" w:hAnsiTheme="minorEastAsia" w:eastAsiaTheme="minorEastAsia" w:cstheme="minorEastAsia"/>
          <w:b/>
          <w:bCs/>
          <w:color w:val="auto"/>
          <w:spacing w:val="-10"/>
          <w:szCs w:val="24"/>
          <w:highlight w:val="none"/>
        </w:rPr>
      </w:pPr>
      <w:r>
        <w:rPr>
          <w:rFonts w:hint="eastAsia" w:asciiTheme="minorEastAsia" w:hAnsiTheme="minorEastAsia" w:eastAsiaTheme="minorEastAsia" w:cstheme="minorEastAsia"/>
          <w:b/>
          <w:bCs/>
          <w:color w:val="auto"/>
          <w:spacing w:val="-10"/>
          <w:szCs w:val="24"/>
          <w:highlight w:val="none"/>
        </w:rPr>
        <w:t>6.设计部分：</w:t>
      </w:r>
    </w:p>
    <w:p w14:paraId="7F0A5DBC">
      <w:pPr>
        <w:tabs>
          <w:tab w:val="left" w:pos="1260"/>
        </w:tabs>
        <w:snapToGrid w:val="0"/>
        <w:spacing w:line="360" w:lineRule="auto"/>
        <w:ind w:firstLine="440" w:firstLineChars="200"/>
        <w:rPr>
          <w:rFonts w:hint="eastAsia" w:asciiTheme="minorEastAsia" w:hAnsiTheme="minorEastAsia" w:eastAsiaTheme="minorEastAsia" w:cstheme="minorEastAsia"/>
          <w:color w:val="auto"/>
          <w:spacing w:val="-10"/>
          <w:szCs w:val="24"/>
          <w:highlight w:val="none"/>
        </w:rPr>
      </w:pPr>
      <w:r>
        <w:rPr>
          <w:rFonts w:hint="eastAsia" w:asciiTheme="minorEastAsia" w:hAnsiTheme="minorEastAsia" w:eastAsiaTheme="minorEastAsia" w:cstheme="minorEastAsia"/>
          <w:color w:val="auto"/>
          <w:spacing w:val="-10"/>
          <w:szCs w:val="24"/>
          <w:highlight w:val="none"/>
        </w:rPr>
        <w:t>6.1 本合同设计总价包括所有设计事务工作收费、技术工作收费、税金和完成合同约定的所有与工程设计有关的全部费用。</w:t>
      </w:r>
    </w:p>
    <w:p w14:paraId="79ADA182">
      <w:pPr>
        <w:tabs>
          <w:tab w:val="left" w:pos="1260"/>
        </w:tabs>
        <w:snapToGrid w:val="0"/>
        <w:spacing w:line="360" w:lineRule="auto"/>
        <w:ind w:firstLine="44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pacing w:val="-10"/>
          <w:szCs w:val="24"/>
          <w:highlight w:val="none"/>
        </w:rPr>
        <w:t>6.2 承包人必须严格按有关设计规范设</w:t>
      </w:r>
      <w:r>
        <w:rPr>
          <w:rFonts w:hint="eastAsia" w:asciiTheme="minorEastAsia" w:hAnsiTheme="minorEastAsia" w:eastAsiaTheme="minorEastAsia" w:cstheme="minorEastAsia"/>
          <w:color w:val="auto"/>
          <w:szCs w:val="24"/>
          <w:highlight w:val="none"/>
        </w:rPr>
        <w:t>计图纸，承包人必须秉承合理、经济、环保、适用等原则进行施工图设计，发包人有权委托第三方对承包人每阶段的设计成果（含节能、结构计算模型等）进行精细化审图、各专业优化工作，承包人需无条件根据经发包人确认的精细化审图、结构优化报告进行设计文件修改，费用不另计。</w:t>
      </w:r>
    </w:p>
    <w:p w14:paraId="28097565">
      <w:pPr>
        <w:tabs>
          <w:tab w:val="left" w:pos="1260"/>
        </w:tabs>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kern w:val="0"/>
          <w:szCs w:val="24"/>
          <w:highlight w:val="none"/>
        </w:rPr>
        <w:t xml:space="preserve">6.3 </w:t>
      </w:r>
      <w:r>
        <w:rPr>
          <w:rFonts w:hint="eastAsia" w:asciiTheme="minorEastAsia" w:hAnsiTheme="minorEastAsia" w:eastAsiaTheme="minorEastAsia" w:cstheme="minorEastAsia"/>
          <w:color w:val="auto"/>
          <w:szCs w:val="24"/>
          <w:highlight w:val="none"/>
        </w:rPr>
        <w:t>承包人未经发包人同意擅自对工程设计进行分包的，发包人有权收回未经发包人同意的设计分包内容，已支付该部分分包内容设计费用的在下次支付设计费时扣除，未支付的将不予支付该部分分包内容设计费 。如需其他专业分包，需提前向发包人报备，并提供相应专业资质文件，发包人同意后方可进行分包。</w:t>
      </w:r>
    </w:p>
    <w:p w14:paraId="5239C024">
      <w:pPr>
        <w:tabs>
          <w:tab w:val="left" w:pos="1260"/>
        </w:tabs>
        <w:snapToGrid w:val="0"/>
        <w:spacing w:line="360" w:lineRule="auto"/>
        <w:ind w:firstLine="480" w:firstLineChars="200"/>
        <w:rPr>
          <w:rFonts w:hint="eastAsia" w:asciiTheme="minorEastAsia" w:hAnsiTheme="minorEastAsia" w:eastAsiaTheme="minorEastAsia" w:cstheme="minorEastAsia"/>
          <w:color w:val="auto"/>
          <w:szCs w:val="24"/>
          <w:highlight w:val="none"/>
        </w:rPr>
      </w:pPr>
      <w:bookmarkStart w:id="361" w:name="_Toc390613831"/>
      <w:r>
        <w:rPr>
          <w:rFonts w:hint="eastAsia" w:asciiTheme="minorEastAsia" w:hAnsiTheme="minorEastAsia" w:eastAsiaTheme="minorEastAsia" w:cstheme="minorEastAsia"/>
          <w:color w:val="auto"/>
          <w:szCs w:val="24"/>
          <w:highlight w:val="none"/>
        </w:rPr>
        <w:t>6.4.知识产权和专利权</w:t>
      </w:r>
      <w:bookmarkEnd w:id="361"/>
    </w:p>
    <w:p w14:paraId="082AB312">
      <w:pPr>
        <w:tabs>
          <w:tab w:val="left" w:pos="1260"/>
        </w:tabs>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6.4.1承包人保证投标文件及资料均未侵犯他人的知识产权，否则必须承担全部责任。若承包人使用了他人的专利、专有技术，涉及的费用由承包人负责。合同价包括所有应支付的对专利权和版权、设计和其他知识产权而需要向其他方支付的版税。</w:t>
      </w:r>
    </w:p>
    <w:p w14:paraId="7AF97657">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6.4.2承包人应保护发包人的知识产权，不得向第三人泄露、转让发包人提交的产品图纸等技术经济资料。未经发包人同意，承包人不得将设计成果转让给第三方。如发生以上情况并给发包人造成经济损失，发包人有权向承包人索赔。</w:t>
      </w:r>
    </w:p>
    <w:p w14:paraId="27A39A72">
      <w:pPr>
        <w:spacing w:beforeLines="50" w:line="360" w:lineRule="auto"/>
        <w:ind w:firstLine="472" w:firstLineChars="197"/>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6.4.3承包人应保证发包人在本项目建设过程中使用其设计文件和设计文件的任何一部分时，发包人免受第三方提出侵犯其专利权、商标权或其他知识产权的起诉。</w:t>
      </w:r>
    </w:p>
    <w:p w14:paraId="7646EA26">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承包人保证发包人使用承包人设计成果将不会对任何第三方构成侵权，如因此引起任何第三方向发包人提出侵权之诉讼或索赔，均由承包人承担处理、应诉和赔偿责任。</w:t>
      </w:r>
    </w:p>
    <w:p w14:paraId="169961C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6.4.4承包人提交给发包人的设计文件，其著作权、版权、专利权和使用权归发包人所有（署名权除外）。   </w:t>
      </w:r>
    </w:p>
    <w:p w14:paraId="230ACE2B">
      <w:pPr>
        <w:spacing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6.5.</w:t>
      </w:r>
      <w:r>
        <w:rPr>
          <w:rFonts w:hint="eastAsia" w:asciiTheme="minorEastAsia" w:hAnsiTheme="minorEastAsia" w:eastAsiaTheme="minorEastAsia" w:cstheme="minorEastAsia"/>
          <w:color w:val="auto"/>
          <w:szCs w:val="24"/>
          <w:highlight w:val="none"/>
        </w:rPr>
        <w:t xml:space="preserve"> 承包人在合同有效期内，应当履行合同约定的义务，如因承包人的原因产生设计质量事故、工期延误或设计缺陷，造成损失的应承担赔偿责任。</w:t>
      </w:r>
    </w:p>
    <w:p w14:paraId="6C7B466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（1）因设计错误而造成一般质量事故的，承包人除应免收受损失部分的设计费外，还应无偿修改和完善设计，并承担给发包人造成的直接损失。</w:t>
      </w:r>
    </w:p>
    <w:p w14:paraId="132FC15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（2）因设计错误而造成重大质量事故的，承包人承担给发包人造成的直接损失，发包人有权解除设计合同，并报请有关主管部门视事故造成的损失情况给予其他处罚。</w:t>
      </w:r>
    </w:p>
    <w:p w14:paraId="08F0760F">
      <w:pPr>
        <w:spacing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6.6.</w:t>
      </w:r>
      <w:r>
        <w:rPr>
          <w:rFonts w:hint="eastAsia" w:asciiTheme="minorEastAsia" w:hAnsiTheme="minorEastAsia" w:eastAsiaTheme="minorEastAsia" w:cstheme="minorEastAsia"/>
          <w:color w:val="auto"/>
          <w:szCs w:val="24"/>
          <w:highlight w:val="none"/>
        </w:rPr>
        <w:t xml:space="preserve"> 若因承包人原因导致提交的设计成果文件无法通过发包人组织的设计审查，发包人有权发出如下任何指令，承包人必须遵照执行。</w:t>
      </w:r>
    </w:p>
    <w:p w14:paraId="5FF4EED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对不合格部分进行重新设计或修改，由此引起的费用增加和工期延误由承包人负全部责任，发包人还可视造成的时间延误和费用损失，承包人按合同价的5%～10%向甲方支付违约金；同时发包人有权解除设计合同。</w:t>
      </w:r>
    </w:p>
    <w:p w14:paraId="5DE95EF6">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如果重新设计或修改后的设计成果仍不能通过设计审查，或承包人没有能力完成该部分设计，发包人解除该不合格部分的合同，发包人将该不合格部分指定分包给其他设计单位，并扣除设计单位合同总价中此部分的设计费用；</w:t>
      </w:r>
    </w:p>
    <w:p w14:paraId="054A4896">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（3）承包人须在发包人书面同意后，将该部分内容另行委托给其他具有相应资质等级的单位设计，直至通过设计审查，该部分设计费用已包含在合同价中，不另行计算，造成损失的依法承担赔偿责任。</w:t>
      </w:r>
    </w:p>
    <w:p w14:paraId="5E30E04C">
      <w:pPr>
        <w:spacing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 xml:space="preserve">6.7. </w:t>
      </w:r>
      <w:r>
        <w:rPr>
          <w:rFonts w:hint="eastAsia" w:asciiTheme="minorEastAsia" w:hAnsiTheme="minorEastAsia" w:eastAsiaTheme="minorEastAsia" w:cstheme="minorEastAsia"/>
          <w:color w:val="auto"/>
          <w:szCs w:val="24"/>
          <w:highlight w:val="none"/>
        </w:rPr>
        <w:t>承包人应赔偿因设计质量或设计图纸不完善带来的设计变更所引发的工程费增加、施工返工费、误工费等，处理原则如下：</w:t>
      </w:r>
    </w:p>
    <w:p w14:paraId="2E5541B6">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（1）由于设计质量或设计图纸不完善引起的施工返工，承包人应及时处理，并每次扣减设计合同价的2%作为违约金。</w:t>
      </w:r>
    </w:p>
    <w:p w14:paraId="5C92582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由于设计质量或设计图纸不完善引起的施工返工、停工，承包人未能及时处理，每次扣减设计合同价的2%作为违约金，对施工工期造成较大影响，还须按设计合同价的15%赔偿，经监理单位和发包人确认后，承包人在申请当期设计费之前支付给发包人。</w:t>
      </w:r>
    </w:p>
    <w:p w14:paraId="700BDE64">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由于设计质量或设计图纸不完善导致的设计变更引起工程造价增加，以至超出审批的概算投资额，如设计变更未对施工工期造成影响，承包人按超额部分的5%赔偿发包人；如设计变更对施工工期造成影响，承包人按超额部分的10%赔偿发包人。承包人还应对设计进行修改或调整，以保证工程总费用控制在总投资计划内或限额设计指标内。</w:t>
      </w:r>
    </w:p>
    <w:p w14:paraId="58EF93DB">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由于设计质量设计图纸不完善所引起的工程费增加，超出审批的概算投资额，承包人无法调整到限额内，发包人有权不支付设计费，已支付的设计费承包人应返还发包人，发包人有权拒绝承包人参加发包人的任何设计项目的投标，并将承包人的不良行为上报行业主管部门。</w:t>
      </w:r>
    </w:p>
    <w:p w14:paraId="140D7E72">
      <w:pPr>
        <w:pStyle w:val="80"/>
        <w:spacing w:line="360" w:lineRule="auto"/>
        <w:ind w:firstLine="602" w:firstLineChars="25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6.7.1</w:t>
      </w:r>
      <w:r>
        <w:rPr>
          <w:rFonts w:hint="eastAsia" w:asciiTheme="minorEastAsia" w:hAnsiTheme="minorEastAsia" w:eastAsiaTheme="minorEastAsia" w:cstheme="minorEastAsia"/>
          <w:color w:val="auto"/>
          <w:szCs w:val="24"/>
          <w:highlight w:val="none"/>
        </w:rPr>
        <w:t>工程变更的程序和管理按</w:t>
      </w:r>
      <w:r>
        <w:rPr>
          <w:rFonts w:hint="eastAsia" w:asciiTheme="minorEastAsia" w:hAnsiTheme="minorEastAsia" w:eastAsiaTheme="minorEastAsia" w:cstheme="minorEastAsia"/>
          <w:color w:val="auto"/>
          <w:szCs w:val="24"/>
          <w:highlight w:val="none"/>
          <w:lang w:val="en-US" w:eastAsia="zh-CN"/>
        </w:rPr>
        <w:t>项目所在地的</w:t>
      </w:r>
      <w:r>
        <w:rPr>
          <w:rFonts w:hint="eastAsia" w:asciiTheme="minorEastAsia" w:hAnsiTheme="minorEastAsia" w:eastAsiaTheme="minorEastAsia" w:cstheme="minorEastAsia"/>
          <w:color w:val="auto"/>
          <w:szCs w:val="24"/>
          <w:highlight w:val="none"/>
        </w:rPr>
        <w:t>政府投资项目财政投资评审</w:t>
      </w:r>
      <w:r>
        <w:rPr>
          <w:rFonts w:hint="eastAsia" w:asciiTheme="minorEastAsia" w:hAnsiTheme="minorEastAsia" w:eastAsiaTheme="minorEastAsia" w:cstheme="minorEastAsia"/>
          <w:color w:val="auto"/>
          <w:szCs w:val="24"/>
          <w:highlight w:val="none"/>
          <w:lang w:val="en-US" w:eastAsia="zh-CN"/>
        </w:rPr>
        <w:t>相关文件</w:t>
      </w:r>
      <w:r>
        <w:rPr>
          <w:rFonts w:hint="eastAsia" w:asciiTheme="minorEastAsia" w:hAnsiTheme="minorEastAsia" w:eastAsiaTheme="minorEastAsia" w:cstheme="minorEastAsia"/>
          <w:color w:val="auto"/>
          <w:szCs w:val="24"/>
          <w:highlight w:val="none"/>
        </w:rPr>
        <w:t>执行。如因设计人的责任引起变更造成投资规模增加，按如下规定追究设计人的违约责任：</w:t>
      </w:r>
    </w:p>
    <w:p w14:paraId="36AB7623">
      <w:pPr>
        <w:pStyle w:val="80"/>
        <w:spacing w:line="360" w:lineRule="auto"/>
        <w:ind w:firstLine="600" w:firstLineChars="25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（1）因设计人责任引起变更造成投资规模增加10%以上的，扣减设计人设计合同价20%的违约金；</w:t>
      </w:r>
    </w:p>
    <w:p w14:paraId="1B80E621">
      <w:pPr>
        <w:pStyle w:val="80"/>
        <w:spacing w:line="360" w:lineRule="auto"/>
        <w:ind w:firstLine="600" w:firstLineChars="25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（2）因设计人责任引起变更造成投资规模增加15%以上的，扣减设计人设计合同价30%的违约金；</w:t>
      </w:r>
    </w:p>
    <w:p w14:paraId="6450AEFB">
      <w:pPr>
        <w:spacing w:line="360" w:lineRule="auto"/>
        <w:ind w:firstLine="480"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color w:val="auto"/>
          <w:szCs w:val="24"/>
          <w:highlight w:val="none"/>
        </w:rPr>
        <w:t>（3）因设计人责任引起变更造成投资规模增加20%以上的，扣减设计人设计合同价40%的违约金。</w:t>
      </w:r>
    </w:p>
    <w:p w14:paraId="52D74DB7">
      <w:pPr>
        <w:spacing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6.8</w:t>
      </w:r>
      <w:r>
        <w:rPr>
          <w:rFonts w:hint="eastAsia" w:asciiTheme="minorEastAsia" w:hAnsiTheme="minorEastAsia" w:eastAsiaTheme="minorEastAsia" w:cstheme="minorEastAsia"/>
          <w:color w:val="auto"/>
          <w:szCs w:val="24"/>
          <w:highlight w:val="none"/>
        </w:rPr>
        <w:t xml:space="preserve"> 承包人未按照国家及建设部现行的强制性技术标准、规范和规程进行设计，或承包人在设计成果中未经发包人认可擅自指定或变相指定材料或设备生产厂商、供应商的，承包人按合同价的5%～10%向发包人支付违约金。</w:t>
      </w:r>
    </w:p>
    <w:p w14:paraId="58645C64">
      <w:pPr>
        <w:spacing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6.9</w:t>
      </w:r>
      <w:r>
        <w:rPr>
          <w:rFonts w:hint="eastAsia" w:asciiTheme="minorEastAsia" w:hAnsiTheme="minorEastAsia" w:eastAsiaTheme="minorEastAsia" w:cstheme="minorEastAsia"/>
          <w:color w:val="auto"/>
          <w:szCs w:val="24"/>
          <w:highlight w:val="none"/>
        </w:rPr>
        <w:t xml:space="preserve"> 承包人保证，未经发包人书面同意，不得将本合同项下的任何工作任务委托第三人履行，对于工程设计内容中超出承包人资质条件的分部、分项工程，承包人不得超越自身资质条件进行设计或自行将设计任务转包、分包，否则，发包人可以立即解除本合同，并且不需要向承包人支付任何费用。发包人将有权终止合同，承包人按合同价的5%～10%向发包人支付违约金。</w:t>
      </w:r>
    </w:p>
    <w:p w14:paraId="1D5B2D9E">
      <w:pPr>
        <w:pStyle w:val="17"/>
        <w:snapToGrid w:val="0"/>
        <w:spacing w:line="360" w:lineRule="auto"/>
        <w:ind w:left="63" w:right="63" w:firstLine="482" w:firstLineChars="200"/>
        <w:jc w:val="left"/>
        <w:rPr>
          <w:rFonts w:hint="eastAsia" w:asciiTheme="minorEastAsia" w:hAnsiTheme="minorEastAsia" w:eastAsiaTheme="minorEastAsia" w:cstheme="minorEastAsia"/>
          <w:b/>
          <w:color w:val="auto"/>
          <w:kern w:val="0"/>
          <w:szCs w:val="24"/>
          <w:highlight w:val="none"/>
        </w:rPr>
      </w:pPr>
      <w:r>
        <w:rPr>
          <w:rFonts w:hint="eastAsia" w:asciiTheme="minorEastAsia" w:hAnsiTheme="minorEastAsia" w:eastAsiaTheme="minorEastAsia" w:cstheme="minorEastAsia"/>
          <w:b/>
          <w:color w:val="auto"/>
          <w:kern w:val="0"/>
          <w:szCs w:val="24"/>
          <w:highlight w:val="none"/>
        </w:rPr>
        <w:t>6.10 除招标文件规定的服务内容外，承包人还须完成以下各阶段服务内容：</w:t>
      </w:r>
    </w:p>
    <w:p w14:paraId="0383F98F">
      <w:pPr>
        <w:spacing w:line="360" w:lineRule="auto"/>
        <w:ind w:firstLine="482" w:firstLineChars="200"/>
        <w:rPr>
          <w:rFonts w:hint="eastAsia" w:asciiTheme="minorEastAsia" w:hAnsiTheme="minorEastAsia" w:eastAsiaTheme="minorEastAsia" w:cstheme="minorEastAsia"/>
          <w:b/>
          <w:color w:val="auto"/>
          <w:szCs w:val="24"/>
          <w:highlight w:val="none"/>
        </w:rPr>
      </w:pPr>
      <w:r>
        <w:rPr>
          <w:rFonts w:hint="eastAsia" w:asciiTheme="minorEastAsia" w:hAnsiTheme="minorEastAsia" w:eastAsiaTheme="minorEastAsia" w:cstheme="minorEastAsia"/>
          <w:b/>
          <w:color w:val="auto"/>
          <w:szCs w:val="24"/>
          <w:highlight w:val="none"/>
        </w:rPr>
        <w:t>6.10.</w:t>
      </w:r>
      <w:r>
        <w:rPr>
          <w:rFonts w:hint="eastAsia" w:asciiTheme="minorEastAsia" w:hAnsiTheme="minorEastAsia" w:eastAsiaTheme="minorEastAsia" w:cstheme="minorEastAsia"/>
          <w:b/>
          <w:color w:val="auto"/>
          <w:szCs w:val="24"/>
          <w:highlight w:val="none"/>
          <w:lang w:val="en-US" w:eastAsia="zh-CN"/>
        </w:rPr>
        <w:t>1</w:t>
      </w:r>
      <w:r>
        <w:rPr>
          <w:rFonts w:hint="eastAsia" w:asciiTheme="minorEastAsia" w:hAnsiTheme="minorEastAsia" w:eastAsiaTheme="minorEastAsia" w:cstheme="minorEastAsia"/>
          <w:b/>
          <w:color w:val="auto"/>
          <w:szCs w:val="24"/>
          <w:highlight w:val="none"/>
        </w:rPr>
        <w:t xml:space="preserve"> 施工配合阶段</w:t>
      </w:r>
    </w:p>
    <w:p w14:paraId="4A574BD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（1）负责工程设计交底，解答施工过程中施工承包人有关施工图的问题，项目负责人及各专业设计负责人，及时对施工中与设计有关的问题做出回应，保证设计满足施工要求； </w:t>
      </w:r>
    </w:p>
    <w:p w14:paraId="2472C735">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（2）根据发包人要求，及时参加与设计有关的专题会，现场解决技术问题； </w:t>
      </w:r>
    </w:p>
    <w:p w14:paraId="4B44A9D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（3）协助发包人处理工程洽商和设计变更，负责有关设计修改，及时办理相关手续； </w:t>
      </w:r>
    </w:p>
    <w:p w14:paraId="420862FA">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（4）参与与承包人相关的必要的验收以及项目竣工验收工作，并及时办理相关手续； </w:t>
      </w:r>
    </w:p>
    <w:p w14:paraId="5EDF0681">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（5）提供产品选型、设备加工订货、建筑材料选择以及分包商考察等技术咨询工作； </w:t>
      </w:r>
    </w:p>
    <w:p w14:paraId="0888DEBD">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（6）应发包人要求协助审核各分包商的设计文件是否满足接口条件并签署意见，以保证其与总体设计协调一致，并满足工程要求。</w:t>
      </w:r>
    </w:p>
    <w:p w14:paraId="76F4A36F">
      <w:pPr>
        <w:spacing w:line="360" w:lineRule="auto"/>
        <w:ind w:firstLine="482" w:firstLineChars="200"/>
        <w:rPr>
          <w:rFonts w:hint="eastAsia" w:asciiTheme="minorEastAsia" w:hAnsiTheme="minorEastAsia" w:eastAsiaTheme="minorEastAsia" w:cstheme="minorEastAsia"/>
          <w:b/>
          <w:color w:val="auto"/>
          <w:szCs w:val="24"/>
          <w:highlight w:val="none"/>
        </w:rPr>
      </w:pPr>
      <w:r>
        <w:rPr>
          <w:rFonts w:hint="eastAsia" w:asciiTheme="minorEastAsia" w:hAnsiTheme="minorEastAsia" w:eastAsiaTheme="minorEastAsia" w:cstheme="minorEastAsia"/>
          <w:b/>
          <w:bCs/>
          <w:color w:val="auto"/>
          <w:szCs w:val="24"/>
          <w:highlight w:val="none"/>
        </w:rPr>
        <w:t xml:space="preserve">6.11 </w:t>
      </w:r>
      <w:r>
        <w:rPr>
          <w:rFonts w:hint="eastAsia" w:asciiTheme="minorEastAsia" w:hAnsiTheme="minorEastAsia" w:eastAsiaTheme="minorEastAsia" w:cstheme="minorEastAsia"/>
          <w:b/>
          <w:color w:val="auto"/>
          <w:szCs w:val="24"/>
          <w:highlight w:val="none"/>
        </w:rPr>
        <w:t>承包人义务及违约责任</w:t>
      </w:r>
    </w:p>
    <w:p w14:paraId="2C3A3EBA">
      <w:pPr>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6.11.1 承包人义务</w:t>
      </w:r>
    </w:p>
    <w:p w14:paraId="17D7AC56">
      <w:pPr>
        <w:adjustRightInd w:val="0"/>
        <w:snapToGrid w:val="0"/>
        <w:spacing w:line="360" w:lineRule="auto"/>
        <w:ind w:firstLine="360" w:firstLineChars="15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（1）中标通知书发出后30天内第一中标候选人不按招标文件约定条款签订设计合同的，视为自动放弃中标资格，没收投标保证金，并确定第二中标候选人为承包人，以此类推。并上报建设行政主管部门。</w:t>
      </w:r>
    </w:p>
    <w:p w14:paraId="0DFEDA0F">
      <w:pPr>
        <w:adjustRightInd w:val="0"/>
        <w:snapToGrid w:val="0"/>
        <w:spacing w:line="360" w:lineRule="auto"/>
        <w:ind w:firstLine="360" w:firstLineChars="15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（2）合同生效后，承包人要求终止或解除合同视为承包人违约，扣除履约保证金。</w:t>
      </w:r>
    </w:p>
    <w:p w14:paraId="33A5488B">
      <w:pPr>
        <w:adjustRightInd w:val="0"/>
        <w:snapToGrid w:val="0"/>
        <w:spacing w:line="360" w:lineRule="auto"/>
        <w:ind w:firstLine="360" w:firstLineChars="15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承包人负责按照合同规定承包范围、内容和方式，在规定时间内提交满足规定质量要求的设计成果，并完成约定的服务内容。承包人交付设计文件后，按规定参加有关的设计审查，并根据审查结论负责不超出原定范围的内容做必要调整补充。承包人按合同规定时限交付设计文件，负责向发包人及施工单位进行设计交底、处理有关设计问题和参加竣工验收。施工过程中负责有关工程变更的变更设计。</w:t>
      </w:r>
    </w:p>
    <w:p w14:paraId="604E97C5">
      <w:pPr>
        <w:adjustRightInd w:val="0"/>
        <w:snapToGrid w:val="0"/>
        <w:spacing w:line="360" w:lineRule="auto"/>
        <w:ind w:firstLine="360" w:firstLineChars="15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（4）承包人应对发包人提供的文件、资料进行认真研究，对本项目的特点和不确定因素进行认真考虑，并提出合理建议和评价，对影响设计稳定的重大问题要进行多方案比较选择。</w:t>
      </w:r>
    </w:p>
    <w:p w14:paraId="28A65C99">
      <w:pPr>
        <w:adjustRightInd w:val="0"/>
        <w:snapToGrid w:val="0"/>
        <w:spacing w:line="360" w:lineRule="auto"/>
        <w:ind w:firstLine="360" w:firstLineChars="15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（5）设计应尽可能减少施工难度，为施工创造方便合理的施工条件；应尽量减少施工对城市交通、市民生活以及水利、通航的干扰，并尽可能减少对施工期的影响。</w:t>
      </w:r>
    </w:p>
    <w:p w14:paraId="43EA8292">
      <w:pPr>
        <w:adjustRightInd w:val="0"/>
        <w:snapToGrid w:val="0"/>
        <w:spacing w:line="360" w:lineRule="auto"/>
        <w:ind w:firstLine="240" w:firstLineChars="1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（6）未经发包人书面同意，承包人不得对已批准的设计和勘探点布置方案作重大修改、增减或删除。</w:t>
      </w:r>
    </w:p>
    <w:p w14:paraId="67F146A7">
      <w:pPr>
        <w:adjustRightInd w:val="0"/>
        <w:snapToGrid w:val="0"/>
        <w:spacing w:line="360" w:lineRule="auto"/>
        <w:ind w:firstLine="240" w:firstLineChars="1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（7）承包人提交的全部设计文件应考虑地质因素、正常施工中可能出现的各种因素，对设计文件出现的遗漏或错误负责修改或补充。</w:t>
      </w:r>
    </w:p>
    <w:p w14:paraId="67D8145B">
      <w:pPr>
        <w:adjustRightInd w:val="0"/>
        <w:snapToGrid w:val="0"/>
        <w:spacing w:line="360" w:lineRule="auto"/>
        <w:ind w:firstLine="240" w:firstLineChars="1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（8）承包人承诺在交付项目的部分或全部设计文件后，如有更好的新工艺、新技术、新材料、新设备等适用于本项目，应及时向发包人推荐并提供科学的评估和来源证明。</w:t>
      </w:r>
    </w:p>
    <w:p w14:paraId="1AA5A9B9">
      <w:pPr>
        <w:adjustRightInd w:val="0"/>
        <w:snapToGrid w:val="0"/>
        <w:spacing w:line="360" w:lineRule="auto"/>
        <w:ind w:firstLine="120" w:firstLineChars="50"/>
        <w:rPr>
          <w:rFonts w:hint="eastAsia" w:asciiTheme="minorEastAsia" w:hAnsiTheme="minorEastAsia" w:eastAsiaTheme="minorEastAsia" w:cstheme="minorEastAsia"/>
          <w:b/>
          <w:snapToGrid w:val="0"/>
          <w:color w:val="auto"/>
          <w:kern w:val="0"/>
          <w:szCs w:val="24"/>
          <w:highlight w:val="none"/>
        </w:rPr>
      </w:pPr>
      <w:r>
        <w:rPr>
          <w:rFonts w:hint="eastAsia" w:asciiTheme="minorEastAsia" w:hAnsiTheme="minorEastAsia" w:eastAsiaTheme="minorEastAsia" w:cstheme="minorEastAsia"/>
          <w:b/>
          <w:bCs/>
          <w:color w:val="auto"/>
          <w:szCs w:val="24"/>
          <w:highlight w:val="none"/>
        </w:rPr>
        <w:t xml:space="preserve">   6.11.2 </w:t>
      </w:r>
      <w:r>
        <w:rPr>
          <w:rFonts w:hint="eastAsia" w:asciiTheme="minorEastAsia" w:hAnsiTheme="minorEastAsia" w:eastAsiaTheme="minorEastAsia" w:cstheme="minorEastAsia"/>
          <w:b/>
          <w:snapToGrid w:val="0"/>
          <w:color w:val="auto"/>
          <w:kern w:val="0"/>
          <w:szCs w:val="24"/>
          <w:highlight w:val="none"/>
        </w:rPr>
        <w:t>承包人违约的处理</w:t>
      </w:r>
    </w:p>
    <w:p w14:paraId="4D58CA92">
      <w:pPr>
        <w:spacing w:line="360" w:lineRule="auto"/>
        <w:ind w:firstLine="360" w:firstLineChars="15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（1）承包人发生合同约定的违约情况时，无论发包人是否解除合同，发包人均有权按相关规定</w:t>
      </w:r>
      <w:r>
        <w:rPr>
          <w:rFonts w:hint="eastAsia" w:asciiTheme="minorEastAsia" w:hAnsiTheme="minorEastAsia" w:eastAsiaTheme="minorEastAsia" w:cstheme="minorEastAsia"/>
          <w:color w:val="auto"/>
          <w:highlight w:val="none"/>
        </w:rPr>
        <w:t>扣除</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违约金，并由发包人将其违约行为记录在合同履约评价报告中，作为合同履约综合评价的依据。同时，发包人将</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的违约行为</w:t>
      </w:r>
      <w:r>
        <w:rPr>
          <w:rFonts w:hint="eastAsia" w:asciiTheme="minorEastAsia" w:hAnsiTheme="minorEastAsia" w:eastAsiaTheme="minorEastAsia" w:cstheme="minorEastAsia"/>
          <w:snapToGrid w:val="0"/>
          <w:color w:val="auto"/>
          <w:kern w:val="0"/>
          <w:szCs w:val="24"/>
          <w:highlight w:val="none"/>
        </w:rPr>
        <w:t>上报建设行政主管部门。</w:t>
      </w:r>
    </w:p>
    <w:p w14:paraId="407377F9">
      <w:pPr>
        <w:spacing w:line="360" w:lineRule="auto"/>
        <w:ind w:firstLine="360" w:firstLineChars="15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（2）发包人按合同规定向</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开出的任何违约金，除合同另有规定外，均从发包人应向</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支付的</w:t>
      </w:r>
      <w:r>
        <w:rPr>
          <w:rFonts w:hint="eastAsia" w:asciiTheme="minorEastAsia" w:hAnsiTheme="minorEastAsia" w:eastAsiaTheme="minorEastAsia" w:cstheme="minorEastAsia"/>
          <w:color w:val="auto"/>
          <w:highlight w:val="none"/>
        </w:rPr>
        <w:t>服务费</w:t>
      </w:r>
      <w:r>
        <w:rPr>
          <w:rFonts w:hint="eastAsia" w:asciiTheme="minorEastAsia" w:hAnsiTheme="minorEastAsia" w:eastAsiaTheme="minorEastAsia" w:cstheme="minorEastAsia"/>
          <w:color w:val="auto"/>
          <w:szCs w:val="24"/>
          <w:highlight w:val="none"/>
        </w:rPr>
        <w:t>中直接扣除。除非合同另有规定，发包人向</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开出的任何违约金将导致承包人最终的应得结算价款相应地减少。</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必须完全接受上述条款。</w:t>
      </w:r>
    </w:p>
    <w:p w14:paraId="63194622">
      <w:pPr>
        <w:spacing w:line="360" w:lineRule="auto"/>
        <w:ind w:firstLine="360" w:firstLineChars="15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（3）发包人按合同规定向</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开出的任何违约金的扣除时间，可以在发包人认为合适的任何一个期中支付月份中扣除。发包人扣除违约金时间的延迟或滞后并不代表对</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当时各种行为的认可或默认。</w:t>
      </w:r>
    </w:p>
    <w:p w14:paraId="7F3955F0">
      <w:pPr>
        <w:spacing w:line="360" w:lineRule="auto"/>
        <w:ind w:firstLine="360"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4"/>
          <w:highlight w:val="none"/>
        </w:rPr>
        <w:t>（4）</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的违约金由发包人掌握使用。</w:t>
      </w:r>
    </w:p>
    <w:p w14:paraId="3DA6AA42">
      <w:pPr>
        <w:pStyle w:val="48"/>
        <w:keepNext/>
        <w:keepLines/>
        <w:tabs>
          <w:tab w:val="left" w:pos="885"/>
        </w:tabs>
        <w:spacing w:line="360" w:lineRule="auto"/>
        <w:jc w:val="center"/>
        <w:rPr>
          <w:rFonts w:hint="eastAsia" w:asciiTheme="minorEastAsia" w:hAnsiTheme="minorEastAsia" w:eastAsiaTheme="minorEastAsia" w:cstheme="minorEastAsia"/>
          <w:b/>
          <w:color w:val="auto"/>
          <w:kern w:val="44"/>
          <w:sz w:val="24"/>
          <w:highlight w:val="none"/>
        </w:rPr>
      </w:pPr>
      <w:bookmarkStart w:id="362" w:name="_Toc11306"/>
      <w:r>
        <w:rPr>
          <w:rFonts w:hint="eastAsia" w:asciiTheme="minorEastAsia" w:hAnsiTheme="minorEastAsia" w:eastAsiaTheme="minorEastAsia" w:cstheme="minorEastAsia"/>
          <w:b/>
          <w:color w:val="auto"/>
          <w:kern w:val="44"/>
          <w:sz w:val="24"/>
          <w:highlight w:val="none"/>
        </w:rPr>
        <w:br w:type="page"/>
      </w:r>
      <w:bookmarkStart w:id="363" w:name="_Toc10003"/>
      <w:bookmarkStart w:id="364" w:name="_Toc15865"/>
      <w:bookmarkStart w:id="365" w:name="_Toc28950"/>
      <w:bookmarkStart w:id="366" w:name="_Toc31905"/>
      <w:bookmarkStart w:id="367" w:name="_Toc5081"/>
      <w:bookmarkStart w:id="368" w:name="_Toc16036"/>
      <w:bookmarkStart w:id="369" w:name="_Toc18208"/>
      <w:bookmarkStart w:id="370" w:name="_Toc22615"/>
      <w:r>
        <w:rPr>
          <w:rFonts w:hint="eastAsia" w:asciiTheme="minorEastAsia" w:hAnsiTheme="minorEastAsia" w:eastAsiaTheme="minorEastAsia" w:cstheme="minorEastAsia"/>
          <w:b/>
          <w:color w:val="auto"/>
          <w:kern w:val="44"/>
          <w:sz w:val="36"/>
          <w:szCs w:val="36"/>
          <w:highlight w:val="none"/>
        </w:rPr>
        <w:t>第三</w:t>
      </w:r>
      <w:bookmarkStart w:id="371" w:name="_Hlt69669171"/>
      <w:bookmarkEnd w:id="371"/>
      <w:r>
        <w:rPr>
          <w:rFonts w:hint="eastAsia" w:asciiTheme="minorEastAsia" w:hAnsiTheme="minorEastAsia" w:eastAsiaTheme="minorEastAsia" w:cstheme="minorEastAsia"/>
          <w:b/>
          <w:color w:val="auto"/>
          <w:kern w:val="44"/>
          <w:sz w:val="36"/>
          <w:szCs w:val="36"/>
          <w:highlight w:val="none"/>
        </w:rPr>
        <w:t>章</w:t>
      </w:r>
      <w:bookmarkStart w:id="372" w:name="_Hlt87793839"/>
      <w:bookmarkEnd w:id="372"/>
      <w:r>
        <w:rPr>
          <w:rFonts w:hint="eastAsia" w:asciiTheme="minorEastAsia" w:hAnsiTheme="minorEastAsia" w:eastAsiaTheme="minorEastAsia" w:cstheme="minorEastAsia"/>
          <w:b/>
          <w:color w:val="auto"/>
          <w:kern w:val="44"/>
          <w:sz w:val="36"/>
          <w:szCs w:val="36"/>
          <w:highlight w:val="none"/>
        </w:rPr>
        <w:t xml:space="preserve"> 中标人须知</w:t>
      </w:r>
      <w:bookmarkEnd w:id="362"/>
      <w:bookmarkEnd w:id="363"/>
      <w:bookmarkEnd w:id="364"/>
      <w:bookmarkEnd w:id="365"/>
      <w:bookmarkEnd w:id="366"/>
      <w:bookmarkEnd w:id="367"/>
      <w:bookmarkEnd w:id="368"/>
      <w:bookmarkEnd w:id="369"/>
      <w:bookmarkEnd w:id="370"/>
    </w:p>
    <w:p w14:paraId="5E0C751A">
      <w:pPr>
        <w:pStyle w:val="47"/>
        <w:spacing w:line="360" w:lineRule="auto"/>
        <w:rPr>
          <w:rFonts w:hint="eastAsia" w:asciiTheme="minorEastAsia" w:hAnsiTheme="minorEastAsia" w:eastAsiaTheme="minorEastAsia" w:cstheme="minorEastAsia"/>
          <w:color w:val="auto"/>
          <w:highlight w:val="none"/>
        </w:rPr>
      </w:pPr>
    </w:p>
    <w:bookmarkEnd w:id="310"/>
    <w:bookmarkEnd w:id="311"/>
    <w:bookmarkEnd w:id="312"/>
    <w:p w14:paraId="6C7BBE65">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bookmarkStart w:id="373" w:name="_Hlt69698776"/>
      <w:r>
        <w:rPr>
          <w:rFonts w:hint="eastAsia" w:asciiTheme="minorEastAsia" w:hAnsiTheme="minorEastAsia" w:eastAsiaTheme="minorEastAsia" w:cstheme="minorEastAsia"/>
          <w:b/>
          <w:bCs/>
          <w:color w:val="auto"/>
          <w:szCs w:val="24"/>
          <w:highlight w:val="none"/>
        </w:rPr>
        <w:t>1．中标通知书</w:t>
      </w:r>
    </w:p>
    <w:p w14:paraId="424D4C01">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6B4D2C9A">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2．中标结果公示</w:t>
      </w:r>
    </w:p>
    <w:p w14:paraId="7A0B3E74">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中标通知书发出后15日内，招标人应将中标结果在广东省招标投标监管网（</w:t>
      </w:r>
      <w:r>
        <w:rPr>
          <w:rFonts w:hint="eastAsia" w:asciiTheme="minorEastAsia" w:hAnsiTheme="minorEastAsia" w:eastAsiaTheme="minorEastAsia" w:cstheme="minorEastAsia"/>
          <w:color w:val="auto"/>
          <w:szCs w:val="24"/>
          <w:highlight w:val="none"/>
          <w:lang w:val="en-US" w:eastAsia="zh-CN"/>
        </w:rPr>
        <w:t>http://zbtb.gd.gov.cn</w:t>
      </w:r>
      <w:r>
        <w:rPr>
          <w:rFonts w:hint="eastAsia" w:asciiTheme="minorEastAsia" w:hAnsiTheme="minorEastAsia" w:eastAsiaTheme="minorEastAsia" w:cstheme="minorEastAsia"/>
          <w:color w:val="auto"/>
          <w:szCs w:val="24"/>
          <w:highlight w:val="none"/>
        </w:rPr>
        <w:t>）及全国公共资源交易平台（广东省·韶关市）（https://ygp.gdzwfw.gov.cn/ggzy-portal/#/440200/index）进行公示。</w:t>
      </w:r>
    </w:p>
    <w:p w14:paraId="1080DE08">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3．履约保证</w:t>
      </w:r>
    </w:p>
    <w:p w14:paraId="5BFD0A93">
      <w:pPr>
        <w:pStyle w:val="47"/>
        <w:spacing w:line="360" w:lineRule="auto"/>
        <w:ind w:firstLine="480" w:firstLineChars="200"/>
        <w:rPr>
          <w:rFonts w:hint="eastAsia" w:asciiTheme="minorEastAsia" w:hAnsiTheme="minorEastAsia" w:eastAsiaTheme="minorEastAsia" w:cstheme="minorEastAsia"/>
          <w:color w:val="auto"/>
          <w:szCs w:val="24"/>
          <w:highlight w:val="none"/>
          <w:lang w:eastAsia="zh-CN"/>
        </w:rPr>
      </w:pPr>
      <w:r>
        <w:rPr>
          <w:rFonts w:hint="eastAsia" w:asciiTheme="minorEastAsia" w:hAnsiTheme="minorEastAsia" w:eastAsiaTheme="minorEastAsia" w:cstheme="minorEastAsia"/>
          <w:color w:val="auto"/>
          <w:szCs w:val="24"/>
          <w:highlight w:val="none"/>
        </w:rPr>
        <w:t xml:space="preserve">3.1 中标人须在领取中标通知书之日起 5 个工作日内、签订合同前向招标人提交金额为中标价 </w:t>
      </w:r>
      <w:r>
        <w:rPr>
          <w:rFonts w:hint="eastAsia" w:asciiTheme="minorEastAsia" w:hAnsiTheme="minorEastAsia" w:eastAsiaTheme="minorEastAsia" w:cstheme="minorEastAsia"/>
          <w:color w:val="auto"/>
          <w:szCs w:val="24"/>
          <w:highlight w:val="none"/>
          <w:lang w:val="en-US" w:eastAsia="zh-CN"/>
        </w:rPr>
        <w:t>3</w:t>
      </w:r>
      <w:r>
        <w:rPr>
          <w:rFonts w:hint="eastAsia" w:asciiTheme="minorEastAsia" w:hAnsiTheme="minorEastAsia" w:eastAsiaTheme="minorEastAsia" w:cstheme="minorEastAsia"/>
          <w:color w:val="auto"/>
          <w:szCs w:val="24"/>
          <w:highlight w:val="none"/>
        </w:rPr>
        <w:t xml:space="preserve"> % 的履约保证，由中标人提交。联合体中标的，由联合体牵头人提交</w:t>
      </w:r>
      <w:r>
        <w:rPr>
          <w:rFonts w:hint="eastAsia" w:asciiTheme="minorEastAsia" w:hAnsiTheme="minorEastAsia" w:eastAsiaTheme="minorEastAsia" w:cstheme="minorEastAsia"/>
          <w:color w:val="auto"/>
          <w:szCs w:val="24"/>
          <w:highlight w:val="none"/>
          <w:lang w:eastAsia="zh-CN"/>
        </w:rPr>
        <w:t>。</w:t>
      </w:r>
    </w:p>
    <w:p w14:paraId="7C5DA688">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3.2 中标人根据《关于统一在市公共资源交易一体化服务平台缴退工程建设项目履约保证金的通知》办理相关手续，履约保证的形式包括履约保证金、履约保证担保、履约保证保险三种，由中标人自主选择，项目竣工后，由招标人发起退保。</w:t>
      </w:r>
    </w:p>
    <w:p w14:paraId="76BD1403">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3.3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p>
    <w:p w14:paraId="1A29274B">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3.4 在工程实施过程中，如果承包人（即招标阶段的中标人，下同）由于自身的资金、技术、质量、非不可抗力等原因给发包人（即招标阶段的招标人，下同）造成经济损失，扣除相应履约保证。</w:t>
      </w:r>
    </w:p>
    <w:p w14:paraId="0D034BED">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3.5 项目通过竣工验收之日后28天内，发包人将履约保证退还给承包人。根据《关于统一在市公共资源交易一体化服务平台缴退工程建设项目履约保证金的通知》在线办理工程建设项目履约保证，请各招标人(项目业主)通过《履约保证金招标人、招标代理操作指引》了解具体操作，熟悉操作流程。在使用该功能时如遇系统操作问题，可通过0751-8379671获取技术支持。</w:t>
      </w:r>
    </w:p>
    <w:p w14:paraId="50C48648">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4．合同订立</w:t>
      </w:r>
    </w:p>
    <w:p w14:paraId="247C8EDB">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4.1 招标人应当自中标通知书发出之日起30日内，按照招标文件、中标人的投标文件与中标人订立书面合同。</w:t>
      </w:r>
    </w:p>
    <w:p w14:paraId="52F9A89F">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4.2 不正常报价的梳理和确认</w:t>
      </w:r>
    </w:p>
    <w:p w14:paraId="05FAC548">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4.2.1 合同订立期间，招标人应对中标人的投标报价进行全面分析和整理，从而发现并提取其中可能存在的算术性错误、错漏项、不平衡报价等不正常报价，并修正其中的算术性错误。招标人不具备以上能力的，可授权编制本项目</w:t>
      </w:r>
      <w:r>
        <w:rPr>
          <w:rFonts w:hint="eastAsia" w:asciiTheme="minorEastAsia" w:hAnsiTheme="minorEastAsia" w:eastAsiaTheme="minorEastAsia" w:cstheme="minorEastAsia"/>
          <w:color w:val="auto"/>
          <w:szCs w:val="24"/>
          <w:highlight w:val="none"/>
          <w:lang w:eastAsia="zh-CN"/>
        </w:rPr>
        <w:t>最高投标限价</w:t>
      </w:r>
      <w:r>
        <w:rPr>
          <w:rFonts w:hint="eastAsia" w:asciiTheme="minorEastAsia" w:hAnsiTheme="minorEastAsia" w:eastAsiaTheme="minorEastAsia" w:cstheme="minorEastAsia"/>
          <w:color w:val="auto"/>
          <w:szCs w:val="24"/>
          <w:highlight w:val="none"/>
        </w:rPr>
        <w:t>的造价咨询单位实施。</w:t>
      </w:r>
    </w:p>
    <w:p w14:paraId="3AE26771">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4.2.2 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3BF45A71">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4.2.3 错漏项的认定。中标人已标价工程量清单中，任一清单项目未填报价格或价格为零的，视为错漏项。</w:t>
      </w:r>
    </w:p>
    <w:p w14:paraId="7B460557">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4.2.4 不平衡报价的认定。经修正算术性错误后的中标人已标价工程量清单中，中标人投标价清单项目填报的综合单价（P0）与招标人招标控制价相应清单项目的综合单价（P1）偏差超过一定幅度时，即当 P0＜P1×（1-L）×(1-15%)或 P0＞P1×（1+15%）时（L 为中标下浮率，按照第三章“拟签订合同的主要条款”第 2.3 条规定计算；以上 P0、P1、L 的定义适用于招标文件）的清单项目，视为不平衡报价项目。</w:t>
      </w:r>
    </w:p>
    <w:p w14:paraId="78152787">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4.2.5 招标人或其授权的造价咨询单位应就发现的以上所有不正常报价分类整理、汇总，形成《不正常报价清单》，并交中标人复核和确认。经招标人和中标人共同签字、盖章确认的《不正常报价清单》，构成施工合同的组成部分。</w:t>
      </w:r>
    </w:p>
    <w:p w14:paraId="46915C05">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4.2.6 合同履行过程中，被认定为错漏项的清单项目，结算时按照第三章“拟签订合同的主要条款”第2.6条规定处理。</w:t>
      </w:r>
    </w:p>
    <w:p w14:paraId="34FB586A">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按照第三章“拟签订合同的主要条款”第2.3条的有关规定调整合同价款。</w:t>
      </w:r>
    </w:p>
    <w:p w14:paraId="3B77D46F">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4.3 本招标项目合同计价方式为： 单价 合同。</w:t>
      </w:r>
    </w:p>
    <w:p w14:paraId="727F44BA">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4.4 合同的标的、质量、履行期限条款和合同的价款、单价、比例条款等主要条款，应当与招标文件、中标人的投标文件的内容一致。中标人在签订合同时不得向招标人提出附加条件。</w:t>
      </w:r>
    </w:p>
    <w:p w14:paraId="53093081">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4.5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07FF36F8">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4.6 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14:paraId="0ECDABB8">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5．放弃中标的处理</w:t>
      </w:r>
    </w:p>
    <w:p w14:paraId="3F7CE113">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 中标人无正当理由放弃中标的，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因此种情况造成招标人重新招标的，招标人可不接受该弃标人再次投标。同时，招标人应将该弃标人的失信行为向行政监督部门报告。</w:t>
      </w:r>
    </w:p>
    <w:p w14:paraId="011ADC04">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5.2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64BAA4AC">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6．专业工程分包</w:t>
      </w:r>
    </w:p>
    <w:p w14:paraId="58F9E4CF">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w:t>
      </w:r>
    </w:p>
    <w:p w14:paraId="21407E65">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7．工人工资支付专用账户</w:t>
      </w:r>
    </w:p>
    <w:p w14:paraId="4204AB3F">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7.1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w:t>
      </w:r>
    </w:p>
    <w:p w14:paraId="0F86075F">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7.2 承包人必须在项目开工前，在项目所在地银行设立工资专户，并在作业工人进场前按照相关规定完成实名管理登记及作业工人工资卡开办。承包人应在工资专户开立后2个工作日内，将开户银行及其账号、开户协议等资料提交给发包人。</w:t>
      </w:r>
    </w:p>
    <w:p w14:paraId="72CD988D">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7.3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w:t>
      </w:r>
    </w:p>
    <w:p w14:paraId="62129666">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lang w:val="en-US" w:eastAsia="zh-CN"/>
        </w:rPr>
        <w:t>8</w:t>
      </w:r>
      <w:r>
        <w:rPr>
          <w:rFonts w:hint="eastAsia" w:asciiTheme="minorEastAsia" w:hAnsiTheme="minorEastAsia" w:eastAsiaTheme="minorEastAsia" w:cstheme="minorEastAsia"/>
          <w:b/>
          <w:bCs/>
          <w:color w:val="auto"/>
          <w:szCs w:val="24"/>
          <w:highlight w:val="none"/>
        </w:rPr>
        <w:t>．工期进度</w:t>
      </w:r>
    </w:p>
    <w:p w14:paraId="79EF9E3A">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8</w:t>
      </w:r>
      <w:r>
        <w:rPr>
          <w:rFonts w:hint="eastAsia" w:asciiTheme="minorEastAsia" w:hAnsiTheme="minorEastAsia" w:eastAsiaTheme="minorEastAsia" w:cstheme="minorEastAsia"/>
          <w:color w:val="auto"/>
          <w:szCs w:val="24"/>
          <w:highlight w:val="none"/>
        </w:rPr>
        <w:t>.1本工程施工招标工期为</w:t>
      </w:r>
      <w:r>
        <w:rPr>
          <w:rFonts w:hint="eastAsia" w:asciiTheme="minorEastAsia" w:hAnsiTheme="minorEastAsia" w:eastAsiaTheme="minorEastAsia" w:cstheme="minorEastAsia"/>
          <w:color w:val="auto"/>
          <w:szCs w:val="24"/>
          <w:highlight w:val="none"/>
          <w:lang w:val="en-US" w:eastAsia="zh-CN"/>
        </w:rPr>
        <w:t>210</w:t>
      </w:r>
      <w:r>
        <w:rPr>
          <w:rFonts w:hint="eastAsia" w:asciiTheme="minorEastAsia" w:hAnsiTheme="minorEastAsia" w:eastAsiaTheme="minorEastAsia" w:cstheme="minorEastAsia"/>
          <w:color w:val="auto"/>
          <w:szCs w:val="24"/>
          <w:highlight w:val="none"/>
        </w:rPr>
        <w:t>个日历天。承包人必须在招标工期内完成招标范围内的全部内容。</w:t>
      </w:r>
    </w:p>
    <w:p w14:paraId="34D0CD1B">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8</w:t>
      </w:r>
      <w:r>
        <w:rPr>
          <w:rFonts w:hint="eastAsia" w:asciiTheme="minorEastAsia" w:hAnsiTheme="minorEastAsia" w:eastAsiaTheme="minorEastAsia" w:cstheme="minorEastAsia"/>
          <w:color w:val="auto"/>
          <w:szCs w:val="24"/>
          <w:highlight w:val="none"/>
        </w:rPr>
        <w:t>.2 施工工期从承包人收到监理单位签发的开工令之日起计，至竣工验收合格之日止。</w:t>
      </w:r>
    </w:p>
    <w:p w14:paraId="5A0CABFA">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8</w:t>
      </w:r>
      <w:r>
        <w:rPr>
          <w:rFonts w:hint="eastAsia" w:asciiTheme="minorEastAsia" w:hAnsiTheme="minorEastAsia" w:eastAsiaTheme="minorEastAsia" w:cstheme="minorEastAsia"/>
          <w:color w:val="auto"/>
          <w:szCs w:val="24"/>
          <w:highlight w:val="none"/>
        </w:rPr>
        <w:t>.3由于承包人原因造成工期延误的，承包人须在逾期第壹天起每天按合同价的1 ‰ 向招标人返纳逾期竣工违约金。逾期竣工违约金的最高限额为人民币（大写）： 合同总价5% 。</w:t>
      </w:r>
    </w:p>
    <w:p w14:paraId="48AFA819">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lang w:val="en-US" w:eastAsia="zh-CN"/>
        </w:rPr>
        <w:t>9</w:t>
      </w:r>
      <w:r>
        <w:rPr>
          <w:rFonts w:hint="eastAsia" w:asciiTheme="minorEastAsia" w:hAnsiTheme="minorEastAsia" w:eastAsiaTheme="minorEastAsia" w:cstheme="minorEastAsia"/>
          <w:b/>
          <w:bCs/>
          <w:color w:val="auto"/>
          <w:szCs w:val="24"/>
          <w:highlight w:val="none"/>
        </w:rPr>
        <w:t>．项目管理机构</w:t>
      </w:r>
    </w:p>
    <w:p w14:paraId="64B4F90C">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9</w:t>
      </w:r>
      <w:r>
        <w:rPr>
          <w:rFonts w:hint="eastAsia" w:asciiTheme="minorEastAsia" w:hAnsiTheme="minorEastAsia" w:eastAsiaTheme="minorEastAsia" w:cstheme="minorEastAsia"/>
          <w:color w:val="auto"/>
          <w:szCs w:val="24"/>
          <w:highlight w:val="none"/>
        </w:rPr>
        <w:t>.1 承包人派驻的项目管理班子成员必须为其投标文件确定的人员，否则发包人有权终止合同。</w:t>
      </w:r>
    </w:p>
    <w:p w14:paraId="1582D9F8">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9</w:t>
      </w:r>
      <w:r>
        <w:rPr>
          <w:rFonts w:hint="eastAsia" w:asciiTheme="minorEastAsia" w:hAnsiTheme="minorEastAsia" w:eastAsiaTheme="minorEastAsia" w:cstheme="minorEastAsia"/>
          <w:color w:val="auto"/>
          <w:szCs w:val="24"/>
          <w:highlight w:val="none"/>
        </w:rPr>
        <w:t>.2 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p>
    <w:p w14:paraId="3B01D5DC">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lang w:val="en-US" w:eastAsia="zh-CN"/>
        </w:rPr>
        <w:t>0</w:t>
      </w:r>
      <w:r>
        <w:rPr>
          <w:rFonts w:hint="eastAsia" w:asciiTheme="minorEastAsia" w:hAnsiTheme="minorEastAsia" w:eastAsiaTheme="minorEastAsia" w:cstheme="minorEastAsia"/>
          <w:b/>
          <w:bCs/>
          <w:color w:val="auto"/>
          <w:szCs w:val="24"/>
          <w:highlight w:val="none"/>
        </w:rPr>
        <w:t>．现场管理</w:t>
      </w:r>
    </w:p>
    <w:p w14:paraId="3460B166">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0</w:t>
      </w:r>
      <w:r>
        <w:rPr>
          <w:rFonts w:hint="eastAsia" w:asciiTheme="minorEastAsia" w:hAnsiTheme="minorEastAsia" w:eastAsiaTheme="minorEastAsia" w:cstheme="minorEastAsia"/>
          <w:color w:val="auto"/>
          <w:szCs w:val="24"/>
          <w:highlight w:val="none"/>
        </w:rPr>
        <w:t>.1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w:t>
      </w:r>
    </w:p>
    <w:p w14:paraId="79C6AA0D">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0</w:t>
      </w:r>
      <w:r>
        <w:rPr>
          <w:rFonts w:hint="eastAsia" w:asciiTheme="minorEastAsia" w:hAnsiTheme="minorEastAsia" w:eastAsiaTheme="minorEastAsia" w:cstheme="minorEastAsia"/>
          <w:color w:val="auto"/>
          <w:szCs w:val="24"/>
          <w:highlight w:val="none"/>
        </w:rPr>
        <w:t>.2 承包人应按安全施工有关规定，采取严格、科学的安全防护措施，确保施工和人员（包括第三者）的安全，承担由于自身安全防护措施不力所造成的安全事故责任和发生的费用。</w:t>
      </w:r>
    </w:p>
    <w:p w14:paraId="78215B6E">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0</w:t>
      </w:r>
      <w:r>
        <w:rPr>
          <w:rFonts w:hint="eastAsia" w:asciiTheme="minorEastAsia" w:hAnsiTheme="minorEastAsia" w:eastAsiaTheme="minorEastAsia" w:cstheme="minorEastAsia"/>
          <w:color w:val="auto"/>
          <w:szCs w:val="24"/>
          <w:highlight w:val="none"/>
        </w:rPr>
        <w:t>.3 为保证施工现场的环境卫生，承包人在本招标项目施工过程中，所有的车辆必须按发包人规定的行车路线行驶。</w:t>
      </w:r>
    </w:p>
    <w:p w14:paraId="48A52661">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lang w:val="en-US" w:eastAsia="zh-CN"/>
        </w:rPr>
        <w:t>1</w:t>
      </w:r>
      <w:r>
        <w:rPr>
          <w:rFonts w:hint="eastAsia" w:asciiTheme="minorEastAsia" w:hAnsiTheme="minorEastAsia" w:eastAsiaTheme="minorEastAsia" w:cstheme="minorEastAsia"/>
          <w:b/>
          <w:bCs/>
          <w:color w:val="auto"/>
          <w:szCs w:val="24"/>
          <w:highlight w:val="none"/>
        </w:rPr>
        <w:t>．监督实施</w:t>
      </w:r>
    </w:p>
    <w:p w14:paraId="26BFFDAE">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承包人须服从发包人对工程质量、进度、成本的全方位监督，施工中的年度计划、季度计划、月度计划、施工方案等应报送监理单位审批和发包人备案。施工中的质量保证措施等资料均应及时报送监理单位和发包人备案。</w:t>
      </w:r>
    </w:p>
    <w:p w14:paraId="7D1B9552">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lang w:val="en-US" w:eastAsia="zh-CN"/>
        </w:rPr>
        <w:t>2</w:t>
      </w:r>
      <w:r>
        <w:rPr>
          <w:rFonts w:hint="eastAsia" w:asciiTheme="minorEastAsia" w:hAnsiTheme="minorEastAsia" w:eastAsiaTheme="minorEastAsia" w:cstheme="minorEastAsia"/>
          <w:b/>
          <w:bCs/>
          <w:color w:val="auto"/>
          <w:szCs w:val="24"/>
          <w:highlight w:val="none"/>
        </w:rPr>
        <w:t>．主材的采购和使用</w:t>
      </w:r>
    </w:p>
    <w:p w14:paraId="5626202B">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w:t>
      </w:r>
    </w:p>
    <w:p w14:paraId="373F4602">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lang w:val="en-US" w:eastAsia="zh-CN"/>
        </w:rPr>
        <w:t>3</w:t>
      </w:r>
      <w:r>
        <w:rPr>
          <w:rFonts w:hint="eastAsia" w:asciiTheme="minorEastAsia" w:hAnsiTheme="minorEastAsia" w:eastAsiaTheme="minorEastAsia" w:cstheme="minorEastAsia"/>
          <w:b/>
          <w:bCs/>
          <w:color w:val="auto"/>
          <w:szCs w:val="24"/>
          <w:highlight w:val="none"/>
        </w:rPr>
        <w:t>．竣工资料移交</w:t>
      </w:r>
    </w:p>
    <w:p w14:paraId="40CF9556">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工程竣工验收时，承包人应向监理单位和发包人提供符合国家档案部门备案要求的，编制成册的竣工图及有关的技术档案资料（含声像档案）一式捌份，所有档案资料的制作费用由承包人承担。</w:t>
      </w:r>
    </w:p>
    <w:p w14:paraId="07C85AEF">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lang w:val="en-US" w:eastAsia="zh-CN"/>
        </w:rPr>
        <w:t>4</w:t>
      </w:r>
      <w:r>
        <w:rPr>
          <w:rFonts w:hint="eastAsia" w:asciiTheme="minorEastAsia" w:hAnsiTheme="minorEastAsia" w:eastAsiaTheme="minorEastAsia" w:cstheme="minorEastAsia"/>
          <w:b/>
          <w:bCs/>
          <w:color w:val="auto"/>
          <w:szCs w:val="24"/>
          <w:highlight w:val="none"/>
        </w:rPr>
        <w:t>．质量保证</w:t>
      </w:r>
    </w:p>
    <w:p w14:paraId="2422AD04">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4</w:t>
      </w:r>
      <w:r>
        <w:rPr>
          <w:rFonts w:hint="eastAsia" w:asciiTheme="minorEastAsia" w:hAnsiTheme="minorEastAsia" w:eastAsiaTheme="minorEastAsia" w:cstheme="minorEastAsia"/>
          <w:color w:val="auto"/>
          <w:szCs w:val="24"/>
          <w:highlight w:val="none"/>
        </w:rPr>
        <w:t>.1 本招标项目缺陷责任期为</w:t>
      </w:r>
      <w:r>
        <w:rPr>
          <w:rFonts w:hint="eastAsia" w:asciiTheme="minorEastAsia" w:hAnsiTheme="minorEastAsia" w:eastAsiaTheme="minorEastAsia" w:cstheme="minorEastAsia"/>
          <w:color w:val="auto"/>
          <w:szCs w:val="24"/>
          <w:highlight w:val="none"/>
          <w:lang w:val="en-US" w:eastAsia="zh-CN"/>
        </w:rPr>
        <w:t>1</w:t>
      </w:r>
      <w:r>
        <w:rPr>
          <w:rFonts w:hint="eastAsia" w:asciiTheme="minorEastAsia" w:hAnsiTheme="minorEastAsia" w:eastAsiaTheme="minorEastAsia" w:cstheme="minorEastAsia"/>
          <w:color w:val="auto"/>
          <w:szCs w:val="24"/>
          <w:highlight w:val="none"/>
        </w:rPr>
        <w:t>年（自通过竣工验收之日起计），在此期间预留金额为结算价3% 的质量保证。</w:t>
      </w:r>
    </w:p>
    <w:p w14:paraId="2664C0B9">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4</w:t>
      </w:r>
      <w:r>
        <w:rPr>
          <w:rFonts w:hint="eastAsia" w:asciiTheme="minorEastAsia" w:hAnsiTheme="minorEastAsia" w:eastAsiaTheme="minorEastAsia" w:cstheme="minorEastAsia"/>
          <w:color w:val="auto"/>
          <w:szCs w:val="24"/>
          <w:highlight w:val="none"/>
        </w:rPr>
        <w:t>.2 质量保证的形式包括质量保证金、质量保证担保、质量保证保险三种，由承包人自主选择。</w:t>
      </w:r>
    </w:p>
    <w:p w14:paraId="2C535265">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（1）采用质量保证金形式的，在结清审定总造价时一次性扣留相应金额作为质量保证金。</w:t>
      </w:r>
    </w:p>
    <w:p w14:paraId="6FFDB910">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（2）采用质量保证担保或质量保证保险的，承包人应在竣工验收时向发包人提交有效的银行保函或保险合同（或保险单）原件，银行保函或保险合同（或保险单）的有效期不得短于缺陷责任期。</w:t>
      </w:r>
    </w:p>
    <w:p w14:paraId="5C7815E7">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4</w:t>
      </w:r>
      <w:r>
        <w:rPr>
          <w:rFonts w:hint="eastAsia" w:asciiTheme="minorEastAsia" w:hAnsiTheme="minorEastAsia" w:eastAsiaTheme="minorEastAsia" w:cstheme="minorEastAsia"/>
          <w:color w:val="auto"/>
          <w:szCs w:val="24"/>
          <w:highlight w:val="none"/>
        </w:rPr>
        <w:t>.3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w:t>
      </w:r>
    </w:p>
    <w:p w14:paraId="7ACD39DD">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由他人原因造成的缺陷，发包人负责组织维修，承包人不承担费用，且发包人不得从质量保证中扣除费用。</w:t>
      </w:r>
    </w:p>
    <w:p w14:paraId="4C9C7974">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4</w:t>
      </w:r>
      <w:r>
        <w:rPr>
          <w:rFonts w:hint="eastAsia" w:asciiTheme="minorEastAsia" w:hAnsiTheme="minorEastAsia" w:eastAsiaTheme="minorEastAsia" w:cstheme="minorEastAsia"/>
          <w:color w:val="auto"/>
          <w:szCs w:val="24"/>
          <w:highlight w:val="none"/>
        </w:rPr>
        <w:t>.4 缺陷责任期内，承包人应认真履行合同约定的责任。缺陷责任期到期后，承包人向发包人申请退还质量保证，发包人应按照《建设工程质量保证金管理办法》有关规定将质量保证退还给承包人。</w:t>
      </w:r>
    </w:p>
    <w:p w14:paraId="2A3DB652">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lang w:val="en-US" w:eastAsia="zh-CN"/>
        </w:rPr>
        <w:t>5</w:t>
      </w:r>
      <w:r>
        <w:rPr>
          <w:rFonts w:hint="eastAsia" w:asciiTheme="minorEastAsia" w:hAnsiTheme="minorEastAsia" w:eastAsiaTheme="minorEastAsia" w:cstheme="minorEastAsia"/>
          <w:b/>
          <w:bCs/>
          <w:color w:val="auto"/>
          <w:szCs w:val="24"/>
          <w:highlight w:val="none"/>
        </w:rPr>
        <w:t>．不良行为处理</w:t>
      </w:r>
    </w:p>
    <w:p w14:paraId="40C85684">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承包人及其有关人员有下列行为之一的，发包人应及时向建设行政主管部门报告。</w:t>
      </w:r>
    </w:p>
    <w:p w14:paraId="3138B3AF">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（1）转包、违法分包或违反投标承诺分包工程的；</w:t>
      </w:r>
    </w:p>
    <w:p w14:paraId="68CEF834">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（2）非原参加投标中标的项目经理负责组织施工或在实施过程中擅自更换项目经理的、项目的其他主要管理人员与中标文件确定的人员不相符的；</w:t>
      </w:r>
    </w:p>
    <w:p w14:paraId="2D5AB2FE">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（3）投标文件确定的大型机械设备没有进入施工现场的；</w:t>
      </w:r>
    </w:p>
    <w:p w14:paraId="2FE9D827">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（4）与建设单位、监理单位串通，签认虚假工程量或工程造价的；</w:t>
      </w:r>
    </w:p>
    <w:p w14:paraId="2483C5B2">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（5）项目经理施工现场管理不到位的；</w:t>
      </w:r>
    </w:p>
    <w:p w14:paraId="60B36E2E">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（6）项目经理在非本人资格证书注册单位从事工程项目施工管理的；</w:t>
      </w:r>
    </w:p>
    <w:p w14:paraId="650C63EB">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（7）项目经理同时承担超过一项工程项目的；</w:t>
      </w:r>
    </w:p>
    <w:p w14:paraId="521C9535">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（8）违反有关法律、法规、规章规定的其它行为。</w:t>
      </w:r>
    </w:p>
    <w:p w14:paraId="7CFA052F">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lang w:val="en-US" w:eastAsia="zh-CN"/>
        </w:rPr>
        <w:t>6</w:t>
      </w:r>
      <w:r>
        <w:rPr>
          <w:rFonts w:hint="eastAsia" w:asciiTheme="minorEastAsia" w:hAnsiTheme="minorEastAsia" w:eastAsiaTheme="minorEastAsia" w:cstheme="minorEastAsia"/>
          <w:b/>
          <w:bCs/>
          <w:color w:val="auto"/>
          <w:szCs w:val="24"/>
          <w:highlight w:val="none"/>
        </w:rPr>
        <w:t>．信用评价条款内容</w:t>
      </w:r>
    </w:p>
    <w:p w14:paraId="6BF678E4">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由招标人决定是否对施工单位的履约情况进行信用评价。若进行信用评价，评价条款由招标人自拟，条款内容可参考人员到位情况、服务配合程度、服务成果质量、项目后期服务及信用评价结果的运用等。</w:t>
      </w:r>
    </w:p>
    <w:p w14:paraId="13945B70">
      <w:pPr>
        <w:pStyle w:val="47"/>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lang w:val="en-US" w:eastAsia="zh-CN"/>
        </w:rPr>
        <w:t>7</w:t>
      </w:r>
      <w:r>
        <w:rPr>
          <w:rFonts w:hint="eastAsia" w:asciiTheme="minorEastAsia" w:hAnsiTheme="minorEastAsia" w:eastAsiaTheme="minorEastAsia" w:cstheme="minorEastAsia"/>
          <w:b/>
          <w:bCs/>
          <w:color w:val="auto"/>
          <w:szCs w:val="24"/>
          <w:highlight w:val="none"/>
        </w:rPr>
        <w:t>.</w:t>
      </w:r>
      <w:r>
        <w:rPr>
          <w:rFonts w:hint="eastAsia" w:asciiTheme="minorEastAsia" w:hAnsiTheme="minorEastAsia" w:eastAsiaTheme="minorEastAsia" w:cstheme="minorEastAsia"/>
          <w:b/>
          <w:bCs/>
          <w:color w:val="auto"/>
          <w:szCs w:val="24"/>
          <w:highlight w:val="none"/>
          <w:lang w:val="en-US" w:eastAsia="zh-CN"/>
        </w:rPr>
        <w:t>其他事项</w:t>
      </w:r>
    </w:p>
    <w:p w14:paraId="5ED47C8F">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 xml:space="preserve">17.1 危险性较大的分部分项工程安全管理约定。中标人应对建设单位组织的勘察、设计等单位在施工招标文件中列出的危大工程清单进行投标文件回应。对危险性较大的工程必须按《危险性较大的分部分项工程安全管理规定》（中华人民共和国住房和城乡建设部令第 37 号）的规定编制专项施工方案。同时，中标人必须按照《危险性较大的分部分项工程安全管理规定》的规定和经审批的专项施工方案履行安全职责，严格执行国家、地方政府有关施工安全管理方面的法律、法规及规章制度，同时严 </w:t>
      </w:r>
    </w:p>
    <w:p w14:paraId="1B670583">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格执行招标人制订的本项目安全生产管理方面的规章制度、安全检查程序及施工安全管理要求，以及监理人有关安全工作的指令。中标人应根据《危险性较大的分部分项工程安全管理规定》（住房城乡建设部令第 37 号）、《住房城乡建设部办公厅关于实施&lt;危险性较大的分部分项工程安全管理规定&gt;有关问题的通知》（建办质〔2018〕31 号）、《广东省住房和城乡建设厅关于房屋市政工程危险性较大的分部分项工程安全管理的实施细则的通知》(粤建规范〔2019〕2 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14:paraId="667D704D">
      <w:pPr>
        <w:pStyle w:val="47"/>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 xml:space="preserve">17.2 中标人在工程实施过程中，按照国家、省、市的相关规定制定相关的专项安全施工方案（如高支模、基坑支护、沉井等），编制专项施工方案报监理人、招标人审批后方可开展专项工程的施工。 </w:t>
      </w:r>
    </w:p>
    <w:p w14:paraId="2130BF1A">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17.3 中标人须按照《韶关市建筑垃圾管理条例》（2021 年 5 月 1 日起施行），将弃土运至经韶关市政府有关规定核准使用的建筑垃圾消纳场，否则招标人有权要求中标人无条件将弃土从违约弃土点运至经韶关市政府有关规定核准使用的建筑垃圾消纳场并扣除违约金 3 万元人民币/次。中标人对建筑垃圾须按《韶关市建筑垃圾管理条例》（2021 年 5 月 1 日起 施行）的相关规定进行排放和运输，投标人在投标报价时综合考虑在报价内。中标人应在施工现场建立洗车槽和临时排水系统等确保外运车辆（土方运输车辆应符合韶关市相关规定）不带泥上路，投标人在投标报价时综合考虑在报价内，招标人不另行支付该部分费用）。建设单位、施工单位应当在施工工地出入口显著位置公示建筑垃圾处理方案主要信息，包括建设工程垃圾种类、产生量、外运处置去向等信息及各相关单位名称、联系人及联系电话等。</w:t>
      </w:r>
    </w:p>
    <w:p w14:paraId="486790E0">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17.4 工程竣工验收后 15 日内，中标人应按市城建档案馆的要求（质量、数量），将编制成册的施工档案资料（含声像档案和电子档案）提供给招标人、市城建档案馆、市住建管理局、管养单位及监理单位，并承担档案涉及的所有费用（制作标准和相关要求按市城建档案馆的有关规定执行）。中标人提交符合城建档案馆要求的竣工资料经招标人确认签收后，即可办理工程结算手续。</w:t>
      </w:r>
    </w:p>
    <w:p w14:paraId="326D1698">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17.5 本项目农民工工资总额占承包合同工程造价比例不低于3%，根据《韶关市工程建设领域农民工工资保证金管理实施细则》（韶人社规〔2023〕2号）文件规定，中标人应当自工程取得施工许可证（开工报告批复、开工备案）之日起 20 个工作日内按要求一次性将工人工资保证金存入银行专用存款账户。逾期未交纳的，招标人将扣留与本项目工人工资保证金等额的工程款（工人工资除外），直至中标人按《韶关市工程建设领域农民工工资保证金管理实施细则》相关文件要求缴纳工人工资保证金。在中标人未按要求缴纳工人工资保证金期间，招标人扣留的工程款将作为工人工资保证金的预备资金，招标人有权将该部分资金用于处理该项目工人工资拖欠等情况的问题。如发生中标人拖欠民工工资并且向政府或招标人索要中标人拖欠工资的，招标人有权使用工人工资保证金或在剩余进度款范围内代中标人向民工支付工资，中标人对招标人垫付工资的人员范围和工资数额均不得提异议。招标人代支的工资除了从当期工程款内直接扣除外,并按招标文件相关约定缴纳违约金。</w:t>
      </w:r>
    </w:p>
    <w:p w14:paraId="0FD67465">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（一）用人单位应当在工程施工合同签订之日起 30 日内，在建设项目所在地的银行业金融机构设立工人工资支付专用账户,发包人支付工程款时，将按工程款（不含工人工资）和工人工资两部分分开支付，工人工资支付至专用账户。 </w:t>
      </w:r>
    </w:p>
    <w:p w14:paraId="1B16257C">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（二）用人单位应当在用工之日起 15 日内在专用账户绑定农民工本人具有金融功能的社会保障卡或银行卡实行一人一卡、本人持卡。 </w:t>
      </w:r>
    </w:p>
    <w:p w14:paraId="055DF519">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（三）用人单位应当指定专人负责建设项目施工现场台账管理，真实、准确记录工人名册、劳务合同、劳动合同、工程进度、工时台账、劳务承包款和工人工资支付等信息，并保存两年以上备查。 </w:t>
      </w:r>
    </w:p>
    <w:p w14:paraId="001BC333">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四）用人单位应当按照“及时支付，按实结算”的原则，在规定日期前通过银行工人工资支付专用账户将工人工资直接支付到工人的个人银行账户，并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花名册及身份证复印件；（4）劳动合同；（5）委托书（写明委托代发工资情况）；（6）缴纳保证金的凭证；（7）总包企业或承包企业设立工资专用账户的凭证；（8）维权信息告示牌情况。</w:t>
      </w:r>
    </w:p>
    <w:p w14:paraId="16C2C91B">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用人单位未建立、保存用工管理台账，或者伪造相关台账的，按照《广东省劳动保障监察条例》的规定，由人力资源社会保障部门责令改正，并可处以 2000 元以上 20000 元以下的人民币罚款。 </w:t>
      </w:r>
    </w:p>
    <w:p w14:paraId="67DE9153">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（五）每次申请工程进度款需提供上期工人工资发放明细表、上期工人工资发放公示等材料。</w:t>
      </w:r>
    </w:p>
    <w:p w14:paraId="199FA28B">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（六）中标人应按韶关市住房和城乡建设管理局、韶关市人力资源和社会保障局等职能部门对用工实名制的相关规定,落实工人及相关软硬件设施要求。</w:t>
      </w:r>
    </w:p>
    <w:p w14:paraId="18E37BE4">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17.6 中标人在收到中标通知书后须积极配合招标人完成施工许可证的办理。</w:t>
      </w:r>
    </w:p>
    <w:p w14:paraId="68756F23">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17.7 中标人中标后须响应招标人组织的廉政履约会议，项目经理、法人代表或其授权委托人须参加会议。</w:t>
      </w:r>
    </w:p>
    <w:p w14:paraId="333947D0">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17.8 中标人在施工期间应严格遵守国家、省、市有关防火和施工安全以及文明施工、夜间施工、环卫城管等规定，建立规章制度和防护措施。否则，由此造成的经济损失和法律责任，均由中标人负责。中标人应按安全施工的要求，采取严格科学的安全措施，确保施工安全和第三者的安全，承担由于自身安全措施不力所造成的事故责任和发生的费用。</w:t>
      </w:r>
    </w:p>
    <w:p w14:paraId="4C1854D4">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17.9 中标人必须做好施工场地地下、地上管线、构筑物和邻近建筑物、构筑物（包括文物保护建筑）、名树名木（如有）的保护工作。 </w:t>
      </w:r>
    </w:p>
    <w:p w14:paraId="280138DA">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17.10 中标人需按相关规定要求，设置本工程符合相关要求的永久性标牌及规划公示牌，投标人在投标报价时综合考虑在报价内，招标人不另行支付该部分费用。</w:t>
      </w:r>
    </w:p>
    <w:p w14:paraId="6FA4A1FE">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17.11 中标人须为招标人、全过程造价咨询单位提供现场办公管理的便利。按工程需要 配置办公室、会议室及办公家具、生活设施，配备满足工作需要的办公设备（电脑、打印机、复印机、传真机、办公用品等）。相关费用由中标人负责，招标人不另行支付。</w:t>
      </w:r>
    </w:p>
    <w:p w14:paraId="6193BA22">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17.12 中标人负责受施工影响道路的环境卫生、交通组织维护及受损修复，相关费用由中标人负责，招标人不另行支付。</w:t>
      </w:r>
    </w:p>
    <w:p w14:paraId="340AD904">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17.13 本工程施工时中标人的施工视频监控系统必须符合韶关市相关规定，并在投标报价中综合考虑，招标人不另行支付该部分费用。 </w:t>
      </w:r>
    </w:p>
    <w:p w14:paraId="3E6C8218">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17.14 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非中标人原因，工程不能按期开工，或开工后全部停滞，工期按相关规定予以顺延。停工发生后，若可复工时，中标人应在收到招标人发出的复工通知书后 3 日内开始复工。</w:t>
      </w:r>
    </w:p>
    <w:p w14:paraId="08AD32F6">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17.15 承包人应充分考虑施工对接情况，为本项目的其他参建单位提供工作便利、配合及服务（如水源、电源接口等），并有针对性地组织施工；承包人与为本项目的其他参建单位就协调、配合、服务等不能达成一致的，由监理工程师协调，并遵照监理工程师指令执行；承包人应负责统筹安排本项目范围内的各项工程的协调与配合，确保工程建设有序进行。承包人由此增加的费用应认为已包括在承包人的投标报价之中，发包人不另行支付。</w:t>
      </w:r>
    </w:p>
    <w:p w14:paraId="334A477C">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17.16 中标人应做好周边设施（含军用光缆、燃气、供电、供水、排水、排污、人行道、路灯、治安监控、交通电警等）的成品保护并及时与周边设施的权属单位协调解决，如因中标人原因导致上述设施发生损坏，中标人无条件按招标人规定的期限内修复，涉及成品保护费、索赔等一切费用全部由中标人自行解决。 </w:t>
      </w:r>
    </w:p>
    <w:p w14:paraId="4FFD1033">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17.17 招标人有权根据本项目建设的实际情况调整建设规模或减少建设内容，如出现因特殊原因取消某子项目的建设，则该子项目未完成的工作内容及费用相应扣减，中标人应在投标报价中综合考虑该因素，中标后不得因此向招标人提出额外的费用补偿或索赔，并且必须按调整后的规模及内容完成工程建设。 </w:t>
      </w:r>
    </w:p>
    <w:p w14:paraId="4988FB24">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17.18 根据市政府办相关批复要求，本项目的供水管道施工完成后，清洗、消毒、检测必须按城市供水部门的要求完成，并由中标人缴纳接驳等相关费用，招标人不另行支付该部分费用。 </w:t>
      </w:r>
    </w:p>
    <w:p w14:paraId="1BDB8161">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17.19 中标人工程变更的程序和管理按《关于加强市本级政府投资项目财政投资评审监督管理的实施意见》(韶府办发函〔2021〕32 号)意见精神执行，凡不符合本实施意见要求的变更均为无效变更。如项目实施过程中发生了工程变更及工程签证，中标人需根据招标人的《工程变更管理办法》和《工程签证管理办法》完善工程变更签证相关程序。工程变更及工程签证须在发包人确认、会议确定或出具变更图纸后 28 日内，将相关预算报及相关报批表报发包人审批，若超时未申报，视为默认由发包人或委托第三方造价咨询单位出具的预算执行。</w:t>
      </w:r>
    </w:p>
    <w:p w14:paraId="12AC5F92">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17.20 垂直运输设备基础及围护等配套设施、现场围挡、临时出入口及临时道路等不形成工程实体的临时设施费用，中标人应在投标报价中综合考虑，中标后不得因此向招标人提出额外的费用补偿或索赔。</w:t>
      </w:r>
    </w:p>
    <w:p w14:paraId="36A6ECAC">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17.21 中标人应按照《建设工程质量管理条例》《建设工程质量检测管理办法》和有关技术标准等规定和要求，进行自检和送检工作。在办理施工许可证前提交项目竣工验收备案所需的工程质量检测报告文件事项清单及送检计划。中标人自检所发生的检测费用由中标人自行负责。中标人委托的自检检测机构不得与建设单位委托的检测机构为同一家、存在隶属关系和其他利害关系。 </w:t>
      </w:r>
    </w:p>
    <w:p w14:paraId="7B480D55">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17.22 工程质量保修期按《中华人民共和国建筑法》《建设工程质量管理条例》等相关规定实施。 </w:t>
      </w:r>
    </w:p>
    <w:p w14:paraId="1DAB106D">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17.23 如采用银行保函方式缴纳履约保证金，在保函到期前一个月，中标人须主动办理续期手续或提交新的银行保函；如中标人未及时主动办理续期手续或提交新的银行保函，招标人有权按履约保证金金额扣留进度款（工人工资除外）作为履约保证金，直至中标人提交新的银行保函或达到履约保证金退还条件。 </w:t>
      </w:r>
    </w:p>
    <w:p w14:paraId="155EA129">
      <w:pPr>
        <w:pStyle w:val="47"/>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17.24 工程完工后，为了本项目整体竣工验收的需要，中标人必须在招标人的统筹安排下，与为本项目其他工程服务的单位进行协同配合，做好竣工验收的各项工作，交付的工程必须符合各专业工程的相关要求。 </w:t>
      </w:r>
    </w:p>
    <w:p w14:paraId="0E2ACF6F">
      <w:pPr>
        <w:pStyle w:val="47"/>
        <w:spacing w:line="360" w:lineRule="auto"/>
        <w:ind w:firstLine="480" w:firstLineChars="200"/>
        <w:rPr>
          <w:rFonts w:hint="eastAsia" w:asciiTheme="minorEastAsia" w:hAnsiTheme="minorEastAsia" w:eastAsiaTheme="minorEastAsia" w:cstheme="minorEastAsia"/>
          <w:color w:val="auto"/>
          <w:szCs w:val="24"/>
          <w:highlight w:val="none"/>
        </w:rPr>
      </w:pPr>
    </w:p>
    <w:p w14:paraId="5B54C4CB">
      <w:pPr>
        <w:pStyle w:val="48"/>
        <w:keepNext/>
        <w:keepLines/>
        <w:tabs>
          <w:tab w:val="left" w:pos="885"/>
        </w:tabs>
        <w:spacing w:line="360" w:lineRule="auto"/>
        <w:jc w:val="center"/>
        <w:rPr>
          <w:rFonts w:hint="eastAsia" w:asciiTheme="minorEastAsia" w:hAnsiTheme="minorEastAsia" w:eastAsiaTheme="minorEastAsia" w:cstheme="minorEastAsia"/>
          <w:b/>
          <w:color w:val="auto"/>
          <w:kern w:val="44"/>
          <w:sz w:val="36"/>
          <w:szCs w:val="36"/>
          <w:highlight w:val="none"/>
        </w:rPr>
      </w:pPr>
      <w:r>
        <w:rPr>
          <w:rFonts w:hint="eastAsia" w:asciiTheme="minorEastAsia" w:hAnsiTheme="minorEastAsia" w:eastAsiaTheme="minorEastAsia" w:cstheme="minorEastAsia"/>
          <w:b/>
          <w:color w:val="auto"/>
          <w:kern w:val="44"/>
          <w:sz w:val="24"/>
          <w:highlight w:val="none"/>
        </w:rPr>
        <w:br w:type="page"/>
      </w:r>
      <w:bookmarkStart w:id="374" w:name="_Toc18638"/>
      <w:bookmarkStart w:id="375" w:name="_Toc25756"/>
      <w:bookmarkStart w:id="376" w:name="_Toc27189"/>
      <w:bookmarkStart w:id="377" w:name="_Toc24187"/>
      <w:bookmarkStart w:id="378" w:name="_Toc27728"/>
      <w:bookmarkStart w:id="379" w:name="_Toc29153"/>
      <w:bookmarkStart w:id="380" w:name="_Toc20219"/>
      <w:bookmarkStart w:id="381" w:name="_Toc21424"/>
      <w:bookmarkStart w:id="382" w:name="_Toc28287"/>
      <w:r>
        <w:rPr>
          <w:rFonts w:hint="eastAsia" w:asciiTheme="minorEastAsia" w:hAnsiTheme="minorEastAsia" w:eastAsiaTheme="minorEastAsia" w:cstheme="minorEastAsia"/>
          <w:b/>
          <w:color w:val="auto"/>
          <w:kern w:val="44"/>
          <w:sz w:val="36"/>
          <w:szCs w:val="36"/>
          <w:highlight w:val="none"/>
        </w:rPr>
        <w:t>第四</w:t>
      </w:r>
      <w:bookmarkStart w:id="383" w:name="_Hlt69669176"/>
      <w:bookmarkEnd w:id="383"/>
      <w:r>
        <w:rPr>
          <w:rFonts w:hint="eastAsia" w:asciiTheme="minorEastAsia" w:hAnsiTheme="minorEastAsia" w:eastAsiaTheme="minorEastAsia" w:cstheme="minorEastAsia"/>
          <w:b/>
          <w:color w:val="auto"/>
          <w:kern w:val="44"/>
          <w:sz w:val="36"/>
          <w:szCs w:val="36"/>
          <w:highlight w:val="none"/>
        </w:rPr>
        <w:t>章</w:t>
      </w:r>
      <w:bookmarkStart w:id="384" w:name="_Hlt87793847"/>
      <w:bookmarkEnd w:id="384"/>
      <w:r>
        <w:rPr>
          <w:rFonts w:hint="eastAsia" w:asciiTheme="minorEastAsia" w:hAnsiTheme="minorEastAsia" w:eastAsiaTheme="minorEastAsia" w:cstheme="minorEastAsia"/>
          <w:b/>
          <w:color w:val="auto"/>
          <w:kern w:val="44"/>
          <w:sz w:val="36"/>
          <w:szCs w:val="36"/>
          <w:highlight w:val="none"/>
        </w:rPr>
        <w:t xml:space="preserve"> 投标人提交的其他材料</w:t>
      </w:r>
      <w:bookmarkEnd w:id="374"/>
      <w:bookmarkEnd w:id="375"/>
      <w:bookmarkEnd w:id="376"/>
      <w:bookmarkEnd w:id="377"/>
      <w:bookmarkEnd w:id="378"/>
      <w:bookmarkEnd w:id="379"/>
      <w:bookmarkEnd w:id="380"/>
      <w:bookmarkEnd w:id="381"/>
      <w:bookmarkEnd w:id="382"/>
    </w:p>
    <w:p w14:paraId="4A978215">
      <w:pPr>
        <w:pStyle w:val="47"/>
        <w:spacing w:line="360" w:lineRule="auto"/>
        <w:rPr>
          <w:rFonts w:hint="eastAsia" w:asciiTheme="minorEastAsia" w:hAnsiTheme="minorEastAsia" w:eastAsiaTheme="minorEastAsia" w:cstheme="minorEastAsia"/>
          <w:color w:val="auto"/>
          <w:highlight w:val="none"/>
        </w:rPr>
      </w:pPr>
    </w:p>
    <w:bookmarkEnd w:id="373"/>
    <w:p w14:paraId="19AA2CEA">
      <w:pPr>
        <w:pStyle w:val="11"/>
        <w:spacing w:line="360" w:lineRule="auto"/>
        <w:ind w:firstLine="241" w:firstLineChars="100"/>
        <w:outlineLvl w:val="1"/>
        <w:rPr>
          <w:rFonts w:hint="eastAsia" w:asciiTheme="minorEastAsia" w:hAnsiTheme="minorEastAsia" w:eastAsiaTheme="minorEastAsia" w:cstheme="minorEastAsia"/>
          <w:b/>
          <w:bCs/>
          <w:color w:val="auto"/>
          <w:szCs w:val="24"/>
          <w:highlight w:val="none"/>
        </w:rPr>
      </w:pPr>
      <w:bookmarkStart w:id="385" w:name="_Hlt66104911"/>
      <w:bookmarkEnd w:id="385"/>
      <w:bookmarkStart w:id="386" w:name="_Hlt66531751"/>
      <w:bookmarkEnd w:id="386"/>
      <w:bookmarkStart w:id="387" w:name="_Toc5733"/>
      <w:bookmarkStart w:id="388" w:name="_Toc28975"/>
      <w:bookmarkStart w:id="389" w:name="_Toc21505"/>
      <w:bookmarkStart w:id="390" w:name="_Toc31172"/>
      <w:bookmarkStart w:id="391" w:name="_Toc1109"/>
      <w:bookmarkStart w:id="392" w:name="_Toc19932"/>
      <w:bookmarkStart w:id="393" w:name="_Toc5994"/>
      <w:bookmarkStart w:id="394" w:name="_Toc3500"/>
      <w:bookmarkStart w:id="395" w:name="_Toc18673"/>
      <w:r>
        <w:rPr>
          <w:rFonts w:hint="eastAsia" w:asciiTheme="minorEastAsia" w:hAnsiTheme="minorEastAsia" w:eastAsiaTheme="minorEastAsia" w:cstheme="minorEastAsia"/>
          <w:b/>
          <w:bCs/>
          <w:color w:val="auto"/>
          <w:szCs w:val="24"/>
          <w:highlight w:val="none"/>
        </w:rPr>
        <w:t>1</w:t>
      </w:r>
      <w:bookmarkStart w:id="396" w:name="_Hlt69356768"/>
      <w:bookmarkEnd w:id="396"/>
      <w:bookmarkStart w:id="397" w:name="_Hlt66677316"/>
      <w:r>
        <w:rPr>
          <w:rFonts w:hint="eastAsia" w:asciiTheme="minorEastAsia" w:hAnsiTheme="minorEastAsia" w:eastAsiaTheme="minorEastAsia" w:cstheme="minorEastAsia"/>
          <w:b/>
          <w:bCs/>
          <w:color w:val="auto"/>
          <w:szCs w:val="24"/>
          <w:highlight w:val="none"/>
          <w:lang w:val="en-US" w:eastAsia="zh-CN"/>
        </w:rPr>
        <w:t xml:space="preserve"> </w:t>
      </w:r>
      <w:r>
        <w:rPr>
          <w:rFonts w:hint="eastAsia" w:asciiTheme="minorEastAsia" w:hAnsiTheme="minorEastAsia" w:eastAsiaTheme="minorEastAsia" w:cstheme="minorEastAsia"/>
          <w:b/>
          <w:bCs/>
          <w:color w:val="auto"/>
          <w:szCs w:val="24"/>
          <w:highlight w:val="none"/>
        </w:rPr>
        <w:t>投标保证</w:t>
      </w:r>
      <w:bookmarkEnd w:id="387"/>
      <w:bookmarkEnd w:id="388"/>
      <w:bookmarkEnd w:id="389"/>
      <w:bookmarkEnd w:id="390"/>
      <w:bookmarkEnd w:id="391"/>
      <w:bookmarkEnd w:id="392"/>
      <w:bookmarkEnd w:id="393"/>
      <w:bookmarkEnd w:id="394"/>
      <w:bookmarkEnd w:id="395"/>
      <w:bookmarkEnd w:id="397"/>
    </w:p>
    <w:p w14:paraId="66682DF2">
      <w:pPr>
        <w:snapToGrid w:val="0"/>
        <w:spacing w:beforeLines="50"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1.1</w:t>
      </w:r>
      <w:r>
        <w:rPr>
          <w:rFonts w:hint="eastAsia" w:asciiTheme="minorEastAsia" w:hAnsiTheme="minorEastAsia" w:eastAsiaTheme="minorEastAsia" w:cstheme="minorEastAsia"/>
          <w:color w:val="auto"/>
          <w:szCs w:val="24"/>
          <w:highlight w:val="none"/>
        </w:rPr>
        <w:t xml:space="preserve"> 投标保证的形式包括投标保证金、投标保证担保、投标保证保险三种，由投标人自主选择。</w:t>
      </w:r>
    </w:p>
    <w:p w14:paraId="105C575E">
      <w:pPr>
        <w:pStyle w:val="68"/>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采用投标保证金的，投标人在建设工程交易系统获取招标文件完毕后，即可在系统申请缴纳投标保证金，获取本次招标投标保证金缴纳账号。投标人必须于投标保证金到账截止时间（见招标文件“重要事项时间地点一览表”）前，从其基本账户将投标保证金转账到指定的缴纳账号。逾期到账的、从非投标人基本账户转出的，其投标无效。</w:t>
      </w:r>
    </w:p>
    <w:p w14:paraId="7C7D7078">
      <w:pPr>
        <w:pStyle w:val="68"/>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采用投标保证担保的，投标人应提交有效的银行保函，银行保函的有效期不得短于投标有效期。投标人必须在投标保证担保截止时间（见本招标文件“重要事项时间地点一览表”）前，使用工程建设交易系统完成网上办理电子保函。</w:t>
      </w:r>
    </w:p>
    <w:p w14:paraId="7730A314">
      <w:pPr>
        <w:pStyle w:val="68"/>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采用投标保证保险的，投标人须在投标保证保险投保截止时间（见本招标文件“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0D940964">
      <w:pPr>
        <w:pStyle w:val="68"/>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p w14:paraId="5D7C8DF6">
      <w:pPr>
        <w:pStyle w:val="68"/>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1.2</w:t>
      </w:r>
      <w:r>
        <w:rPr>
          <w:rFonts w:hint="eastAsia" w:asciiTheme="minorEastAsia" w:hAnsiTheme="minorEastAsia" w:eastAsiaTheme="minorEastAsia" w:cstheme="minorEastAsia"/>
          <w:color w:val="auto"/>
          <w:highlight w:val="none"/>
        </w:rPr>
        <w:t>投标人撤回已提交的投标文件，应当在投标截止时间前书面通知招标人。投标截止后投标人撤销投标文件的，招标人可以不退还投标保证。</w:t>
      </w:r>
    </w:p>
    <w:p w14:paraId="61CBA223">
      <w:pPr>
        <w:pStyle w:val="68"/>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1.3</w:t>
      </w:r>
      <w:r>
        <w:rPr>
          <w:rFonts w:hint="eastAsia" w:asciiTheme="minorEastAsia" w:hAnsiTheme="minorEastAsia" w:eastAsiaTheme="minorEastAsia" w:cstheme="minorEastAsia"/>
          <w:color w:val="auto"/>
          <w:highlight w:val="none"/>
        </w:rPr>
        <w:t>投标保证的退还方式：</w:t>
      </w:r>
    </w:p>
    <w:p w14:paraId="07FE1BBA">
      <w:pPr>
        <w:pStyle w:val="68"/>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中标候选人公示期满无异议（投诉）后，招标人确定第一中标候选人为中标人，并在中标人确定之日起7个工作日内向中标人发出中标通知书。在中标通知书发出后5个工作日内，韶关市公共资源交易中心将投标保证金（或银行保函）退还给中标候选人以外的投标人。</w:t>
      </w:r>
    </w:p>
    <w:p w14:paraId="6039B922">
      <w:pPr>
        <w:pStyle w:val="68"/>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14:paraId="07ABFB0F">
      <w:pPr>
        <w:pStyle w:val="68"/>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1.4</w:t>
      </w:r>
      <w:r>
        <w:rPr>
          <w:rFonts w:hint="eastAsia" w:asciiTheme="minorEastAsia" w:hAnsiTheme="minorEastAsia" w:eastAsiaTheme="minorEastAsia" w:cstheme="minorEastAsia"/>
          <w:color w:val="auto"/>
          <w:highlight w:val="none"/>
        </w:rPr>
        <w:t xml:space="preserve"> 投标人中标后不与招标人依据招标文件要求签订工程合同的，由建设行政主管部门按规定处理其投标保证。</w:t>
      </w:r>
    </w:p>
    <w:p w14:paraId="1A2A67A8">
      <w:pPr>
        <w:pStyle w:val="68"/>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1.5</w:t>
      </w:r>
      <w:r>
        <w:rPr>
          <w:rFonts w:hint="eastAsia" w:asciiTheme="minorEastAsia" w:hAnsiTheme="minorEastAsia" w:eastAsiaTheme="minorEastAsia" w:cstheme="minorEastAsia"/>
          <w:color w:val="auto"/>
          <w:highlight w:val="none"/>
        </w:rPr>
        <w:t xml:space="preserve"> 组成联合体时由联合体牵头人缴纳投标保证。</w:t>
      </w:r>
    </w:p>
    <w:p w14:paraId="50807269">
      <w:pPr>
        <w:pStyle w:val="11"/>
        <w:spacing w:line="360" w:lineRule="auto"/>
        <w:ind w:firstLine="241" w:firstLineChars="100"/>
        <w:outlineLvl w:val="1"/>
        <w:rPr>
          <w:rFonts w:hint="eastAsia" w:asciiTheme="minorEastAsia" w:hAnsiTheme="minorEastAsia" w:eastAsiaTheme="minorEastAsia" w:cstheme="minorEastAsia"/>
          <w:b/>
          <w:bCs/>
          <w:color w:val="auto"/>
          <w:szCs w:val="24"/>
          <w:highlight w:val="none"/>
        </w:rPr>
      </w:pPr>
      <w:bookmarkStart w:id="398" w:name="_Hlt87793359"/>
      <w:bookmarkEnd w:id="398"/>
      <w:bookmarkStart w:id="399" w:name="_Hlt87792499"/>
      <w:bookmarkEnd w:id="399"/>
      <w:bookmarkStart w:id="400" w:name="_Toc3284"/>
      <w:bookmarkStart w:id="401" w:name="_Toc19536"/>
      <w:bookmarkStart w:id="402" w:name="_Toc985"/>
      <w:bookmarkStart w:id="403" w:name="_Toc22441"/>
      <w:bookmarkStart w:id="404" w:name="_Toc20998"/>
      <w:bookmarkStart w:id="405" w:name="_Toc3054"/>
      <w:bookmarkStart w:id="406" w:name="_Toc23304"/>
      <w:bookmarkStart w:id="407" w:name="_Toc10164"/>
      <w:bookmarkStart w:id="408" w:name="_Toc9860"/>
      <w:r>
        <w:rPr>
          <w:rFonts w:hint="eastAsia" w:asciiTheme="minorEastAsia" w:hAnsiTheme="minorEastAsia" w:eastAsiaTheme="minorEastAsia" w:cstheme="minorEastAsia"/>
          <w:b/>
          <w:bCs/>
          <w:color w:val="auto"/>
          <w:szCs w:val="24"/>
          <w:highlight w:val="none"/>
        </w:rPr>
        <w:t>2 履约保证金</w:t>
      </w:r>
      <w:bookmarkEnd w:id="400"/>
      <w:bookmarkEnd w:id="401"/>
      <w:bookmarkEnd w:id="402"/>
      <w:bookmarkEnd w:id="403"/>
      <w:bookmarkEnd w:id="404"/>
      <w:bookmarkEnd w:id="405"/>
      <w:bookmarkEnd w:id="406"/>
      <w:bookmarkEnd w:id="407"/>
      <w:bookmarkEnd w:id="408"/>
    </w:p>
    <w:bookmarkEnd w:id="1"/>
    <w:p w14:paraId="5CCA0AD4">
      <w:pPr>
        <w:widowControl/>
        <w:wordWrap/>
        <w:adjustRightInd/>
        <w:snapToGrid/>
        <w:spacing w:line="360" w:lineRule="auto"/>
        <w:ind w:firstLine="482" w:firstLineChars="200"/>
        <w:jc w:val="left"/>
        <w:rPr>
          <w:rFonts w:asciiTheme="minorEastAsia" w:hAnsiTheme="minorEastAsia" w:eastAsiaTheme="minorEastAsia" w:cstheme="minorEastAsia"/>
          <w:snapToGrid w:val="0"/>
          <w:color w:val="auto"/>
          <w:kern w:val="0"/>
          <w:szCs w:val="24"/>
          <w:highlight w:val="none"/>
        </w:rPr>
      </w:pPr>
      <w:bookmarkStart w:id="409" w:name="_Toc466640610"/>
      <w:r>
        <w:rPr>
          <w:rFonts w:hint="eastAsia" w:asciiTheme="minorEastAsia" w:hAnsiTheme="minorEastAsia" w:eastAsiaTheme="minorEastAsia" w:cstheme="minorEastAsia"/>
          <w:b/>
          <w:bCs/>
          <w:snapToGrid w:val="0"/>
          <w:color w:val="auto"/>
          <w:kern w:val="0"/>
          <w:szCs w:val="24"/>
          <w:highlight w:val="none"/>
        </w:rPr>
        <w:t>2.1</w:t>
      </w:r>
      <w:r>
        <w:rPr>
          <w:rFonts w:hint="eastAsia" w:asciiTheme="minorEastAsia" w:hAnsiTheme="minorEastAsia" w:eastAsiaTheme="minorEastAsia" w:cstheme="minorEastAsia"/>
          <w:snapToGrid w:val="0"/>
          <w:color w:val="auto"/>
          <w:kern w:val="0"/>
          <w:szCs w:val="24"/>
          <w:highlight w:val="none"/>
        </w:rPr>
        <w:t xml:space="preserve"> 中标人须在领取中标通知书之日起</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u w:val="single"/>
          <w:lang w:val="en-US" w:eastAsia="zh-CN"/>
        </w:rPr>
        <w:t>10</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个工作日内、签订合同前向招标人提交金额为中标价</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u w:val="single"/>
          <w:lang w:val="en-US" w:eastAsia="zh-CN"/>
        </w:rPr>
        <w:t>3</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 的履约保证。</w:t>
      </w:r>
      <w:r>
        <w:rPr>
          <w:rFonts w:asciiTheme="minorEastAsia" w:hAnsiTheme="minorEastAsia" w:eastAsiaTheme="minorEastAsia" w:cstheme="minorEastAsia"/>
          <w:snapToGrid w:val="0"/>
          <w:color w:val="auto"/>
          <w:kern w:val="0"/>
          <w:szCs w:val="24"/>
          <w:highlight w:val="none"/>
        </w:rPr>
        <w:t>联合体中标的，由联合体牵头人提交。同时招标人向中标人提供合同价</w:t>
      </w:r>
      <w:r>
        <w:rPr>
          <w:rFonts w:hint="eastAsia" w:asciiTheme="minorEastAsia" w:hAnsiTheme="minorEastAsia" w:eastAsiaTheme="minorEastAsia" w:cstheme="minorEastAsia"/>
          <w:snapToGrid w:val="0"/>
          <w:color w:val="auto"/>
          <w:kern w:val="0"/>
          <w:szCs w:val="24"/>
          <w:highlight w:val="none"/>
          <w:u w:val="none"/>
          <w:lang w:val="en-US" w:eastAsia="zh-CN"/>
        </w:rPr>
        <w:t>3</w:t>
      </w:r>
      <w:r>
        <w:rPr>
          <w:rFonts w:asciiTheme="minorEastAsia" w:hAnsiTheme="minorEastAsia" w:eastAsiaTheme="minorEastAsia" w:cstheme="minorEastAsia"/>
          <w:snapToGrid w:val="0"/>
          <w:color w:val="auto"/>
          <w:kern w:val="0"/>
          <w:szCs w:val="24"/>
          <w:highlight w:val="none"/>
        </w:rPr>
        <w:t>%的支付担保，并将工程款支付担保文书作为建设工程合同的组成部分(担保期限届至招标人支付除工程质量保修金以外的全部工程结算款项之日后</w:t>
      </w:r>
      <w:r>
        <w:rPr>
          <w:rFonts w:asciiTheme="minorEastAsia" w:hAnsiTheme="minorEastAsia" w:eastAsiaTheme="minorEastAsia" w:cstheme="minorEastAsia"/>
          <w:snapToGrid w:val="0"/>
          <w:color w:val="auto"/>
          <w:kern w:val="0"/>
          <w:szCs w:val="24"/>
          <w:highlight w:val="none"/>
          <w:u w:val="none"/>
        </w:rPr>
        <w:t>30</w:t>
      </w:r>
      <w:r>
        <w:rPr>
          <w:rFonts w:asciiTheme="minorEastAsia" w:hAnsiTheme="minorEastAsia" w:eastAsiaTheme="minorEastAsia" w:cstheme="minorEastAsia"/>
          <w:snapToGrid w:val="0"/>
          <w:color w:val="auto"/>
          <w:kern w:val="0"/>
          <w:szCs w:val="24"/>
          <w:highlight w:val="none"/>
        </w:rPr>
        <w:t>天)。</w:t>
      </w:r>
    </w:p>
    <w:p w14:paraId="4A5FE97F">
      <w:pPr>
        <w:wordWrap w:val="0"/>
        <w:adjustRightInd w:val="0"/>
        <w:snapToGrid w:val="0"/>
        <w:spacing w:line="360" w:lineRule="auto"/>
        <w:ind w:firstLine="562"/>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2.2</w:t>
      </w:r>
      <w:r>
        <w:rPr>
          <w:rFonts w:hint="eastAsia" w:asciiTheme="minorEastAsia" w:hAnsiTheme="minorEastAsia" w:eastAsiaTheme="minorEastAsia" w:cstheme="minorEastAsia"/>
          <w:snapToGrid w:val="0"/>
          <w:color w:val="auto"/>
          <w:kern w:val="0"/>
          <w:szCs w:val="24"/>
          <w:highlight w:val="none"/>
        </w:rPr>
        <w:t xml:space="preserve"> </w:t>
      </w:r>
      <w:r>
        <w:rPr>
          <w:rFonts w:asciiTheme="minorEastAsia" w:hAnsiTheme="minorEastAsia" w:eastAsiaTheme="minorEastAsia" w:cstheme="minorEastAsia"/>
          <w:snapToGrid w:val="0"/>
          <w:color w:val="auto"/>
          <w:kern w:val="0"/>
          <w:szCs w:val="24"/>
          <w:highlight w:val="none"/>
          <w:lang w:bidi="ar"/>
        </w:rPr>
        <w:t>中标人根据《关于统一在市公共资源交易一体化服务平台缴退工程建设项目履约保证金的通知》办理相关手续，履约保证的形式包括履约保证金、履约保证担保、履约保证保险三种，由中标人自主选择。商业保函、银行保函或保险合同（或保险单）的有效期应当自合同生效之日起至项目通过竣工验收之日后</w:t>
      </w:r>
      <w:r>
        <w:rPr>
          <w:rFonts w:hint="eastAsia" w:asciiTheme="minorEastAsia" w:hAnsiTheme="minorEastAsia" w:eastAsiaTheme="minorEastAsia" w:cstheme="minorEastAsia"/>
          <w:snapToGrid w:val="0"/>
          <w:color w:val="auto"/>
          <w:kern w:val="0"/>
          <w:szCs w:val="24"/>
          <w:highlight w:val="none"/>
          <w:u w:val="none"/>
          <w:lang w:bidi="ar"/>
        </w:rPr>
        <w:t>28</w:t>
      </w:r>
      <w:r>
        <w:rPr>
          <w:rFonts w:asciiTheme="minorEastAsia" w:hAnsiTheme="minorEastAsia" w:eastAsiaTheme="minorEastAsia" w:cstheme="minorEastAsia"/>
          <w:snapToGrid w:val="0"/>
          <w:color w:val="auto"/>
          <w:kern w:val="0"/>
          <w:szCs w:val="24"/>
          <w:highlight w:val="none"/>
          <w:lang w:bidi="ar"/>
        </w:rPr>
        <w:t>天止。</w:t>
      </w:r>
    </w:p>
    <w:p w14:paraId="66EBDFAF">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2.3</w:t>
      </w:r>
      <w:r>
        <w:rPr>
          <w:rFonts w:hint="eastAsia" w:asciiTheme="minorEastAsia" w:hAnsiTheme="minorEastAsia" w:eastAsiaTheme="minorEastAsia" w:cstheme="minorEastAsia"/>
          <w:snapToGrid w:val="0"/>
          <w:color w:val="auto"/>
          <w:kern w:val="0"/>
          <w:szCs w:val="24"/>
          <w:highlight w:val="none"/>
        </w:rPr>
        <w:t xml:space="preserve">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p>
    <w:p w14:paraId="3ACC46F5">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2.4</w:t>
      </w:r>
      <w:r>
        <w:rPr>
          <w:rFonts w:hint="eastAsia" w:asciiTheme="minorEastAsia" w:hAnsiTheme="minorEastAsia" w:eastAsiaTheme="minorEastAsia" w:cstheme="minorEastAsia"/>
          <w:snapToGrid w:val="0"/>
          <w:color w:val="auto"/>
          <w:kern w:val="0"/>
          <w:szCs w:val="24"/>
          <w:highlight w:val="none"/>
        </w:rPr>
        <w:t xml:space="preserve"> 在工程实施过程中，如果中标人（即招标阶段的中标人，下同）由于自身的资金、技术、质量、非不可抗力等原因给招标人（即招标阶段的招标人，下同）造成经济损失，扣除相应履约保证。</w:t>
      </w:r>
    </w:p>
    <w:p w14:paraId="643EEAB2">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2.5</w:t>
      </w:r>
      <w:r>
        <w:rPr>
          <w:rFonts w:hint="eastAsia" w:asciiTheme="minorEastAsia" w:hAnsiTheme="minorEastAsia" w:eastAsiaTheme="minorEastAsia" w:cstheme="minorEastAsia"/>
          <w:snapToGrid w:val="0"/>
          <w:color w:val="auto"/>
          <w:kern w:val="0"/>
          <w:szCs w:val="24"/>
          <w:highlight w:val="none"/>
        </w:rPr>
        <w:t xml:space="preserve"> 项目通过竣工验收之日后28天内，招标人将履约保证</w:t>
      </w:r>
      <w:r>
        <w:rPr>
          <w:rFonts w:hint="eastAsia" w:asciiTheme="minorEastAsia" w:hAnsiTheme="minorEastAsia" w:eastAsiaTheme="minorEastAsia" w:cstheme="minorEastAsia"/>
          <w:color w:val="auto"/>
          <w:szCs w:val="24"/>
          <w:highlight w:val="none"/>
        </w:rPr>
        <w:t>或全部履约保证金（不计算利息）</w:t>
      </w:r>
      <w:r>
        <w:rPr>
          <w:rFonts w:hint="eastAsia" w:asciiTheme="minorEastAsia" w:hAnsiTheme="minorEastAsia" w:eastAsiaTheme="minorEastAsia" w:cstheme="minorEastAsia"/>
          <w:snapToGrid w:val="0"/>
          <w:color w:val="auto"/>
          <w:kern w:val="0"/>
          <w:szCs w:val="24"/>
          <w:highlight w:val="none"/>
        </w:rPr>
        <w:t>退还给中标人。</w:t>
      </w:r>
    </w:p>
    <w:p w14:paraId="66F39DBB">
      <w:pPr>
        <w:pStyle w:val="11"/>
        <w:spacing w:line="360" w:lineRule="auto"/>
        <w:ind w:firstLine="241" w:firstLineChars="100"/>
        <w:outlineLvl w:val="1"/>
        <w:rPr>
          <w:rFonts w:hint="eastAsia" w:asciiTheme="minorEastAsia" w:hAnsiTheme="minorEastAsia" w:eastAsiaTheme="minorEastAsia" w:cstheme="minorEastAsia"/>
          <w:b/>
          <w:bCs/>
          <w:color w:val="auto"/>
          <w:szCs w:val="24"/>
          <w:highlight w:val="none"/>
        </w:rPr>
      </w:pPr>
      <w:bookmarkStart w:id="410" w:name="_Toc26355"/>
      <w:r>
        <w:rPr>
          <w:rFonts w:hint="eastAsia" w:asciiTheme="minorEastAsia" w:hAnsiTheme="minorEastAsia" w:eastAsiaTheme="minorEastAsia" w:cstheme="minorEastAsia"/>
          <w:b/>
          <w:bCs/>
          <w:color w:val="auto"/>
          <w:szCs w:val="24"/>
          <w:highlight w:val="none"/>
        </w:rPr>
        <w:t>3</w:t>
      </w:r>
      <w:r>
        <w:rPr>
          <w:rFonts w:hint="eastAsia" w:asciiTheme="minorEastAsia" w:hAnsiTheme="minorEastAsia" w:eastAsiaTheme="minorEastAsia" w:cstheme="minorEastAsia"/>
          <w:b/>
          <w:bCs/>
          <w:color w:val="auto"/>
          <w:szCs w:val="24"/>
          <w:highlight w:val="none"/>
          <w:lang w:val="en-US" w:eastAsia="zh-CN"/>
        </w:rPr>
        <w:t xml:space="preserve"> </w:t>
      </w:r>
      <w:r>
        <w:rPr>
          <w:rFonts w:hint="eastAsia" w:asciiTheme="minorEastAsia" w:hAnsiTheme="minorEastAsia" w:eastAsiaTheme="minorEastAsia" w:cstheme="minorEastAsia"/>
          <w:b/>
          <w:bCs/>
          <w:color w:val="auto"/>
          <w:szCs w:val="24"/>
          <w:highlight w:val="none"/>
        </w:rPr>
        <w:t>质量保证</w:t>
      </w:r>
      <w:bookmarkEnd w:id="410"/>
    </w:p>
    <w:p w14:paraId="79F6FD7D">
      <w:pPr>
        <w:wordWrap w:val="0"/>
        <w:adjustRightInd w:val="0"/>
        <w:snapToGrid w:val="0"/>
        <w:spacing w:line="360" w:lineRule="auto"/>
        <w:ind w:firstLine="560"/>
        <w:rPr>
          <w:rFonts w:hint="eastAsia" w:asciiTheme="minorEastAsia" w:hAnsiTheme="minorEastAsia" w:eastAsiaTheme="minorEastAsia" w:cstheme="minorEastAsia"/>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3.1</w:t>
      </w:r>
      <w:r>
        <w:rPr>
          <w:rFonts w:hint="eastAsia" w:asciiTheme="minorEastAsia" w:hAnsiTheme="minorEastAsia" w:eastAsiaTheme="minorEastAsia" w:cstheme="minorEastAsia"/>
          <w:bCs/>
          <w:snapToGrid w:val="0"/>
          <w:color w:val="auto"/>
          <w:kern w:val="0"/>
          <w:szCs w:val="24"/>
          <w:highlight w:val="none"/>
        </w:rPr>
        <w:t xml:space="preserve"> 本工程缺陷责任期为</w:t>
      </w:r>
      <w:r>
        <w:rPr>
          <w:rFonts w:hint="eastAsia" w:asciiTheme="minorEastAsia" w:hAnsiTheme="minorEastAsia" w:eastAsiaTheme="minorEastAsia" w:cstheme="minorEastAsia"/>
          <w:bCs/>
          <w:snapToGrid w:val="0"/>
          <w:color w:val="auto"/>
          <w:kern w:val="0"/>
          <w:szCs w:val="24"/>
          <w:highlight w:val="none"/>
          <w:u w:val="single"/>
          <w:lang w:val="en-US" w:eastAsia="zh-CN"/>
        </w:rPr>
        <w:t>1</w:t>
      </w:r>
      <w:r>
        <w:rPr>
          <w:rFonts w:hint="eastAsia" w:asciiTheme="minorEastAsia" w:hAnsiTheme="minorEastAsia" w:eastAsiaTheme="minorEastAsia" w:cstheme="minorEastAsia"/>
          <w:bCs/>
          <w:snapToGrid w:val="0"/>
          <w:color w:val="auto"/>
          <w:kern w:val="0"/>
          <w:szCs w:val="24"/>
          <w:highlight w:val="none"/>
        </w:rPr>
        <w:t>年（自通过竣工验收之日起计），</w:t>
      </w:r>
      <w:r>
        <w:rPr>
          <w:rFonts w:hint="eastAsia" w:asciiTheme="minorEastAsia" w:hAnsiTheme="minorEastAsia" w:eastAsiaTheme="minorEastAsia" w:cstheme="minorEastAsia"/>
          <w:bCs/>
          <w:snapToGrid w:val="0"/>
          <w:color w:val="auto"/>
          <w:kern w:val="0"/>
          <w:szCs w:val="24"/>
          <w:highlight w:val="none"/>
          <w:lang w:val="en-US" w:eastAsia="zh-CN"/>
        </w:rPr>
        <w:t>质量保证金</w:t>
      </w:r>
      <w:r>
        <w:rPr>
          <w:rFonts w:hint="eastAsia" w:asciiTheme="minorEastAsia" w:hAnsiTheme="minorEastAsia" w:eastAsiaTheme="minorEastAsia" w:cstheme="minorEastAsia"/>
          <w:bCs/>
          <w:snapToGrid w:val="0"/>
          <w:color w:val="auto"/>
          <w:kern w:val="0"/>
          <w:szCs w:val="24"/>
          <w:highlight w:val="none"/>
        </w:rPr>
        <w:t>金额为结算价</w:t>
      </w:r>
      <w:r>
        <w:rPr>
          <w:rFonts w:hint="eastAsia" w:asciiTheme="minorEastAsia" w:hAnsiTheme="minorEastAsia" w:eastAsiaTheme="minorEastAsia" w:cstheme="minorEastAsia"/>
          <w:bCs/>
          <w:snapToGrid w:val="0"/>
          <w:color w:val="auto"/>
          <w:kern w:val="0"/>
          <w:szCs w:val="24"/>
          <w:highlight w:val="none"/>
          <w:lang w:val="en-US" w:eastAsia="zh-CN"/>
        </w:rPr>
        <w:t>的</w:t>
      </w:r>
      <w:r>
        <w:rPr>
          <w:rFonts w:hint="eastAsia" w:asciiTheme="minorEastAsia" w:hAnsiTheme="minorEastAsia" w:eastAsiaTheme="minorEastAsia" w:cstheme="minorEastAsia"/>
          <w:bCs/>
          <w:snapToGrid w:val="0"/>
          <w:color w:val="auto"/>
          <w:kern w:val="0"/>
          <w:szCs w:val="24"/>
          <w:highlight w:val="none"/>
          <w:u w:val="single"/>
        </w:rPr>
        <w:t>3%</w:t>
      </w:r>
      <w:r>
        <w:rPr>
          <w:rFonts w:hint="eastAsia" w:asciiTheme="minorEastAsia" w:hAnsiTheme="minorEastAsia" w:eastAsiaTheme="minorEastAsia" w:cstheme="minorEastAsia"/>
          <w:bCs/>
          <w:snapToGrid w:val="0"/>
          <w:color w:val="auto"/>
          <w:kern w:val="0"/>
          <w:szCs w:val="24"/>
          <w:highlight w:val="none"/>
          <w:u w:val="single"/>
          <w:lang w:val="en-US" w:eastAsia="zh-CN"/>
        </w:rPr>
        <w:t xml:space="preserve"> </w:t>
      </w:r>
      <w:r>
        <w:rPr>
          <w:rFonts w:hint="eastAsia" w:asciiTheme="minorEastAsia" w:hAnsiTheme="minorEastAsia" w:eastAsiaTheme="minorEastAsia" w:cstheme="minorEastAsia"/>
          <w:bCs/>
          <w:snapToGrid w:val="0"/>
          <w:color w:val="auto"/>
          <w:kern w:val="0"/>
          <w:szCs w:val="24"/>
          <w:highlight w:val="none"/>
        </w:rPr>
        <w:t>。</w:t>
      </w:r>
    </w:p>
    <w:p w14:paraId="0827A14A">
      <w:pPr>
        <w:wordWrap w:val="0"/>
        <w:adjustRightInd w:val="0"/>
        <w:snapToGrid w:val="0"/>
        <w:spacing w:line="360" w:lineRule="auto"/>
        <w:ind w:firstLine="560"/>
        <w:rPr>
          <w:rFonts w:hint="eastAsia" w:asciiTheme="minorEastAsia" w:hAnsiTheme="minorEastAsia" w:eastAsiaTheme="minorEastAsia" w:cstheme="minorEastAsia"/>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3.2</w:t>
      </w:r>
      <w:r>
        <w:rPr>
          <w:rFonts w:hint="eastAsia" w:asciiTheme="minorEastAsia" w:hAnsiTheme="minorEastAsia" w:eastAsiaTheme="minorEastAsia" w:cstheme="minorEastAsia"/>
          <w:bCs/>
          <w:snapToGrid w:val="0"/>
          <w:color w:val="auto"/>
          <w:kern w:val="0"/>
          <w:szCs w:val="24"/>
          <w:highlight w:val="none"/>
        </w:rPr>
        <w:t xml:space="preserve"> 质量保证的形式包括质量保证金、质量保证担保、质量保证保险三种，由中标人自主选择。</w:t>
      </w:r>
    </w:p>
    <w:p w14:paraId="1B90E0A3">
      <w:pPr>
        <w:wordWrap w:val="0"/>
        <w:adjustRightInd w:val="0"/>
        <w:snapToGrid w:val="0"/>
        <w:spacing w:line="360" w:lineRule="auto"/>
        <w:ind w:firstLine="561"/>
        <w:rPr>
          <w:rFonts w:hint="eastAsia" w:asciiTheme="minorEastAsia" w:hAnsiTheme="minorEastAsia" w:eastAsiaTheme="minorEastAsia" w:cstheme="minorEastAsia"/>
          <w:bCs/>
          <w:snapToGrid w:val="0"/>
          <w:color w:val="auto"/>
          <w:kern w:val="0"/>
          <w:szCs w:val="24"/>
          <w:highlight w:val="none"/>
        </w:rPr>
      </w:pPr>
      <w:r>
        <w:rPr>
          <w:rFonts w:hint="eastAsia" w:asciiTheme="minorEastAsia" w:hAnsiTheme="minorEastAsia" w:eastAsiaTheme="minorEastAsia" w:cstheme="minorEastAsia"/>
          <w:bCs/>
          <w:snapToGrid w:val="0"/>
          <w:color w:val="auto"/>
          <w:kern w:val="0"/>
          <w:szCs w:val="24"/>
          <w:highlight w:val="none"/>
        </w:rPr>
        <w:t>（1）采用质量保证金形式的，在结清审定总造价时一次性扣留相应金额作为质量保证金。</w:t>
      </w:r>
    </w:p>
    <w:p w14:paraId="5899375C">
      <w:pPr>
        <w:wordWrap w:val="0"/>
        <w:adjustRightInd w:val="0"/>
        <w:snapToGrid w:val="0"/>
        <w:spacing w:line="360" w:lineRule="auto"/>
        <w:ind w:firstLine="561"/>
        <w:rPr>
          <w:rFonts w:hint="eastAsia" w:asciiTheme="minorEastAsia" w:hAnsiTheme="minorEastAsia" w:eastAsiaTheme="minorEastAsia" w:cstheme="minorEastAsia"/>
          <w:bCs/>
          <w:snapToGrid w:val="0"/>
          <w:color w:val="auto"/>
          <w:kern w:val="0"/>
          <w:szCs w:val="24"/>
          <w:highlight w:val="none"/>
        </w:rPr>
      </w:pPr>
      <w:r>
        <w:rPr>
          <w:rFonts w:hint="eastAsia" w:asciiTheme="minorEastAsia" w:hAnsiTheme="minorEastAsia" w:eastAsiaTheme="minorEastAsia" w:cstheme="minorEastAsia"/>
          <w:bCs/>
          <w:snapToGrid w:val="0"/>
          <w:color w:val="auto"/>
          <w:kern w:val="0"/>
          <w:szCs w:val="24"/>
          <w:highlight w:val="none"/>
        </w:rPr>
        <w:t>（2）采用质量保证担保或质量保证保险的，中标人应在竣工验收时向招标人提交有效的银行保函原件或保险合同原件（或保险单），银行保函或保险合同原件（或保险单）的有效期不得短于缺陷责任期。</w:t>
      </w:r>
    </w:p>
    <w:p w14:paraId="2A806795">
      <w:pPr>
        <w:wordWrap w:val="0"/>
        <w:adjustRightInd w:val="0"/>
        <w:snapToGrid w:val="0"/>
        <w:spacing w:line="360" w:lineRule="auto"/>
        <w:ind w:firstLine="561"/>
        <w:rPr>
          <w:rFonts w:hint="eastAsia" w:asciiTheme="minorEastAsia" w:hAnsiTheme="minorEastAsia" w:eastAsiaTheme="minorEastAsia" w:cstheme="minorEastAsia"/>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3.3</w:t>
      </w:r>
      <w:r>
        <w:rPr>
          <w:rFonts w:hint="eastAsia" w:asciiTheme="minorEastAsia" w:hAnsiTheme="minorEastAsia" w:eastAsiaTheme="minorEastAsia" w:cstheme="minorEastAsia"/>
          <w:bCs/>
          <w:snapToGrid w:val="0"/>
          <w:color w:val="auto"/>
          <w:kern w:val="0"/>
          <w:szCs w:val="24"/>
          <w:highlight w:val="none"/>
        </w:rPr>
        <w:t xml:space="preserve"> 缺陷责任期内，由中标人原因造成的缺陷，中标人应负责维修，并承担鉴定及维修费用。如果中标人不维修也不承担费用，招标人可按合同约定从质量保证中扣除，维修费用超出保证金额的，招标人可按合同约定向中标人进行索赔。中标人维修并承担相应费用后，不免除对工程的损失赔偿责任。</w:t>
      </w:r>
    </w:p>
    <w:p w14:paraId="18324B43">
      <w:pPr>
        <w:wordWrap w:val="0"/>
        <w:adjustRightInd w:val="0"/>
        <w:snapToGrid w:val="0"/>
        <w:spacing w:line="360" w:lineRule="auto"/>
        <w:ind w:firstLine="561"/>
        <w:rPr>
          <w:rFonts w:hint="eastAsia" w:asciiTheme="minorEastAsia" w:hAnsiTheme="minorEastAsia" w:eastAsiaTheme="minorEastAsia" w:cstheme="minorEastAsia"/>
          <w:bCs/>
          <w:snapToGrid w:val="0"/>
          <w:color w:val="auto"/>
          <w:kern w:val="0"/>
          <w:szCs w:val="24"/>
          <w:highlight w:val="none"/>
        </w:rPr>
      </w:pPr>
      <w:r>
        <w:rPr>
          <w:rFonts w:hint="eastAsia" w:asciiTheme="minorEastAsia" w:hAnsiTheme="minorEastAsia" w:eastAsiaTheme="minorEastAsia" w:cstheme="minorEastAsia"/>
          <w:bCs/>
          <w:snapToGrid w:val="0"/>
          <w:color w:val="auto"/>
          <w:kern w:val="0"/>
          <w:szCs w:val="24"/>
          <w:highlight w:val="none"/>
        </w:rPr>
        <w:t>由他人原因造成的缺陷，招标人负责组织维修，中标人不承担费用，且招标人不得从质量保证中扣除费用。</w:t>
      </w:r>
    </w:p>
    <w:p w14:paraId="7148BBA8">
      <w:pPr>
        <w:wordWrap w:val="0"/>
        <w:adjustRightInd w:val="0"/>
        <w:snapToGrid w:val="0"/>
        <w:spacing w:line="360" w:lineRule="auto"/>
        <w:ind w:firstLine="561"/>
        <w:rPr>
          <w:rFonts w:hint="eastAsia" w:asciiTheme="minorEastAsia" w:hAnsiTheme="minorEastAsia" w:eastAsiaTheme="minorEastAsia" w:cstheme="minorEastAsia"/>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3.4</w:t>
      </w:r>
      <w:r>
        <w:rPr>
          <w:rFonts w:hint="eastAsia" w:asciiTheme="minorEastAsia" w:hAnsiTheme="minorEastAsia" w:eastAsiaTheme="minorEastAsia" w:cstheme="minorEastAsia"/>
          <w:bCs/>
          <w:snapToGrid w:val="0"/>
          <w:color w:val="auto"/>
          <w:kern w:val="0"/>
          <w:szCs w:val="24"/>
          <w:highlight w:val="none"/>
        </w:rPr>
        <w:t xml:space="preserve"> 缺陷责任期内，中标人应认真履行合同约定的责任。缺陷责任期到期后，中标人向招标人申请退还质量保证，招标人应按照《建设工程质量保证金管理办法》有关规定将质量保证退还给中标人（不计息）。</w:t>
      </w:r>
    </w:p>
    <w:p w14:paraId="42439C0F">
      <w:pPr>
        <w:spacing w:line="360" w:lineRule="auto"/>
        <w:rPr>
          <w:rFonts w:hint="eastAsia"/>
          <w:color w:val="auto"/>
          <w:highlight w:val="none"/>
        </w:rPr>
      </w:pPr>
      <w:r>
        <w:rPr>
          <w:rFonts w:hint="eastAsia" w:asciiTheme="minorEastAsia" w:hAnsiTheme="minorEastAsia" w:eastAsiaTheme="minorEastAsia" w:cstheme="minorEastAsia"/>
          <w:bCs/>
          <w:snapToGrid w:val="0"/>
          <w:color w:val="auto"/>
          <w:kern w:val="0"/>
          <w:szCs w:val="24"/>
          <w:highlight w:val="none"/>
        </w:rPr>
        <w:br w:type="page"/>
      </w:r>
    </w:p>
    <w:p w14:paraId="067FC25D">
      <w:pPr>
        <w:pStyle w:val="48"/>
        <w:keepNext/>
        <w:keepLines/>
        <w:tabs>
          <w:tab w:val="left" w:pos="885"/>
        </w:tabs>
        <w:spacing w:line="360" w:lineRule="auto"/>
        <w:jc w:val="center"/>
        <w:rPr>
          <w:rFonts w:hint="eastAsia" w:asciiTheme="minorEastAsia" w:hAnsiTheme="minorEastAsia" w:eastAsiaTheme="minorEastAsia" w:cstheme="minorEastAsia"/>
          <w:b/>
          <w:color w:val="auto"/>
          <w:kern w:val="44"/>
          <w:sz w:val="36"/>
          <w:szCs w:val="36"/>
          <w:highlight w:val="none"/>
        </w:rPr>
      </w:pPr>
      <w:bookmarkStart w:id="411" w:name="_Toc4262"/>
      <w:bookmarkStart w:id="412" w:name="_Toc22105"/>
      <w:bookmarkStart w:id="413" w:name="_Toc29236"/>
      <w:bookmarkStart w:id="414" w:name="_Toc12936"/>
      <w:bookmarkStart w:id="415" w:name="_Toc17661"/>
      <w:bookmarkStart w:id="416" w:name="_Toc25046"/>
      <w:bookmarkStart w:id="417" w:name="_Toc1713"/>
      <w:bookmarkStart w:id="418" w:name="_Toc26916"/>
      <w:bookmarkStart w:id="419" w:name="_Toc16873"/>
      <w:r>
        <w:rPr>
          <w:rFonts w:hint="eastAsia" w:asciiTheme="minorEastAsia" w:hAnsiTheme="minorEastAsia" w:eastAsiaTheme="minorEastAsia" w:cstheme="minorEastAsia"/>
          <w:b/>
          <w:color w:val="auto"/>
          <w:kern w:val="44"/>
          <w:sz w:val="36"/>
          <w:szCs w:val="36"/>
          <w:highlight w:val="none"/>
        </w:rPr>
        <w:t>第五章 招标工程的技术要求和前期文件</w:t>
      </w:r>
      <w:bookmarkEnd w:id="409"/>
      <w:bookmarkEnd w:id="411"/>
      <w:bookmarkEnd w:id="412"/>
      <w:bookmarkEnd w:id="413"/>
      <w:bookmarkEnd w:id="414"/>
      <w:bookmarkEnd w:id="415"/>
      <w:bookmarkEnd w:id="416"/>
      <w:bookmarkEnd w:id="417"/>
      <w:bookmarkEnd w:id="418"/>
      <w:bookmarkEnd w:id="419"/>
    </w:p>
    <w:p w14:paraId="1EE2FAAA">
      <w:pPr>
        <w:pStyle w:val="11"/>
        <w:spacing w:line="360" w:lineRule="auto"/>
        <w:ind w:firstLine="241" w:firstLineChars="100"/>
        <w:outlineLvl w:val="1"/>
        <w:rPr>
          <w:rFonts w:hint="eastAsia" w:asciiTheme="minorEastAsia" w:hAnsiTheme="minorEastAsia" w:eastAsiaTheme="minorEastAsia" w:cstheme="minorEastAsia"/>
          <w:b/>
          <w:bCs/>
          <w:color w:val="auto"/>
          <w:szCs w:val="22"/>
          <w:highlight w:val="none"/>
        </w:rPr>
      </w:pPr>
      <w:bookmarkStart w:id="420" w:name="_Hlt69265216"/>
      <w:bookmarkEnd w:id="420"/>
      <w:bookmarkStart w:id="421" w:name="_Hlt69116854"/>
      <w:bookmarkEnd w:id="421"/>
      <w:bookmarkStart w:id="422" w:name="_Hlt69359335"/>
      <w:bookmarkEnd w:id="422"/>
      <w:bookmarkStart w:id="423" w:name="_Hlt66104926"/>
      <w:bookmarkEnd w:id="423"/>
      <w:bookmarkStart w:id="424" w:name="_Hlt69357851"/>
      <w:bookmarkEnd w:id="424"/>
      <w:bookmarkStart w:id="425" w:name="_Hlt87793370"/>
      <w:bookmarkEnd w:id="425"/>
      <w:bookmarkStart w:id="426" w:name="_Hlt68774758"/>
      <w:bookmarkEnd w:id="426"/>
      <w:bookmarkStart w:id="427" w:name="_Hlt75685840"/>
      <w:bookmarkEnd w:id="427"/>
      <w:bookmarkStart w:id="428" w:name="_Hlt80411122"/>
      <w:bookmarkEnd w:id="428"/>
      <w:bookmarkStart w:id="429" w:name="_Hlt69358207"/>
      <w:bookmarkEnd w:id="429"/>
      <w:bookmarkStart w:id="430" w:name="_Hlt87793346"/>
      <w:bookmarkEnd w:id="430"/>
      <w:bookmarkStart w:id="431" w:name="_Toc5215"/>
      <w:bookmarkStart w:id="432" w:name="_Toc1173"/>
      <w:bookmarkStart w:id="433" w:name="_Toc466640611"/>
      <w:bookmarkStart w:id="434" w:name="_Toc8935"/>
      <w:bookmarkStart w:id="435" w:name="_Toc31511"/>
      <w:bookmarkStart w:id="436" w:name="_Toc7837"/>
      <w:bookmarkStart w:id="437" w:name="_Toc25463"/>
      <w:bookmarkStart w:id="438" w:name="_Toc1436"/>
      <w:bookmarkStart w:id="439" w:name="_Toc21545"/>
    </w:p>
    <w:p w14:paraId="50BE59D3">
      <w:pPr>
        <w:pStyle w:val="11"/>
        <w:numPr>
          <w:ilvl w:val="0"/>
          <w:numId w:val="5"/>
        </w:numPr>
        <w:spacing w:line="360" w:lineRule="auto"/>
        <w:ind w:firstLine="420" w:firstLineChars="0"/>
        <w:outlineLvl w:val="1"/>
        <w:rPr>
          <w:rFonts w:hint="eastAsia" w:asciiTheme="minorEastAsia" w:hAnsiTheme="minorEastAsia" w:eastAsiaTheme="minorEastAsia" w:cstheme="minorEastAsia"/>
          <w:color w:val="auto"/>
          <w:szCs w:val="24"/>
          <w:highlight w:val="none"/>
        </w:rPr>
      </w:pPr>
      <w:bookmarkStart w:id="440" w:name="_Toc16012"/>
      <w:r>
        <w:rPr>
          <w:rFonts w:hint="eastAsia" w:asciiTheme="minorEastAsia" w:hAnsiTheme="minorEastAsia" w:eastAsiaTheme="minorEastAsia" w:cstheme="minorEastAsia"/>
          <w:b/>
          <w:bCs/>
          <w:color w:val="auto"/>
          <w:szCs w:val="24"/>
          <w:highlight w:val="none"/>
        </w:rPr>
        <w:t>工程的技术要求</w:t>
      </w:r>
      <w:bookmarkEnd w:id="431"/>
      <w:bookmarkEnd w:id="432"/>
      <w:bookmarkEnd w:id="433"/>
      <w:bookmarkEnd w:id="434"/>
      <w:bookmarkEnd w:id="435"/>
      <w:bookmarkEnd w:id="436"/>
      <w:bookmarkEnd w:id="437"/>
      <w:bookmarkEnd w:id="438"/>
      <w:bookmarkEnd w:id="439"/>
      <w:bookmarkEnd w:id="440"/>
    </w:p>
    <w:p w14:paraId="214A3CC0">
      <w:pPr>
        <w:keepNext w:val="0"/>
        <w:keepLines w:val="0"/>
        <w:pageBreakBefore w:val="0"/>
        <w:kinsoku/>
        <w:wordWrap w:val="0"/>
        <w:overflowPunct/>
        <w:topLinePunct w:val="0"/>
        <w:bidi w:val="0"/>
        <w:adjustRightInd/>
        <w:snapToGrid/>
        <w:spacing w:line="360" w:lineRule="auto"/>
        <w:ind w:firstLine="482" w:firstLineChars="200"/>
        <w:rPr>
          <w:rFonts w:hint="default" w:hAnsi="宋体" w:eastAsia="宋体" w:cs="宋体"/>
          <w:b/>
          <w:snapToGrid w:val="0"/>
          <w:color w:val="auto"/>
          <w:kern w:val="0"/>
          <w:szCs w:val="22"/>
          <w:highlight w:val="none"/>
        </w:rPr>
      </w:pPr>
      <w:r>
        <w:rPr>
          <w:rFonts w:hAnsi="宋体" w:eastAsia="宋体" w:cs="宋体"/>
          <w:b/>
          <w:snapToGrid w:val="0"/>
          <w:color w:val="auto"/>
          <w:kern w:val="0"/>
          <w:szCs w:val="22"/>
          <w:highlight w:val="none"/>
        </w:rPr>
        <w:t>1．房屋建筑工程建设项目</w:t>
      </w:r>
    </w:p>
    <w:p w14:paraId="3C3D13AC">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房屋建筑工程建设项目必须执行的现行技术规范，包括且不限于：</w:t>
      </w:r>
    </w:p>
    <w:p w14:paraId="4041A220">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（1）《建筑工程施工质量验收统一标准》；</w:t>
      </w:r>
    </w:p>
    <w:p w14:paraId="59CD8213">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（2）《建筑地基基础工程施工质量验收规范》；</w:t>
      </w:r>
    </w:p>
    <w:p w14:paraId="15DF04B0">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（3）《砌体工程施工质量验收规范》；</w:t>
      </w:r>
    </w:p>
    <w:p w14:paraId="74A58B0F">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（4）《混凝土结构工程施工质量验收规范》；</w:t>
      </w:r>
    </w:p>
    <w:p w14:paraId="3D5DEB11">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（5）《屋面工程质量验收规范》；</w:t>
      </w:r>
    </w:p>
    <w:p w14:paraId="2176FDA6">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（6）《地下防水工程质量验收规范》；</w:t>
      </w:r>
    </w:p>
    <w:p w14:paraId="3FCF9A51">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（7）</w:t>
      </w:r>
      <w:bookmarkStart w:id="441" w:name="_Hlt78795211"/>
      <w:bookmarkEnd w:id="441"/>
      <w:r>
        <w:rPr>
          <w:rFonts w:hAnsi="宋体" w:eastAsia="宋体" w:cs="宋体"/>
          <w:bCs/>
          <w:snapToGrid w:val="0"/>
          <w:color w:val="auto"/>
          <w:kern w:val="0"/>
          <w:szCs w:val="22"/>
          <w:highlight w:val="none"/>
        </w:rPr>
        <w:t>《建筑地面工程施工质量验收规范》；</w:t>
      </w:r>
    </w:p>
    <w:p w14:paraId="07A1971F">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（8）《建筑装饰装修工程施工质量验收规范》；</w:t>
      </w:r>
    </w:p>
    <w:p w14:paraId="58C9DA95">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（9）《建筑给排水及采暖工程施工质量验收规范》；</w:t>
      </w:r>
    </w:p>
    <w:p w14:paraId="580E9FA8">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（10）《建筑电气工程施工质量验收规范》；</w:t>
      </w:r>
    </w:p>
    <w:p w14:paraId="468C4021">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（11）《住建部绿色建筑评价标准》；</w:t>
      </w:r>
    </w:p>
    <w:p w14:paraId="4F42CC43">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（12）《建筑节能与可再生能源利用通用规范》；</w:t>
      </w:r>
    </w:p>
    <w:p w14:paraId="0B77CE8B">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（13）《建筑环境通用规范》；</w:t>
      </w:r>
    </w:p>
    <w:p w14:paraId="1AD4D40B">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（14）《广东省住房和城乡建设厅绿色施工导则》；</w:t>
      </w:r>
    </w:p>
    <w:p w14:paraId="1FD06F16">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（15）《广东省建筑工程绿色施工评价标准》；</w:t>
      </w:r>
    </w:p>
    <w:p w14:paraId="40BFB4DB">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（16）《广东省建筑节能与绿色建筑工程施工质量验收规范》</w:t>
      </w:r>
    </w:p>
    <w:p w14:paraId="3A28712F">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（17）其他现行国家、广东省关于房建工程的施工及验收规范、定额、规程、标准。</w:t>
      </w:r>
    </w:p>
    <w:p w14:paraId="6FA556B2">
      <w:pPr>
        <w:keepNext w:val="0"/>
        <w:keepLines w:val="0"/>
        <w:pageBreakBefore w:val="0"/>
        <w:kinsoku/>
        <w:wordWrap w:val="0"/>
        <w:overflowPunct/>
        <w:topLinePunct w:val="0"/>
        <w:bidi w:val="0"/>
        <w:adjustRightInd/>
        <w:snapToGrid/>
        <w:spacing w:line="360" w:lineRule="auto"/>
        <w:ind w:firstLine="482" w:firstLineChars="200"/>
        <w:rPr>
          <w:rFonts w:hint="default" w:hAnsi="宋体" w:eastAsia="宋体" w:cs="宋体"/>
          <w:bCs/>
          <w:snapToGrid w:val="0"/>
          <w:color w:val="auto"/>
          <w:kern w:val="0"/>
          <w:szCs w:val="22"/>
          <w:highlight w:val="none"/>
        </w:rPr>
      </w:pPr>
      <w:r>
        <w:rPr>
          <w:rFonts w:hAnsi="宋体" w:eastAsia="宋体" w:cs="宋体"/>
          <w:b/>
          <w:snapToGrid w:val="0"/>
          <w:color w:val="auto"/>
          <w:kern w:val="0"/>
          <w:szCs w:val="22"/>
          <w:highlight w:val="none"/>
        </w:rPr>
        <w:t>2．市政基础设施工程建设项目</w:t>
      </w:r>
    </w:p>
    <w:p w14:paraId="4FE22136">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36"/>
          <w:highlight w:val="none"/>
        </w:rPr>
      </w:pPr>
      <w:r>
        <w:rPr>
          <w:rFonts w:hAnsi="宋体" w:eastAsia="宋体" w:cs="宋体"/>
          <w:bCs/>
          <w:snapToGrid w:val="0"/>
          <w:color w:val="auto"/>
          <w:kern w:val="0"/>
          <w:szCs w:val="22"/>
          <w:highlight w:val="none"/>
        </w:rPr>
        <w:t>市政基础设施工程建设项目必须执行的现行技术规范，包括且不限于：</w:t>
      </w:r>
    </w:p>
    <w:p w14:paraId="27F695FB">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36"/>
          <w:highlight w:val="none"/>
        </w:rPr>
        <w:t>（1）《公路路基施工技术规范》</w:t>
      </w:r>
      <w:r>
        <w:rPr>
          <w:rFonts w:hAnsi="宋体" w:eastAsia="宋体" w:cs="宋体"/>
          <w:bCs/>
          <w:snapToGrid w:val="0"/>
          <w:color w:val="auto"/>
          <w:kern w:val="0"/>
          <w:szCs w:val="22"/>
          <w:highlight w:val="none"/>
        </w:rPr>
        <w:t>；</w:t>
      </w:r>
    </w:p>
    <w:p w14:paraId="4F036552">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（2）《市政道路工程质量检验评定标准》；</w:t>
      </w:r>
    </w:p>
    <w:p w14:paraId="2E5FE475">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（3）《市政排水管渠工程质量检验评定标准》；</w:t>
      </w:r>
    </w:p>
    <w:p w14:paraId="6E03094C">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（4）《给水排水管道工程施工及验收规范》；</w:t>
      </w:r>
    </w:p>
    <w:p w14:paraId="02A1A32C">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（5）《城市道路路基工程施工及验收规范》；</w:t>
      </w:r>
    </w:p>
    <w:p w14:paraId="5AED9BEC">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（6）《水泥砼路面施工及验收规范》；</w:t>
      </w:r>
    </w:p>
    <w:p w14:paraId="3498E2EE">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（7）《公路水泥砼路面施工技术规范》；</w:t>
      </w:r>
    </w:p>
    <w:p w14:paraId="2B939BF1">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（8）《埋地硬聚氯乙烯排水管道工程技术规程》；</w:t>
      </w:r>
    </w:p>
    <w:p w14:paraId="05925CAF">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（9）《沥青路面施工及验收规范》；</w:t>
      </w:r>
    </w:p>
    <w:p w14:paraId="4F9C778E">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（10）《广东省市政工程施工质量技术资料统一用表》。</w:t>
      </w:r>
    </w:p>
    <w:p w14:paraId="3B4A5B16">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bookmarkStart w:id="442" w:name="_Toc3736"/>
      <w:bookmarkStart w:id="443" w:name="_Toc15315"/>
      <w:bookmarkStart w:id="444" w:name="_Toc31614"/>
      <w:r>
        <w:rPr>
          <w:rFonts w:hAnsi="宋体" w:eastAsia="宋体" w:cs="宋体"/>
          <w:bCs/>
          <w:snapToGrid w:val="0"/>
          <w:color w:val="auto"/>
          <w:kern w:val="0"/>
          <w:szCs w:val="22"/>
          <w:highlight w:val="none"/>
        </w:rPr>
        <w:t>（11）</w:t>
      </w:r>
      <w:r>
        <w:rPr>
          <w:rFonts w:hAnsi="宋体" w:eastAsia="宋体" w:cs="宋体"/>
          <w:bCs/>
          <w:color w:val="auto"/>
          <w:kern w:val="0"/>
          <w:szCs w:val="24"/>
          <w:highlight w:val="none"/>
        </w:rPr>
        <w:t>《城市道路照明设计标准》（CJJ45-2015）；</w:t>
      </w:r>
      <w:bookmarkEnd w:id="442"/>
      <w:bookmarkEnd w:id="443"/>
      <w:bookmarkEnd w:id="444"/>
    </w:p>
    <w:p w14:paraId="3F594A74">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szCs w:val="24"/>
          <w:highlight w:val="none"/>
        </w:rPr>
      </w:pPr>
      <w:bookmarkStart w:id="445" w:name="_Toc27202"/>
      <w:bookmarkStart w:id="446" w:name="_Toc5347"/>
      <w:bookmarkStart w:id="447" w:name="_Toc20893"/>
      <w:r>
        <w:rPr>
          <w:rFonts w:hAnsi="宋体" w:eastAsia="宋体" w:cs="宋体"/>
          <w:bCs/>
          <w:color w:val="auto"/>
          <w:kern w:val="0"/>
          <w:szCs w:val="24"/>
          <w:highlight w:val="none"/>
        </w:rPr>
        <w:t>（12）《低压配电设计规范》（GB50054-2011）；</w:t>
      </w:r>
      <w:bookmarkEnd w:id="445"/>
      <w:bookmarkEnd w:id="446"/>
      <w:bookmarkEnd w:id="447"/>
    </w:p>
    <w:p w14:paraId="27D71AB8">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szCs w:val="24"/>
          <w:highlight w:val="none"/>
        </w:rPr>
      </w:pPr>
      <w:bookmarkStart w:id="448" w:name="_Toc11722"/>
      <w:bookmarkStart w:id="449" w:name="_Toc9733"/>
      <w:bookmarkStart w:id="450" w:name="_Toc5827"/>
      <w:r>
        <w:rPr>
          <w:rFonts w:hAnsi="宋体" w:eastAsia="宋体" w:cs="宋体"/>
          <w:bCs/>
          <w:color w:val="auto"/>
          <w:kern w:val="0"/>
          <w:szCs w:val="24"/>
          <w:highlight w:val="none"/>
        </w:rPr>
        <w:t>（13）《城市道路照明工程施工及验收规程》（CJJ89-2012）；</w:t>
      </w:r>
      <w:bookmarkEnd w:id="448"/>
      <w:bookmarkEnd w:id="449"/>
      <w:bookmarkEnd w:id="450"/>
    </w:p>
    <w:p w14:paraId="3D3299B1">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bookmarkStart w:id="451" w:name="_Toc23156"/>
      <w:bookmarkStart w:id="452" w:name="_Toc3289"/>
      <w:bookmarkStart w:id="453" w:name="_Toc10913"/>
      <w:r>
        <w:rPr>
          <w:rFonts w:hAnsi="宋体" w:eastAsia="宋体" w:cs="宋体"/>
          <w:bCs/>
          <w:color w:val="auto"/>
          <w:kern w:val="0"/>
          <w:szCs w:val="24"/>
          <w:highlight w:val="none"/>
        </w:rPr>
        <w:t>（14）《LED道路照明工程技术规范》（DB44/T 1898-2016）；</w:t>
      </w:r>
      <w:bookmarkEnd w:id="451"/>
      <w:bookmarkEnd w:id="452"/>
      <w:bookmarkEnd w:id="453"/>
    </w:p>
    <w:p w14:paraId="50A9CEC1">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bookmarkStart w:id="454" w:name="_Toc31777"/>
      <w:bookmarkStart w:id="455" w:name="_Toc20060"/>
      <w:bookmarkStart w:id="456" w:name="_Toc23729"/>
      <w:r>
        <w:rPr>
          <w:rFonts w:hAnsi="宋体" w:eastAsia="宋体" w:cs="宋体"/>
          <w:bCs/>
          <w:color w:val="auto"/>
          <w:kern w:val="0"/>
          <w:szCs w:val="24"/>
          <w:highlight w:val="none"/>
        </w:rPr>
        <w:t>（15）《灯具第1部分：一般要求与试验》（GB7000.1-2015）；</w:t>
      </w:r>
      <w:bookmarkEnd w:id="454"/>
      <w:bookmarkEnd w:id="455"/>
      <w:bookmarkEnd w:id="456"/>
    </w:p>
    <w:p w14:paraId="7EC6F37D">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bookmarkStart w:id="457" w:name="_Toc13117"/>
      <w:bookmarkStart w:id="458" w:name="_Toc4568"/>
      <w:bookmarkStart w:id="459" w:name="_Toc11185"/>
      <w:r>
        <w:rPr>
          <w:rFonts w:hAnsi="宋体" w:eastAsia="宋体" w:cs="宋体"/>
          <w:bCs/>
          <w:color w:val="auto"/>
          <w:kern w:val="0"/>
          <w:szCs w:val="24"/>
          <w:highlight w:val="none"/>
        </w:rPr>
        <w:t>（16）《电缆工程电缆设计标准》（GB50217-2018）；</w:t>
      </w:r>
      <w:bookmarkEnd w:id="457"/>
      <w:bookmarkEnd w:id="458"/>
      <w:bookmarkEnd w:id="459"/>
    </w:p>
    <w:p w14:paraId="0D1CFE67">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（17）其他现行国家、广东省关于市政工程的技术及验收规范、定额、规程、标准。</w:t>
      </w:r>
    </w:p>
    <w:p w14:paraId="6CFF5F8E">
      <w:pPr>
        <w:keepNext w:val="0"/>
        <w:keepLines w:val="0"/>
        <w:pageBreakBefore w:val="0"/>
        <w:kinsoku/>
        <w:wordWrap w:val="0"/>
        <w:overflowPunct/>
        <w:topLinePunct w:val="0"/>
        <w:bidi w:val="0"/>
        <w:adjustRightInd/>
        <w:snapToGrid/>
        <w:spacing w:line="360" w:lineRule="auto"/>
        <w:ind w:firstLine="482" w:firstLineChars="200"/>
        <w:outlineLvl w:val="1"/>
        <w:rPr>
          <w:rFonts w:hint="default" w:hAnsi="宋体" w:eastAsia="宋体" w:cs="宋体"/>
          <w:b/>
          <w:snapToGrid w:val="0"/>
          <w:color w:val="auto"/>
          <w:kern w:val="0"/>
          <w:szCs w:val="22"/>
          <w:highlight w:val="none"/>
        </w:rPr>
      </w:pPr>
      <w:r>
        <w:rPr>
          <w:rFonts w:hAnsi="宋体" w:eastAsia="宋体" w:cs="宋体"/>
          <w:b/>
          <w:snapToGrid w:val="0"/>
          <w:color w:val="auto"/>
          <w:kern w:val="0"/>
          <w:szCs w:val="22"/>
          <w:highlight w:val="none"/>
        </w:rPr>
        <w:t>3.设计规范</w:t>
      </w:r>
    </w:p>
    <w:p w14:paraId="64A8C9F4">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（1）《市政公用工程设计文件编制深度规定》（2025年版）；</w:t>
      </w:r>
    </w:p>
    <w:p w14:paraId="54AD0208">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（2）《城市居住区规划设计规范》GB50180-93（2016 年）；</w:t>
      </w:r>
    </w:p>
    <w:p w14:paraId="30DDEDCA">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（3）《城市道路工程设计规》（CJJ37-2012）；</w:t>
      </w:r>
    </w:p>
    <w:p w14:paraId="7C598118">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（4）《城市道路路线设计规范》（CJJ 193-2012）；</w:t>
      </w:r>
    </w:p>
    <w:p w14:paraId="00CF7943">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（5）《城市道路路基设计规范》（CJJ194-2013）；</w:t>
      </w:r>
    </w:p>
    <w:p w14:paraId="0AFE289C">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（6）《城镇道路路面设计规范》（CJJ169-2012）；</w:t>
      </w:r>
    </w:p>
    <w:p w14:paraId="68722AE6">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（7）《城市道路交通规划与设计规范》（GB0220-95）；</w:t>
      </w:r>
    </w:p>
    <w:p w14:paraId="4A263CC1">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（8）《无障碍设计规范》（GB 50763-2012）；</w:t>
      </w:r>
    </w:p>
    <w:p w14:paraId="76522438">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（9）《混凝土结构设计规范》（GB50010-2010）；</w:t>
      </w:r>
    </w:p>
    <w:p w14:paraId="7916E021">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（10）《城市防洪工程设计规范》（GB/T 50805-2012）；</w:t>
      </w:r>
    </w:p>
    <w:p w14:paraId="1FEAC2F1">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（11）《室外排水设计规范（2016 年版）》（GB50014-2006）；</w:t>
      </w:r>
    </w:p>
    <w:p w14:paraId="1CA486E1">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（12）《给水排水工程结构设计规范》（GB 500069－2002）；</w:t>
      </w:r>
    </w:p>
    <w:p w14:paraId="13783A28">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（13）《居住小区给水排水设计规范》（CECS57：94）；</w:t>
      </w:r>
    </w:p>
    <w:p w14:paraId="59C9CF4D">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（14）《建筑给水排水设计规范》（GB50015-2003）2009 年版；</w:t>
      </w:r>
    </w:p>
    <w:p w14:paraId="58BEADEE">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（15）《建筑设计防火规范》（GB50016-2014）；</w:t>
      </w:r>
    </w:p>
    <w:p w14:paraId="420CB0A7">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（16）《灌溉与排水工程设计规范》（GB50288-99）；</w:t>
      </w:r>
    </w:p>
    <w:p w14:paraId="480DCECE">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（17）《城市道路绿化规划与设计规范》（CJJ75-97）；</w:t>
      </w:r>
    </w:p>
    <w:p w14:paraId="6DD0A386">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（18）《电力工程电力设计规范》（GB50217-2007）；</w:t>
      </w:r>
    </w:p>
    <w:p w14:paraId="73669E5C">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Ansi="宋体" w:eastAsia="宋体" w:cs="宋体"/>
          <w:bCs/>
          <w:color w:val="auto"/>
          <w:kern w:val="0"/>
          <w:szCs w:val="24"/>
          <w:highlight w:val="none"/>
        </w:rPr>
      </w:pPr>
      <w:r>
        <w:rPr>
          <w:rFonts w:hAnsi="宋体" w:eastAsia="宋体" w:cs="宋体"/>
          <w:bCs/>
          <w:color w:val="auto"/>
          <w:kern w:val="0"/>
          <w:szCs w:val="24"/>
          <w:highlight w:val="none"/>
        </w:rPr>
        <w:t>（19）《砌体结构设计规范》（GB50003-2001）；</w:t>
      </w:r>
    </w:p>
    <w:p w14:paraId="669AA975">
      <w:pPr>
        <w:keepNext w:val="0"/>
        <w:keepLines w:val="0"/>
        <w:pageBreakBefore w:val="0"/>
        <w:kinsoku/>
        <w:overflowPunct/>
        <w:topLinePunct w:val="0"/>
        <w:bidi w:val="0"/>
        <w:spacing w:line="360" w:lineRule="auto"/>
        <w:ind w:firstLine="482" w:firstLineChars="200"/>
        <w:rPr>
          <w:rFonts w:hint="default" w:asciiTheme="minorEastAsia" w:hAnsiTheme="minorEastAsia" w:eastAsiaTheme="minorEastAsia" w:cstheme="minorEastAsia"/>
          <w:b/>
          <w:color w:val="auto"/>
          <w:highlight w:val="none"/>
        </w:rPr>
      </w:pPr>
      <w:r>
        <w:rPr>
          <w:rFonts w:asciiTheme="minorEastAsia" w:hAnsiTheme="minorEastAsia" w:eastAsiaTheme="minorEastAsia" w:cstheme="minorEastAsia"/>
          <w:b/>
          <w:color w:val="auto"/>
          <w:highlight w:val="none"/>
        </w:rPr>
        <w:t>注：以上规范或规定如有更新，则以更新后的规范及规定为准。</w:t>
      </w:r>
    </w:p>
    <w:p w14:paraId="12655297">
      <w:pPr>
        <w:pStyle w:val="2"/>
        <w:keepNext w:val="0"/>
        <w:keepLines w:val="0"/>
        <w:pageBreakBefore w:val="0"/>
        <w:kinsoku/>
        <w:overflowPunct/>
        <w:topLinePunct w:val="0"/>
        <w:bidi w:val="0"/>
        <w:spacing w:line="360" w:lineRule="auto"/>
        <w:rPr>
          <w:rFonts w:hint="default"/>
          <w:color w:val="auto"/>
          <w:highlight w:val="none"/>
        </w:rPr>
      </w:pPr>
    </w:p>
    <w:p w14:paraId="14331281">
      <w:pPr>
        <w:pStyle w:val="11"/>
        <w:numPr>
          <w:ilvl w:val="0"/>
          <w:numId w:val="5"/>
        </w:numPr>
        <w:spacing w:line="360" w:lineRule="auto"/>
        <w:ind w:firstLine="420" w:firstLineChars="0"/>
        <w:rPr>
          <w:rFonts w:hint="eastAsia" w:asciiTheme="minorEastAsia" w:hAnsiTheme="minorEastAsia" w:eastAsiaTheme="minorEastAsia" w:cstheme="minorEastAsia"/>
          <w:b/>
          <w:bCs/>
          <w:strike w:val="0"/>
          <w:snapToGrid/>
          <w:color w:val="auto"/>
          <w:kern w:val="0"/>
          <w:szCs w:val="22"/>
          <w:highlight w:val="none"/>
        </w:rPr>
      </w:pPr>
      <w:bookmarkStart w:id="460" w:name="_Toc779"/>
      <w:bookmarkStart w:id="461" w:name="_Toc25386"/>
      <w:bookmarkStart w:id="462" w:name="_Toc2115"/>
      <w:bookmarkStart w:id="463" w:name="_Toc10936"/>
      <w:r>
        <w:rPr>
          <w:rFonts w:asciiTheme="minorEastAsia" w:hAnsiTheme="minorEastAsia" w:eastAsiaTheme="minorEastAsia" w:cstheme="minorEastAsia"/>
          <w:b/>
          <w:bCs/>
          <w:snapToGrid/>
          <w:color w:val="auto"/>
          <w:kern w:val="0"/>
          <w:szCs w:val="22"/>
          <w:highlight w:val="none"/>
        </w:rPr>
        <w:t>备查要求</w:t>
      </w:r>
      <w:bookmarkEnd w:id="460"/>
      <w:bookmarkEnd w:id="461"/>
      <w:bookmarkEnd w:id="462"/>
      <w:bookmarkEnd w:id="463"/>
    </w:p>
    <w:p w14:paraId="018AAEEA">
      <w:pPr>
        <w:keepNext w:val="0"/>
        <w:keepLines w:val="0"/>
        <w:pageBreakBefore w:val="0"/>
        <w:kinsoku/>
        <w:overflowPunct/>
        <w:topLinePunct w:val="0"/>
        <w:bidi w:val="0"/>
        <w:spacing w:line="360" w:lineRule="auto"/>
        <w:ind w:firstLine="480" w:firstLineChars="200"/>
        <w:rPr>
          <w:rFonts w:hint="default" w:hAnsi="宋体" w:eastAsia="宋体" w:cs="宋体"/>
          <w:color w:val="auto"/>
          <w:highlight w:val="none"/>
        </w:rPr>
      </w:pPr>
      <w:r>
        <w:rPr>
          <w:rFonts w:hAnsi="宋体" w:eastAsia="宋体" w:cs="宋体"/>
          <w:snapToGrid w:val="0"/>
          <w:color w:val="auto"/>
          <w:kern w:val="0"/>
          <w:szCs w:val="22"/>
          <w:highlight w:val="none"/>
        </w:rPr>
        <w:t>承包</w:t>
      </w:r>
      <w:r>
        <w:rPr>
          <w:rFonts w:hAnsi="宋体" w:eastAsia="宋体" w:cs="宋体"/>
          <w:bCs/>
          <w:snapToGrid w:val="0"/>
          <w:color w:val="auto"/>
          <w:kern w:val="0"/>
          <w:szCs w:val="22"/>
          <w:highlight w:val="none"/>
        </w:rPr>
        <w:t>人必须在施工现场准备至少一套上述规范，</w:t>
      </w:r>
      <w:r>
        <w:rPr>
          <w:rFonts w:hAnsi="宋体" w:eastAsia="宋体" w:cs="宋体"/>
          <w:snapToGrid w:val="0"/>
          <w:color w:val="auto"/>
          <w:kern w:val="0"/>
          <w:szCs w:val="22"/>
          <w:highlight w:val="none"/>
        </w:rPr>
        <w:t>发包</w:t>
      </w:r>
      <w:r>
        <w:rPr>
          <w:rFonts w:hAnsi="宋体" w:eastAsia="宋体" w:cs="宋体"/>
          <w:bCs/>
          <w:snapToGrid w:val="0"/>
          <w:color w:val="auto"/>
          <w:kern w:val="0"/>
          <w:szCs w:val="22"/>
          <w:highlight w:val="none"/>
        </w:rPr>
        <w:t>人和监理单位可随时检查</w:t>
      </w:r>
      <w:r>
        <w:rPr>
          <w:rFonts w:hAnsi="宋体" w:eastAsia="宋体" w:cs="宋体"/>
          <w:snapToGrid w:val="0"/>
          <w:color w:val="auto"/>
          <w:kern w:val="0"/>
          <w:szCs w:val="22"/>
          <w:highlight w:val="none"/>
        </w:rPr>
        <w:t>承包</w:t>
      </w:r>
      <w:r>
        <w:rPr>
          <w:rFonts w:hAnsi="宋体" w:eastAsia="宋体" w:cs="宋体"/>
          <w:bCs/>
          <w:snapToGrid w:val="0"/>
          <w:color w:val="auto"/>
          <w:kern w:val="0"/>
          <w:szCs w:val="22"/>
          <w:highlight w:val="none"/>
        </w:rPr>
        <w:t>人的上述规范，并监督</w:t>
      </w:r>
      <w:r>
        <w:rPr>
          <w:rFonts w:hAnsi="宋体" w:eastAsia="宋体" w:cs="宋体"/>
          <w:snapToGrid w:val="0"/>
          <w:color w:val="auto"/>
          <w:kern w:val="0"/>
          <w:szCs w:val="22"/>
          <w:highlight w:val="none"/>
        </w:rPr>
        <w:t>承包</w:t>
      </w:r>
      <w:r>
        <w:rPr>
          <w:rFonts w:hAnsi="宋体" w:eastAsia="宋体" w:cs="宋体"/>
          <w:bCs/>
          <w:snapToGrid w:val="0"/>
          <w:color w:val="auto"/>
          <w:kern w:val="0"/>
          <w:szCs w:val="22"/>
          <w:highlight w:val="none"/>
        </w:rPr>
        <w:t>人按规范要求执行。</w:t>
      </w:r>
    </w:p>
    <w:p w14:paraId="0C9B723D">
      <w:pPr>
        <w:pStyle w:val="14"/>
        <w:spacing w:line="360" w:lineRule="auto"/>
        <w:ind w:firstLine="480" w:firstLineChars="200"/>
        <w:rPr>
          <w:rFonts w:hint="eastAsia" w:asciiTheme="minorEastAsia" w:hAnsiTheme="minorEastAsia" w:eastAsiaTheme="minorEastAsia" w:cstheme="minorEastAsia"/>
          <w:color w:val="auto"/>
          <w:sz w:val="24"/>
          <w:szCs w:val="24"/>
          <w:highlight w:val="none"/>
        </w:rPr>
      </w:pPr>
    </w:p>
    <w:p w14:paraId="6D4F622D">
      <w:pPr>
        <w:pStyle w:val="14"/>
        <w:spacing w:line="360" w:lineRule="auto"/>
        <w:ind w:firstLine="480" w:firstLineChars="200"/>
        <w:rPr>
          <w:rFonts w:hint="eastAsia" w:asciiTheme="minorEastAsia" w:hAnsiTheme="minorEastAsia" w:eastAsiaTheme="minorEastAsia" w:cstheme="minorEastAsia"/>
          <w:color w:val="auto"/>
          <w:sz w:val="24"/>
          <w:szCs w:val="24"/>
          <w:highlight w:val="none"/>
        </w:rPr>
      </w:pPr>
    </w:p>
    <w:p w14:paraId="1DFDE23E">
      <w:pPr>
        <w:pStyle w:val="15"/>
        <w:spacing w:line="360" w:lineRule="auto"/>
        <w:rPr>
          <w:rFonts w:hint="eastAsia" w:asciiTheme="minorEastAsia" w:hAnsiTheme="minorEastAsia" w:eastAsiaTheme="minorEastAsia" w:cstheme="minorEastAsia"/>
          <w:color w:val="auto"/>
          <w:sz w:val="24"/>
          <w:szCs w:val="24"/>
          <w:highlight w:val="none"/>
        </w:rPr>
      </w:pPr>
    </w:p>
    <w:p w14:paraId="562916FB">
      <w:pPr>
        <w:pStyle w:val="15"/>
        <w:spacing w:line="360" w:lineRule="auto"/>
        <w:rPr>
          <w:rFonts w:hint="eastAsia" w:asciiTheme="minorEastAsia" w:hAnsiTheme="minorEastAsia" w:eastAsiaTheme="minorEastAsia" w:cstheme="minorEastAsia"/>
          <w:color w:val="auto"/>
          <w:sz w:val="24"/>
          <w:szCs w:val="24"/>
          <w:highlight w:val="none"/>
        </w:rPr>
      </w:pPr>
    </w:p>
    <w:p w14:paraId="15ABA444">
      <w:pPr>
        <w:pStyle w:val="15"/>
        <w:spacing w:line="360" w:lineRule="auto"/>
        <w:rPr>
          <w:rFonts w:hint="eastAsia" w:asciiTheme="minorEastAsia" w:hAnsiTheme="minorEastAsia" w:eastAsiaTheme="minorEastAsia" w:cstheme="minorEastAsia"/>
          <w:color w:val="auto"/>
          <w:sz w:val="24"/>
          <w:szCs w:val="24"/>
          <w:highlight w:val="none"/>
        </w:rPr>
      </w:pPr>
    </w:p>
    <w:p w14:paraId="195782EA">
      <w:pPr>
        <w:pStyle w:val="15"/>
        <w:spacing w:line="360" w:lineRule="auto"/>
        <w:rPr>
          <w:rFonts w:hint="eastAsia" w:asciiTheme="minorEastAsia" w:hAnsiTheme="minorEastAsia" w:eastAsiaTheme="minorEastAsia" w:cstheme="minorEastAsia"/>
          <w:color w:val="auto"/>
          <w:sz w:val="24"/>
          <w:szCs w:val="24"/>
          <w:highlight w:val="none"/>
        </w:rPr>
      </w:pPr>
    </w:p>
    <w:p w14:paraId="4E942E33">
      <w:pPr>
        <w:rPr>
          <w:rFonts w:hint="eastAsia" w:asciiTheme="minorEastAsia" w:hAnsiTheme="minorEastAsia" w:eastAsiaTheme="minorEastAsia" w:cstheme="minorEastAsia"/>
          <w:b/>
          <w:color w:val="auto"/>
          <w:kern w:val="44"/>
          <w:sz w:val="36"/>
          <w:szCs w:val="36"/>
          <w:highlight w:val="none"/>
          <w:lang w:val="en-US" w:eastAsia="zh-CN"/>
        </w:rPr>
      </w:pPr>
      <w:bookmarkStart w:id="464" w:name="_Toc7282"/>
      <w:bookmarkStart w:id="465" w:name="_Hlt69698785"/>
      <w:r>
        <w:rPr>
          <w:rFonts w:hint="eastAsia" w:asciiTheme="minorEastAsia" w:hAnsiTheme="minorEastAsia" w:eastAsiaTheme="minorEastAsia" w:cstheme="minorEastAsia"/>
          <w:b/>
          <w:color w:val="auto"/>
          <w:kern w:val="44"/>
          <w:sz w:val="36"/>
          <w:szCs w:val="36"/>
          <w:highlight w:val="none"/>
          <w:lang w:val="en-US" w:eastAsia="zh-CN"/>
        </w:rPr>
        <w:br w:type="page"/>
      </w:r>
    </w:p>
    <w:p w14:paraId="0BAE96FA">
      <w:pPr>
        <w:pStyle w:val="48"/>
        <w:keepNext/>
        <w:keepLines/>
        <w:tabs>
          <w:tab w:val="left" w:pos="885"/>
        </w:tabs>
        <w:spacing w:line="360" w:lineRule="auto"/>
        <w:jc w:val="center"/>
        <w:rPr>
          <w:rFonts w:hint="eastAsia" w:asciiTheme="minorEastAsia" w:hAnsiTheme="minorEastAsia" w:eastAsiaTheme="minorEastAsia" w:cstheme="minorEastAsia"/>
          <w:b/>
          <w:color w:val="auto"/>
          <w:kern w:val="44"/>
          <w:sz w:val="36"/>
          <w:szCs w:val="36"/>
          <w:highlight w:val="none"/>
        </w:rPr>
      </w:pPr>
      <w:r>
        <w:rPr>
          <w:rFonts w:hint="eastAsia" w:asciiTheme="minorEastAsia" w:hAnsiTheme="minorEastAsia" w:eastAsiaTheme="minorEastAsia" w:cstheme="minorEastAsia"/>
          <w:b/>
          <w:color w:val="auto"/>
          <w:kern w:val="44"/>
          <w:sz w:val="36"/>
          <w:szCs w:val="36"/>
          <w:highlight w:val="none"/>
          <w:lang w:val="en-US" w:eastAsia="zh-CN"/>
        </w:rPr>
        <w:t xml:space="preserve">第六章  </w:t>
      </w:r>
      <w:r>
        <w:rPr>
          <w:rFonts w:hint="eastAsia" w:asciiTheme="minorEastAsia" w:hAnsiTheme="minorEastAsia" w:eastAsiaTheme="minorEastAsia" w:cstheme="minorEastAsia"/>
          <w:b/>
          <w:color w:val="auto"/>
          <w:kern w:val="44"/>
          <w:sz w:val="36"/>
          <w:szCs w:val="36"/>
          <w:highlight w:val="none"/>
        </w:rPr>
        <w:t>招标文件</w:t>
      </w:r>
      <w:bookmarkStart w:id="466" w:name="_Hlt75747044"/>
      <w:bookmarkEnd w:id="466"/>
      <w:r>
        <w:rPr>
          <w:rFonts w:hint="eastAsia" w:asciiTheme="minorEastAsia" w:hAnsiTheme="minorEastAsia" w:eastAsiaTheme="minorEastAsia" w:cstheme="minorEastAsia"/>
          <w:b/>
          <w:color w:val="auto"/>
          <w:kern w:val="44"/>
          <w:sz w:val="36"/>
          <w:szCs w:val="36"/>
          <w:highlight w:val="none"/>
        </w:rPr>
        <w:t>的附件</w:t>
      </w:r>
      <w:bookmarkEnd w:id="464"/>
    </w:p>
    <w:p w14:paraId="4A3E66F5">
      <w:pPr>
        <w:spacing w:line="360" w:lineRule="auto"/>
        <w:rPr>
          <w:rFonts w:hint="eastAsia" w:asciiTheme="minorEastAsia" w:hAnsiTheme="minorEastAsia" w:eastAsiaTheme="minorEastAsia" w:cstheme="minorEastAsia"/>
          <w:color w:val="auto"/>
          <w:highlight w:val="none"/>
        </w:rPr>
      </w:pPr>
    </w:p>
    <w:bookmarkEnd w:id="465"/>
    <w:p w14:paraId="695B4F72">
      <w:pPr>
        <w:pStyle w:val="11"/>
        <w:spacing w:before="120" w:line="360" w:lineRule="auto"/>
        <w:jc w:val="left"/>
        <w:rPr>
          <w:rFonts w:hint="eastAsia" w:asciiTheme="minorEastAsia" w:hAnsiTheme="minorEastAsia" w:eastAsiaTheme="minorEastAsia" w:cstheme="minorEastAsia"/>
          <w:b/>
          <w:snapToGrid w:val="0"/>
          <w:color w:val="auto"/>
          <w:szCs w:val="24"/>
          <w:highlight w:val="none"/>
        </w:rPr>
      </w:pPr>
      <w:bookmarkStart w:id="467" w:name="_附件五：综合评审合理低价法"/>
      <w:bookmarkEnd w:id="467"/>
      <w:bookmarkStart w:id="468" w:name="_附件一：投标函"/>
      <w:bookmarkEnd w:id="468"/>
      <w:bookmarkStart w:id="469" w:name="_附件二：工期承诺书"/>
      <w:bookmarkEnd w:id="469"/>
      <w:bookmarkStart w:id="470" w:name="_附件二：近三年度主要施工项目（竣工及在建）一览表"/>
      <w:bookmarkEnd w:id="470"/>
      <w:bookmarkStart w:id="471" w:name="_附件一：对招标文件条款自愿接受承诺书"/>
      <w:bookmarkEnd w:id="471"/>
      <w:bookmarkStart w:id="472" w:name="_附件四：工期承诺书"/>
      <w:bookmarkEnd w:id="472"/>
      <w:bookmarkStart w:id="473" w:name="_Toc39136360"/>
      <w:bookmarkStart w:id="474" w:name="_Toc12527"/>
      <w:bookmarkStart w:id="475" w:name="_Toc6178"/>
      <w:bookmarkStart w:id="476" w:name="_Toc3855"/>
      <w:bookmarkStart w:id="477" w:name="_Toc12406"/>
      <w:bookmarkStart w:id="478" w:name="_Toc2902"/>
      <w:bookmarkStart w:id="479" w:name="_Toc133160683"/>
      <w:bookmarkStart w:id="480" w:name="_Toc132687128"/>
      <w:bookmarkStart w:id="481" w:name="_Toc137444778"/>
      <w:bookmarkStart w:id="482" w:name="_Toc142468134"/>
      <w:bookmarkStart w:id="483" w:name="_Toc78794873"/>
      <w:bookmarkStart w:id="484" w:name="_Toc133815902"/>
      <w:r>
        <w:rPr>
          <w:rFonts w:hint="eastAsia" w:asciiTheme="minorEastAsia" w:hAnsiTheme="minorEastAsia" w:eastAsiaTheme="minorEastAsia" w:cstheme="minorEastAsia"/>
          <w:b/>
          <w:snapToGrid w:val="0"/>
          <w:color w:val="auto"/>
          <w:szCs w:val="24"/>
          <w:highlight w:val="none"/>
        </w:rPr>
        <w:t>格式一 封面</w:t>
      </w:r>
      <w:bookmarkEnd w:id="473"/>
      <w:bookmarkEnd w:id="474"/>
      <w:bookmarkEnd w:id="475"/>
      <w:bookmarkEnd w:id="476"/>
      <w:bookmarkEnd w:id="477"/>
      <w:bookmarkEnd w:id="478"/>
    </w:p>
    <w:p w14:paraId="38EBFF1A">
      <w:pPr>
        <w:pStyle w:val="58"/>
        <w:widowControl w:val="0"/>
        <w:wordWrap w:val="0"/>
        <w:adjustRightInd w:val="0"/>
        <w:snapToGrid w:val="0"/>
        <w:spacing w:line="360" w:lineRule="auto"/>
        <w:rPr>
          <w:rFonts w:hint="eastAsia" w:asciiTheme="minorEastAsia" w:hAnsiTheme="minorEastAsia" w:eastAsiaTheme="minorEastAsia" w:cstheme="minorEastAsia"/>
          <w:b/>
          <w:snapToGrid w:val="0"/>
          <w:color w:val="auto"/>
          <w:sz w:val="24"/>
          <w:szCs w:val="24"/>
          <w:highlight w:val="none"/>
        </w:rPr>
      </w:pPr>
    </w:p>
    <w:p w14:paraId="60F35822">
      <w:pPr>
        <w:pStyle w:val="58"/>
        <w:widowControl w:val="0"/>
        <w:wordWrap w:val="0"/>
        <w:adjustRightInd w:val="0"/>
        <w:snapToGrid w:val="0"/>
        <w:spacing w:line="360" w:lineRule="auto"/>
        <w:jc w:val="right"/>
        <w:rPr>
          <w:rFonts w:hint="eastAsia" w:asciiTheme="minorEastAsia" w:hAnsiTheme="minorEastAsia" w:eastAsiaTheme="minorEastAsia" w:cstheme="minorEastAsia"/>
          <w:b/>
          <w:snapToGrid w:val="0"/>
          <w:color w:val="auto"/>
          <w:sz w:val="24"/>
          <w:szCs w:val="24"/>
          <w:highlight w:val="none"/>
        </w:rPr>
      </w:pPr>
    </w:p>
    <w:p w14:paraId="31F0A621">
      <w:pPr>
        <w:pStyle w:val="58"/>
        <w:widowControl w:val="0"/>
        <w:wordWrap w:val="0"/>
        <w:adjustRightInd w:val="0"/>
        <w:snapToGrid w:val="0"/>
        <w:spacing w:line="360" w:lineRule="auto"/>
        <w:rPr>
          <w:rFonts w:hint="eastAsia" w:asciiTheme="minorEastAsia" w:hAnsiTheme="minorEastAsia" w:eastAsiaTheme="minorEastAsia" w:cstheme="minorEastAsia"/>
          <w:b/>
          <w:snapToGrid w:val="0"/>
          <w:color w:val="auto"/>
          <w:sz w:val="24"/>
          <w:szCs w:val="24"/>
          <w:highlight w:val="none"/>
        </w:rPr>
      </w:pPr>
    </w:p>
    <w:p w14:paraId="306826E3">
      <w:pPr>
        <w:pStyle w:val="58"/>
        <w:widowControl w:val="0"/>
        <w:wordWrap w:val="0"/>
        <w:adjustRightInd w:val="0"/>
        <w:snapToGrid w:val="0"/>
        <w:spacing w:line="360" w:lineRule="auto"/>
        <w:ind w:firstLine="0"/>
        <w:rPr>
          <w:rFonts w:hint="eastAsia" w:asciiTheme="minorEastAsia" w:hAnsiTheme="minorEastAsia" w:eastAsiaTheme="minorEastAsia" w:cstheme="minorEastAsia"/>
          <w:b/>
          <w:snapToGrid w:val="0"/>
          <w:color w:val="auto"/>
          <w:sz w:val="24"/>
          <w:highlight w:val="none"/>
        </w:rPr>
      </w:pPr>
      <w:bookmarkStart w:id="485" w:name="_附件二十四：技术标提问单"/>
      <w:bookmarkEnd w:id="485"/>
      <w:bookmarkStart w:id="486" w:name="_Hlt68774664"/>
      <w:bookmarkEnd w:id="486"/>
      <w:bookmarkStart w:id="487" w:name="_附件十：单项工程费汇总表"/>
      <w:bookmarkEnd w:id="487"/>
      <w:bookmarkStart w:id="488" w:name="_附件二十五：综合评审合理低价法"/>
      <w:bookmarkEnd w:id="488"/>
      <w:bookmarkStart w:id="489" w:name="_Hlt69116778"/>
      <w:bookmarkEnd w:id="489"/>
      <w:bookmarkStart w:id="490" w:name="_Toc15791"/>
      <w:bookmarkStart w:id="491" w:name="_Toc39136361"/>
      <w:bookmarkStart w:id="492" w:name="_Toc26795"/>
      <w:bookmarkStart w:id="493" w:name="_Toc5872"/>
      <w:bookmarkStart w:id="494" w:name="_Toc28483"/>
      <w:bookmarkStart w:id="495" w:name="_Toc104711098"/>
      <w:bookmarkStart w:id="496" w:name="_Toc66849200"/>
      <w:bookmarkStart w:id="497" w:name="_Toc466640620"/>
      <w:bookmarkStart w:id="498" w:name="_Hlt66847557"/>
      <w:bookmarkStart w:id="499" w:name="_Toc106418843"/>
    </w:p>
    <w:p w14:paraId="40A2918D">
      <w:pPr>
        <w:pStyle w:val="58"/>
        <w:widowControl w:val="0"/>
        <w:wordWrap w:val="0"/>
        <w:adjustRightInd w:val="0"/>
        <w:snapToGrid w:val="0"/>
        <w:spacing w:line="360" w:lineRule="auto"/>
        <w:rPr>
          <w:rFonts w:hint="eastAsia" w:asciiTheme="minorEastAsia" w:hAnsiTheme="minorEastAsia" w:eastAsiaTheme="minorEastAsia" w:cstheme="minorEastAsia"/>
          <w:b/>
          <w:snapToGrid w:val="0"/>
          <w:color w:val="auto"/>
          <w:sz w:val="24"/>
          <w:highlight w:val="none"/>
        </w:rPr>
      </w:pPr>
    </w:p>
    <w:p w14:paraId="7CAE7B27">
      <w:pPr>
        <w:pStyle w:val="58"/>
        <w:widowControl w:val="0"/>
        <w:wordWrap w:val="0"/>
        <w:adjustRightInd w:val="0"/>
        <w:snapToGrid w:val="0"/>
        <w:spacing w:line="360" w:lineRule="auto"/>
        <w:ind w:firstLine="0"/>
        <w:jc w:val="center"/>
        <w:rPr>
          <w:rFonts w:hint="eastAsia" w:asciiTheme="minorEastAsia" w:hAnsiTheme="minorEastAsia" w:eastAsiaTheme="minorEastAsia" w:cstheme="minorEastAsia"/>
          <w:b/>
          <w:snapToGrid w:val="0"/>
          <w:color w:val="auto"/>
          <w:sz w:val="48"/>
          <w:szCs w:val="48"/>
          <w:highlight w:val="none"/>
        </w:rPr>
      </w:pPr>
      <w:r>
        <w:rPr>
          <w:rFonts w:hint="eastAsia" w:asciiTheme="minorEastAsia" w:hAnsiTheme="minorEastAsia" w:eastAsiaTheme="minorEastAsia" w:cstheme="minorEastAsia"/>
          <w:b/>
          <w:snapToGrid w:val="0"/>
          <w:color w:val="auto"/>
          <w:sz w:val="48"/>
          <w:szCs w:val="48"/>
          <w:highlight w:val="none"/>
          <w:u w:val="single"/>
        </w:rPr>
        <w:t xml:space="preserve">（项目名称）   </w:t>
      </w:r>
      <w:r>
        <w:rPr>
          <w:rFonts w:hint="eastAsia" w:asciiTheme="minorEastAsia" w:hAnsiTheme="minorEastAsia" w:eastAsiaTheme="minorEastAsia" w:cstheme="minorEastAsia"/>
          <w:b/>
          <w:snapToGrid w:val="0"/>
          <w:color w:val="auto"/>
          <w:sz w:val="48"/>
          <w:szCs w:val="48"/>
          <w:highlight w:val="none"/>
        </w:rPr>
        <w:t>招标</w:t>
      </w:r>
    </w:p>
    <w:p w14:paraId="1F094AC6">
      <w:pPr>
        <w:pStyle w:val="58"/>
        <w:widowControl w:val="0"/>
        <w:wordWrap w:val="0"/>
        <w:adjustRightInd w:val="0"/>
        <w:snapToGrid w:val="0"/>
        <w:spacing w:line="360" w:lineRule="auto"/>
        <w:ind w:firstLine="0"/>
        <w:jc w:val="center"/>
        <w:rPr>
          <w:rFonts w:hint="eastAsia" w:asciiTheme="minorEastAsia" w:hAnsiTheme="minorEastAsia" w:eastAsiaTheme="minorEastAsia" w:cstheme="minorEastAsia"/>
          <w:b/>
          <w:snapToGrid w:val="0"/>
          <w:color w:val="auto"/>
          <w:sz w:val="32"/>
          <w:highlight w:val="none"/>
        </w:rPr>
      </w:pPr>
    </w:p>
    <w:p w14:paraId="1271A314">
      <w:pPr>
        <w:pStyle w:val="58"/>
        <w:widowControl w:val="0"/>
        <w:wordWrap w:val="0"/>
        <w:adjustRightInd w:val="0"/>
        <w:snapToGrid w:val="0"/>
        <w:spacing w:line="360" w:lineRule="auto"/>
        <w:ind w:firstLine="0"/>
        <w:jc w:val="center"/>
        <w:rPr>
          <w:rFonts w:hint="eastAsia" w:asciiTheme="minorEastAsia" w:hAnsiTheme="minorEastAsia" w:eastAsiaTheme="minorEastAsia" w:cstheme="minorEastAsia"/>
          <w:b/>
          <w:snapToGrid w:val="0"/>
          <w:color w:val="auto"/>
          <w:sz w:val="32"/>
          <w:highlight w:val="none"/>
        </w:rPr>
      </w:pPr>
    </w:p>
    <w:p w14:paraId="773F440A">
      <w:pPr>
        <w:pStyle w:val="58"/>
        <w:widowControl w:val="0"/>
        <w:wordWrap w:val="0"/>
        <w:adjustRightInd w:val="0"/>
        <w:snapToGrid w:val="0"/>
        <w:spacing w:line="360" w:lineRule="auto"/>
        <w:ind w:firstLine="0"/>
        <w:jc w:val="center"/>
        <w:rPr>
          <w:rFonts w:hint="eastAsia" w:asciiTheme="minorEastAsia" w:hAnsiTheme="minorEastAsia" w:eastAsiaTheme="minorEastAsia" w:cstheme="minorEastAsia"/>
          <w:b/>
          <w:snapToGrid w:val="0"/>
          <w:color w:val="auto"/>
          <w:sz w:val="32"/>
          <w:highlight w:val="none"/>
        </w:rPr>
      </w:pPr>
    </w:p>
    <w:p w14:paraId="70FED27C">
      <w:pPr>
        <w:pStyle w:val="58"/>
        <w:widowControl w:val="0"/>
        <w:wordWrap w:val="0"/>
        <w:adjustRightInd w:val="0"/>
        <w:snapToGrid w:val="0"/>
        <w:spacing w:line="360" w:lineRule="auto"/>
        <w:ind w:firstLine="0"/>
        <w:jc w:val="center"/>
        <w:rPr>
          <w:rFonts w:hint="eastAsia" w:asciiTheme="minorEastAsia" w:hAnsiTheme="minorEastAsia" w:eastAsiaTheme="minorEastAsia" w:cstheme="minorEastAsia"/>
          <w:b/>
          <w:snapToGrid w:val="0"/>
          <w:color w:val="auto"/>
          <w:sz w:val="32"/>
          <w:highlight w:val="none"/>
        </w:rPr>
      </w:pPr>
    </w:p>
    <w:p w14:paraId="6021F149">
      <w:pPr>
        <w:pStyle w:val="58"/>
        <w:widowControl w:val="0"/>
        <w:wordWrap w:val="0"/>
        <w:adjustRightInd w:val="0"/>
        <w:snapToGrid w:val="0"/>
        <w:spacing w:line="360" w:lineRule="auto"/>
        <w:ind w:firstLine="0"/>
        <w:jc w:val="center"/>
        <w:rPr>
          <w:rFonts w:hint="eastAsia" w:asciiTheme="minorEastAsia" w:hAnsiTheme="minorEastAsia" w:eastAsiaTheme="minorEastAsia" w:cstheme="minorEastAsia"/>
          <w:b/>
          <w:snapToGrid w:val="0"/>
          <w:color w:val="auto"/>
          <w:sz w:val="72"/>
          <w:highlight w:val="none"/>
        </w:rPr>
      </w:pPr>
      <w:r>
        <w:rPr>
          <w:rFonts w:hint="eastAsia" w:asciiTheme="minorEastAsia" w:hAnsiTheme="minorEastAsia" w:eastAsiaTheme="minorEastAsia" w:cstheme="minorEastAsia"/>
          <w:b/>
          <w:snapToGrid w:val="0"/>
          <w:color w:val="auto"/>
          <w:sz w:val="72"/>
          <w:highlight w:val="none"/>
        </w:rPr>
        <w:t>投  标  文  件</w:t>
      </w:r>
    </w:p>
    <w:p w14:paraId="34E6046F">
      <w:pPr>
        <w:pStyle w:val="58"/>
        <w:widowControl w:val="0"/>
        <w:wordWrap w:val="0"/>
        <w:adjustRightInd w:val="0"/>
        <w:snapToGrid w:val="0"/>
        <w:spacing w:line="360" w:lineRule="auto"/>
        <w:ind w:firstLine="0"/>
        <w:jc w:val="center"/>
        <w:rPr>
          <w:rFonts w:hint="eastAsia" w:asciiTheme="minorEastAsia" w:hAnsiTheme="minorEastAsia" w:eastAsiaTheme="minorEastAsia" w:cstheme="minorEastAsia"/>
          <w:b/>
          <w:snapToGrid w:val="0"/>
          <w:color w:val="auto"/>
          <w:sz w:val="32"/>
          <w:highlight w:val="none"/>
        </w:rPr>
      </w:pPr>
    </w:p>
    <w:p w14:paraId="4D8E4B58">
      <w:pPr>
        <w:pStyle w:val="58"/>
        <w:widowControl w:val="0"/>
        <w:wordWrap w:val="0"/>
        <w:adjustRightInd w:val="0"/>
        <w:snapToGrid w:val="0"/>
        <w:spacing w:line="360" w:lineRule="auto"/>
        <w:rPr>
          <w:rFonts w:hint="eastAsia" w:asciiTheme="minorEastAsia" w:hAnsiTheme="minorEastAsia" w:eastAsiaTheme="minorEastAsia" w:cstheme="minorEastAsia"/>
          <w:b/>
          <w:snapToGrid w:val="0"/>
          <w:color w:val="auto"/>
          <w:sz w:val="32"/>
          <w:highlight w:val="none"/>
        </w:rPr>
      </w:pPr>
    </w:p>
    <w:p w14:paraId="4581AE92">
      <w:pPr>
        <w:pStyle w:val="58"/>
        <w:widowControl w:val="0"/>
        <w:wordWrap w:val="0"/>
        <w:adjustRightInd w:val="0"/>
        <w:snapToGrid w:val="0"/>
        <w:spacing w:line="360" w:lineRule="auto"/>
        <w:rPr>
          <w:rFonts w:hint="eastAsia" w:asciiTheme="minorEastAsia" w:hAnsiTheme="minorEastAsia" w:eastAsiaTheme="minorEastAsia" w:cstheme="minorEastAsia"/>
          <w:b/>
          <w:snapToGrid w:val="0"/>
          <w:color w:val="auto"/>
          <w:sz w:val="32"/>
          <w:highlight w:val="none"/>
        </w:rPr>
      </w:pPr>
    </w:p>
    <w:p w14:paraId="1D2843F0">
      <w:pPr>
        <w:pStyle w:val="58"/>
        <w:widowControl w:val="0"/>
        <w:wordWrap w:val="0"/>
        <w:adjustRightInd w:val="0"/>
        <w:snapToGrid w:val="0"/>
        <w:spacing w:line="360" w:lineRule="auto"/>
        <w:ind w:firstLine="0"/>
        <w:jc w:val="center"/>
        <w:rPr>
          <w:rFonts w:hint="eastAsia" w:hAnsi="宋体" w:eastAsia="宋体" w:cs="宋体"/>
          <w:bCs/>
          <w:snapToGrid w:val="0"/>
          <w:color w:val="auto"/>
          <w:sz w:val="32"/>
          <w:highlight w:val="none"/>
        </w:rPr>
      </w:pPr>
      <w:r>
        <w:rPr>
          <w:rFonts w:hint="eastAsia" w:hAnsi="宋体" w:eastAsia="宋体" w:cs="宋体"/>
          <w:bCs/>
          <w:snapToGrid w:val="0"/>
          <w:color w:val="auto"/>
          <w:sz w:val="32"/>
          <w:highlight w:val="none"/>
        </w:rPr>
        <w:t>投标人：</w:t>
      </w: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（盖单位章）</w:t>
      </w:r>
    </w:p>
    <w:p w14:paraId="47F0C4EF">
      <w:pPr>
        <w:pStyle w:val="58"/>
        <w:widowControl w:val="0"/>
        <w:wordWrap w:val="0"/>
        <w:adjustRightInd w:val="0"/>
        <w:snapToGrid w:val="0"/>
        <w:spacing w:line="360" w:lineRule="auto"/>
        <w:ind w:firstLine="0"/>
        <w:jc w:val="center"/>
        <w:rPr>
          <w:rFonts w:hint="eastAsia" w:hAnsi="宋体" w:eastAsia="宋体" w:cs="宋体"/>
          <w:bCs/>
          <w:snapToGrid w:val="0"/>
          <w:color w:val="auto"/>
          <w:sz w:val="32"/>
          <w:highlight w:val="none"/>
        </w:rPr>
      </w:pPr>
      <w:r>
        <w:rPr>
          <w:rFonts w:hint="eastAsia" w:hAnsi="宋体" w:eastAsia="宋体" w:cs="宋体"/>
          <w:bCs/>
          <w:snapToGrid w:val="0"/>
          <w:color w:val="auto"/>
          <w:sz w:val="32"/>
          <w:highlight w:val="none"/>
        </w:rPr>
        <w:t>法定代表人或其委托代理人：</w:t>
      </w: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（签字或盖章）</w:t>
      </w:r>
    </w:p>
    <w:p w14:paraId="62209C4C">
      <w:pPr>
        <w:pStyle w:val="58"/>
        <w:widowControl w:val="0"/>
        <w:wordWrap w:val="0"/>
        <w:adjustRightInd w:val="0"/>
        <w:snapToGrid w:val="0"/>
        <w:spacing w:line="360" w:lineRule="auto"/>
        <w:ind w:firstLine="0"/>
        <w:jc w:val="center"/>
        <w:rPr>
          <w:rFonts w:hint="eastAsia" w:hAnsi="宋体" w:eastAsia="宋体" w:cs="宋体"/>
          <w:b/>
          <w:snapToGrid w:val="0"/>
          <w:color w:val="auto"/>
          <w:highlight w:val="none"/>
        </w:rPr>
      </w:pP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年</w:t>
      </w: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月</w:t>
      </w: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日</w:t>
      </w:r>
    </w:p>
    <w:p w14:paraId="7FD7E948">
      <w:pPr>
        <w:spacing w:before="120" w:line="360" w:lineRule="auto"/>
        <w:outlineLvl w:val="9"/>
        <w:rPr>
          <w:rFonts w:hint="eastAsia" w:asciiTheme="minorEastAsia" w:hAnsiTheme="minorEastAsia" w:eastAsiaTheme="minorEastAsia" w:cstheme="minorEastAsia"/>
          <w:b/>
          <w:bCs/>
          <w:color w:val="auto"/>
          <w:szCs w:val="24"/>
          <w:highlight w:val="none"/>
        </w:rPr>
      </w:pPr>
    </w:p>
    <w:p w14:paraId="358AD960">
      <w:pPr>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br w:type="page"/>
      </w:r>
    </w:p>
    <w:p w14:paraId="5DA514C6">
      <w:pPr>
        <w:pStyle w:val="11"/>
        <w:spacing w:before="120" w:line="360" w:lineRule="auto"/>
        <w:rPr>
          <w:rFonts w:hint="eastAsia" w:asciiTheme="minorEastAsia" w:hAnsiTheme="minorEastAsia" w:eastAsiaTheme="minorEastAsia" w:cstheme="minorEastAsia"/>
          <w:b/>
          <w:bCs/>
          <w:color w:val="auto"/>
          <w:szCs w:val="24"/>
          <w:highlight w:val="none"/>
        </w:rPr>
      </w:pPr>
      <w:bookmarkStart w:id="500" w:name="_Toc6057"/>
      <w:r>
        <w:rPr>
          <w:rFonts w:hint="eastAsia" w:asciiTheme="minorEastAsia" w:hAnsiTheme="minorEastAsia" w:eastAsiaTheme="minorEastAsia" w:cstheme="minorEastAsia"/>
          <w:b/>
          <w:bCs/>
          <w:color w:val="auto"/>
          <w:szCs w:val="24"/>
          <w:highlight w:val="none"/>
        </w:rPr>
        <w:t xml:space="preserve">格式二 </w:t>
      </w:r>
      <w:bookmarkEnd w:id="490"/>
      <w:bookmarkEnd w:id="491"/>
      <w:bookmarkEnd w:id="492"/>
      <w:r>
        <w:rPr>
          <w:rFonts w:hint="eastAsia" w:asciiTheme="minorEastAsia" w:hAnsiTheme="minorEastAsia" w:eastAsiaTheme="minorEastAsia" w:cstheme="minorEastAsia"/>
          <w:b/>
          <w:bCs/>
          <w:color w:val="auto"/>
          <w:szCs w:val="24"/>
          <w:highlight w:val="none"/>
        </w:rPr>
        <w:t>《投标函》及《工程项目总价表》</w:t>
      </w:r>
      <w:bookmarkEnd w:id="493"/>
      <w:bookmarkEnd w:id="494"/>
      <w:bookmarkEnd w:id="500"/>
    </w:p>
    <w:p w14:paraId="7E96A797">
      <w:pPr>
        <w:wordWrap w:val="0"/>
        <w:adjustRightInd w:val="0"/>
        <w:snapToGrid w:val="0"/>
        <w:spacing w:line="360" w:lineRule="auto"/>
        <w:ind w:firstLine="570"/>
        <w:rPr>
          <w:rFonts w:hint="eastAsia" w:asciiTheme="minorEastAsia" w:hAnsiTheme="minorEastAsia" w:eastAsiaTheme="minorEastAsia" w:cstheme="minorEastAsia"/>
          <w:color w:val="auto"/>
          <w:szCs w:val="22"/>
          <w:highlight w:val="none"/>
        </w:rPr>
      </w:pPr>
      <w:bookmarkStart w:id="501" w:name="_Toc28636"/>
      <w:bookmarkStart w:id="502" w:name="_Toc10604"/>
      <w:bookmarkStart w:id="503" w:name="_Toc39136362"/>
      <w:bookmarkStart w:id="504" w:name="_Toc29375"/>
      <w:bookmarkStart w:id="505" w:name="_Toc8657"/>
      <w:bookmarkStart w:id="506" w:name="_Toc18294"/>
      <w:bookmarkStart w:id="507" w:name="_Toc21577"/>
      <w:bookmarkStart w:id="508" w:name="_Toc9280"/>
      <w:bookmarkStart w:id="509" w:name="_Toc27121"/>
    </w:p>
    <w:p w14:paraId="141A9169">
      <w:pPr>
        <w:wordWrap w:val="0"/>
        <w:adjustRightInd w:val="0"/>
        <w:snapToGrid w:val="0"/>
        <w:spacing w:line="360" w:lineRule="auto"/>
        <w:jc w:val="center"/>
        <w:rPr>
          <w:rFonts w:hint="eastAsia" w:asciiTheme="minorEastAsia" w:hAnsiTheme="minorEastAsia" w:eastAsiaTheme="minorEastAsia" w:cstheme="minorEastAsia"/>
          <w:b/>
          <w:bCs/>
          <w:color w:val="auto"/>
          <w:szCs w:val="22"/>
          <w:highlight w:val="none"/>
        </w:rPr>
      </w:pPr>
      <w:r>
        <w:rPr>
          <w:rFonts w:hint="eastAsia" w:asciiTheme="minorEastAsia" w:hAnsiTheme="minorEastAsia" w:eastAsiaTheme="minorEastAsia" w:cstheme="minorEastAsia"/>
          <w:b/>
          <w:bCs/>
          <w:color w:val="auto"/>
          <w:szCs w:val="22"/>
          <w:highlight w:val="none"/>
        </w:rPr>
        <w:t>投  标  函</w:t>
      </w:r>
      <w:bookmarkEnd w:id="501"/>
      <w:bookmarkEnd w:id="502"/>
      <w:bookmarkEnd w:id="503"/>
      <w:bookmarkEnd w:id="504"/>
      <w:bookmarkEnd w:id="505"/>
      <w:bookmarkEnd w:id="506"/>
      <w:bookmarkEnd w:id="507"/>
      <w:bookmarkEnd w:id="508"/>
      <w:bookmarkEnd w:id="509"/>
    </w:p>
    <w:p w14:paraId="391E1D3A">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p>
    <w:p w14:paraId="27008BC0">
      <w:pPr>
        <w:wordWrap w:val="0"/>
        <w:adjustRightInd w:val="0"/>
        <w:snapToGrid w:val="0"/>
        <w:spacing w:line="360" w:lineRule="auto"/>
        <w:rPr>
          <w:rFonts w:hint="eastAsia"/>
          <w:color w:val="auto"/>
          <w:highlight w:val="none"/>
        </w:rPr>
      </w:pPr>
      <w:r>
        <w:rPr>
          <w:rFonts w:hint="eastAsia" w:asciiTheme="minorEastAsia" w:hAnsiTheme="minorEastAsia" w:eastAsiaTheme="minorEastAsia" w:cstheme="minorEastAsia"/>
          <w:snapToGrid w:val="0"/>
          <w:color w:val="auto"/>
          <w:kern w:val="0"/>
          <w:szCs w:val="24"/>
          <w:highlight w:val="none"/>
        </w:rPr>
        <w:t>致：</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（招标人名称）</w:t>
      </w:r>
    </w:p>
    <w:p w14:paraId="0814D29C">
      <w:pPr>
        <w:wordWrap w:val="0"/>
        <w:adjustRightInd w:val="0"/>
        <w:snapToGrid w:val="0"/>
        <w:spacing w:line="360" w:lineRule="auto"/>
        <w:ind w:firstLine="570"/>
        <w:rPr>
          <w:rFonts w:hint="eastAsia" w:asciiTheme="minorEastAsia" w:hAnsiTheme="minorEastAsia" w:eastAsiaTheme="minorEastAsia" w:cstheme="minorEastAsia"/>
          <w:color w:val="auto"/>
          <w:szCs w:val="22"/>
          <w:highlight w:val="none"/>
        </w:rPr>
      </w:pPr>
      <w:r>
        <w:rPr>
          <w:rFonts w:hint="eastAsia" w:asciiTheme="minorEastAsia" w:hAnsiTheme="minorEastAsia" w:eastAsiaTheme="minorEastAsia" w:cstheme="minorEastAsia"/>
          <w:color w:val="auto"/>
          <w:szCs w:val="22"/>
          <w:highlight w:val="none"/>
        </w:rPr>
        <w:t>1.在研</w:t>
      </w:r>
      <w:r>
        <w:rPr>
          <w:rFonts w:hint="eastAsia" w:asciiTheme="minorEastAsia" w:hAnsiTheme="minorEastAsia" w:eastAsiaTheme="minorEastAsia" w:cstheme="minorEastAsia"/>
          <w:color w:val="auto"/>
          <w:szCs w:val="22"/>
          <w:highlight w:val="none"/>
          <w:u w:val="single"/>
        </w:rPr>
        <w:t xml:space="preserve">究        （项目名称）        </w:t>
      </w:r>
      <w:r>
        <w:rPr>
          <w:rFonts w:hint="eastAsia" w:asciiTheme="minorEastAsia" w:hAnsiTheme="minorEastAsia" w:eastAsiaTheme="minorEastAsia" w:cstheme="minorEastAsia"/>
          <w:color w:val="auto"/>
          <w:szCs w:val="22"/>
          <w:highlight w:val="none"/>
        </w:rPr>
        <w:t>招标文件和其它相关文件，并对现场进行深入了解后，我方（即文末签名人），考虑了本企业的实力和特点，愿意接受招标文件的全部内容和条件，兹以人民币（大写）：</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eastAsiaTheme="minorEastAsia" w:cstheme="minorEastAsia"/>
          <w:color w:val="auto"/>
          <w:szCs w:val="22"/>
          <w:highlight w:val="none"/>
        </w:rPr>
        <w:t>小写：（¥</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eastAsiaTheme="minorEastAsia" w:cstheme="minorEastAsia"/>
          <w:color w:val="auto"/>
          <w:szCs w:val="22"/>
          <w:highlight w:val="none"/>
        </w:rPr>
        <w:t>）的投标总价竞投本项目。</w:t>
      </w:r>
    </w:p>
    <w:p w14:paraId="5072A5D3">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2. </w:t>
      </w:r>
      <w:r>
        <w:rPr>
          <w:rFonts w:hint="eastAsia" w:asciiTheme="minorEastAsia" w:hAnsiTheme="minorEastAsia" w:eastAsiaTheme="minorEastAsia" w:cstheme="minorEastAsia"/>
          <w:color w:val="auto"/>
          <w:szCs w:val="22"/>
          <w:highlight w:val="none"/>
        </w:rPr>
        <w:t>如果我方中标，我方保证按照合同约定的开工日期开始本项目的设计、施工，本工程设计、施工工期为</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eastAsiaTheme="minorEastAsia" w:cstheme="minorEastAsia"/>
          <w:color w:val="auto"/>
          <w:szCs w:val="22"/>
          <w:highlight w:val="none"/>
        </w:rPr>
        <w:t>个日历天</w:t>
      </w:r>
      <w:r>
        <w:rPr>
          <w:rFonts w:hint="eastAsia" w:asciiTheme="minorEastAsia" w:hAnsiTheme="minorEastAsia" w:eastAsiaTheme="minorEastAsia" w:cstheme="minorEastAsia"/>
          <w:color w:val="auto"/>
          <w:szCs w:val="22"/>
          <w:highlight w:val="none"/>
          <w:lang w:eastAsia="zh-CN"/>
        </w:rPr>
        <w:t>（</w:t>
      </w:r>
      <w:r>
        <w:rPr>
          <w:rFonts w:hint="eastAsia" w:asciiTheme="minorEastAsia" w:hAnsiTheme="minorEastAsia" w:eastAsiaTheme="minorEastAsia" w:cstheme="minorEastAsia"/>
          <w:color w:val="auto"/>
          <w:szCs w:val="22"/>
          <w:highlight w:val="none"/>
        </w:rPr>
        <w:t>其中：设计工期为</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eastAsiaTheme="minorEastAsia" w:cstheme="minorEastAsia"/>
          <w:color w:val="auto"/>
          <w:szCs w:val="22"/>
          <w:highlight w:val="none"/>
        </w:rPr>
        <w:t>日历天，施工工期为</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eastAsiaTheme="minorEastAsia" w:cstheme="minorEastAsia"/>
          <w:color w:val="auto"/>
          <w:szCs w:val="22"/>
          <w:highlight w:val="none"/>
        </w:rPr>
        <w:t>日历天</w:t>
      </w:r>
      <w:r>
        <w:rPr>
          <w:rFonts w:hint="eastAsia" w:asciiTheme="minorEastAsia" w:hAnsiTheme="minorEastAsia" w:eastAsiaTheme="minorEastAsia" w:cstheme="minorEastAsia"/>
          <w:color w:val="auto"/>
          <w:szCs w:val="22"/>
          <w:highlight w:val="none"/>
          <w:lang w:eastAsia="zh-CN"/>
        </w:rPr>
        <w:t>）</w:t>
      </w:r>
      <w:r>
        <w:rPr>
          <w:rFonts w:hint="eastAsia" w:asciiTheme="minorEastAsia" w:hAnsiTheme="minorEastAsia" w:eastAsiaTheme="minorEastAsia" w:cstheme="minorEastAsia"/>
          <w:color w:val="auto"/>
          <w:szCs w:val="22"/>
          <w:highlight w:val="none"/>
        </w:rPr>
        <w:t>内竣工，并确保工程质量达到</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eastAsiaTheme="minorEastAsia" w:cstheme="minorEastAsia"/>
          <w:color w:val="auto"/>
          <w:szCs w:val="22"/>
          <w:highlight w:val="none"/>
          <w:u w:val="single"/>
          <w:lang w:val="en-US" w:eastAsia="zh-CN"/>
        </w:rPr>
        <w:t xml:space="preserve">  </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eastAsiaTheme="minorEastAsia" w:cstheme="minorEastAsia"/>
          <w:color w:val="auto"/>
          <w:szCs w:val="22"/>
          <w:highlight w:val="none"/>
        </w:rPr>
        <w:t>标准和维修其中的任何缺陷</w:t>
      </w:r>
      <w:r>
        <w:rPr>
          <w:rFonts w:hint="eastAsia" w:asciiTheme="minorEastAsia" w:hAnsiTheme="minorEastAsia" w:eastAsiaTheme="minorEastAsia" w:cstheme="minorEastAsia"/>
          <w:snapToGrid w:val="0"/>
          <w:color w:val="auto"/>
          <w:kern w:val="0"/>
          <w:szCs w:val="24"/>
          <w:highlight w:val="none"/>
        </w:rPr>
        <w:t>。</w:t>
      </w:r>
    </w:p>
    <w:p w14:paraId="0A19A04F">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 本投标函在你方接收我方递交的投标文件之日起、到招标文件规定的投标有效期期满前对我方具有约束力。我方随时准备接受你方发出的中标通知书。</w:t>
      </w:r>
    </w:p>
    <w:p w14:paraId="72A4F4F3">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4．我方在此声明，我方不存在本工程招标文件所列示的“禁止投标条款”所列出的任何一种情形，并愿意承担因我方就此弄虚作假所引起的一切法律后果。</w:t>
      </w:r>
    </w:p>
    <w:p w14:paraId="135CB28E">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5．我方在此承诺，所递交投标文件的全部内容均为真实、有效、准确的，并愿意承担因我方就此弄虚作假所引起的一切法律后果，同时理解和同意有可能被要求提供更多的资料。</w:t>
      </w:r>
    </w:p>
    <w:p w14:paraId="4B833900">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6. 我方理解你方不一定要接纳收到的最低投标总价或任何投标总价的投标人中标，也不要求你方解释我方是否中标的原因。</w:t>
      </w:r>
    </w:p>
    <w:p w14:paraId="73A3D5F4">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w:t>
      </w:r>
    </w:p>
    <w:p w14:paraId="29DB08E6">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投标人：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（盖单位章）</w:t>
      </w:r>
    </w:p>
    <w:p w14:paraId="7813DE58">
      <w:pPr>
        <w:wordWrap w:val="0"/>
        <w:adjustRightInd w:val="0"/>
        <w:snapToGrid w:val="0"/>
        <w:spacing w:line="360" w:lineRule="auto"/>
        <w:ind w:firstLine="480" w:firstLineChars="200"/>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法定代表人或其委托代理人：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（签字或盖章）</w:t>
      </w:r>
    </w:p>
    <w:p w14:paraId="36658203">
      <w:pPr>
        <w:wordWrap w:val="0"/>
        <w:adjustRightInd w:val="0"/>
        <w:snapToGrid w:val="0"/>
        <w:spacing w:line="360" w:lineRule="auto"/>
        <w:ind w:firstLine="4080" w:firstLineChars="1700"/>
        <w:jc w:val="lef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日</w:t>
      </w:r>
    </w:p>
    <w:p w14:paraId="4ABCF19B">
      <w:pPr>
        <w:spacing w:line="360" w:lineRule="auto"/>
        <w:jc w:val="lef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br w:type="page"/>
      </w:r>
    </w:p>
    <w:p w14:paraId="25DEE623">
      <w:pPr>
        <w:spacing w:line="360" w:lineRule="auto"/>
        <w:jc w:val="left"/>
        <w:rPr>
          <w:rFonts w:hint="eastAsia" w:asciiTheme="minorEastAsia" w:hAnsiTheme="minorEastAsia" w:eastAsiaTheme="minorEastAsia" w:cstheme="minorEastAsia"/>
          <w:snapToGrid w:val="0"/>
          <w:color w:val="auto"/>
          <w:kern w:val="0"/>
          <w:szCs w:val="24"/>
          <w:highlight w:val="none"/>
        </w:rPr>
      </w:pPr>
    </w:p>
    <w:p w14:paraId="6E4478DB">
      <w:pPr>
        <w:wordWrap w:val="0"/>
        <w:adjustRightInd w:val="0"/>
        <w:snapToGrid w:val="0"/>
        <w:spacing w:line="360" w:lineRule="auto"/>
        <w:jc w:val="center"/>
        <w:rPr>
          <w:rFonts w:hint="eastAsia" w:asciiTheme="minorEastAsia" w:hAnsiTheme="minorEastAsia" w:eastAsiaTheme="minorEastAsia" w:cstheme="minorEastAsia"/>
          <w:b/>
          <w:bCs/>
          <w:color w:val="auto"/>
          <w:szCs w:val="22"/>
          <w:highlight w:val="none"/>
        </w:rPr>
      </w:pPr>
      <w:bookmarkStart w:id="510" w:name="_Toc25629"/>
      <w:bookmarkStart w:id="511" w:name="_Toc453"/>
      <w:bookmarkStart w:id="512" w:name="_Toc20338"/>
      <w:bookmarkStart w:id="513" w:name="_Toc25829"/>
      <w:bookmarkStart w:id="514" w:name="_Toc5052"/>
      <w:bookmarkStart w:id="515" w:name="_Toc39136364"/>
      <w:bookmarkStart w:id="516" w:name="_Toc7915"/>
      <w:r>
        <w:rPr>
          <w:rFonts w:hint="eastAsia" w:asciiTheme="minorEastAsia" w:hAnsiTheme="minorEastAsia" w:eastAsiaTheme="minorEastAsia" w:cstheme="minorEastAsia"/>
          <w:b/>
          <w:bCs/>
          <w:color w:val="auto"/>
          <w:szCs w:val="22"/>
          <w:highlight w:val="none"/>
        </w:rPr>
        <w:t>工程项目总价表</w:t>
      </w:r>
      <w:bookmarkEnd w:id="510"/>
      <w:bookmarkEnd w:id="511"/>
      <w:bookmarkEnd w:id="512"/>
      <w:bookmarkEnd w:id="513"/>
      <w:bookmarkEnd w:id="514"/>
    </w:p>
    <w:p w14:paraId="2AEF0ABB">
      <w:pPr>
        <w:spacing w:line="360" w:lineRule="auto"/>
        <w:ind w:firstLine="480" w:firstLineChars="200"/>
        <w:rPr>
          <w:rFonts w:hint="eastAsia" w:ascii="宋体" w:hAnsi="宋体" w:eastAsia="宋体" w:cs="宋体"/>
          <w:color w:val="auto"/>
          <w:highlight w:val="none"/>
        </w:rPr>
      </w:pPr>
    </w:p>
    <w:tbl>
      <w:tblPr>
        <w:tblStyle w:val="31"/>
        <w:tblW w:w="498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506"/>
        <w:gridCol w:w="1649"/>
        <w:gridCol w:w="1425"/>
        <w:gridCol w:w="1741"/>
        <w:gridCol w:w="3042"/>
      </w:tblGrid>
      <w:tr w14:paraId="7A67B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32" w:type="pct"/>
            <w:noWrap w:val="0"/>
            <w:vAlign w:val="center"/>
          </w:tcPr>
          <w:p w14:paraId="650FC473">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序号</w:t>
            </w:r>
          </w:p>
        </w:tc>
        <w:tc>
          <w:tcPr>
            <w:tcW w:w="767" w:type="pct"/>
            <w:noWrap w:val="0"/>
            <w:vAlign w:val="center"/>
          </w:tcPr>
          <w:p w14:paraId="1FAA5200">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项目名称</w:t>
            </w:r>
          </w:p>
        </w:tc>
        <w:tc>
          <w:tcPr>
            <w:tcW w:w="839" w:type="pct"/>
            <w:noWrap w:val="0"/>
            <w:vAlign w:val="center"/>
          </w:tcPr>
          <w:p w14:paraId="4BB8C0D8">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报价基数（元）</w:t>
            </w:r>
          </w:p>
        </w:tc>
        <w:tc>
          <w:tcPr>
            <w:tcW w:w="725" w:type="pct"/>
            <w:noWrap w:val="0"/>
            <w:vAlign w:val="center"/>
          </w:tcPr>
          <w:p w14:paraId="150B4517">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投标下浮率</w:t>
            </w:r>
          </w:p>
        </w:tc>
        <w:tc>
          <w:tcPr>
            <w:tcW w:w="886" w:type="pct"/>
            <w:noWrap w:val="0"/>
            <w:vAlign w:val="center"/>
          </w:tcPr>
          <w:p w14:paraId="1FB52848">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投标报价</w:t>
            </w:r>
            <w:r>
              <w:rPr>
                <w:rFonts w:hint="eastAsia" w:asciiTheme="minorEastAsia" w:hAnsiTheme="minorEastAsia" w:eastAsiaTheme="minorEastAsia" w:cstheme="minorEastAsia"/>
                <w:color w:val="auto"/>
                <w:kern w:val="0"/>
                <w:sz w:val="24"/>
                <w:szCs w:val="24"/>
                <w:highlight w:val="none"/>
              </w:rPr>
              <w:t>（元）</w:t>
            </w:r>
          </w:p>
        </w:tc>
        <w:tc>
          <w:tcPr>
            <w:tcW w:w="1548" w:type="pct"/>
            <w:noWrap w:val="0"/>
            <w:vAlign w:val="center"/>
          </w:tcPr>
          <w:p w14:paraId="4FCF7841">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备注</w:t>
            </w:r>
          </w:p>
        </w:tc>
      </w:tr>
      <w:tr w14:paraId="5295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2" w:type="pct"/>
            <w:noWrap w:val="0"/>
            <w:vAlign w:val="center"/>
          </w:tcPr>
          <w:p w14:paraId="2B61A83C">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1</w:t>
            </w:r>
          </w:p>
        </w:tc>
        <w:tc>
          <w:tcPr>
            <w:tcW w:w="767" w:type="pct"/>
            <w:shd w:val="clear" w:color="auto" w:fill="auto"/>
            <w:noWrap w:val="0"/>
            <w:vAlign w:val="center"/>
          </w:tcPr>
          <w:p w14:paraId="7C451507">
            <w:pPr>
              <w:widowControl/>
              <w:spacing w:line="360" w:lineRule="auto"/>
              <w:ind w:right="-122" w:rightChars="-51"/>
              <w:jc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rPr>
              <w:t>设计费</w:t>
            </w:r>
          </w:p>
        </w:tc>
        <w:tc>
          <w:tcPr>
            <w:tcW w:w="839" w:type="pct"/>
            <w:shd w:val="clear" w:color="auto" w:fill="auto"/>
            <w:noWrap w:val="0"/>
            <w:vAlign w:val="center"/>
          </w:tcPr>
          <w:p w14:paraId="10013E9B">
            <w:pPr>
              <w:widowControl/>
              <w:spacing w:line="360" w:lineRule="auto"/>
              <w:jc w:val="center"/>
              <w:rPr>
                <w:rFonts w:hint="default" w:ascii="宋体" w:hAnsi="宋体" w:eastAsia="宋体" w:cs="宋体"/>
                <w:color w:val="auto"/>
                <w:kern w:val="2"/>
                <w:sz w:val="24"/>
                <w:highlight w:val="none"/>
                <w:lang w:val="en-US" w:eastAsia="zh-CN" w:bidi="ar-SA"/>
              </w:rPr>
            </w:pPr>
            <w:r>
              <w:rPr>
                <w:rFonts w:hint="eastAsia" w:hAnsi="宋体" w:eastAsia="宋体" w:cs="宋体"/>
                <w:color w:val="auto"/>
                <w:highlight w:val="none"/>
                <w:lang w:val="en-US" w:eastAsia="zh-CN"/>
              </w:rPr>
              <w:t>91000.00</w:t>
            </w:r>
          </w:p>
        </w:tc>
        <w:tc>
          <w:tcPr>
            <w:tcW w:w="725" w:type="pct"/>
            <w:shd w:val="clear" w:color="auto" w:fill="auto"/>
            <w:noWrap w:val="0"/>
            <w:vAlign w:val="center"/>
          </w:tcPr>
          <w:p w14:paraId="2FBF28E7">
            <w:pPr>
              <w:widowControl/>
              <w:spacing w:line="360" w:lineRule="auto"/>
              <w:jc w:val="center"/>
              <w:rPr>
                <w:rFonts w:hint="default" w:asciiTheme="minorEastAsia" w:hAnsiTheme="minorEastAsia" w:eastAsiaTheme="minorEastAsia" w:cstheme="minorEastAsia"/>
                <w:color w:val="auto"/>
                <w:kern w:val="0"/>
                <w:sz w:val="24"/>
                <w:szCs w:val="24"/>
                <w:highlight w:val="none"/>
                <w:lang w:val="en-US" w:eastAsia="zh-CN"/>
              </w:rPr>
            </w:pPr>
            <w:r>
              <w:rPr>
                <w:rFonts w:hint="eastAsia" w:hAnsi="宋体" w:eastAsia="宋体" w:cs="宋体"/>
                <w:color w:val="auto"/>
                <w:kern w:val="1"/>
                <w:sz w:val="24"/>
                <w:szCs w:val="24"/>
                <w:highlight w:val="none"/>
                <w:lang w:val="en-US" w:eastAsia="zh-CN"/>
              </w:rPr>
              <w:t>/</w:t>
            </w:r>
          </w:p>
        </w:tc>
        <w:tc>
          <w:tcPr>
            <w:tcW w:w="886" w:type="pct"/>
            <w:shd w:val="clear" w:color="auto" w:fill="auto"/>
            <w:noWrap w:val="0"/>
            <w:vAlign w:val="center"/>
          </w:tcPr>
          <w:p w14:paraId="1FFCDC5B">
            <w:pPr>
              <w:widowControl/>
              <w:spacing w:line="360" w:lineRule="auto"/>
              <w:jc w:val="center"/>
              <w:rPr>
                <w:rFonts w:hint="default" w:ascii="宋体" w:hAnsi="宋体" w:eastAsia="宋体" w:cs="宋体"/>
                <w:color w:val="auto"/>
                <w:kern w:val="2"/>
                <w:sz w:val="24"/>
                <w:highlight w:val="none"/>
                <w:lang w:val="en-US" w:eastAsia="zh-CN" w:bidi="ar-SA"/>
              </w:rPr>
            </w:pPr>
          </w:p>
        </w:tc>
        <w:tc>
          <w:tcPr>
            <w:tcW w:w="1548" w:type="pct"/>
            <w:noWrap w:val="0"/>
            <w:vAlign w:val="center"/>
          </w:tcPr>
          <w:p w14:paraId="14B95225">
            <w:pPr>
              <w:keepNext w:val="0"/>
              <w:keepLines w:val="0"/>
              <w:pageBreakBefore w:val="0"/>
              <w:suppressLineNumbers w:val="0"/>
              <w:kinsoku/>
              <w:wordWrap w:val="0"/>
              <w:overflowPunct/>
              <w:topLinePunct w:val="0"/>
              <w:bidi w:val="0"/>
              <w:adjustRightInd w:val="0"/>
              <w:snapToGrid w:val="0"/>
              <w:spacing w:before="0" w:beforeAutospacing="0" w:after="0" w:afterAutospacing="0" w:line="360" w:lineRule="auto"/>
              <w:ind w:left="0" w:leftChars="0" w:right="0" w:rightChars="0" w:firstLine="480" w:firstLineChars="200"/>
              <w:textAlignment w:val="auto"/>
              <w:rPr>
                <w:rFonts w:hint="eastAsia" w:asciiTheme="minorEastAsia" w:hAnsiTheme="minorEastAsia" w:eastAsiaTheme="minorEastAsia" w:cstheme="minorEastAsia"/>
                <w:color w:val="auto"/>
                <w:kern w:val="0"/>
                <w:sz w:val="24"/>
                <w:szCs w:val="24"/>
                <w:highlight w:val="none"/>
              </w:rPr>
            </w:pPr>
            <w:r>
              <w:rPr>
                <w:rFonts w:hint="eastAsia" w:hAnsi="宋体" w:eastAsia="宋体" w:cs="宋体"/>
                <w:color w:val="auto"/>
                <w:sz w:val="24"/>
                <w:szCs w:val="24"/>
                <w:highlight w:val="none"/>
                <w:lang w:val="en-US" w:eastAsia="zh-CN"/>
              </w:rPr>
              <w:t>在最高投标限价范围内进行报价。设计费的报价应包括招标文件中招标内容（范围）的所有设计工作的所有费用，应包含各个不同专业的设计费用、进行优化设计或修改设计所增加的设计费用、各项专家评审的专家费用、税费等（不含第三方施工图审查费）</w:t>
            </w:r>
          </w:p>
        </w:tc>
      </w:tr>
      <w:tr w14:paraId="007B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32" w:type="pct"/>
            <w:noWrap w:val="0"/>
            <w:vAlign w:val="center"/>
          </w:tcPr>
          <w:p w14:paraId="48F47073">
            <w:pPr>
              <w:widowControl/>
              <w:spacing w:line="360" w:lineRule="auto"/>
              <w:jc w:val="center"/>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2</w:t>
            </w:r>
          </w:p>
        </w:tc>
        <w:tc>
          <w:tcPr>
            <w:tcW w:w="767" w:type="pct"/>
            <w:noWrap w:val="0"/>
            <w:vAlign w:val="center"/>
          </w:tcPr>
          <w:p w14:paraId="034B421D">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建安工程费</w:t>
            </w:r>
          </w:p>
        </w:tc>
        <w:tc>
          <w:tcPr>
            <w:tcW w:w="839" w:type="pct"/>
            <w:noWrap w:val="0"/>
            <w:vAlign w:val="center"/>
          </w:tcPr>
          <w:p w14:paraId="3ECCDC13">
            <w:pPr>
              <w:keepNext w:val="0"/>
              <w:keepLines w:val="0"/>
              <w:widowControl/>
              <w:suppressLineNumbers w:val="0"/>
              <w:spacing w:line="360" w:lineRule="auto"/>
              <w:jc w:val="center"/>
              <w:rPr>
                <w:rFonts w:hint="eastAsia" w:hAnsi="宋体" w:eastAsia="宋体" w:cs="宋体"/>
                <w:color w:val="auto"/>
                <w:highlight w:val="none"/>
                <w:lang w:val="en-US" w:eastAsia="zh-CN"/>
              </w:rPr>
            </w:pPr>
          </w:p>
          <w:p w14:paraId="75518F16">
            <w:pPr>
              <w:keepNext w:val="0"/>
              <w:keepLines w:val="0"/>
              <w:widowControl/>
              <w:suppressLineNumbers w:val="0"/>
              <w:spacing w:line="360" w:lineRule="auto"/>
              <w:jc w:val="center"/>
              <w:rPr>
                <w:rFonts w:hAnsi="宋体" w:eastAsia="宋体" w:cs="宋体"/>
                <w:color w:val="auto"/>
                <w:szCs w:val="24"/>
                <w:highlight w:val="none"/>
              </w:rPr>
            </w:pPr>
            <w:r>
              <w:rPr>
                <w:rFonts w:hint="eastAsia" w:hAnsi="宋体" w:eastAsia="宋体" w:cs="宋体"/>
                <w:color w:val="auto"/>
                <w:highlight w:val="none"/>
                <w:lang w:val="en-US" w:eastAsia="zh-CN"/>
              </w:rPr>
              <w:t>4244981.99</w:t>
            </w:r>
          </w:p>
          <w:p w14:paraId="1C557356">
            <w:pPr>
              <w:widowControl/>
              <w:spacing w:line="360" w:lineRule="auto"/>
              <w:jc w:val="center"/>
              <w:rPr>
                <w:rFonts w:hint="default" w:asciiTheme="minorEastAsia" w:hAnsiTheme="minorEastAsia" w:eastAsiaTheme="minorEastAsia" w:cstheme="minorEastAsia"/>
                <w:color w:val="auto"/>
                <w:kern w:val="0"/>
                <w:sz w:val="24"/>
                <w:szCs w:val="24"/>
                <w:highlight w:val="none"/>
                <w:lang w:val="en-US" w:eastAsia="zh-CN"/>
              </w:rPr>
            </w:pPr>
          </w:p>
        </w:tc>
        <w:tc>
          <w:tcPr>
            <w:tcW w:w="725" w:type="pct"/>
            <w:noWrap w:val="0"/>
            <w:vAlign w:val="center"/>
          </w:tcPr>
          <w:p w14:paraId="3D1A77A0">
            <w:pPr>
              <w:widowControl/>
              <w:spacing w:line="360"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宋体" w:hAnsi="宋体" w:eastAsia="宋体" w:cs="宋体"/>
                <w:color w:val="auto"/>
                <w:kern w:val="1"/>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lang w:val="en-US" w:eastAsia="zh-CN"/>
              </w:rPr>
              <w:t>0.00%</w:t>
            </w:r>
          </w:p>
        </w:tc>
        <w:tc>
          <w:tcPr>
            <w:tcW w:w="886" w:type="pct"/>
            <w:noWrap w:val="0"/>
            <w:vAlign w:val="center"/>
          </w:tcPr>
          <w:p w14:paraId="27BBB664">
            <w:pPr>
              <w:widowControl/>
              <w:spacing w:line="360" w:lineRule="auto"/>
              <w:jc w:val="center"/>
              <w:rPr>
                <w:rFonts w:hint="eastAsia" w:asciiTheme="minorEastAsia" w:hAnsiTheme="minorEastAsia" w:eastAsiaTheme="minorEastAsia" w:cstheme="minorEastAsia"/>
                <w:color w:val="auto"/>
                <w:kern w:val="0"/>
                <w:sz w:val="24"/>
                <w:szCs w:val="24"/>
                <w:highlight w:val="none"/>
                <w:lang w:val="en-US" w:eastAsia="zh-CN"/>
              </w:rPr>
            </w:pPr>
          </w:p>
        </w:tc>
        <w:tc>
          <w:tcPr>
            <w:tcW w:w="1548" w:type="pct"/>
            <w:noWrap w:val="0"/>
            <w:vAlign w:val="center"/>
          </w:tcPr>
          <w:p w14:paraId="5734960C">
            <w:pPr>
              <w:pStyle w:val="13"/>
              <w:pageBreakBefore w:val="0"/>
              <w:suppressLineNumbers w:val="0"/>
              <w:kinsoku/>
              <w:overflowPunct/>
              <w:topLinePunct w:val="0"/>
              <w:bidi w:val="0"/>
              <w:spacing w:before="0" w:beforeAutospacing="0" w:after="0" w:afterAutospacing="0" w:line="360" w:lineRule="auto"/>
              <w:ind w:left="0" w:leftChars="0" w:right="0" w:rightChars="0"/>
              <w:textAlignment w:val="auto"/>
              <w:rPr>
                <w:rFonts w:hint="default" w:asciiTheme="minorEastAsia" w:hAnsiTheme="minorEastAsia" w:eastAsiaTheme="minorEastAsia" w:cstheme="minorEastAsia"/>
                <w:color w:val="auto"/>
                <w:kern w:val="0"/>
                <w:sz w:val="24"/>
                <w:szCs w:val="24"/>
                <w:highlight w:val="none"/>
                <w:lang w:val="en-US"/>
              </w:rPr>
            </w:pPr>
            <w:r>
              <w:rPr>
                <w:rFonts w:hint="eastAsia" w:ascii="宋体" w:hAnsi="宋体" w:eastAsia="宋体" w:cs="宋体"/>
                <w:b w:val="0"/>
                <w:color w:val="auto"/>
                <w:kern w:val="2"/>
                <w:sz w:val="24"/>
                <w:szCs w:val="24"/>
                <w:highlight w:val="none"/>
                <w:lang w:val="en-US" w:eastAsia="zh-CN" w:bidi="ar-SA"/>
              </w:rPr>
              <w:t>报价基数以4244981.99元为暂定价，投标人按最高投标限价自行报总价及投标下浮率。</w:t>
            </w:r>
          </w:p>
        </w:tc>
      </w:tr>
      <w:tr w14:paraId="3E855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232" w:type="pct"/>
            <w:noWrap w:val="0"/>
            <w:vAlign w:val="center"/>
          </w:tcPr>
          <w:p w14:paraId="35033180">
            <w:pPr>
              <w:widowControl/>
              <w:spacing w:line="360" w:lineRule="auto"/>
              <w:jc w:val="center"/>
              <w:rPr>
                <w:rFonts w:hint="default"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3</w:t>
            </w:r>
          </w:p>
        </w:tc>
        <w:tc>
          <w:tcPr>
            <w:tcW w:w="767" w:type="pct"/>
            <w:noWrap w:val="0"/>
            <w:vAlign w:val="center"/>
          </w:tcPr>
          <w:p w14:paraId="04B5440C">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合计（1+</w:t>
            </w:r>
            <w:r>
              <w:rPr>
                <w:rFonts w:hint="eastAsia" w:asciiTheme="minorEastAsia" w:hAnsiTheme="minorEastAsia" w:eastAsia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color w:val="auto"/>
                <w:kern w:val="0"/>
                <w:sz w:val="24"/>
                <w:szCs w:val="24"/>
                <w:highlight w:val="none"/>
              </w:rPr>
              <w:t>）</w:t>
            </w:r>
          </w:p>
        </w:tc>
        <w:tc>
          <w:tcPr>
            <w:tcW w:w="839" w:type="pct"/>
            <w:noWrap w:val="0"/>
            <w:vAlign w:val="center"/>
          </w:tcPr>
          <w:p w14:paraId="33F55B31">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w:t>
            </w:r>
          </w:p>
        </w:tc>
        <w:tc>
          <w:tcPr>
            <w:tcW w:w="725" w:type="pct"/>
            <w:noWrap w:val="0"/>
            <w:vAlign w:val="center"/>
          </w:tcPr>
          <w:p w14:paraId="1B6F54FD">
            <w:pPr>
              <w:widowControl/>
              <w:spacing w:line="360"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w:t>
            </w:r>
          </w:p>
        </w:tc>
        <w:tc>
          <w:tcPr>
            <w:tcW w:w="886" w:type="pct"/>
            <w:noWrap w:val="0"/>
            <w:vAlign w:val="center"/>
          </w:tcPr>
          <w:p w14:paraId="2D8823F0">
            <w:pPr>
              <w:widowControl/>
              <w:spacing w:line="360" w:lineRule="auto"/>
              <w:jc w:val="center"/>
              <w:rPr>
                <w:rFonts w:hint="default" w:asciiTheme="minorEastAsia" w:hAnsiTheme="minorEastAsia" w:eastAsiaTheme="minorEastAsia" w:cstheme="minorEastAsia"/>
                <w:color w:val="auto"/>
                <w:kern w:val="0"/>
                <w:sz w:val="24"/>
                <w:szCs w:val="24"/>
                <w:highlight w:val="none"/>
                <w:lang w:val="en-US" w:eastAsia="zh-CN"/>
              </w:rPr>
            </w:pPr>
          </w:p>
        </w:tc>
        <w:tc>
          <w:tcPr>
            <w:tcW w:w="1548" w:type="pct"/>
            <w:noWrap w:val="0"/>
            <w:vAlign w:val="center"/>
          </w:tcPr>
          <w:p w14:paraId="7D14BC4D">
            <w:pPr>
              <w:widowControl/>
              <w:spacing w:line="360" w:lineRule="auto"/>
              <w:jc w:val="left"/>
              <w:rPr>
                <w:rFonts w:hint="eastAsia" w:asciiTheme="minorEastAsia" w:hAnsiTheme="minorEastAsia" w:eastAsiaTheme="minorEastAsia" w:cstheme="minorEastAsia"/>
                <w:color w:val="auto"/>
                <w:kern w:val="0"/>
                <w:sz w:val="24"/>
                <w:szCs w:val="24"/>
                <w:highlight w:val="none"/>
              </w:rPr>
            </w:pPr>
          </w:p>
        </w:tc>
      </w:tr>
    </w:tbl>
    <w:p w14:paraId="511FE1D8">
      <w:pPr>
        <w:pStyle w:val="42"/>
        <w:spacing w:line="360" w:lineRule="auto"/>
        <w:rPr>
          <w:rFonts w:ascii="宋体" w:hAnsi="宋体" w:cs="宋体"/>
          <w:color w:val="auto"/>
          <w:sz w:val="24"/>
          <w:highlight w:val="none"/>
          <w:lang w:val="zh-CN"/>
        </w:rPr>
      </w:pPr>
    </w:p>
    <w:p w14:paraId="766CC5EE">
      <w:pPr>
        <w:pageBreakBefore w:val="0"/>
        <w:kinsoku/>
        <w:wordWrap w:val="0"/>
        <w:overflowPunct/>
        <w:topLinePunct w:val="0"/>
        <w:bidi w:val="0"/>
        <w:adjustRightInd w:val="0"/>
        <w:snapToGrid w:val="0"/>
        <w:spacing w:line="360" w:lineRule="auto"/>
        <w:textAlignment w:val="auto"/>
        <w:rPr>
          <w:rFonts w:hint="eastAsia" w:ascii="宋体" w:hAnsi="宋体" w:eastAsia="宋体" w:cs="宋体"/>
          <w:snapToGrid w:val="0"/>
          <w:color w:val="auto"/>
          <w:sz w:val="24"/>
          <w:szCs w:val="24"/>
          <w:highlight w:val="none"/>
        </w:rPr>
      </w:pPr>
      <w:r>
        <w:rPr>
          <w:rFonts w:hint="eastAsia" w:ascii="宋体" w:hAnsi="宋体" w:eastAsia="宋体" w:cs="宋体"/>
          <w:color w:val="auto"/>
          <w:szCs w:val="21"/>
          <w:highlight w:val="none"/>
        </w:rPr>
        <w:t>注：投标报价、</w:t>
      </w:r>
      <w:r>
        <w:rPr>
          <w:rFonts w:hint="eastAsia" w:ascii="宋体" w:hAnsi="宋体" w:eastAsia="宋体" w:cs="宋体"/>
          <w:color w:val="auto"/>
          <w:szCs w:val="21"/>
          <w:highlight w:val="none"/>
          <w:lang w:eastAsia="zh-CN"/>
        </w:rPr>
        <w:t>投标下浮</w:t>
      </w:r>
      <w:r>
        <w:rPr>
          <w:rFonts w:hint="eastAsia" w:ascii="宋体" w:hAnsi="宋体" w:eastAsia="宋体" w:cs="宋体"/>
          <w:color w:val="auto"/>
          <w:szCs w:val="21"/>
          <w:highlight w:val="none"/>
        </w:rPr>
        <w:t>率均</w:t>
      </w:r>
      <w:r>
        <w:rPr>
          <w:rFonts w:hint="eastAsia" w:ascii="宋体" w:hAnsi="宋体" w:eastAsia="宋体" w:cs="宋体"/>
          <w:snapToGrid w:val="0"/>
          <w:color w:val="auto"/>
          <w:sz w:val="24"/>
          <w:szCs w:val="24"/>
          <w:highlight w:val="none"/>
        </w:rPr>
        <w:t>按“四舍五入”原则精确到两位小数，建安工程费投标报价=计算基数×（1-下浮率）。</w:t>
      </w:r>
    </w:p>
    <w:p w14:paraId="51DD2D3A">
      <w:pPr>
        <w:spacing w:line="360" w:lineRule="auto"/>
        <w:outlineLvl w:val="9"/>
        <w:rPr>
          <w:rFonts w:hint="eastAsia" w:asciiTheme="minorEastAsia" w:hAnsiTheme="minorEastAsia" w:eastAsiaTheme="minorEastAsia" w:cstheme="minorEastAsia"/>
          <w:color w:val="auto"/>
          <w:highlight w:val="none"/>
        </w:rPr>
      </w:pPr>
    </w:p>
    <w:p w14:paraId="3223CC57">
      <w:pPr>
        <w:wordWrap w:val="0"/>
        <w:adjustRightInd w:val="0"/>
        <w:snapToGrid w:val="0"/>
        <w:spacing w:line="360" w:lineRule="auto"/>
        <w:jc w:val="right"/>
        <w:rPr>
          <w:rFonts w:hint="eastAsia" w:ascii="宋体" w:hAnsi="宋体" w:eastAsia="宋体" w:cs="宋体"/>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Cs w:val="24"/>
          <w:highlight w:val="none"/>
        </w:rPr>
        <w:t xml:space="preserve">   </w:t>
      </w:r>
      <w:r>
        <w:rPr>
          <w:rFonts w:hint="eastAsia" w:ascii="宋体" w:hAnsi="宋体" w:eastAsia="宋体" w:cs="宋体"/>
          <w:snapToGrid w:val="0"/>
          <w:color w:val="auto"/>
          <w:kern w:val="0"/>
          <w:sz w:val="24"/>
          <w:szCs w:val="24"/>
          <w:highlight w:val="none"/>
        </w:rPr>
        <w:t>投标人：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（盖单位章）</w:t>
      </w:r>
    </w:p>
    <w:p w14:paraId="759658B8">
      <w:pPr>
        <w:wordWrap w:val="0"/>
        <w:adjustRightInd w:val="0"/>
        <w:snapToGrid w:val="0"/>
        <w:spacing w:line="360" w:lineRule="auto"/>
        <w:jc w:val="right"/>
        <w:rPr>
          <w:rFonts w:hint="eastAsia" w:ascii="宋体" w:hAnsi="宋体" w:eastAsia="宋体" w:cs="宋体"/>
          <w:snapToGrid w:val="0"/>
          <w:color w:val="auto"/>
          <w:kern w:val="0"/>
          <w:sz w:val="24"/>
          <w:szCs w:val="24"/>
          <w:highlight w:val="none"/>
        </w:rPr>
      </w:pPr>
    </w:p>
    <w:p w14:paraId="5EFD5C53">
      <w:pPr>
        <w:wordWrap w:val="0"/>
        <w:adjustRightInd w:val="0"/>
        <w:snapToGrid w:val="0"/>
        <w:spacing w:line="360" w:lineRule="auto"/>
        <w:ind w:firstLine="480" w:firstLineChars="200"/>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法定代表人或其委托代理人：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（签字或盖章）</w:t>
      </w:r>
    </w:p>
    <w:p w14:paraId="2827471C">
      <w:pPr>
        <w:wordWrap w:val="0"/>
        <w:adjustRightInd w:val="0"/>
        <w:snapToGrid w:val="0"/>
        <w:spacing w:line="360" w:lineRule="auto"/>
        <w:ind w:firstLine="480" w:firstLineChars="200"/>
        <w:jc w:val="right"/>
        <w:rPr>
          <w:rFonts w:hint="eastAsia" w:ascii="宋体" w:hAnsi="宋体" w:eastAsia="宋体" w:cs="宋体"/>
          <w:snapToGrid w:val="0"/>
          <w:color w:val="auto"/>
          <w:kern w:val="0"/>
          <w:sz w:val="24"/>
          <w:szCs w:val="24"/>
          <w:highlight w:val="none"/>
        </w:rPr>
      </w:pPr>
    </w:p>
    <w:p w14:paraId="3A0CC27B">
      <w:pPr>
        <w:spacing w:line="360" w:lineRule="auto"/>
        <w:rPr>
          <w:rFonts w:hint="eastAsia" w:asciiTheme="minorEastAsia" w:hAnsiTheme="minorEastAsia" w:eastAsiaTheme="minorEastAsia" w:cstheme="minorEastAsia"/>
          <w:color w:val="auto"/>
          <w:szCs w:val="24"/>
          <w:highlight w:val="none"/>
        </w:rPr>
        <w:sectPr>
          <w:endnotePr>
            <w:numFmt w:val="decimal"/>
          </w:endnotePr>
          <w:pgSz w:w="11905" w:h="16838"/>
          <w:pgMar w:top="1134" w:right="1134" w:bottom="1134" w:left="1134" w:header="850" w:footer="992" w:gutter="0"/>
          <w:pgNumType w:fmt="decimal"/>
          <w:cols w:space="0" w:num="1"/>
          <w:rtlGutter w:val="0"/>
          <w:docGrid w:linePitch="327" w:charSpace="0"/>
        </w:sectPr>
      </w:pP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月</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日</w:t>
      </w:r>
    </w:p>
    <w:p w14:paraId="769EA550">
      <w:pPr>
        <w:pStyle w:val="11"/>
        <w:spacing w:before="120" w:line="360" w:lineRule="auto"/>
        <w:rPr>
          <w:rStyle w:val="70"/>
          <w:rFonts w:hint="eastAsia" w:asciiTheme="minorEastAsia" w:hAnsiTheme="minorEastAsia" w:eastAsiaTheme="minorEastAsia" w:cstheme="minorEastAsia"/>
          <w:color w:val="auto"/>
          <w:sz w:val="24"/>
          <w:szCs w:val="24"/>
          <w:highlight w:val="none"/>
        </w:rPr>
      </w:pPr>
      <w:bookmarkStart w:id="517" w:name="_Toc28529"/>
      <w:bookmarkStart w:id="518" w:name="_Toc20987"/>
      <w:bookmarkStart w:id="519" w:name="_Toc919"/>
      <w:bookmarkStart w:id="520" w:name="_Toc26662"/>
      <w:bookmarkStart w:id="521" w:name="_Toc1017"/>
      <w:bookmarkStart w:id="522" w:name="_Toc32555"/>
      <w:bookmarkStart w:id="523" w:name="_Toc21928"/>
      <w:r>
        <w:rPr>
          <w:rStyle w:val="70"/>
          <w:rFonts w:hint="eastAsia" w:asciiTheme="minorEastAsia" w:hAnsiTheme="minorEastAsia" w:eastAsiaTheme="minorEastAsia" w:cstheme="minorEastAsia"/>
          <w:color w:val="auto"/>
          <w:sz w:val="24"/>
          <w:szCs w:val="24"/>
          <w:highlight w:val="none"/>
        </w:rPr>
        <w:t>格式三 各项</w:t>
      </w:r>
      <w:r>
        <w:rPr>
          <w:rFonts w:hint="eastAsia" w:asciiTheme="minorEastAsia" w:hAnsiTheme="minorEastAsia" w:eastAsiaTheme="minorEastAsia" w:cstheme="minorEastAsia"/>
          <w:b/>
          <w:bCs/>
          <w:color w:val="auto"/>
          <w:szCs w:val="24"/>
          <w:highlight w:val="none"/>
        </w:rPr>
        <w:t>承诺</w:t>
      </w:r>
      <w:r>
        <w:rPr>
          <w:rStyle w:val="70"/>
          <w:rFonts w:hint="eastAsia" w:asciiTheme="minorEastAsia" w:hAnsiTheme="minorEastAsia" w:eastAsiaTheme="minorEastAsia" w:cstheme="minorEastAsia"/>
          <w:color w:val="auto"/>
          <w:sz w:val="24"/>
          <w:szCs w:val="24"/>
          <w:highlight w:val="none"/>
        </w:rPr>
        <w:t>一览表</w:t>
      </w:r>
      <w:bookmarkEnd w:id="515"/>
      <w:bookmarkEnd w:id="516"/>
      <w:bookmarkEnd w:id="517"/>
      <w:bookmarkEnd w:id="518"/>
      <w:bookmarkEnd w:id="519"/>
      <w:bookmarkEnd w:id="520"/>
    </w:p>
    <w:bookmarkEnd w:id="521"/>
    <w:bookmarkEnd w:id="522"/>
    <w:bookmarkEnd w:id="523"/>
    <w:p w14:paraId="2507BC48">
      <w:pPr>
        <w:spacing w:line="360" w:lineRule="auto"/>
        <w:jc w:val="center"/>
        <w:rPr>
          <w:rFonts w:hint="eastAsia" w:asciiTheme="minorEastAsia" w:hAnsiTheme="minorEastAsia" w:eastAsiaTheme="minorEastAsia" w:cstheme="minorEastAsia"/>
          <w:b/>
          <w:bCs/>
          <w:color w:val="auto"/>
          <w:szCs w:val="24"/>
          <w:highlight w:val="none"/>
        </w:rPr>
      </w:pPr>
      <w:bookmarkStart w:id="524" w:name="_Toc30877"/>
      <w:bookmarkStart w:id="525" w:name="_Toc20729"/>
      <w:bookmarkStart w:id="526" w:name="_Toc21521"/>
      <w:bookmarkStart w:id="527" w:name="_Toc39136365"/>
      <w:bookmarkStart w:id="528" w:name="_Toc18136"/>
      <w:bookmarkStart w:id="529" w:name="_Toc16438"/>
      <w:bookmarkStart w:id="530" w:name="_Toc15279"/>
      <w:bookmarkStart w:id="531" w:name="_Toc31113"/>
      <w:r>
        <w:rPr>
          <w:rFonts w:hint="eastAsia" w:asciiTheme="minorEastAsia" w:hAnsiTheme="minorEastAsia" w:eastAsiaTheme="minorEastAsia" w:cstheme="minorEastAsia"/>
          <w:b/>
          <w:bCs/>
          <w:color w:val="auto"/>
          <w:szCs w:val="24"/>
          <w:highlight w:val="none"/>
        </w:rPr>
        <w:t>各项承诺一览表</w:t>
      </w:r>
      <w:bookmarkEnd w:id="524"/>
      <w:bookmarkEnd w:id="525"/>
      <w:bookmarkEnd w:id="526"/>
      <w:bookmarkEnd w:id="527"/>
    </w:p>
    <w:bookmarkEnd w:id="528"/>
    <w:bookmarkEnd w:id="529"/>
    <w:bookmarkEnd w:id="530"/>
    <w:bookmarkEnd w:id="531"/>
    <w:tbl>
      <w:tblPr>
        <w:tblStyle w:val="31"/>
        <w:tblW w:w="9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6"/>
        <w:gridCol w:w="1234"/>
        <w:gridCol w:w="3073"/>
        <w:gridCol w:w="4796"/>
      </w:tblGrid>
      <w:tr w14:paraId="4379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top"/>
          </w:tcPr>
          <w:p w14:paraId="28699F17">
            <w:pPr>
              <w:pStyle w:val="47"/>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234" w:type="dxa"/>
            <w:noWrap w:val="0"/>
            <w:vAlign w:val="top"/>
          </w:tcPr>
          <w:p w14:paraId="31A8938A">
            <w:pPr>
              <w:pStyle w:val="47"/>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承诺标题</w:t>
            </w:r>
          </w:p>
        </w:tc>
        <w:tc>
          <w:tcPr>
            <w:tcW w:w="3073" w:type="dxa"/>
            <w:noWrap w:val="0"/>
            <w:vAlign w:val="top"/>
          </w:tcPr>
          <w:p w14:paraId="0723CADE">
            <w:pPr>
              <w:pStyle w:val="47"/>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承诺内容</w:t>
            </w:r>
          </w:p>
        </w:tc>
        <w:tc>
          <w:tcPr>
            <w:tcW w:w="4796" w:type="dxa"/>
            <w:tcBorders>
              <w:bottom w:val="single" w:color="auto" w:sz="4" w:space="0"/>
            </w:tcBorders>
            <w:noWrap w:val="0"/>
            <w:vAlign w:val="top"/>
          </w:tcPr>
          <w:p w14:paraId="52D24AEA">
            <w:pPr>
              <w:pStyle w:val="47"/>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违约承诺</w:t>
            </w:r>
          </w:p>
        </w:tc>
      </w:tr>
      <w:tr w14:paraId="600D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509D0026">
            <w:pPr>
              <w:pStyle w:val="47"/>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34" w:type="dxa"/>
            <w:noWrap w:val="0"/>
            <w:vAlign w:val="center"/>
          </w:tcPr>
          <w:p w14:paraId="7004AB1D">
            <w:pPr>
              <w:pStyle w:val="72"/>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对招标文件条款自愿接受承诺书</w:t>
            </w:r>
          </w:p>
        </w:tc>
        <w:tc>
          <w:tcPr>
            <w:tcW w:w="3073" w:type="dxa"/>
            <w:noWrap w:val="0"/>
            <w:vAlign w:val="center"/>
          </w:tcPr>
          <w:p w14:paraId="721EE92F">
            <w:pPr>
              <w:pStyle w:val="72"/>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我方保证接受招标文件的所有条款，响应招标文件的所有要求，并同意招标文件为施工承包合同的组成部分</w:t>
            </w:r>
          </w:p>
        </w:tc>
        <w:tc>
          <w:tcPr>
            <w:tcW w:w="4796" w:type="dxa"/>
            <w:tcBorders>
              <w:tr2bl w:val="single" w:color="auto" w:sz="4" w:space="0"/>
            </w:tcBorders>
            <w:noWrap w:val="0"/>
            <w:vAlign w:val="center"/>
          </w:tcPr>
          <w:p w14:paraId="41A7D528">
            <w:pPr>
              <w:pStyle w:val="72"/>
              <w:spacing w:line="360" w:lineRule="auto"/>
              <w:ind w:firstLine="420"/>
              <w:rPr>
                <w:rFonts w:hint="eastAsia" w:ascii="宋体" w:hAnsi="宋体" w:eastAsia="宋体" w:cs="宋体"/>
                <w:color w:val="auto"/>
                <w:sz w:val="21"/>
                <w:szCs w:val="21"/>
                <w:highlight w:val="none"/>
              </w:rPr>
            </w:pPr>
          </w:p>
        </w:tc>
      </w:tr>
      <w:tr w14:paraId="67A6A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73BC4748">
            <w:pPr>
              <w:pStyle w:val="47"/>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34" w:type="dxa"/>
            <w:noWrap w:val="0"/>
            <w:vAlign w:val="center"/>
          </w:tcPr>
          <w:p w14:paraId="0BB5AD2B">
            <w:pPr>
              <w:pStyle w:val="72"/>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无禁止投标</w:t>
            </w:r>
          </w:p>
          <w:p w14:paraId="25B052BF">
            <w:pPr>
              <w:pStyle w:val="72"/>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情形的承诺</w:t>
            </w:r>
          </w:p>
        </w:tc>
        <w:tc>
          <w:tcPr>
            <w:tcW w:w="3073" w:type="dxa"/>
            <w:noWrap w:val="0"/>
            <w:vAlign w:val="center"/>
          </w:tcPr>
          <w:p w14:paraId="3D971B22">
            <w:pPr>
              <w:pStyle w:val="72"/>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我方不存在招标文件第一章第三节第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w:t>
            </w:r>
          </w:p>
        </w:tc>
        <w:tc>
          <w:tcPr>
            <w:tcW w:w="4796" w:type="dxa"/>
            <w:noWrap w:val="0"/>
            <w:vAlign w:val="center"/>
          </w:tcPr>
          <w:p w14:paraId="13673D1C">
            <w:pPr>
              <w:pStyle w:val="72"/>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如果我方有招标文件第一章第三节第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24A5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552394F2">
            <w:pPr>
              <w:pStyle w:val="47"/>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34" w:type="dxa"/>
            <w:noWrap w:val="0"/>
            <w:vAlign w:val="center"/>
          </w:tcPr>
          <w:p w14:paraId="2C90CA06">
            <w:pPr>
              <w:pStyle w:val="72"/>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自觉抵制围标串标和弄虚作假行为的承诺</w:t>
            </w:r>
          </w:p>
        </w:tc>
        <w:tc>
          <w:tcPr>
            <w:tcW w:w="3073" w:type="dxa"/>
            <w:noWrap w:val="0"/>
            <w:vAlign w:val="center"/>
          </w:tcPr>
          <w:p w14:paraId="671ABF6E">
            <w:pPr>
              <w:pStyle w:val="72"/>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我方合法正当、诚实守信地参与投标，不组织、不参加围标串标违法行为，不通过弄虚作假行为骗取中标。</w:t>
            </w:r>
          </w:p>
        </w:tc>
        <w:tc>
          <w:tcPr>
            <w:tcW w:w="4796" w:type="dxa"/>
            <w:noWrap w:val="0"/>
            <w:vAlign w:val="center"/>
          </w:tcPr>
          <w:p w14:paraId="7AF01976">
            <w:pPr>
              <w:pStyle w:val="72"/>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1DAD9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4EB0C70B">
            <w:pPr>
              <w:pStyle w:val="47"/>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34" w:type="dxa"/>
            <w:noWrap w:val="0"/>
            <w:vAlign w:val="center"/>
          </w:tcPr>
          <w:p w14:paraId="4AE27BC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履约保证的承诺</w:t>
            </w:r>
          </w:p>
        </w:tc>
        <w:tc>
          <w:tcPr>
            <w:tcW w:w="3073" w:type="dxa"/>
            <w:noWrap w:val="0"/>
            <w:vAlign w:val="center"/>
          </w:tcPr>
          <w:p w14:paraId="7CB1DA74">
            <w:pPr>
              <w:pStyle w:val="72"/>
              <w:wordWrap w:val="0"/>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如果我方中标，我方保证在招标文件规定的时限内全额提交履约保证。</w:t>
            </w:r>
          </w:p>
        </w:tc>
        <w:tc>
          <w:tcPr>
            <w:tcW w:w="4796" w:type="dxa"/>
            <w:noWrap w:val="0"/>
            <w:vAlign w:val="center"/>
          </w:tcPr>
          <w:p w14:paraId="6E48051F">
            <w:pPr>
              <w:pStyle w:val="72"/>
              <w:wordWrap w:val="0"/>
              <w:adjustRightInd w:val="0"/>
              <w:snapToGrid w:val="0"/>
              <w:spacing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 xml:space="preserve">    如果我方未在招标文件规定的时限内全额提交履约保证，我方接受招标人依据招标文件作出的相应处理以及有关监督部门作出的行政处罚，并承担由此引起的一切法律后果。</w:t>
            </w:r>
          </w:p>
        </w:tc>
      </w:tr>
      <w:tr w14:paraId="2AEE6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6" w:type="dxa"/>
            <w:noWrap w:val="0"/>
            <w:vAlign w:val="center"/>
          </w:tcPr>
          <w:p w14:paraId="2BD73097">
            <w:pPr>
              <w:pStyle w:val="47"/>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234" w:type="dxa"/>
            <w:noWrap w:val="0"/>
            <w:vAlign w:val="center"/>
          </w:tcPr>
          <w:p w14:paraId="1605709C">
            <w:pPr>
              <w:pStyle w:val="72"/>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工期、进度承诺书</w:t>
            </w:r>
          </w:p>
        </w:tc>
        <w:tc>
          <w:tcPr>
            <w:tcW w:w="3073" w:type="dxa"/>
            <w:noWrap w:val="0"/>
            <w:vAlign w:val="center"/>
          </w:tcPr>
          <w:p w14:paraId="0BE6F71F">
            <w:pPr>
              <w:pStyle w:val="72"/>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我方保证在</w:t>
            </w:r>
            <w:r>
              <w:rPr>
                <w:rFonts w:hint="eastAsia" w:ascii="宋体" w:hAnsi="宋体" w:eastAsia="宋体" w:cs="宋体"/>
                <w:b/>
                <w:bCs/>
                <w:color w:val="auto"/>
                <w:sz w:val="21"/>
                <w:szCs w:val="21"/>
                <w:highlight w:val="none"/>
                <w:u w:val="single"/>
              </w:rPr>
              <w:t xml:space="preserve">  </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u w:val="single"/>
              </w:rPr>
              <w:t>日历天内（</w:t>
            </w:r>
            <w:r>
              <w:rPr>
                <w:rFonts w:hint="eastAsia" w:ascii="宋体" w:hAnsi="宋体" w:eastAsia="宋体" w:cs="宋体"/>
                <w:color w:val="auto"/>
                <w:sz w:val="21"/>
                <w:szCs w:val="21"/>
                <w:highlight w:val="none"/>
              </w:rPr>
              <w:t>其中：设计工期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日历天；施工工期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日历天</w:t>
            </w:r>
            <w:r>
              <w:rPr>
                <w:rFonts w:hint="eastAsia" w:ascii="宋体" w:hAnsi="宋体" w:eastAsia="宋体" w:cs="宋体"/>
                <w:b/>
                <w:bCs/>
                <w:color w:val="auto"/>
                <w:sz w:val="21"/>
                <w:szCs w:val="21"/>
                <w:highlight w:val="none"/>
                <w:u w:val="none"/>
              </w:rPr>
              <w:t>）</w:t>
            </w:r>
            <w:r>
              <w:rPr>
                <w:rFonts w:hint="eastAsia" w:ascii="宋体" w:hAnsi="宋体" w:eastAsia="宋体" w:cs="宋体"/>
                <w:color w:val="auto"/>
                <w:sz w:val="21"/>
                <w:szCs w:val="21"/>
                <w:highlight w:val="none"/>
              </w:rPr>
              <w:t>完成工程设计、施工并通过竣工验收。</w:t>
            </w:r>
          </w:p>
        </w:tc>
        <w:tc>
          <w:tcPr>
            <w:tcW w:w="4796" w:type="dxa"/>
            <w:noWrap w:val="0"/>
            <w:vAlign w:val="center"/>
          </w:tcPr>
          <w:p w14:paraId="592D198A">
            <w:pPr>
              <w:pStyle w:val="72"/>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若因我方原因，没有按期完成设计工作的，</w:t>
            </w:r>
            <w:r>
              <w:rPr>
                <w:rFonts w:hint="eastAsia" w:ascii="宋体" w:hAnsi="宋体" w:eastAsia="宋体" w:cs="宋体"/>
                <w:color w:val="auto"/>
                <w:sz w:val="21"/>
                <w:szCs w:val="21"/>
                <w:highlight w:val="none"/>
                <w:lang w:eastAsia="zh-CN"/>
              </w:rPr>
              <w:t>我方</w:t>
            </w:r>
            <w:r>
              <w:rPr>
                <w:rFonts w:hint="eastAsia" w:ascii="宋体" w:hAnsi="宋体" w:eastAsia="宋体" w:cs="宋体"/>
                <w:color w:val="auto"/>
                <w:sz w:val="21"/>
                <w:szCs w:val="21"/>
                <w:highlight w:val="none"/>
              </w:rPr>
              <w:t>须在逾期第壹天起每天按设计费合同价款的1‰向招标人返纳逾期违约金</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设计</w:t>
            </w:r>
            <w:r>
              <w:rPr>
                <w:rFonts w:hint="eastAsia" w:ascii="宋体" w:hAnsi="宋体" w:eastAsia="宋体" w:cs="宋体"/>
                <w:color w:val="auto"/>
                <w:sz w:val="21"/>
                <w:szCs w:val="21"/>
                <w:highlight w:val="none"/>
                <w:lang w:eastAsia="zh-CN"/>
              </w:rPr>
              <w:t>逾期违约金的最高限额为合同</w:t>
            </w:r>
            <w:r>
              <w:rPr>
                <w:rFonts w:hint="eastAsia" w:ascii="宋体" w:hAnsi="宋体" w:eastAsia="宋体" w:cs="宋体"/>
                <w:color w:val="auto"/>
                <w:sz w:val="21"/>
                <w:szCs w:val="21"/>
                <w:highlight w:val="none"/>
              </w:rPr>
              <w:t>设计</w:t>
            </w:r>
            <w:r>
              <w:rPr>
                <w:rFonts w:hint="eastAsia" w:ascii="宋体" w:hAnsi="宋体" w:eastAsia="宋体" w:cs="宋体"/>
                <w:color w:val="auto"/>
                <w:sz w:val="21"/>
                <w:szCs w:val="21"/>
                <w:highlight w:val="none"/>
                <w:lang w:eastAsia="zh-CN"/>
              </w:rPr>
              <w:t>价款的</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工程没有按期竣工并通过验收时，我方在逾期第壹天起每天按合同价款的</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‰向招标人返纳逾期竣工违约金</w:t>
            </w:r>
            <w:r>
              <w:rPr>
                <w:rFonts w:hint="eastAsia" w:ascii="宋体" w:hAnsi="宋体" w:eastAsia="宋体" w:cs="宋体"/>
                <w:color w:val="auto"/>
                <w:sz w:val="21"/>
                <w:szCs w:val="21"/>
                <w:highlight w:val="none"/>
                <w:lang w:eastAsia="zh-CN"/>
              </w:rPr>
              <w:t>，逾期竣工违约金的最高限额为合同施工价款的</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p>
        </w:tc>
      </w:tr>
      <w:tr w14:paraId="32B02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2EC99678">
            <w:pPr>
              <w:pStyle w:val="47"/>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234" w:type="dxa"/>
            <w:noWrap w:val="0"/>
            <w:vAlign w:val="center"/>
          </w:tcPr>
          <w:p w14:paraId="37CB0D8D">
            <w:pPr>
              <w:pStyle w:val="72"/>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安全、文明施工承诺书</w:t>
            </w:r>
          </w:p>
        </w:tc>
        <w:tc>
          <w:tcPr>
            <w:tcW w:w="3073" w:type="dxa"/>
            <w:noWrap w:val="0"/>
            <w:vAlign w:val="center"/>
          </w:tcPr>
          <w:p w14:paraId="643DAC63">
            <w:pPr>
              <w:pStyle w:val="72"/>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我方保证在施工期间严格遵守国家、省、市有关安全、文明施工规定，确保施工安全和第三者的安全，根据施工现场情况保证安全防护、文明施工措施费投入。</w:t>
            </w:r>
          </w:p>
        </w:tc>
        <w:tc>
          <w:tcPr>
            <w:tcW w:w="4796" w:type="dxa"/>
            <w:noWrap w:val="0"/>
            <w:vAlign w:val="center"/>
          </w:tcPr>
          <w:p w14:paraId="11BA15C0">
            <w:pPr>
              <w:pStyle w:val="72"/>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若因我方原因，在施工期间发生安全事故，造成施工人员或第三者的伤亡，我方愿意承担由此造成的一切经济损失和法律责任。</w:t>
            </w:r>
          </w:p>
          <w:p w14:paraId="3B29240B">
            <w:pPr>
              <w:pStyle w:val="72"/>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若我方在施工中发生一般事故及以上等级生产安全事故，可扣除相当于所有“安全防护、文明施工措施费”的管理费。</w:t>
            </w:r>
          </w:p>
        </w:tc>
      </w:tr>
      <w:tr w14:paraId="23D5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305166C3">
            <w:pPr>
              <w:pStyle w:val="47"/>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234" w:type="dxa"/>
            <w:noWrap w:val="0"/>
            <w:vAlign w:val="center"/>
          </w:tcPr>
          <w:p w14:paraId="3291A7DA">
            <w:pPr>
              <w:pStyle w:val="72"/>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质量承诺书</w:t>
            </w:r>
          </w:p>
        </w:tc>
        <w:tc>
          <w:tcPr>
            <w:tcW w:w="3073" w:type="dxa"/>
            <w:noWrap w:val="0"/>
            <w:vAlign w:val="center"/>
          </w:tcPr>
          <w:p w14:paraId="5B684535">
            <w:pPr>
              <w:pStyle w:val="47"/>
              <w:spacing w:line="360" w:lineRule="auto"/>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我方保证按照现行的国家和广东省的有关施工技术规范及现行标准，达到合格标准</w:t>
            </w:r>
          </w:p>
        </w:tc>
        <w:tc>
          <w:tcPr>
            <w:tcW w:w="4796" w:type="dxa"/>
            <w:noWrap w:val="0"/>
            <w:vAlign w:val="center"/>
          </w:tcPr>
          <w:p w14:paraId="5B11A466">
            <w:pPr>
              <w:pStyle w:val="72"/>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因我方原因，工程在竣工验收或分部分项工程验收时没有达到合格标准，我方每次（每分部每分项次）验收检查时按合同价款的1％向招标人缴纳质量违约金。并达到合格标准为止，同时承担所有的责任及经济损失。</w:t>
            </w:r>
          </w:p>
          <w:p w14:paraId="359BF430">
            <w:pPr>
              <w:pStyle w:val="72"/>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建设或监理单组织的质量检查中，一次一个分项工程实测或其他项、程序不合格不符合要求的，一次向建设单位交纳质量违约金¥1000元/次项，分部工程不合格的一次、一个分部向建设（委托）单位交纳违约金¥2000元/次、项；</w:t>
            </w:r>
          </w:p>
          <w:p w14:paraId="129E1C9C">
            <w:pPr>
              <w:pStyle w:val="72"/>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省、市监管部门抽查、巡查、专项、随机检查中，一次一个分项工程实测或其他项、程序不合格不符合要求的，一次向建设（委托）单位交纳质量违约金¥2000元/次项，分部工程不合格的一次、一个分部向建设（委托）单位交纳违约金¥5000元/次、项；</w:t>
            </w:r>
          </w:p>
          <w:p w14:paraId="04C34C59">
            <w:pPr>
              <w:pStyle w:val="74"/>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未能在限期内完成质量安全隐患整改的，每逾期一天，向建设单位交纳罚金¥1000元；</w:t>
            </w:r>
          </w:p>
          <w:p w14:paraId="19EA5F6B">
            <w:pPr>
              <w:pStyle w:val="74"/>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未按规定委派专业人员参加检验批、分部分项工程验收，不及时签署验收记录的，一次向建设（委托）单位交纳违约金¥2000元/次、项；</w:t>
            </w:r>
          </w:p>
          <w:p w14:paraId="2AB7BF2D">
            <w:pPr>
              <w:pStyle w:val="72"/>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不按规定委派相关人员参加项目竣工验收的，一次向建设单位交纳违约金¥50000元/项，不签署意见的交纳违约金¥50000元。</w:t>
            </w:r>
          </w:p>
        </w:tc>
      </w:tr>
      <w:tr w14:paraId="20DD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 w:hRule="atLeast"/>
          <w:jc w:val="center"/>
        </w:trPr>
        <w:tc>
          <w:tcPr>
            <w:tcW w:w="656" w:type="dxa"/>
            <w:noWrap w:val="0"/>
            <w:vAlign w:val="center"/>
          </w:tcPr>
          <w:p w14:paraId="14C050E3">
            <w:pPr>
              <w:pStyle w:val="47"/>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234" w:type="dxa"/>
            <w:noWrap w:val="0"/>
            <w:vAlign w:val="center"/>
          </w:tcPr>
          <w:p w14:paraId="02695FE4">
            <w:pPr>
              <w:pStyle w:val="72"/>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账户承诺</w:t>
            </w:r>
          </w:p>
        </w:tc>
        <w:tc>
          <w:tcPr>
            <w:tcW w:w="3073" w:type="dxa"/>
            <w:noWrap w:val="0"/>
            <w:vAlign w:val="center"/>
          </w:tcPr>
          <w:p w14:paraId="6F61BD00">
            <w:pPr>
              <w:pStyle w:val="74"/>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我方保证招标人的资金随时可划入合同中规定的我方账户。</w:t>
            </w:r>
          </w:p>
        </w:tc>
        <w:tc>
          <w:tcPr>
            <w:tcW w:w="4796" w:type="dxa"/>
            <w:noWrap w:val="0"/>
            <w:vAlign w:val="center"/>
          </w:tcPr>
          <w:p w14:paraId="59BA984E">
            <w:pPr>
              <w:pStyle w:val="72"/>
              <w:spacing w:line="360" w:lineRule="auto"/>
              <w:ind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若因我方原因造成招标人的资金无法划入合同中规定的我方</w:t>
            </w:r>
            <w:r>
              <w:rPr>
                <w:rFonts w:hint="eastAsia" w:ascii="宋体" w:hAnsi="宋体" w:eastAsia="宋体" w:cs="宋体"/>
                <w:color w:val="auto"/>
                <w:sz w:val="21"/>
                <w:szCs w:val="21"/>
                <w:highlight w:val="none"/>
              </w:rPr>
              <w:t>账</w:t>
            </w:r>
            <w:r>
              <w:rPr>
                <w:rFonts w:hint="eastAsia" w:ascii="宋体" w:hAnsi="宋体" w:eastAsia="宋体" w:cs="宋体"/>
                <w:color w:val="auto"/>
                <w:spacing w:val="-2"/>
                <w:sz w:val="21"/>
                <w:szCs w:val="21"/>
                <w:highlight w:val="none"/>
              </w:rPr>
              <w:t>户，如时间达到30日历天，招标人有权终止合同。我方承担由此造成的所有责任及经济损失。</w:t>
            </w:r>
          </w:p>
        </w:tc>
      </w:tr>
      <w:tr w14:paraId="2F98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78487B43">
            <w:pPr>
              <w:pStyle w:val="47"/>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234" w:type="dxa"/>
            <w:noWrap w:val="0"/>
            <w:vAlign w:val="center"/>
          </w:tcPr>
          <w:p w14:paraId="48496C40">
            <w:pPr>
              <w:pStyle w:val="72"/>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工程的配合服务承诺</w:t>
            </w:r>
          </w:p>
        </w:tc>
        <w:tc>
          <w:tcPr>
            <w:tcW w:w="3073" w:type="dxa"/>
            <w:noWrap w:val="0"/>
            <w:vAlign w:val="center"/>
          </w:tcPr>
          <w:p w14:paraId="2C0E482F">
            <w:pPr>
              <w:pStyle w:val="74"/>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我方服从业主管理，保证配合与工程承包范围内相关的其他标段（工种、分项）工程施工单位的工程施工，不提出额外增加费用的要求。</w:t>
            </w:r>
          </w:p>
        </w:tc>
        <w:tc>
          <w:tcPr>
            <w:tcW w:w="4796" w:type="dxa"/>
            <w:noWrap w:val="0"/>
            <w:vAlign w:val="center"/>
          </w:tcPr>
          <w:p w14:paraId="210F5CD9">
            <w:pPr>
              <w:pStyle w:val="72"/>
              <w:spacing w:line="360" w:lineRule="auto"/>
              <w:ind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若因我方未及时配合与工程承包范围内相关的其他标段（工种、分项）工程施工单位的工程施工，给招标人或其他施工单位造成损失的，我方承担所有的责任及经济损失。</w:t>
            </w:r>
          </w:p>
        </w:tc>
      </w:tr>
      <w:tr w14:paraId="4D1E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655C3A2D">
            <w:pPr>
              <w:pStyle w:val="47"/>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p>
        </w:tc>
        <w:tc>
          <w:tcPr>
            <w:tcW w:w="1234" w:type="dxa"/>
            <w:noWrap w:val="0"/>
            <w:vAlign w:val="center"/>
          </w:tcPr>
          <w:p w14:paraId="50BBA48D">
            <w:pPr>
              <w:pStyle w:val="76"/>
              <w:spacing w:line="360" w:lineRule="auto"/>
              <w:jc w:val="center"/>
              <w:rPr>
                <w:rFonts w:hint="eastAsia" w:ascii="宋体" w:hAnsi="宋体" w:eastAsia="宋体" w:cs="宋体"/>
                <w:color w:val="auto"/>
                <w:spacing w:val="-2"/>
                <w:sz w:val="21"/>
                <w:szCs w:val="21"/>
                <w:highlight w:val="none"/>
              </w:rPr>
            </w:pPr>
          </w:p>
          <w:p w14:paraId="5EFD5C77">
            <w:pPr>
              <w:pStyle w:val="76"/>
              <w:spacing w:line="360" w:lineRule="auto"/>
              <w:jc w:val="center"/>
              <w:rPr>
                <w:rFonts w:hint="eastAsia" w:ascii="宋体" w:hAnsi="宋体" w:eastAsia="宋体" w:cs="宋体"/>
                <w:color w:val="auto"/>
                <w:spacing w:val="-2"/>
                <w:sz w:val="21"/>
                <w:szCs w:val="21"/>
                <w:highlight w:val="none"/>
              </w:rPr>
            </w:pPr>
          </w:p>
          <w:p w14:paraId="23A37F7C">
            <w:pPr>
              <w:pStyle w:val="76"/>
              <w:spacing w:line="360" w:lineRule="auto"/>
              <w:jc w:val="center"/>
              <w:rPr>
                <w:rFonts w:hint="eastAsia" w:ascii="宋体" w:hAnsi="宋体" w:eastAsia="宋体" w:cs="宋体"/>
                <w:color w:val="auto"/>
                <w:spacing w:val="-2"/>
                <w:sz w:val="21"/>
                <w:szCs w:val="21"/>
                <w:highlight w:val="none"/>
              </w:rPr>
            </w:pPr>
          </w:p>
          <w:p w14:paraId="40D91B2A">
            <w:pPr>
              <w:pStyle w:val="76"/>
              <w:spacing w:line="360" w:lineRule="auto"/>
              <w:jc w:val="center"/>
              <w:rPr>
                <w:rFonts w:hint="eastAsia" w:ascii="宋体" w:hAnsi="宋体" w:eastAsia="宋体" w:cs="宋体"/>
                <w:color w:val="auto"/>
                <w:spacing w:val="-2"/>
                <w:sz w:val="21"/>
                <w:szCs w:val="21"/>
                <w:highlight w:val="none"/>
              </w:rPr>
            </w:pPr>
          </w:p>
          <w:p w14:paraId="0141EA37">
            <w:pPr>
              <w:pStyle w:val="76"/>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中标人员承诺</w:t>
            </w:r>
          </w:p>
        </w:tc>
        <w:tc>
          <w:tcPr>
            <w:tcW w:w="3073" w:type="dxa"/>
            <w:noWrap w:val="0"/>
            <w:vAlign w:val="center"/>
          </w:tcPr>
          <w:p w14:paraId="6BDA504F">
            <w:pPr>
              <w:pStyle w:val="76"/>
              <w:spacing w:line="360" w:lineRule="auto"/>
              <w:ind w:firstLine="412" w:firstLineChars="200"/>
              <w:jc w:val="center"/>
              <w:rPr>
                <w:rFonts w:hint="eastAsia" w:ascii="宋体" w:hAnsi="宋体" w:eastAsia="宋体" w:cs="宋体"/>
                <w:color w:val="auto"/>
                <w:spacing w:val="-2"/>
                <w:sz w:val="21"/>
                <w:szCs w:val="21"/>
                <w:highlight w:val="none"/>
              </w:rPr>
            </w:pPr>
          </w:p>
          <w:p w14:paraId="6156EF29">
            <w:pPr>
              <w:pStyle w:val="76"/>
              <w:spacing w:line="360" w:lineRule="auto"/>
              <w:ind w:firstLine="412" w:firstLineChars="200"/>
              <w:jc w:val="center"/>
              <w:rPr>
                <w:rFonts w:hint="eastAsia" w:ascii="宋体" w:hAnsi="宋体" w:eastAsia="宋体" w:cs="宋体"/>
                <w:color w:val="auto"/>
                <w:spacing w:val="-2"/>
                <w:sz w:val="21"/>
                <w:szCs w:val="21"/>
                <w:highlight w:val="none"/>
              </w:rPr>
            </w:pPr>
          </w:p>
          <w:p w14:paraId="339AD7D6">
            <w:pPr>
              <w:pStyle w:val="76"/>
              <w:spacing w:line="360" w:lineRule="auto"/>
              <w:ind w:firstLine="412" w:firstLineChars="200"/>
              <w:jc w:val="center"/>
              <w:rPr>
                <w:rFonts w:hint="eastAsia" w:ascii="宋体" w:hAnsi="宋体" w:eastAsia="宋体" w:cs="宋体"/>
                <w:color w:val="auto"/>
                <w:spacing w:val="-2"/>
                <w:sz w:val="21"/>
                <w:szCs w:val="21"/>
                <w:highlight w:val="none"/>
              </w:rPr>
            </w:pPr>
          </w:p>
          <w:p w14:paraId="2C3E0341">
            <w:pPr>
              <w:pStyle w:val="76"/>
              <w:spacing w:line="360" w:lineRule="auto"/>
              <w:ind w:firstLine="412"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我方保证投标文件中所拟派的中标人员全部配合施工现场管理施工。</w:t>
            </w:r>
          </w:p>
        </w:tc>
        <w:tc>
          <w:tcPr>
            <w:tcW w:w="4796" w:type="dxa"/>
            <w:noWrap w:val="0"/>
            <w:vAlign w:val="center"/>
          </w:tcPr>
          <w:p w14:paraId="48801C4F">
            <w:pPr>
              <w:pStyle w:val="77"/>
              <w:spacing w:line="360" w:lineRule="auto"/>
              <w:ind w:left="0" w:leftChars="0" w:firstLine="420" w:firstLineChars="200"/>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设计单位未能在招标人通知的时间内（提前一天通知，紧急情况随时通知）参加设计交底、处理有关设计问题、参加必要部位隐蔽验收和竣工验收等工作，每人次交纳违约金</w:t>
            </w:r>
            <w:r>
              <w:rPr>
                <w:rFonts w:hint="eastAsia" w:ascii="宋体" w:hAnsi="宋体" w:eastAsia="宋体" w:cs="宋体"/>
                <w:color w:val="auto"/>
                <w:sz w:val="21"/>
                <w:szCs w:val="21"/>
                <w:highlight w:val="none"/>
              </w:rPr>
              <w:t>¥</w:t>
            </w:r>
            <w:r>
              <w:rPr>
                <w:rFonts w:hint="eastAsia" w:ascii="宋体" w:hAnsi="宋体" w:eastAsia="宋体" w:cs="宋体"/>
                <w:snapToGrid w:val="0"/>
                <w:color w:val="auto"/>
                <w:sz w:val="21"/>
                <w:szCs w:val="21"/>
                <w:highlight w:val="none"/>
              </w:rPr>
              <w:t>1000元。</w:t>
            </w:r>
          </w:p>
          <w:p w14:paraId="734BF04B">
            <w:pPr>
              <w:pStyle w:val="77"/>
              <w:spacing w:line="360" w:lineRule="auto"/>
              <w:ind w:left="0" w:leftChars="0" w:firstLine="420" w:firstLineChars="200"/>
              <w:rPr>
                <w:rFonts w:hint="eastAsia" w:ascii="宋体" w:hAnsi="宋体" w:eastAsia="宋体" w:cs="宋体"/>
                <w:color w:val="auto"/>
                <w:spacing w:val="-2"/>
                <w:sz w:val="21"/>
                <w:szCs w:val="21"/>
                <w:highlight w:val="none"/>
              </w:rPr>
            </w:pPr>
            <w:r>
              <w:rPr>
                <w:rFonts w:hint="eastAsia" w:ascii="宋体" w:hAnsi="宋体" w:eastAsia="宋体" w:cs="宋体"/>
                <w:snapToGrid w:val="0"/>
                <w:color w:val="auto"/>
                <w:sz w:val="21"/>
                <w:szCs w:val="21"/>
                <w:highlight w:val="none"/>
              </w:rPr>
              <w:t>设计单位的</w:t>
            </w:r>
            <w:r>
              <w:rPr>
                <w:rFonts w:hint="eastAsia" w:ascii="宋体" w:hAnsi="宋体" w:eastAsia="宋体" w:cs="宋体"/>
                <w:snapToGrid w:val="0"/>
                <w:color w:val="auto"/>
                <w:sz w:val="21"/>
                <w:szCs w:val="21"/>
                <w:highlight w:val="none"/>
                <w:lang w:eastAsia="zh-CN"/>
              </w:rPr>
              <w:t>设计</w:t>
            </w:r>
            <w:r>
              <w:rPr>
                <w:rFonts w:hint="eastAsia" w:ascii="宋体" w:hAnsi="宋体" w:eastAsia="宋体" w:cs="宋体"/>
                <w:snapToGrid w:val="0"/>
                <w:color w:val="auto"/>
                <w:sz w:val="21"/>
                <w:szCs w:val="21"/>
                <w:highlight w:val="none"/>
              </w:rPr>
              <w:t>负责人（即投标文件所拟派的</w:t>
            </w:r>
            <w:r>
              <w:rPr>
                <w:rFonts w:hint="eastAsia" w:ascii="宋体" w:hAnsi="宋体" w:eastAsia="宋体" w:cs="宋体"/>
                <w:snapToGrid w:val="0"/>
                <w:color w:val="auto"/>
                <w:sz w:val="21"/>
                <w:szCs w:val="21"/>
                <w:highlight w:val="none"/>
                <w:lang w:eastAsia="zh-CN"/>
              </w:rPr>
              <w:t>设计</w:t>
            </w:r>
            <w:r>
              <w:rPr>
                <w:rFonts w:hint="eastAsia" w:ascii="宋体" w:hAnsi="宋体" w:eastAsia="宋体" w:cs="宋体"/>
                <w:snapToGrid w:val="0"/>
                <w:color w:val="auto"/>
                <w:sz w:val="21"/>
                <w:szCs w:val="21"/>
                <w:highlight w:val="none"/>
              </w:rPr>
              <w:t>负责人）必须负责本项目设计全过程（包括施工图设计审查、施工图设计修编、预算跟踪服务、图纸会审和技术交底）。</w:t>
            </w:r>
            <w:r>
              <w:rPr>
                <w:rFonts w:hint="eastAsia" w:ascii="宋体" w:hAnsi="宋体" w:eastAsia="宋体" w:cs="宋体"/>
                <w:snapToGrid w:val="0"/>
                <w:color w:val="auto"/>
                <w:sz w:val="21"/>
                <w:szCs w:val="21"/>
                <w:highlight w:val="none"/>
                <w:lang w:eastAsia="zh-CN"/>
              </w:rPr>
              <w:t>设计</w:t>
            </w:r>
            <w:r>
              <w:rPr>
                <w:rFonts w:hint="eastAsia" w:ascii="宋体" w:hAnsi="宋体" w:eastAsia="宋体" w:cs="宋体"/>
                <w:snapToGrid w:val="0"/>
                <w:color w:val="auto"/>
                <w:sz w:val="21"/>
                <w:szCs w:val="21"/>
                <w:highlight w:val="none"/>
              </w:rPr>
              <w:t>负责人未准时参加上述环节工作的，每缺席一次交纳违约金</w:t>
            </w:r>
            <w:r>
              <w:rPr>
                <w:rFonts w:hint="eastAsia" w:ascii="宋体" w:hAnsi="宋体" w:eastAsia="宋体" w:cs="宋体"/>
                <w:color w:val="auto"/>
                <w:sz w:val="21"/>
                <w:szCs w:val="21"/>
                <w:highlight w:val="none"/>
              </w:rPr>
              <w:t>¥</w:t>
            </w:r>
            <w:r>
              <w:rPr>
                <w:rFonts w:hint="eastAsia" w:ascii="宋体" w:hAnsi="宋体" w:eastAsia="宋体" w:cs="宋体"/>
                <w:snapToGrid w:val="0"/>
                <w:color w:val="auto"/>
                <w:sz w:val="21"/>
                <w:szCs w:val="21"/>
                <w:highlight w:val="none"/>
                <w:lang w:val="en-US" w:eastAsia="zh-CN"/>
              </w:rPr>
              <w:t>2</w:t>
            </w:r>
            <w:r>
              <w:rPr>
                <w:rFonts w:hint="eastAsia" w:ascii="宋体" w:hAnsi="宋体" w:eastAsia="宋体" w:cs="宋体"/>
                <w:snapToGrid w:val="0"/>
                <w:color w:val="auto"/>
                <w:sz w:val="21"/>
                <w:szCs w:val="21"/>
                <w:highlight w:val="none"/>
              </w:rPr>
              <w:t>000元（以招标人发出的违约通知为准）。</w:t>
            </w:r>
          </w:p>
        </w:tc>
      </w:tr>
      <w:tr w14:paraId="4908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6F4914B9">
            <w:pPr>
              <w:pStyle w:val="47"/>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p>
        </w:tc>
        <w:tc>
          <w:tcPr>
            <w:tcW w:w="1234" w:type="dxa"/>
            <w:noWrap w:val="0"/>
            <w:vAlign w:val="center"/>
          </w:tcPr>
          <w:p w14:paraId="51A1CB7E">
            <w:pPr>
              <w:pStyle w:val="72"/>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项目管理班子人员承诺</w:t>
            </w:r>
          </w:p>
        </w:tc>
        <w:tc>
          <w:tcPr>
            <w:tcW w:w="3073" w:type="dxa"/>
            <w:noWrap w:val="0"/>
            <w:vAlign w:val="center"/>
          </w:tcPr>
          <w:p w14:paraId="6357FC92">
            <w:pPr>
              <w:pStyle w:val="74"/>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我方保证投标文件中所拟派的项目经理、技术负责人、施工员、质量员、安全员等工程管理人员全部在施工现场管理施工</w:t>
            </w:r>
          </w:p>
        </w:tc>
        <w:tc>
          <w:tcPr>
            <w:tcW w:w="4796" w:type="dxa"/>
            <w:noWrap w:val="0"/>
            <w:vAlign w:val="center"/>
          </w:tcPr>
          <w:p w14:paraId="29398FF2">
            <w:pPr>
              <w:pStyle w:val="72"/>
              <w:spacing w:line="360" w:lineRule="auto"/>
              <w:ind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承诺施工期间如左所叙施工现场管理人员按要求每日办理签到手续，如未经招标人同意未办理签到，向建设单位每人每天支付违约金</w:t>
            </w:r>
            <w:r>
              <w:rPr>
                <w:rFonts w:hint="eastAsia" w:ascii="宋体" w:hAnsi="宋体" w:eastAsia="宋体" w:cs="宋体"/>
                <w:color w:val="auto"/>
                <w:sz w:val="21"/>
                <w:szCs w:val="21"/>
                <w:highlight w:val="none"/>
              </w:rPr>
              <w:t>¥</w:t>
            </w:r>
            <w:r>
              <w:rPr>
                <w:rFonts w:hint="eastAsia" w:ascii="宋体" w:hAnsi="宋体" w:eastAsia="宋体" w:cs="宋体"/>
                <w:color w:val="auto"/>
                <w:spacing w:val="-2"/>
                <w:sz w:val="21"/>
                <w:szCs w:val="21"/>
                <w:highlight w:val="none"/>
                <w:lang w:val="en-US" w:eastAsia="zh-CN"/>
              </w:rPr>
              <w:t>10</w:t>
            </w:r>
            <w:r>
              <w:rPr>
                <w:rFonts w:hint="eastAsia" w:ascii="宋体" w:hAnsi="宋体" w:eastAsia="宋体" w:cs="宋体"/>
                <w:color w:val="auto"/>
                <w:spacing w:val="-2"/>
                <w:sz w:val="21"/>
                <w:szCs w:val="21"/>
                <w:highlight w:val="none"/>
              </w:rPr>
              <w:t>00元（项目经理未签到每天支付违约金</w:t>
            </w:r>
            <w:r>
              <w:rPr>
                <w:rFonts w:hint="eastAsia" w:ascii="宋体" w:hAnsi="宋体" w:eastAsia="宋体" w:cs="宋体"/>
                <w:color w:val="auto"/>
                <w:sz w:val="21"/>
                <w:szCs w:val="21"/>
                <w:highlight w:val="none"/>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000元）；</w:t>
            </w:r>
          </w:p>
          <w:p w14:paraId="0449E707">
            <w:pPr>
              <w:pStyle w:val="72"/>
              <w:spacing w:line="360" w:lineRule="auto"/>
              <w:ind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若我方的投标文件中所拟派的如左所述任何一个管理人员未经招标人或招标人同意擅自离岗，在一个月内达到10次/人，或项目经理、技术负责人在施工过程中每月驻场少于2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天的，招标人有权终止合同。我方承担由此造成的所有责任及经济损失。</w:t>
            </w:r>
          </w:p>
        </w:tc>
      </w:tr>
      <w:tr w14:paraId="4F09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3" w:hRule="atLeast"/>
          <w:jc w:val="center"/>
        </w:trPr>
        <w:tc>
          <w:tcPr>
            <w:tcW w:w="656" w:type="dxa"/>
            <w:noWrap w:val="0"/>
            <w:vAlign w:val="center"/>
          </w:tcPr>
          <w:p w14:paraId="1B340186">
            <w:pPr>
              <w:pStyle w:val="47"/>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234" w:type="dxa"/>
            <w:noWrap w:val="0"/>
            <w:vAlign w:val="center"/>
          </w:tcPr>
          <w:p w14:paraId="572A10B7">
            <w:pPr>
              <w:pStyle w:val="72"/>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对支付农民工工资的承诺</w:t>
            </w:r>
          </w:p>
        </w:tc>
        <w:tc>
          <w:tcPr>
            <w:tcW w:w="3073" w:type="dxa"/>
            <w:noWrap w:val="0"/>
            <w:vAlign w:val="center"/>
          </w:tcPr>
          <w:p w14:paraId="164AB79E">
            <w:pPr>
              <w:pStyle w:val="72"/>
              <w:spacing w:line="360" w:lineRule="auto"/>
              <w:ind w:firstLine="206" w:firstLineChars="100"/>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如我方中标，我方无条件同意按照用工合同支付</w:t>
            </w:r>
            <w:r>
              <w:rPr>
                <w:rFonts w:hint="eastAsia" w:ascii="宋体" w:hAnsi="宋体" w:eastAsia="宋体" w:cs="宋体"/>
                <w:color w:val="auto"/>
                <w:sz w:val="21"/>
                <w:szCs w:val="21"/>
                <w:highlight w:val="none"/>
              </w:rPr>
              <w:t>农民工工资。</w:t>
            </w:r>
          </w:p>
        </w:tc>
        <w:tc>
          <w:tcPr>
            <w:tcW w:w="4796" w:type="dxa"/>
            <w:noWrap w:val="0"/>
            <w:vAlign w:val="center"/>
          </w:tcPr>
          <w:p w14:paraId="4CBB4832">
            <w:pPr>
              <w:pStyle w:val="72"/>
              <w:spacing w:line="360" w:lineRule="auto"/>
              <w:ind w:firstLine="412"/>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如我方中标，我方无条件同意按照用工合同支付</w:t>
            </w:r>
            <w:r>
              <w:rPr>
                <w:rFonts w:hint="eastAsia" w:ascii="宋体" w:hAnsi="宋体" w:eastAsia="宋体" w:cs="宋体"/>
                <w:color w:val="auto"/>
                <w:sz w:val="21"/>
                <w:szCs w:val="21"/>
                <w:highlight w:val="none"/>
              </w:rPr>
              <w:t>农民工工资。否则，招标人有权终止合同，扣除履约保证金，并由招标人先行垫付农民工被拖欠的工资，数额以未结清的工程数为限。</w:t>
            </w:r>
          </w:p>
        </w:tc>
      </w:tr>
      <w:tr w14:paraId="1E5F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757F6B66">
            <w:pPr>
              <w:pStyle w:val="47"/>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1234" w:type="dxa"/>
            <w:noWrap w:val="0"/>
            <w:vAlign w:val="center"/>
          </w:tcPr>
          <w:p w14:paraId="6B8BB558">
            <w:pPr>
              <w:pStyle w:val="72"/>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施工组织设计承诺</w:t>
            </w:r>
          </w:p>
        </w:tc>
        <w:tc>
          <w:tcPr>
            <w:tcW w:w="3073" w:type="dxa"/>
            <w:noWrap w:val="0"/>
            <w:vAlign w:val="center"/>
          </w:tcPr>
          <w:p w14:paraId="280CF969">
            <w:pPr>
              <w:pStyle w:val="72"/>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我方保证施工组织设计按照国家省市有关规定进行编写。</w:t>
            </w:r>
          </w:p>
        </w:tc>
        <w:tc>
          <w:tcPr>
            <w:tcW w:w="4796" w:type="dxa"/>
            <w:noWrap w:val="0"/>
            <w:vAlign w:val="center"/>
          </w:tcPr>
          <w:p w14:paraId="771F6BE2">
            <w:pPr>
              <w:pStyle w:val="72"/>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如我方的施工组织设计未根据招标项目情况按照国家省市有关规定进行编写的，扣除全部履约保证金。</w:t>
            </w:r>
          </w:p>
        </w:tc>
      </w:tr>
      <w:tr w14:paraId="72AA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69CBA5F7">
            <w:pPr>
              <w:pStyle w:val="78"/>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1234" w:type="dxa"/>
            <w:noWrap w:val="0"/>
            <w:vAlign w:val="center"/>
          </w:tcPr>
          <w:p w14:paraId="585B1CF5">
            <w:pPr>
              <w:pStyle w:val="78"/>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设计承诺</w:t>
            </w:r>
          </w:p>
        </w:tc>
        <w:tc>
          <w:tcPr>
            <w:tcW w:w="3073" w:type="dxa"/>
            <w:noWrap w:val="0"/>
            <w:vAlign w:val="center"/>
          </w:tcPr>
          <w:p w14:paraId="06FDF4B4">
            <w:pPr>
              <w:pStyle w:val="79"/>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如我方中标，我方保证按设计规范及有关法律法规进行设计，并准时提供相应设计文件经审图机构审查通过。</w:t>
            </w:r>
          </w:p>
        </w:tc>
        <w:tc>
          <w:tcPr>
            <w:tcW w:w="4796" w:type="dxa"/>
            <w:noWrap w:val="0"/>
            <w:vAlign w:val="center"/>
          </w:tcPr>
          <w:p w14:paraId="01EA568A">
            <w:pPr>
              <w:pStyle w:val="79"/>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我方中标，未能按招标文件要求提供设计文件，招标人有权终止合同，扣除设计费的10%作为违约罚款，并由招标人另行委托相应资质的单位进行设计，其费用由中标人支付，施工工期不予顺延且不另外计取赶工措施费。</w:t>
            </w:r>
          </w:p>
          <w:p w14:paraId="4ABDC80B">
            <w:pPr>
              <w:pStyle w:val="79"/>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由于设计人设计工作错误造成工程设计质量事故，根据责任情况，负责赔偿工程损失费，但最高不超过该项目应收设计费总额，负责采取补救措施。</w:t>
            </w:r>
          </w:p>
          <w:p w14:paraId="10D93F7D">
            <w:pPr>
              <w:pStyle w:val="79"/>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施工期间除发包人要求或特殊地质原因外，因设计质量和深度不够的原因引起的工程返工或需要设计变更引起工程造价增加的，每次扣减设计合同价款中设计费的2％，扣完为止。</w:t>
            </w:r>
          </w:p>
          <w:p w14:paraId="3C6DF7EF">
            <w:pPr>
              <w:pStyle w:val="79"/>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因设计单位自身原因造成工程结算超施工招标中标价的，扣除应付设计合同价款中的余款。</w:t>
            </w:r>
          </w:p>
        </w:tc>
      </w:tr>
      <w:tr w14:paraId="7AC1F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78A5C725">
            <w:pPr>
              <w:pStyle w:val="47"/>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234" w:type="dxa"/>
            <w:shd w:val="clear" w:color="auto" w:fill="auto"/>
            <w:noWrap w:val="0"/>
            <w:vAlign w:val="center"/>
          </w:tcPr>
          <w:p w14:paraId="17085DFB">
            <w:pPr>
              <w:pStyle w:val="72"/>
              <w:spacing w:line="360" w:lineRule="auto"/>
              <w:ind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综合服务能力承诺</w:t>
            </w:r>
          </w:p>
        </w:tc>
        <w:tc>
          <w:tcPr>
            <w:tcW w:w="3073" w:type="dxa"/>
            <w:shd w:val="clear" w:color="auto" w:fill="auto"/>
            <w:noWrap w:val="0"/>
            <w:vAlign w:val="center"/>
          </w:tcPr>
          <w:p w14:paraId="0C3896F7">
            <w:pPr>
              <w:pStyle w:val="72"/>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我方保证中标后，自行解决施工中遇到的各种外部问题，协调周边企业、村民关系，并承担由此产生的所以责任及损失。</w:t>
            </w:r>
          </w:p>
        </w:tc>
        <w:tc>
          <w:tcPr>
            <w:tcW w:w="4796" w:type="dxa"/>
            <w:shd w:val="clear" w:color="auto" w:fill="auto"/>
            <w:noWrap w:val="0"/>
            <w:vAlign w:val="center"/>
          </w:tcPr>
          <w:p w14:paraId="778F1F01">
            <w:pPr>
              <w:pStyle w:val="72"/>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若我方未能按招标文件所承诺的各项承诺完成时，我方同意按比例扣除相应履约保证金，并承担由此引起的所有责任。</w:t>
            </w:r>
          </w:p>
        </w:tc>
      </w:tr>
      <w:tr w14:paraId="1EEEF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016E3174">
            <w:pPr>
              <w:pStyle w:val="47"/>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1234" w:type="dxa"/>
            <w:shd w:val="clear" w:color="auto" w:fill="auto"/>
            <w:noWrap w:val="0"/>
            <w:vAlign w:val="center"/>
          </w:tcPr>
          <w:p w14:paraId="4471B0CF">
            <w:pPr>
              <w:pStyle w:val="72"/>
              <w:spacing w:line="360" w:lineRule="auto"/>
              <w:ind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廉政承诺</w:t>
            </w:r>
          </w:p>
        </w:tc>
        <w:tc>
          <w:tcPr>
            <w:tcW w:w="3073" w:type="dxa"/>
            <w:shd w:val="clear" w:color="auto" w:fill="auto"/>
            <w:noWrap w:val="0"/>
            <w:vAlign w:val="center"/>
          </w:tcPr>
          <w:p w14:paraId="1F937805">
            <w:pPr>
              <w:pStyle w:val="72"/>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如我方中标，我方将严格执行国家、广东省、韶关市有关工程建设廉政的有关法律法规及双方签订的廉政合同。</w:t>
            </w:r>
          </w:p>
        </w:tc>
        <w:tc>
          <w:tcPr>
            <w:tcW w:w="4796" w:type="dxa"/>
            <w:shd w:val="clear" w:color="auto" w:fill="auto"/>
            <w:noWrap w:val="0"/>
            <w:vAlign w:val="center"/>
          </w:tcPr>
          <w:p w14:paraId="32A4256B">
            <w:pPr>
              <w:pStyle w:val="72"/>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如我方违反国家、广东省、韶关市有关工程建设廉政的有关法律法规及双方签订的廉政合同，受到相关主管部门的通报或查处，招标人可按规定对我方进行处罚，情节严重时招标人可终止合同，我方承担由此造成的所有责任和经济损失。</w:t>
            </w:r>
          </w:p>
        </w:tc>
      </w:tr>
      <w:tr w14:paraId="7539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07D89ADB">
            <w:pPr>
              <w:pStyle w:val="47"/>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1234" w:type="dxa"/>
            <w:shd w:val="clear" w:color="auto" w:fill="auto"/>
            <w:noWrap w:val="0"/>
            <w:vAlign w:val="center"/>
          </w:tcPr>
          <w:p w14:paraId="4306825F">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对外协调关系承诺</w:t>
            </w:r>
          </w:p>
        </w:tc>
        <w:tc>
          <w:tcPr>
            <w:tcW w:w="3073" w:type="dxa"/>
            <w:shd w:val="clear" w:color="auto" w:fill="auto"/>
            <w:noWrap w:val="0"/>
            <w:vAlign w:val="center"/>
          </w:tcPr>
          <w:p w14:paraId="0C29C104">
            <w:pPr>
              <w:pStyle w:val="18"/>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我方保证中标后，自行解决施工中遇到的各种外部问题，协调周边企业、村民关系，并承担由此产生的所有责任及损失。</w:t>
            </w:r>
          </w:p>
        </w:tc>
        <w:tc>
          <w:tcPr>
            <w:tcW w:w="4796" w:type="dxa"/>
            <w:shd w:val="clear" w:color="auto" w:fill="auto"/>
            <w:noWrap w:val="0"/>
            <w:vAlign w:val="center"/>
          </w:tcPr>
          <w:p w14:paraId="675E7C52">
            <w:pPr>
              <w:pStyle w:val="18"/>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若我方未能按招标文件所承诺的各项承诺完成时，我方同意按比例扣除相应履约保证金，并承担由此引起的所有责任。</w:t>
            </w:r>
          </w:p>
        </w:tc>
      </w:tr>
      <w:tr w14:paraId="65B65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656" w:type="dxa"/>
            <w:noWrap w:val="0"/>
            <w:vAlign w:val="center"/>
          </w:tcPr>
          <w:p w14:paraId="0C6DB75F">
            <w:pPr>
              <w:pStyle w:val="47"/>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1234" w:type="dxa"/>
            <w:shd w:val="clear" w:color="auto" w:fill="auto"/>
            <w:noWrap w:val="0"/>
            <w:vAlign w:val="center"/>
          </w:tcPr>
          <w:p w14:paraId="57AB79D9">
            <w:pPr>
              <w:pStyle w:val="72"/>
              <w:wordWrap w:val="0"/>
              <w:adjustRightInd w:val="0"/>
              <w:snapToGrid w:val="0"/>
              <w:spacing w:line="360" w:lineRule="auto"/>
              <w:ind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snapToGrid w:val="0"/>
                <w:color w:val="auto"/>
                <w:kern w:val="0"/>
                <w:sz w:val="21"/>
                <w:szCs w:val="21"/>
                <w:highlight w:val="none"/>
              </w:rPr>
              <w:t>投标文件信息公开承诺</w:t>
            </w:r>
          </w:p>
        </w:tc>
        <w:tc>
          <w:tcPr>
            <w:tcW w:w="3073" w:type="dxa"/>
            <w:shd w:val="clear" w:color="auto" w:fill="auto"/>
            <w:noWrap w:val="0"/>
            <w:vAlign w:val="center"/>
          </w:tcPr>
          <w:p w14:paraId="089CE4C2">
            <w:pPr>
              <w:pStyle w:val="72"/>
              <w:wordWrap w:val="0"/>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我方提供完整的电子文件。如</w:t>
            </w:r>
            <w:r>
              <w:rPr>
                <w:rFonts w:hint="eastAsia" w:ascii="宋体" w:hAnsi="宋体" w:eastAsia="宋体" w:cs="宋体"/>
                <w:color w:val="auto"/>
                <w:sz w:val="21"/>
                <w:szCs w:val="21"/>
                <w:highlight w:val="none"/>
                <w:lang w:eastAsia="zh-CN"/>
              </w:rPr>
              <w:t>果</w:t>
            </w:r>
            <w:r>
              <w:rPr>
                <w:rFonts w:hint="eastAsia" w:ascii="宋体" w:hAnsi="宋体" w:eastAsia="宋体" w:cs="宋体"/>
                <w:color w:val="auto"/>
                <w:sz w:val="21"/>
                <w:szCs w:val="21"/>
                <w:highlight w:val="none"/>
              </w:rPr>
              <w:t>我方成为本项目中标候选人，我方同意并授权招标人</w:t>
            </w:r>
            <w:r>
              <w:rPr>
                <w:rFonts w:hint="eastAsia" w:ascii="宋体" w:hAnsi="宋体" w:eastAsia="宋体" w:cs="宋体"/>
                <w:color w:val="auto"/>
                <w:sz w:val="21"/>
                <w:szCs w:val="21"/>
                <w:highlight w:val="none"/>
                <w:lang w:eastAsia="zh-CN"/>
              </w:rPr>
              <w:t>在评标结果公示期内公开</w:t>
            </w:r>
            <w:r>
              <w:rPr>
                <w:rFonts w:hint="eastAsia" w:ascii="宋体" w:hAnsi="宋体" w:eastAsia="宋体" w:cs="宋体"/>
                <w:color w:val="auto"/>
                <w:sz w:val="21"/>
                <w:szCs w:val="21"/>
                <w:highlight w:val="none"/>
              </w:rPr>
              <w:t>我方商务部分的</w:t>
            </w:r>
            <w:r>
              <w:rPr>
                <w:rFonts w:hint="eastAsia" w:ascii="宋体" w:hAnsi="宋体" w:eastAsia="宋体" w:cs="宋体"/>
                <w:color w:val="auto"/>
                <w:sz w:val="21"/>
                <w:szCs w:val="21"/>
                <w:highlight w:val="none"/>
                <w:lang w:eastAsia="zh-CN"/>
              </w:rPr>
              <w:t>全部</w:t>
            </w:r>
            <w:r>
              <w:rPr>
                <w:rFonts w:hint="eastAsia" w:ascii="宋体" w:hAnsi="宋体" w:eastAsia="宋体" w:cs="宋体"/>
                <w:color w:val="auto"/>
                <w:sz w:val="21"/>
                <w:szCs w:val="21"/>
                <w:highlight w:val="none"/>
              </w:rPr>
              <w:t>内容。</w:t>
            </w:r>
          </w:p>
        </w:tc>
        <w:tc>
          <w:tcPr>
            <w:tcW w:w="4796" w:type="dxa"/>
            <w:shd w:val="clear" w:color="auto" w:fill="auto"/>
            <w:noWrap w:val="0"/>
            <w:vAlign w:val="center"/>
            <mc:AlternateContent>
              <mc:Choice Requires="wpsCustomData">
                <wpsCustomData:diagonals>
                  <wpsCustomData:diagonal from="0" to="20000">
                    <wpsCustomData:border w:val="single" w:color="auto" w:sz="4" w:space="0"/>
                  </wpsCustomData:diagonal>
                </wpsCustomData:diagonals>
              </mc:Choice>
            </mc:AlternateContent>
          </w:tcPr>
          <w:p w14:paraId="58E1BDE3">
            <w:pPr>
              <w:pStyle w:val="72"/>
              <w:wordWrap w:val="0"/>
              <w:adjustRightInd w:val="0"/>
              <w:snapToGrid w:val="0"/>
              <w:spacing w:line="240" w:lineRule="auto"/>
              <w:ind w:firstLine="0" w:firstLineChars="0"/>
              <w:jc w:val="left"/>
              <mc:AlternateContent>
                <mc:Choice Requires="wpsCustomData">
                  <wpsCustomData:diagonalParaType/>
                </mc:Choice>
              </mc:AlternateContent>
              <w:rPr>
                <w:rFonts w:hint="eastAsia" w:ascii="宋体" w:hAnsi="宋体" w:eastAsia="宋体" w:cs="宋体"/>
                <w:color w:val="auto"/>
                <w:kern w:val="2"/>
                <w:sz w:val="21"/>
                <w:szCs w:val="21"/>
                <w:highlight w:val="none"/>
                <w:lang w:val="en-US" w:eastAsia="zh-CN" w:bidi="ar-SA"/>
              </w:rPr>
            </w:pPr>
          </w:p>
          <w:p w14:paraId="0EFDB759">
            <w:pPr>
              <w:pStyle w:val="72"/>
              <w:wordWrap w:val="0"/>
              <w:adjustRightInd w:val="0"/>
              <w:snapToGrid w:val="0"/>
              <w:spacing w:line="360" w:lineRule="auto"/>
              <w:ind w:firstLine="0" w:firstLineChars="0"/>
              <w:jc w:val="left"/>
              <w:rPr>
                <w:rFonts w:hint="eastAsia" w:ascii="宋体" w:hAnsi="宋体" w:eastAsia="宋体" w:cs="宋体"/>
                <w:color w:val="auto"/>
                <w:kern w:val="2"/>
                <w:sz w:val="21"/>
                <w:szCs w:val="21"/>
                <w:highlight w:val="none"/>
                <w:lang w:val="en-US" w:eastAsia="zh-CN" w:bidi="ar-SA"/>
              </w:rPr>
            </w:pPr>
          </w:p>
        </w:tc>
      </w:tr>
      <w:tr w14:paraId="7814A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524B4BD6">
            <w:pPr>
              <w:pStyle w:val="16"/>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19</w:t>
            </w:r>
          </w:p>
        </w:tc>
        <w:tc>
          <w:tcPr>
            <w:tcW w:w="1234" w:type="dxa"/>
            <w:noWrap w:val="0"/>
            <w:vAlign w:val="center"/>
          </w:tcPr>
          <w:p w14:paraId="66B21A03">
            <w:pPr>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按时签订合同的承诺</w:t>
            </w:r>
          </w:p>
        </w:tc>
        <w:tc>
          <w:tcPr>
            <w:tcW w:w="3073" w:type="dxa"/>
            <w:noWrap w:val="0"/>
            <w:vAlign w:val="center"/>
          </w:tcPr>
          <w:p w14:paraId="096674D2">
            <w:pPr>
              <w:pStyle w:val="72"/>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如果我方中标，我方保证在招标文件规定的时限内与招标人签订合同，不提出违背或超出招标文件、中标文件的要求。</w:t>
            </w:r>
          </w:p>
        </w:tc>
        <w:tc>
          <w:tcPr>
            <w:tcW w:w="4796" w:type="dxa"/>
            <w:noWrap w:val="0"/>
            <w:vAlign w:val="center"/>
          </w:tcPr>
          <w:p w14:paraId="0916CEC1">
            <w:pPr>
              <w:pStyle w:val="72"/>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r w14:paraId="3541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2D952E80">
            <w:pPr>
              <w:pStyle w:val="16"/>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0</w:t>
            </w:r>
          </w:p>
        </w:tc>
        <w:tc>
          <w:tcPr>
            <w:tcW w:w="1234" w:type="dxa"/>
            <w:noWrap w:val="0"/>
            <w:vAlign w:val="center"/>
          </w:tcPr>
          <w:p w14:paraId="0951A09C">
            <w:pPr>
              <w:pStyle w:val="72"/>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质量安全受检承诺</w:t>
            </w:r>
          </w:p>
        </w:tc>
        <w:tc>
          <w:tcPr>
            <w:tcW w:w="3073" w:type="dxa"/>
            <w:noWrap w:val="0"/>
            <w:vAlign w:val="center"/>
          </w:tcPr>
          <w:p w14:paraId="103581FF">
            <w:pPr>
              <w:pStyle w:val="72"/>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我方中标，我方承诺本项目在建设过程中，设计及施工的质量安全等相关实施内容按照业主单位、发包单位的相关管理规定和质量安全考核要求，随时接受业主单位、发包单位自行或委托的第三方的监督检查及考核，我方保证无条件配合。</w:t>
            </w:r>
          </w:p>
        </w:tc>
        <w:tc>
          <w:tcPr>
            <w:tcW w:w="4796" w:type="dxa"/>
            <w:noWrap w:val="0"/>
            <w:vAlign w:val="center"/>
          </w:tcPr>
          <w:p w14:paraId="471E2361">
            <w:pPr>
              <w:pStyle w:val="72"/>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如我方不配合或未通过相关的监督检查及考核，我方承诺接受业主单位、发包单位的相关管理规定和处罚，并承担相应的责任。</w:t>
            </w:r>
          </w:p>
        </w:tc>
      </w:tr>
      <w:tr w14:paraId="5E06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14:paraId="590414ED">
            <w:pPr>
              <w:pStyle w:val="16"/>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1</w:t>
            </w:r>
          </w:p>
        </w:tc>
        <w:tc>
          <w:tcPr>
            <w:tcW w:w="1234" w:type="dxa"/>
            <w:noWrap w:val="0"/>
            <w:vAlign w:val="center"/>
          </w:tcPr>
          <w:p w14:paraId="7055292D">
            <w:pPr>
              <w:pStyle w:val="72"/>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对工程预付款的使用承诺</w:t>
            </w:r>
          </w:p>
        </w:tc>
        <w:tc>
          <w:tcPr>
            <w:tcW w:w="3073" w:type="dxa"/>
            <w:noWrap w:val="0"/>
            <w:vAlign w:val="center"/>
          </w:tcPr>
          <w:p w14:paraId="6319074A">
            <w:pPr>
              <w:pStyle w:val="72"/>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我方保证工程预付款用于主要建筑材料的备料及支付工人工资。</w:t>
            </w:r>
          </w:p>
        </w:tc>
        <w:tc>
          <w:tcPr>
            <w:tcW w:w="4796" w:type="dxa"/>
            <w:tcBorders>
              <w:tr2bl w:val="single" w:color="auto" w:sz="4" w:space="0"/>
            </w:tcBorders>
            <w:noWrap w:val="0"/>
            <w:vAlign w:val="center"/>
          </w:tcPr>
          <w:p w14:paraId="77E1D587">
            <w:pPr>
              <w:pStyle w:val="72"/>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p>
        </w:tc>
      </w:tr>
    </w:tbl>
    <w:p w14:paraId="2C78E65F">
      <w:pPr>
        <w:pStyle w:val="80"/>
        <w:spacing w:line="360" w:lineRule="auto"/>
        <w:rPr>
          <w:rFonts w:hint="eastAsia" w:asciiTheme="minorEastAsia" w:hAnsiTheme="minorEastAsia" w:eastAsiaTheme="minorEastAsia" w:cstheme="minorEastAsia"/>
          <w:color w:val="auto"/>
          <w:szCs w:val="24"/>
          <w:highlight w:val="none"/>
        </w:rPr>
      </w:pPr>
    </w:p>
    <w:p w14:paraId="48243121">
      <w:pPr>
        <w:pStyle w:val="80"/>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注：所有违约金均从中标人的进度款中扣除，最终结算以扣除违约金总数后的金额为准。</w:t>
      </w:r>
    </w:p>
    <w:p w14:paraId="4F109FDC">
      <w:pPr>
        <w:pStyle w:val="47"/>
        <w:spacing w:line="360" w:lineRule="auto"/>
        <w:jc w:val="left"/>
        <w:rPr>
          <w:rFonts w:hint="eastAsia" w:asciiTheme="minorEastAsia" w:hAnsiTheme="minorEastAsia" w:eastAsiaTheme="minorEastAsia" w:cstheme="minorEastAsia"/>
          <w:color w:val="auto"/>
          <w:szCs w:val="24"/>
          <w:highlight w:val="none"/>
        </w:rPr>
      </w:pPr>
    </w:p>
    <w:p w14:paraId="0BE4A8C5">
      <w:pPr>
        <w:pStyle w:val="20"/>
        <w:wordWrap w:val="0"/>
        <w:adjustRightInd w:val="0"/>
        <w:snapToGrid w:val="0"/>
        <w:spacing w:line="360" w:lineRule="auto"/>
        <w:ind w:firstLine="480" w:firstLineChars="200"/>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（盖单位章）</w:t>
      </w:r>
    </w:p>
    <w:p w14:paraId="6DF638EC">
      <w:pPr>
        <w:pStyle w:val="20"/>
        <w:wordWrap w:val="0"/>
        <w:adjustRightInd w:val="0"/>
        <w:snapToGrid w:val="0"/>
        <w:spacing w:line="360" w:lineRule="auto"/>
        <w:ind w:firstLine="480" w:firstLineChars="200"/>
        <w:jc w:val="right"/>
        <w:rPr>
          <w:rFonts w:hint="eastAsia" w:ascii="宋体" w:hAnsi="宋体" w:eastAsia="宋体" w:cs="宋体"/>
          <w:snapToGrid w:val="0"/>
          <w:color w:val="auto"/>
          <w:kern w:val="0"/>
          <w:sz w:val="24"/>
          <w:szCs w:val="24"/>
          <w:highlight w:val="none"/>
        </w:rPr>
      </w:pPr>
    </w:p>
    <w:p w14:paraId="275CDFC8">
      <w:pPr>
        <w:pStyle w:val="20"/>
        <w:wordWrap w:val="0"/>
        <w:adjustRightInd w:val="0"/>
        <w:snapToGrid w:val="0"/>
        <w:spacing w:line="360" w:lineRule="auto"/>
        <w:ind w:firstLine="480" w:firstLineChars="200"/>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法定代表人或其委托代理人：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（签字或盖章）</w:t>
      </w:r>
    </w:p>
    <w:p w14:paraId="7E57DB37">
      <w:pPr>
        <w:pStyle w:val="20"/>
        <w:wordWrap w:val="0"/>
        <w:adjustRightInd w:val="0"/>
        <w:snapToGrid w:val="0"/>
        <w:spacing w:line="360" w:lineRule="auto"/>
        <w:ind w:firstLine="480" w:firstLineChars="200"/>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w:t>
      </w:r>
    </w:p>
    <w:p w14:paraId="6A141A49">
      <w:pPr>
        <w:widowControl/>
        <w:spacing w:line="360" w:lineRule="auto"/>
        <w:jc w:val="right"/>
        <w:rPr>
          <w:rFonts w:hint="eastAsia" w:asciiTheme="minorEastAsia" w:hAnsiTheme="minorEastAsia" w:eastAsiaTheme="minorEastAsia" w:cstheme="minorEastAsia"/>
          <w:b/>
          <w:bCs/>
          <w:snapToGrid w:val="0"/>
          <w:color w:val="auto"/>
          <w:kern w:val="0"/>
          <w:szCs w:val="24"/>
          <w:highlight w:val="none"/>
        </w:rPr>
      </w:pP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月</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日</w:t>
      </w:r>
      <w:r>
        <w:rPr>
          <w:rFonts w:hint="eastAsia" w:asciiTheme="minorEastAsia" w:hAnsiTheme="minorEastAsia" w:eastAsiaTheme="minorEastAsia" w:cstheme="minorEastAsia"/>
          <w:b/>
          <w:bCs/>
          <w:snapToGrid w:val="0"/>
          <w:color w:val="auto"/>
          <w:kern w:val="0"/>
          <w:szCs w:val="24"/>
          <w:highlight w:val="none"/>
        </w:rPr>
        <w:br w:type="page"/>
      </w:r>
    </w:p>
    <w:p w14:paraId="4B19F682">
      <w:pPr>
        <w:pStyle w:val="11"/>
        <w:spacing w:before="120" w:line="360" w:lineRule="auto"/>
        <w:rPr>
          <w:rFonts w:hint="eastAsia" w:asciiTheme="minorEastAsia" w:hAnsiTheme="minorEastAsia" w:eastAsiaTheme="minorEastAsia" w:cstheme="minorEastAsia"/>
          <w:b/>
          <w:bCs/>
          <w:color w:val="auto"/>
          <w:szCs w:val="24"/>
          <w:highlight w:val="none"/>
        </w:rPr>
      </w:pPr>
      <w:bookmarkStart w:id="532" w:name="_Toc30764"/>
      <w:bookmarkStart w:id="533" w:name="_Toc6896"/>
      <w:bookmarkStart w:id="534" w:name="_Toc10981"/>
      <w:bookmarkStart w:id="535" w:name="_Toc30463"/>
      <w:bookmarkStart w:id="536" w:name="_Toc21751"/>
      <w:r>
        <w:rPr>
          <w:rFonts w:hint="eastAsia" w:asciiTheme="minorEastAsia" w:hAnsiTheme="minorEastAsia" w:eastAsiaTheme="minorEastAsia" w:cstheme="minorEastAsia"/>
          <w:b/>
          <w:bCs/>
          <w:color w:val="auto"/>
          <w:szCs w:val="24"/>
          <w:highlight w:val="none"/>
        </w:rPr>
        <w:t>格式四 授权委托书</w:t>
      </w:r>
      <w:bookmarkEnd w:id="532"/>
      <w:bookmarkEnd w:id="533"/>
      <w:bookmarkEnd w:id="534"/>
      <w:bookmarkEnd w:id="535"/>
      <w:bookmarkEnd w:id="536"/>
    </w:p>
    <w:p w14:paraId="3ADCFDEF">
      <w:pPr>
        <w:wordWrap w:val="0"/>
        <w:adjustRightInd w:val="0"/>
        <w:snapToGrid w:val="0"/>
        <w:spacing w:line="360" w:lineRule="auto"/>
        <w:rPr>
          <w:rFonts w:hint="eastAsia" w:asciiTheme="minorEastAsia" w:hAnsiTheme="minorEastAsia" w:eastAsiaTheme="minorEastAsia" w:cstheme="minorEastAsia"/>
          <w:b/>
          <w:bCs/>
          <w:snapToGrid w:val="0"/>
          <w:color w:val="auto"/>
          <w:kern w:val="0"/>
          <w:szCs w:val="24"/>
          <w:highlight w:val="none"/>
        </w:rPr>
      </w:pPr>
    </w:p>
    <w:p w14:paraId="34CFB3DC">
      <w:pPr>
        <w:wordWrap w:val="0"/>
        <w:adjustRightInd w:val="0"/>
        <w:snapToGrid w:val="0"/>
        <w:spacing w:before="260" w:after="260" w:line="360" w:lineRule="auto"/>
        <w:jc w:val="center"/>
        <w:rPr>
          <w:rFonts w:hint="eastAsia" w:asciiTheme="minorEastAsia" w:hAnsiTheme="minorEastAsia" w:eastAsiaTheme="minorEastAsia" w:cstheme="minorEastAsia"/>
          <w:b/>
          <w:snapToGrid w:val="0"/>
          <w:color w:val="auto"/>
          <w:kern w:val="0"/>
          <w:szCs w:val="24"/>
          <w:highlight w:val="none"/>
        </w:rPr>
      </w:pPr>
      <w:r>
        <w:rPr>
          <w:rFonts w:hint="eastAsia" w:asciiTheme="minorEastAsia" w:hAnsiTheme="minorEastAsia" w:eastAsiaTheme="minorEastAsia" w:cstheme="minorEastAsia"/>
          <w:b/>
          <w:snapToGrid w:val="0"/>
          <w:color w:val="auto"/>
          <w:kern w:val="0"/>
          <w:szCs w:val="24"/>
          <w:highlight w:val="none"/>
        </w:rPr>
        <w:t>授权委托书</w:t>
      </w:r>
    </w:p>
    <w:p w14:paraId="78AFEB40">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p>
    <w:p w14:paraId="17103A9E">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本人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（姓名）系</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（投标人名称）的法定代表人，现委托</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（姓名）为我方代理人。代理人根据授权，以我方名义签署、澄清、说明、补正、递交、撤回、修改</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（项目名称）投标文件、签订合同和处理有关事宜，其法律后果由我方承担。</w:t>
      </w:r>
    </w:p>
    <w:p w14:paraId="35025E8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委托期限：至</w:t>
      </w:r>
      <w:r>
        <w:rPr>
          <w:rFonts w:hint="eastAsia" w:asciiTheme="minorEastAsia" w:hAnsiTheme="minorEastAsia" w:eastAsiaTheme="minorEastAsia" w:cstheme="minorEastAsia"/>
          <w:snapToGrid w:val="0"/>
          <w:color w:val="auto"/>
          <w:kern w:val="0"/>
          <w:szCs w:val="24"/>
          <w:highlight w:val="none"/>
          <w:u w:val="single"/>
        </w:rPr>
        <w:t xml:space="preserve">     年   月   日</w:t>
      </w:r>
      <w:r>
        <w:rPr>
          <w:rFonts w:hint="eastAsia" w:asciiTheme="minorEastAsia" w:hAnsiTheme="minorEastAsia" w:eastAsiaTheme="minorEastAsia" w:cstheme="minorEastAsia"/>
          <w:i/>
          <w:iCs/>
          <w:snapToGrid w:val="0"/>
          <w:color w:val="auto"/>
          <w:kern w:val="0"/>
          <w:szCs w:val="24"/>
          <w:highlight w:val="none"/>
          <w:u w:val="single"/>
        </w:rPr>
        <w:t>（不得短于招标文件规定的投标有效期）</w:t>
      </w:r>
      <w:r>
        <w:rPr>
          <w:rFonts w:hint="eastAsia" w:asciiTheme="minorEastAsia" w:hAnsiTheme="minorEastAsia" w:eastAsiaTheme="minorEastAsia" w:cstheme="minorEastAsia"/>
          <w:snapToGrid w:val="0"/>
          <w:color w:val="auto"/>
          <w:kern w:val="0"/>
          <w:szCs w:val="24"/>
          <w:highlight w:val="none"/>
        </w:rPr>
        <w:t xml:space="preserve"> 。</w:t>
      </w:r>
    </w:p>
    <w:p w14:paraId="388E33EC">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代理人无转委托权。</w:t>
      </w:r>
    </w:p>
    <w:p w14:paraId="4790C8F1">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p>
    <w:p w14:paraId="048F8D5A">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p>
    <w:p w14:paraId="379CDA10">
      <w:pPr>
        <w:wordWrap w:val="0"/>
        <w:adjustRightInd w:val="0"/>
        <w:snapToGrid w:val="0"/>
        <w:spacing w:line="360" w:lineRule="auto"/>
        <w:ind w:firstLine="480" w:firstLineChars="200"/>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  标  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（盖单位章）</w:t>
      </w:r>
    </w:p>
    <w:p w14:paraId="47178EF4">
      <w:pPr>
        <w:wordWrap w:val="0"/>
        <w:adjustRightInd w:val="0"/>
        <w:snapToGrid w:val="0"/>
        <w:spacing w:line="360" w:lineRule="auto"/>
        <w:ind w:firstLine="480" w:firstLineChars="200"/>
        <w:jc w:val="right"/>
        <w:rPr>
          <w:rFonts w:hint="eastAsia" w:asciiTheme="minorEastAsia" w:hAnsiTheme="minorEastAsia" w:eastAsiaTheme="minorEastAsia" w:cstheme="minorEastAsia"/>
          <w:snapToGrid w:val="0"/>
          <w:color w:val="auto"/>
          <w:kern w:val="0"/>
          <w:szCs w:val="24"/>
          <w:highlight w:val="none"/>
        </w:rPr>
      </w:pPr>
    </w:p>
    <w:p w14:paraId="34910192">
      <w:pPr>
        <w:wordWrap w:val="0"/>
        <w:adjustRightInd w:val="0"/>
        <w:snapToGrid w:val="0"/>
        <w:spacing w:line="360" w:lineRule="auto"/>
        <w:ind w:firstLine="480" w:firstLineChars="200"/>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法定代表人：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（签字或盖章）</w:t>
      </w:r>
    </w:p>
    <w:p w14:paraId="3731AF0B">
      <w:pPr>
        <w:wordWrap w:val="0"/>
        <w:adjustRightInd w:val="0"/>
        <w:snapToGrid w:val="0"/>
        <w:spacing w:line="360" w:lineRule="auto"/>
        <w:ind w:firstLine="480" w:firstLineChars="200"/>
        <w:jc w:val="right"/>
        <w:rPr>
          <w:rFonts w:hint="eastAsia" w:asciiTheme="minorEastAsia" w:hAnsiTheme="minorEastAsia" w:eastAsiaTheme="minorEastAsia" w:cstheme="minorEastAsia"/>
          <w:snapToGrid w:val="0"/>
          <w:color w:val="auto"/>
          <w:kern w:val="0"/>
          <w:szCs w:val="24"/>
          <w:highlight w:val="none"/>
        </w:rPr>
      </w:pPr>
    </w:p>
    <w:p w14:paraId="1F477B2B">
      <w:pPr>
        <w:wordWrap w:val="0"/>
        <w:adjustRightInd w:val="0"/>
        <w:snapToGrid w:val="0"/>
        <w:spacing w:line="360" w:lineRule="auto"/>
        <w:ind w:firstLine="480" w:firstLineChars="200"/>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委托代理人：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（签字或盖章）</w:t>
      </w:r>
    </w:p>
    <w:p w14:paraId="639A250B">
      <w:pPr>
        <w:wordWrap w:val="0"/>
        <w:adjustRightInd w:val="0"/>
        <w:snapToGrid w:val="0"/>
        <w:spacing w:line="360" w:lineRule="auto"/>
        <w:ind w:firstLine="480" w:firstLineChars="200"/>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日</w:t>
      </w:r>
    </w:p>
    <w:p w14:paraId="45F4FED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p>
    <w:p w14:paraId="6B3334F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p>
    <w:p w14:paraId="322DA21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p>
    <w:p w14:paraId="21CDB063">
      <w:pPr>
        <w:wordWrap w:val="0"/>
        <w:adjustRightInd w:val="0"/>
        <w:snapToGrid w:val="0"/>
        <w:spacing w:line="360" w:lineRule="auto"/>
        <w:ind w:firstLine="5520" w:firstLineChars="23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u w:val="single"/>
        </w:rPr>
        <mc:AlternateContent>
          <mc:Choice Requires="wps">
            <w:drawing>
              <wp:anchor distT="0" distB="0" distL="114300" distR="114300" simplePos="0" relativeHeight="251663360"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10" name="流程图: 可选过程 10"/>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212300E">
                            <w:pPr>
                              <w:jc w:val="center"/>
                              <w:rPr>
                                <w:rFonts w:hint="default"/>
                                <w:szCs w:val="21"/>
                              </w:rPr>
                            </w:pPr>
                          </w:p>
                          <w:p w14:paraId="392B6583">
                            <w:pPr>
                              <w:jc w:val="center"/>
                              <w:rPr>
                                <w:rFonts w:hint="default"/>
                                <w:szCs w:val="21"/>
                              </w:rPr>
                            </w:pPr>
                          </w:p>
                          <w:p w14:paraId="3A12F76C">
                            <w:pPr>
                              <w:jc w:val="center"/>
                              <w:rPr>
                                <w:rFonts w:hint="default"/>
                                <w:szCs w:val="21"/>
                              </w:rPr>
                            </w:pPr>
                          </w:p>
                          <w:p w14:paraId="76520C7F">
                            <w:pPr>
                              <w:jc w:val="center"/>
                              <w:rPr>
                                <w:rFonts w:hint="eastAsia" w:ascii="宋体" w:hAnsi="宋体" w:eastAsia="宋体" w:cs="宋体"/>
                                <w:szCs w:val="21"/>
                              </w:rPr>
                            </w:pPr>
                            <w:r>
                              <w:rPr>
                                <w:rFonts w:hint="eastAsia" w:ascii="宋体" w:hAnsi="宋体" w:eastAsia="宋体" w:cs="宋体"/>
                                <w:szCs w:val="21"/>
                              </w:rPr>
                              <w:t>委托代理人身份证彩色扫描件正、反面</w:t>
                            </w:r>
                          </w:p>
                        </w:txbxContent>
                      </wps:txbx>
                      <wps:bodyPr wrap="square" upright="1"/>
                    </wps:wsp>
                  </a:graphicData>
                </a:graphic>
              </wp:anchor>
            </w:drawing>
          </mc:Choice>
          <mc:Fallback>
            <w:pict>
              <v:shape id="_x0000_s1026" o:spid="_x0000_s1026" o:spt="176" type="#_x0000_t176" style="position:absolute;left:0pt;margin-left:115.5pt;margin-top:2.6pt;height:124.75pt;width:251.25pt;z-index:251663360;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rJ9Os2AAAAAkBAAAPAAAAAAAAAAEAIAAAACIAAABkcnMvZG93&#10;bnJldi54bWxQSwECFAAUAAAACACHTuJAsfZZWzkCAABuBAAADgAAAAAAAAABACAAAAAnAQAAZHJz&#10;L2Uyb0RvYy54bWxQSwUGAAAAAAYABgBZAQAA0gUAAAAA&#10;">
                <v:fill on="t" focussize="0,0"/>
                <v:stroke color="#000000" joinstyle="miter"/>
                <v:imagedata o:title=""/>
                <o:lock v:ext="edit" aspectratio="f"/>
                <v:textbox>
                  <w:txbxContent>
                    <w:p w14:paraId="6212300E">
                      <w:pPr>
                        <w:jc w:val="center"/>
                        <w:rPr>
                          <w:rFonts w:hint="default"/>
                          <w:szCs w:val="21"/>
                        </w:rPr>
                      </w:pPr>
                    </w:p>
                    <w:p w14:paraId="392B6583">
                      <w:pPr>
                        <w:jc w:val="center"/>
                        <w:rPr>
                          <w:rFonts w:hint="default"/>
                          <w:szCs w:val="21"/>
                        </w:rPr>
                      </w:pPr>
                    </w:p>
                    <w:p w14:paraId="3A12F76C">
                      <w:pPr>
                        <w:jc w:val="center"/>
                        <w:rPr>
                          <w:rFonts w:hint="default"/>
                          <w:szCs w:val="21"/>
                        </w:rPr>
                      </w:pPr>
                    </w:p>
                    <w:p w14:paraId="76520C7F">
                      <w:pPr>
                        <w:jc w:val="center"/>
                        <w:rPr>
                          <w:rFonts w:hint="eastAsia" w:ascii="宋体" w:hAnsi="宋体" w:eastAsia="宋体" w:cs="宋体"/>
                          <w:szCs w:val="21"/>
                        </w:rPr>
                      </w:pPr>
                      <w:r>
                        <w:rPr>
                          <w:rFonts w:hint="eastAsia" w:ascii="宋体" w:hAnsi="宋体" w:eastAsia="宋体" w:cs="宋体"/>
                          <w:szCs w:val="21"/>
                        </w:rPr>
                        <w:t>委托代理人身份证彩色扫描件正、反面</w:t>
                      </w:r>
                    </w:p>
                  </w:txbxContent>
                </v:textbox>
              </v:shape>
            </w:pict>
          </mc:Fallback>
        </mc:AlternateContent>
      </w:r>
    </w:p>
    <w:p w14:paraId="435F828D">
      <w:pPr>
        <w:pStyle w:val="17"/>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p>
    <w:p w14:paraId="4A72F4A7">
      <w:pPr>
        <w:spacing w:line="360" w:lineRule="auto"/>
        <w:rPr>
          <w:rFonts w:hint="eastAsia" w:asciiTheme="minorEastAsia" w:hAnsiTheme="minorEastAsia" w:eastAsiaTheme="minorEastAsia" w:cstheme="minorEastAsia"/>
          <w:color w:val="auto"/>
          <w:szCs w:val="24"/>
          <w:highlight w:val="none"/>
        </w:rPr>
      </w:pPr>
    </w:p>
    <w:p w14:paraId="41C4AFC9">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sectPr>
          <w:headerReference r:id="rId7" w:type="default"/>
          <w:footerReference r:id="rId8" w:type="default"/>
          <w:endnotePr>
            <w:numFmt w:val="decimal"/>
          </w:endnotePr>
          <w:pgSz w:w="11905" w:h="16838"/>
          <w:pgMar w:top="1134" w:right="1134" w:bottom="1134" w:left="1134" w:header="850" w:footer="992" w:gutter="0"/>
          <w:pgNumType w:fmt="decimal"/>
          <w:cols w:space="0" w:num="1"/>
          <w:rtlGutter w:val="0"/>
          <w:docGrid w:linePitch="327" w:charSpace="0"/>
        </w:sectPr>
      </w:pPr>
    </w:p>
    <w:p w14:paraId="3FD84A81">
      <w:pPr>
        <w:pStyle w:val="11"/>
        <w:spacing w:before="120" w:line="360" w:lineRule="auto"/>
        <w:rPr>
          <w:rFonts w:hint="eastAsia" w:asciiTheme="minorEastAsia" w:hAnsiTheme="minorEastAsia" w:eastAsiaTheme="minorEastAsia" w:cstheme="minorEastAsia"/>
          <w:b/>
          <w:bCs/>
          <w:color w:val="auto"/>
          <w:szCs w:val="24"/>
          <w:highlight w:val="none"/>
        </w:rPr>
      </w:pPr>
      <w:bookmarkStart w:id="537" w:name="_Toc32573"/>
      <w:bookmarkStart w:id="538" w:name="_Toc12031"/>
      <w:r>
        <w:rPr>
          <w:rFonts w:hint="eastAsia" w:asciiTheme="minorEastAsia" w:hAnsiTheme="minorEastAsia" w:eastAsiaTheme="minorEastAsia" w:cstheme="minorEastAsia"/>
          <w:b/>
          <w:bCs/>
          <w:color w:val="auto"/>
          <w:szCs w:val="24"/>
          <w:highlight w:val="none"/>
        </w:rPr>
        <w:t>格式五 法定代表人身份证明</w:t>
      </w:r>
      <w:bookmarkEnd w:id="537"/>
      <w:bookmarkEnd w:id="538"/>
    </w:p>
    <w:p w14:paraId="4516AF38">
      <w:pPr>
        <w:wordWrap w:val="0"/>
        <w:adjustRightInd w:val="0"/>
        <w:snapToGrid w:val="0"/>
        <w:spacing w:line="360" w:lineRule="auto"/>
        <w:rPr>
          <w:rFonts w:hint="eastAsia" w:asciiTheme="minorEastAsia" w:hAnsiTheme="minorEastAsia" w:eastAsiaTheme="minorEastAsia" w:cstheme="minorEastAsia"/>
          <w:b/>
          <w:snapToGrid w:val="0"/>
          <w:color w:val="auto"/>
          <w:kern w:val="0"/>
          <w:szCs w:val="24"/>
          <w:highlight w:val="none"/>
        </w:rPr>
      </w:pPr>
    </w:p>
    <w:p w14:paraId="450DC350">
      <w:pPr>
        <w:wordWrap w:val="0"/>
        <w:adjustRightInd w:val="0"/>
        <w:snapToGrid w:val="0"/>
        <w:spacing w:before="260" w:after="260" w:line="360" w:lineRule="auto"/>
        <w:jc w:val="center"/>
        <w:rPr>
          <w:rFonts w:hint="eastAsia" w:asciiTheme="minorEastAsia" w:hAnsiTheme="minorEastAsia" w:eastAsiaTheme="minorEastAsia" w:cstheme="minorEastAsia"/>
          <w:b/>
          <w:snapToGrid w:val="0"/>
          <w:color w:val="auto"/>
          <w:kern w:val="0"/>
          <w:szCs w:val="24"/>
          <w:highlight w:val="none"/>
        </w:rPr>
      </w:pPr>
      <w:r>
        <w:rPr>
          <w:rFonts w:hint="eastAsia" w:asciiTheme="minorEastAsia" w:hAnsiTheme="minorEastAsia" w:eastAsiaTheme="minorEastAsia" w:cstheme="minorEastAsia"/>
          <w:b/>
          <w:snapToGrid w:val="0"/>
          <w:color w:val="auto"/>
          <w:kern w:val="0"/>
          <w:szCs w:val="24"/>
          <w:highlight w:val="none"/>
        </w:rPr>
        <w:t>法定代表人身份证明</w:t>
      </w:r>
    </w:p>
    <w:p w14:paraId="28098091">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p>
    <w:p w14:paraId="33E481A1">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u w:val="single"/>
        </w:rPr>
      </w:pPr>
      <w:r>
        <w:rPr>
          <w:rFonts w:hint="eastAsia" w:asciiTheme="minorEastAsia" w:hAnsiTheme="minorEastAsia" w:eastAsiaTheme="minorEastAsia" w:cstheme="minorEastAsia"/>
          <w:snapToGrid w:val="0"/>
          <w:color w:val="auto"/>
          <w:kern w:val="0"/>
          <w:szCs w:val="24"/>
          <w:highlight w:val="none"/>
        </w:rPr>
        <w:t>投标人名称：</w:t>
      </w:r>
      <w:r>
        <w:rPr>
          <w:rFonts w:hint="eastAsia" w:asciiTheme="minorEastAsia" w:hAnsiTheme="minorEastAsia" w:eastAsiaTheme="minorEastAsia" w:cstheme="minorEastAsia"/>
          <w:snapToGrid w:val="0"/>
          <w:color w:val="auto"/>
          <w:kern w:val="0"/>
          <w:szCs w:val="24"/>
          <w:highlight w:val="none"/>
          <w:u w:val="single"/>
        </w:rPr>
        <w:t xml:space="preserve">                  </w:t>
      </w:r>
    </w:p>
    <w:p w14:paraId="47A92B05">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u w:val="single"/>
        </w:rPr>
      </w:pPr>
      <w:r>
        <w:rPr>
          <w:rFonts w:hint="eastAsia" w:asciiTheme="minorEastAsia" w:hAnsiTheme="minorEastAsia" w:eastAsiaTheme="minorEastAsia" w:cstheme="minorEastAsia"/>
          <w:snapToGrid w:val="0"/>
          <w:color w:val="auto"/>
          <w:kern w:val="0"/>
          <w:szCs w:val="24"/>
          <w:highlight w:val="none"/>
        </w:rPr>
        <w:t>姓名：</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性别：</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年龄：</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职务：</w:t>
      </w:r>
      <w:r>
        <w:rPr>
          <w:rFonts w:hint="eastAsia" w:asciiTheme="minorEastAsia" w:hAnsiTheme="minorEastAsia" w:eastAsiaTheme="minorEastAsia" w:cstheme="minorEastAsia"/>
          <w:snapToGrid w:val="0"/>
          <w:color w:val="auto"/>
          <w:kern w:val="0"/>
          <w:szCs w:val="24"/>
          <w:highlight w:val="none"/>
          <w:u w:val="single"/>
        </w:rPr>
        <w:t xml:space="preserve">           </w:t>
      </w:r>
    </w:p>
    <w:p w14:paraId="7119E739">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系</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（投标人名称）的法定代表人。</w:t>
      </w:r>
    </w:p>
    <w:p w14:paraId="67B43677">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特此证明。</w:t>
      </w:r>
    </w:p>
    <w:p w14:paraId="414C0FFF">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p>
    <w:p w14:paraId="4B7156C0">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p>
    <w:p w14:paraId="16BC1EBC">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（盖单位章）</w:t>
      </w:r>
    </w:p>
    <w:p w14:paraId="13245FAD">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p>
    <w:p w14:paraId="02C82B7B">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p>
    <w:p w14:paraId="5640E0DA">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法定代表人：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（签字或盖章）</w:t>
      </w:r>
    </w:p>
    <w:p w14:paraId="1A9F4A29">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p>
    <w:p w14:paraId="075875AC">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 xml:space="preserve">日       </w:t>
      </w:r>
    </w:p>
    <w:p w14:paraId="3E7BE46F">
      <w:pPr>
        <w:wordWrap w:val="0"/>
        <w:adjustRightInd w:val="0"/>
        <w:snapToGrid w:val="0"/>
        <w:spacing w:line="360" w:lineRule="auto"/>
        <w:ind w:firstLine="720" w:firstLineChars="300"/>
        <w:rPr>
          <w:rFonts w:hint="eastAsia" w:asciiTheme="minorEastAsia" w:hAnsiTheme="minorEastAsia" w:eastAsiaTheme="minorEastAsia" w:cstheme="minorEastAsia"/>
          <w:i/>
          <w:iCs/>
          <w:snapToGrid w:val="0"/>
          <w:color w:val="auto"/>
          <w:kern w:val="0"/>
          <w:szCs w:val="24"/>
          <w:highlight w:val="none"/>
        </w:rPr>
      </w:pPr>
    </w:p>
    <w:p w14:paraId="23E4B240">
      <w:pPr>
        <w:wordWrap w:val="0"/>
        <w:adjustRightInd w:val="0"/>
        <w:snapToGrid w:val="0"/>
        <w:spacing w:line="360" w:lineRule="auto"/>
        <w:ind w:firstLine="720" w:firstLineChars="300"/>
        <w:rPr>
          <w:rFonts w:hint="eastAsia" w:asciiTheme="minorEastAsia" w:hAnsiTheme="minorEastAsia" w:eastAsiaTheme="minorEastAsia" w:cstheme="minorEastAsia"/>
          <w:i/>
          <w:iCs/>
          <w:snapToGrid w:val="0"/>
          <w:color w:val="auto"/>
          <w:kern w:val="0"/>
          <w:szCs w:val="24"/>
          <w:highlight w:val="none"/>
        </w:rPr>
      </w:pPr>
    </w:p>
    <w:p w14:paraId="659C4946">
      <w:pPr>
        <w:wordWrap w:val="0"/>
        <w:adjustRightInd w:val="0"/>
        <w:snapToGrid w:val="0"/>
        <w:spacing w:line="360" w:lineRule="auto"/>
        <w:rPr>
          <w:rFonts w:hint="eastAsia" w:asciiTheme="minorEastAsia" w:hAnsiTheme="minorEastAsia" w:eastAsiaTheme="minorEastAsia" w:cstheme="minorEastAsia"/>
          <w:b/>
          <w:snapToGrid w:val="0"/>
          <w:color w:val="auto"/>
          <w:kern w:val="0"/>
          <w:szCs w:val="24"/>
          <w:highlight w:val="none"/>
        </w:rPr>
      </w:pPr>
      <w:r>
        <w:rPr>
          <w:rFonts w:hint="eastAsia" w:asciiTheme="minorEastAsia" w:hAnsiTheme="minorEastAsia" w:eastAsiaTheme="minorEastAsia" w:cstheme="minorEastAsia"/>
          <w:b/>
          <w:snapToGrid w:val="0"/>
          <w:color w:val="auto"/>
          <w:kern w:val="0"/>
          <w:szCs w:val="24"/>
          <w:highlight w:val="none"/>
        </w:rPr>
        <mc:AlternateContent>
          <mc:Choice Requires="wps">
            <w:drawing>
              <wp:anchor distT="0" distB="0" distL="114300" distR="114300" simplePos="0" relativeHeight="251662336" behindDoc="0" locked="0" layoutInCell="1" allowOverlap="1">
                <wp:simplePos x="0" y="0"/>
                <wp:positionH relativeFrom="column">
                  <wp:posOffset>1619250</wp:posOffset>
                </wp:positionH>
                <wp:positionV relativeFrom="paragraph">
                  <wp:posOffset>20320</wp:posOffset>
                </wp:positionV>
                <wp:extent cx="2825115" cy="1584325"/>
                <wp:effectExtent l="4445" t="4445" r="8890" b="11430"/>
                <wp:wrapNone/>
                <wp:docPr id="9" name="流程图: 可选过程 9"/>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0EDDE0C">
                            <w:pPr>
                              <w:jc w:val="center"/>
                              <w:rPr>
                                <w:rFonts w:hint="default"/>
                                <w:szCs w:val="21"/>
                              </w:rPr>
                            </w:pPr>
                          </w:p>
                          <w:p w14:paraId="68574360">
                            <w:pPr>
                              <w:jc w:val="center"/>
                              <w:rPr>
                                <w:rFonts w:hint="default"/>
                                <w:szCs w:val="21"/>
                              </w:rPr>
                            </w:pPr>
                          </w:p>
                          <w:p w14:paraId="4719C687">
                            <w:pPr>
                              <w:jc w:val="center"/>
                              <w:rPr>
                                <w:rFonts w:hint="default"/>
                                <w:szCs w:val="21"/>
                              </w:rPr>
                            </w:pPr>
                          </w:p>
                          <w:p w14:paraId="07B3FA8F">
                            <w:pPr>
                              <w:jc w:val="center"/>
                              <w:rPr>
                                <w:rFonts w:hint="eastAsia" w:ascii="宋体" w:hAnsi="宋体" w:eastAsia="宋体" w:cs="宋体"/>
                                <w:szCs w:val="21"/>
                              </w:rPr>
                            </w:pPr>
                            <w:r>
                              <w:rPr>
                                <w:rFonts w:hint="eastAsia" w:ascii="宋体" w:hAnsi="宋体" w:eastAsia="宋体" w:cs="宋体"/>
                                <w:szCs w:val="21"/>
                              </w:rPr>
                              <w:t>法定代表人身份证彩色扫描件正、反面</w:t>
                            </w:r>
                          </w:p>
                        </w:txbxContent>
                      </wps:txbx>
                      <wps:bodyPr wrap="square" upright="1"/>
                    </wps:wsp>
                  </a:graphicData>
                </a:graphic>
              </wp:anchor>
            </w:drawing>
          </mc:Choice>
          <mc:Fallback>
            <w:pict>
              <v:shape id="_x0000_s1026" o:spid="_x0000_s1026" o:spt="176" type="#_x0000_t176" style="position:absolute;left:0pt;margin-left:127.5pt;margin-top:1.6pt;height:124.75pt;width:222.45pt;z-index:251662336;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HhXUptgAAAAJAQAADwAAAAAAAAABACAAAAAiAAAAZHJzL2Rvd25y&#10;ZXYueG1sUEsBAhQAFAAAAAgAh07iQEz7asY3AgAAbAQAAA4AAAAAAAAAAQAgAAAAJwEAAGRycy9l&#10;Mm9Eb2MueG1sUEsFBgAAAAAGAAYAWQEAANAFAAAAAA==&#10;">
                <v:fill on="t" focussize="0,0"/>
                <v:stroke color="#000000" joinstyle="miter"/>
                <v:imagedata o:title=""/>
                <o:lock v:ext="edit" aspectratio="f"/>
                <v:textbox>
                  <w:txbxContent>
                    <w:p w14:paraId="30EDDE0C">
                      <w:pPr>
                        <w:jc w:val="center"/>
                        <w:rPr>
                          <w:rFonts w:hint="default"/>
                          <w:szCs w:val="21"/>
                        </w:rPr>
                      </w:pPr>
                    </w:p>
                    <w:p w14:paraId="68574360">
                      <w:pPr>
                        <w:jc w:val="center"/>
                        <w:rPr>
                          <w:rFonts w:hint="default"/>
                          <w:szCs w:val="21"/>
                        </w:rPr>
                      </w:pPr>
                    </w:p>
                    <w:p w14:paraId="4719C687">
                      <w:pPr>
                        <w:jc w:val="center"/>
                        <w:rPr>
                          <w:rFonts w:hint="default"/>
                          <w:szCs w:val="21"/>
                        </w:rPr>
                      </w:pPr>
                    </w:p>
                    <w:p w14:paraId="07B3FA8F">
                      <w:pPr>
                        <w:jc w:val="center"/>
                        <w:rPr>
                          <w:rFonts w:hint="eastAsia" w:ascii="宋体" w:hAnsi="宋体" w:eastAsia="宋体" w:cs="宋体"/>
                          <w:szCs w:val="21"/>
                        </w:rPr>
                      </w:pPr>
                      <w:r>
                        <w:rPr>
                          <w:rFonts w:hint="eastAsia" w:ascii="宋体" w:hAnsi="宋体" w:eastAsia="宋体" w:cs="宋体"/>
                          <w:szCs w:val="21"/>
                        </w:rPr>
                        <w:t>法定代表人身份证彩色扫描件正、反面</w:t>
                      </w:r>
                    </w:p>
                  </w:txbxContent>
                </v:textbox>
              </v:shape>
            </w:pict>
          </mc:Fallback>
        </mc:AlternateContent>
      </w:r>
    </w:p>
    <w:p w14:paraId="2E318E0B">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p>
    <w:p w14:paraId="0A652531">
      <w:pPr>
        <w:wordWrap w:val="0"/>
        <w:adjustRightInd w:val="0"/>
        <w:snapToGrid w:val="0"/>
        <w:spacing w:line="360" w:lineRule="auto"/>
        <w:jc w:val="center"/>
        <w:rPr>
          <w:rFonts w:hint="eastAsia" w:asciiTheme="minorEastAsia" w:hAnsiTheme="minorEastAsia" w:eastAsiaTheme="minorEastAsia" w:cstheme="minorEastAsia"/>
          <w:b/>
          <w:snapToGrid w:val="0"/>
          <w:color w:val="auto"/>
          <w:kern w:val="0"/>
          <w:szCs w:val="24"/>
          <w:highlight w:val="none"/>
        </w:rPr>
      </w:pPr>
    </w:p>
    <w:p w14:paraId="633E6118">
      <w:pPr>
        <w:wordWrap w:val="0"/>
        <w:adjustRightInd w:val="0"/>
        <w:snapToGrid w:val="0"/>
        <w:spacing w:line="360" w:lineRule="auto"/>
        <w:jc w:val="center"/>
        <w:rPr>
          <w:rFonts w:hint="eastAsia" w:asciiTheme="minorEastAsia" w:hAnsiTheme="minorEastAsia" w:eastAsiaTheme="minorEastAsia" w:cstheme="minorEastAsia"/>
          <w:b/>
          <w:snapToGrid w:val="0"/>
          <w:color w:val="auto"/>
          <w:kern w:val="0"/>
          <w:szCs w:val="24"/>
          <w:highlight w:val="none"/>
        </w:rPr>
      </w:pPr>
    </w:p>
    <w:p w14:paraId="5CEC2D37">
      <w:pPr>
        <w:wordWrap w:val="0"/>
        <w:adjustRightInd w:val="0"/>
        <w:snapToGrid w:val="0"/>
        <w:spacing w:line="360" w:lineRule="auto"/>
        <w:jc w:val="center"/>
        <w:rPr>
          <w:rFonts w:hint="eastAsia" w:asciiTheme="minorEastAsia" w:hAnsiTheme="minorEastAsia" w:eastAsiaTheme="minorEastAsia" w:cstheme="minorEastAsia"/>
          <w:b/>
          <w:snapToGrid w:val="0"/>
          <w:color w:val="auto"/>
          <w:kern w:val="0"/>
          <w:szCs w:val="24"/>
          <w:highlight w:val="none"/>
        </w:rPr>
        <w:sectPr>
          <w:endnotePr>
            <w:numFmt w:val="decimal"/>
          </w:endnotePr>
          <w:pgSz w:w="11905" w:h="16838"/>
          <w:pgMar w:top="1134" w:right="1134" w:bottom="1134" w:left="1134" w:header="850" w:footer="992" w:gutter="0"/>
          <w:pgNumType w:fmt="decimal"/>
          <w:cols w:space="0" w:num="1"/>
          <w:rtlGutter w:val="0"/>
          <w:docGrid w:linePitch="327" w:charSpace="0"/>
        </w:sectPr>
      </w:pPr>
    </w:p>
    <w:p w14:paraId="06BC645D">
      <w:pPr>
        <w:pStyle w:val="11"/>
        <w:spacing w:before="120" w:line="360" w:lineRule="auto"/>
        <w:rPr>
          <w:rFonts w:hint="eastAsia" w:asciiTheme="minorEastAsia" w:hAnsiTheme="minorEastAsia" w:eastAsiaTheme="minorEastAsia" w:cstheme="minorEastAsia"/>
          <w:b/>
          <w:bCs/>
          <w:color w:val="auto"/>
          <w:szCs w:val="24"/>
          <w:highlight w:val="none"/>
        </w:rPr>
      </w:pPr>
      <w:bookmarkStart w:id="539" w:name="_Toc18617"/>
      <w:bookmarkStart w:id="540" w:name="_Toc26395"/>
      <w:bookmarkStart w:id="541" w:name="_Toc16430"/>
      <w:bookmarkStart w:id="542" w:name="_Toc26875"/>
      <w:bookmarkStart w:id="543" w:name="_Toc30665"/>
      <w:r>
        <w:rPr>
          <w:rFonts w:hint="eastAsia" w:asciiTheme="minorEastAsia" w:hAnsiTheme="minorEastAsia" w:eastAsiaTheme="minorEastAsia" w:cstheme="minorEastAsia"/>
          <w:b/>
          <w:bCs/>
          <w:color w:val="auto"/>
          <w:szCs w:val="24"/>
          <w:highlight w:val="none"/>
        </w:rPr>
        <w:t>格式六 联合体协议书</w:t>
      </w:r>
      <w:bookmarkEnd w:id="539"/>
      <w:bookmarkEnd w:id="540"/>
      <w:bookmarkEnd w:id="541"/>
      <w:bookmarkEnd w:id="542"/>
      <w:bookmarkEnd w:id="543"/>
    </w:p>
    <w:p w14:paraId="1E169E49">
      <w:pPr>
        <w:pStyle w:val="58"/>
        <w:widowControl w:val="0"/>
        <w:wordWrap w:val="0"/>
        <w:adjustRightInd w:val="0"/>
        <w:snapToGrid w:val="0"/>
        <w:spacing w:before="240" w:after="240" w:line="360" w:lineRule="auto"/>
        <w:ind w:firstLine="0"/>
        <w:jc w:val="center"/>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b/>
          <w:snapToGrid w:val="0"/>
          <w:color w:val="auto"/>
          <w:sz w:val="24"/>
          <w:szCs w:val="24"/>
          <w:highlight w:val="none"/>
        </w:rPr>
        <w:t>联合体协议书</w:t>
      </w:r>
    </w:p>
    <w:p w14:paraId="48A14098">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4B559640">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5FAA8F32">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牵头人名称：</w:t>
      </w:r>
      <w:r>
        <w:rPr>
          <w:rFonts w:hint="eastAsia" w:asciiTheme="minorEastAsia" w:hAnsiTheme="minorEastAsia" w:eastAsiaTheme="minorEastAsia" w:cstheme="minorEastAsia"/>
          <w:snapToGrid w:val="0"/>
          <w:color w:val="auto"/>
          <w:sz w:val="24"/>
          <w:szCs w:val="24"/>
          <w:highlight w:val="none"/>
          <w:u w:val="single"/>
        </w:rPr>
        <w:t xml:space="preserve">                                                  </w:t>
      </w:r>
    </w:p>
    <w:p w14:paraId="7FCF3D52">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法定代表人：</w:t>
      </w:r>
      <w:r>
        <w:rPr>
          <w:rFonts w:hint="eastAsia" w:asciiTheme="minorEastAsia" w:hAnsiTheme="minorEastAsia" w:eastAsiaTheme="minorEastAsia" w:cstheme="minorEastAsia"/>
          <w:snapToGrid w:val="0"/>
          <w:color w:val="auto"/>
          <w:sz w:val="24"/>
          <w:szCs w:val="24"/>
          <w:highlight w:val="none"/>
          <w:u w:val="single"/>
        </w:rPr>
        <w:t xml:space="preserve">                                                  </w:t>
      </w:r>
    </w:p>
    <w:p w14:paraId="7468D4F1">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法定住所：</w:t>
      </w:r>
      <w:r>
        <w:rPr>
          <w:rFonts w:hint="eastAsia" w:asciiTheme="minorEastAsia" w:hAnsiTheme="minorEastAsia" w:eastAsiaTheme="minorEastAsia" w:cstheme="minorEastAsia"/>
          <w:snapToGrid w:val="0"/>
          <w:color w:val="auto"/>
          <w:sz w:val="24"/>
          <w:szCs w:val="24"/>
          <w:highlight w:val="none"/>
          <w:u w:val="single"/>
        </w:rPr>
        <w:t xml:space="preserve">                                                    </w:t>
      </w:r>
    </w:p>
    <w:p w14:paraId="39290C7A">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564B1A82">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成员二名称：</w:t>
      </w:r>
      <w:r>
        <w:rPr>
          <w:rFonts w:hint="eastAsia" w:asciiTheme="minorEastAsia" w:hAnsiTheme="minorEastAsia" w:eastAsiaTheme="minorEastAsia" w:cstheme="minorEastAsia"/>
          <w:snapToGrid w:val="0"/>
          <w:color w:val="auto"/>
          <w:sz w:val="24"/>
          <w:szCs w:val="24"/>
          <w:highlight w:val="none"/>
          <w:u w:val="single"/>
        </w:rPr>
        <w:t xml:space="preserve">                                                  </w:t>
      </w:r>
    </w:p>
    <w:p w14:paraId="614174E7">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法定代表人：</w:t>
      </w:r>
      <w:r>
        <w:rPr>
          <w:rFonts w:hint="eastAsia" w:asciiTheme="minorEastAsia" w:hAnsiTheme="minorEastAsia" w:eastAsiaTheme="minorEastAsia" w:cstheme="minorEastAsia"/>
          <w:snapToGrid w:val="0"/>
          <w:color w:val="auto"/>
          <w:sz w:val="24"/>
          <w:szCs w:val="24"/>
          <w:highlight w:val="none"/>
          <w:u w:val="single"/>
        </w:rPr>
        <w:t xml:space="preserve">                                                  </w:t>
      </w:r>
    </w:p>
    <w:p w14:paraId="660DA1A9">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法定住所：</w:t>
      </w:r>
      <w:r>
        <w:rPr>
          <w:rFonts w:hint="eastAsia" w:asciiTheme="minorEastAsia" w:hAnsiTheme="minorEastAsia" w:eastAsiaTheme="minorEastAsia" w:cstheme="minorEastAsia"/>
          <w:snapToGrid w:val="0"/>
          <w:color w:val="auto"/>
          <w:sz w:val="24"/>
          <w:szCs w:val="24"/>
          <w:highlight w:val="none"/>
          <w:u w:val="single"/>
        </w:rPr>
        <w:t xml:space="preserve">                                                    </w:t>
      </w:r>
    </w:p>
    <w:p w14:paraId="32D7A4E0">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4CC9F319">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07BD02E7">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w:t>
      </w:r>
    </w:p>
    <w:p w14:paraId="44FA1284">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上述各成员单位经过友好协商，自愿组成联合体，共同参加</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（项目名称）（以下简称“本项目”）的投标并争取赢得本项目EPC总承包合同（以下简称合同）。现就联合体投标事宜订立如下协议：</w:t>
      </w:r>
    </w:p>
    <w:p w14:paraId="719956F5">
      <w:pPr>
        <w:pStyle w:val="58"/>
        <w:widowControl w:val="0"/>
        <w:wordWrap w:val="0"/>
        <w:adjustRightInd w:val="0"/>
        <w:snapToGrid w:val="0"/>
        <w:spacing w:line="360" w:lineRule="auto"/>
        <w:ind w:firstLine="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1．</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（某成员单位名称）为联合体牵头人。</w:t>
      </w:r>
    </w:p>
    <w:p w14:paraId="437C48FA">
      <w:pPr>
        <w:pStyle w:val="58"/>
        <w:widowControl w:val="0"/>
        <w:wordWrap w:val="0"/>
        <w:adjustRightInd w:val="0"/>
        <w:snapToGrid w:val="0"/>
        <w:spacing w:line="360" w:lineRule="auto"/>
        <w:ind w:firstLine="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506AF19F">
      <w:pPr>
        <w:pStyle w:val="58"/>
        <w:widowControl w:val="0"/>
        <w:wordWrap w:val="0"/>
        <w:adjustRightInd w:val="0"/>
        <w:snapToGrid w:val="0"/>
        <w:spacing w:line="360" w:lineRule="auto"/>
        <w:ind w:firstLine="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相关责任。</w:t>
      </w:r>
    </w:p>
    <w:p w14:paraId="682E636A">
      <w:pPr>
        <w:pStyle w:val="58"/>
        <w:widowControl w:val="0"/>
        <w:wordWrap w:val="0"/>
        <w:adjustRightInd w:val="0"/>
        <w:snapToGrid w:val="0"/>
        <w:spacing w:line="360" w:lineRule="auto"/>
        <w:ind w:firstLine="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4．联合体各成员单位内部的职责分工如下：</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w:t>
      </w:r>
    </w:p>
    <w:p w14:paraId="1F0E38FD">
      <w:pPr>
        <w:pStyle w:val="58"/>
        <w:widowControl w:val="0"/>
        <w:wordWrap w:val="0"/>
        <w:adjustRightInd w:val="0"/>
        <w:snapToGrid w:val="0"/>
        <w:spacing w:line="360" w:lineRule="auto"/>
        <w:ind w:firstLine="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5．投标工作和联合体在中标后工程实施过程中的有关费用按各自承担的工作量分摊。</w:t>
      </w:r>
    </w:p>
    <w:p w14:paraId="4AF650F6">
      <w:pPr>
        <w:pStyle w:val="58"/>
        <w:widowControl w:val="0"/>
        <w:wordWrap w:val="0"/>
        <w:adjustRightInd w:val="0"/>
        <w:snapToGrid w:val="0"/>
        <w:spacing w:line="360" w:lineRule="auto"/>
        <w:ind w:firstLine="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6．联合体中标后，本联合体协议是合同的附件，对联合体各成员单位有合同约束力。</w:t>
      </w:r>
    </w:p>
    <w:p w14:paraId="3904DBFB">
      <w:pPr>
        <w:pStyle w:val="58"/>
        <w:widowControl w:val="0"/>
        <w:wordWrap w:val="0"/>
        <w:adjustRightInd w:val="0"/>
        <w:snapToGrid w:val="0"/>
        <w:spacing w:line="360" w:lineRule="auto"/>
        <w:ind w:firstLine="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7．本协议书自签署之日起生效，联合体未中标或者中标时合同履行完毕后自动失效。</w:t>
      </w:r>
    </w:p>
    <w:p w14:paraId="4F0D01DD">
      <w:pPr>
        <w:pStyle w:val="58"/>
        <w:widowControl w:val="0"/>
        <w:wordWrap w:val="0"/>
        <w:adjustRightInd w:val="0"/>
        <w:snapToGrid w:val="0"/>
        <w:spacing w:line="360" w:lineRule="auto"/>
        <w:ind w:firstLine="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8．本协议书一式</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份，联合体成员和招标人各执一份。</w:t>
      </w:r>
    </w:p>
    <w:p w14:paraId="6B5D6CF6">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3EEB2D15">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23A4F23C">
      <w:pPr>
        <w:pStyle w:val="58"/>
        <w:widowControl w:val="0"/>
        <w:wordWrap w:val="0"/>
        <w:adjustRightInd w:val="0"/>
        <w:snapToGrid w:val="0"/>
        <w:spacing w:line="360" w:lineRule="auto"/>
        <w:jc w:val="right"/>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牵头人名称：</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（盖单位章）</w:t>
      </w:r>
    </w:p>
    <w:p w14:paraId="5678A31B">
      <w:pPr>
        <w:pStyle w:val="58"/>
        <w:widowControl w:val="0"/>
        <w:wordWrap w:val="0"/>
        <w:adjustRightInd w:val="0"/>
        <w:snapToGrid w:val="0"/>
        <w:spacing w:line="360" w:lineRule="auto"/>
        <w:jc w:val="right"/>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w:t>
      </w:r>
    </w:p>
    <w:p w14:paraId="75EE1DF6">
      <w:pPr>
        <w:pStyle w:val="58"/>
        <w:widowControl w:val="0"/>
        <w:wordWrap w:val="0"/>
        <w:adjustRightInd w:val="0"/>
        <w:snapToGrid w:val="0"/>
        <w:spacing w:line="360" w:lineRule="auto"/>
        <w:jc w:val="right"/>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法定代表人或其委托代理人：</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（签字或盖章）</w:t>
      </w:r>
    </w:p>
    <w:p w14:paraId="698C4154">
      <w:pPr>
        <w:pStyle w:val="58"/>
        <w:widowControl w:val="0"/>
        <w:wordWrap w:val="0"/>
        <w:adjustRightInd w:val="0"/>
        <w:snapToGrid w:val="0"/>
        <w:spacing w:line="360" w:lineRule="auto"/>
        <w:ind w:firstLine="0"/>
        <w:jc w:val="both"/>
        <w:rPr>
          <w:rFonts w:hint="eastAsia" w:asciiTheme="minorEastAsia" w:hAnsiTheme="minorEastAsia" w:eastAsiaTheme="minorEastAsia" w:cstheme="minorEastAsia"/>
          <w:snapToGrid w:val="0"/>
          <w:color w:val="auto"/>
          <w:sz w:val="24"/>
          <w:szCs w:val="24"/>
          <w:highlight w:val="none"/>
        </w:rPr>
      </w:pPr>
    </w:p>
    <w:p w14:paraId="5475F658">
      <w:pPr>
        <w:pStyle w:val="58"/>
        <w:widowControl w:val="0"/>
        <w:wordWrap w:val="0"/>
        <w:adjustRightInd w:val="0"/>
        <w:snapToGrid w:val="0"/>
        <w:spacing w:line="360" w:lineRule="auto"/>
        <w:jc w:val="right"/>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成员二名称：</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（盖单位章）</w:t>
      </w:r>
    </w:p>
    <w:p w14:paraId="3D484E5F">
      <w:pPr>
        <w:pStyle w:val="58"/>
        <w:widowControl w:val="0"/>
        <w:wordWrap w:val="0"/>
        <w:adjustRightInd w:val="0"/>
        <w:snapToGrid w:val="0"/>
        <w:spacing w:line="360" w:lineRule="auto"/>
        <w:ind w:firstLine="0"/>
        <w:jc w:val="both"/>
        <w:rPr>
          <w:rFonts w:hint="eastAsia" w:asciiTheme="minorEastAsia" w:hAnsiTheme="minorEastAsia" w:eastAsiaTheme="minorEastAsia" w:cstheme="minorEastAsia"/>
          <w:snapToGrid w:val="0"/>
          <w:color w:val="auto"/>
          <w:sz w:val="24"/>
          <w:szCs w:val="24"/>
          <w:highlight w:val="none"/>
        </w:rPr>
      </w:pPr>
    </w:p>
    <w:p w14:paraId="384A654B">
      <w:pPr>
        <w:pStyle w:val="58"/>
        <w:widowControl w:val="0"/>
        <w:wordWrap w:val="0"/>
        <w:adjustRightInd w:val="0"/>
        <w:snapToGrid w:val="0"/>
        <w:spacing w:line="360" w:lineRule="auto"/>
        <w:jc w:val="right"/>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法定代表人或其委托代理人：</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（签字或盖章）</w:t>
      </w:r>
    </w:p>
    <w:p w14:paraId="533ECC54">
      <w:pPr>
        <w:pStyle w:val="58"/>
        <w:widowControl w:val="0"/>
        <w:adjustRightInd w:val="0"/>
        <w:snapToGrid w:val="0"/>
        <w:spacing w:line="360" w:lineRule="auto"/>
        <w:jc w:val="right"/>
        <w:rPr>
          <w:rFonts w:hint="eastAsia" w:asciiTheme="minorEastAsia" w:hAnsiTheme="minorEastAsia" w:eastAsiaTheme="minorEastAsia" w:cstheme="minorEastAsia"/>
          <w:snapToGrid w:val="0"/>
          <w:color w:val="auto"/>
          <w:sz w:val="24"/>
          <w:szCs w:val="24"/>
          <w:highlight w:val="none"/>
        </w:rPr>
      </w:pPr>
    </w:p>
    <w:p w14:paraId="3A01DDEF">
      <w:pPr>
        <w:pStyle w:val="58"/>
        <w:widowControl w:val="0"/>
        <w:wordWrap w:val="0"/>
        <w:adjustRightInd w:val="0"/>
        <w:snapToGrid w:val="0"/>
        <w:spacing w:line="360" w:lineRule="auto"/>
        <w:ind w:firstLine="3840" w:firstLineChars="160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w:t>
      </w:r>
    </w:p>
    <w:p w14:paraId="3E94A3B6">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61178B74">
      <w:pPr>
        <w:pStyle w:val="58"/>
        <w:widowControl w:val="0"/>
        <w:wordWrap w:val="0"/>
        <w:adjustRightInd w:val="0"/>
        <w:snapToGrid w:val="0"/>
        <w:spacing w:line="360" w:lineRule="auto"/>
        <w:jc w:val="right"/>
        <w:rPr>
          <w:rFonts w:hint="eastAsia" w:asciiTheme="minorEastAsia" w:hAnsiTheme="minorEastAsia" w:eastAsiaTheme="minorEastAsia" w:cstheme="minorEastAsia"/>
          <w:snapToGrid w:val="0"/>
          <w:color w:val="auto"/>
          <w:sz w:val="24"/>
          <w:szCs w:val="24"/>
          <w:highlight w:val="none"/>
          <w:lang w:val="en-US" w:eastAsia="zh-CN"/>
        </w:rPr>
      </w:pP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年</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月</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u w:val="single"/>
          <w:lang w:eastAsia="zh-CN"/>
        </w:rPr>
        <w:t>日</w:t>
      </w:r>
    </w:p>
    <w:p w14:paraId="114BFA46">
      <w:pPr>
        <w:pStyle w:val="58"/>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auto"/>
          <w:sz w:val="24"/>
          <w:szCs w:val="24"/>
          <w:highlight w:val="none"/>
        </w:rPr>
      </w:pPr>
    </w:p>
    <w:p w14:paraId="79F84F11">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4712C5B5">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7503721D">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25E89DE6">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说明：《联合体协议书》由委托代理人签字或盖章的，应附法定代表人签字或盖章的授权委托书。</w:t>
      </w:r>
    </w:p>
    <w:p w14:paraId="24B66360">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sectPr>
          <w:endnotePr>
            <w:numFmt w:val="decimal"/>
          </w:endnotePr>
          <w:pgSz w:w="11905" w:h="16838"/>
          <w:pgMar w:top="1134" w:right="1134" w:bottom="1134" w:left="1134" w:header="850" w:footer="992" w:gutter="0"/>
          <w:pgNumType w:fmt="decimal"/>
          <w:cols w:space="0" w:num="1"/>
          <w:rtlGutter w:val="0"/>
          <w:docGrid w:linePitch="327" w:charSpace="0"/>
        </w:sectPr>
      </w:pPr>
    </w:p>
    <w:p w14:paraId="4F4448E0">
      <w:pPr>
        <w:pStyle w:val="11"/>
        <w:spacing w:before="120" w:line="360" w:lineRule="auto"/>
        <w:rPr>
          <w:rFonts w:hint="eastAsia" w:asciiTheme="minorEastAsia" w:hAnsiTheme="minorEastAsia" w:eastAsiaTheme="minorEastAsia" w:cstheme="minorEastAsia"/>
          <w:b/>
          <w:bCs/>
          <w:color w:val="auto"/>
          <w:szCs w:val="24"/>
          <w:highlight w:val="none"/>
        </w:rPr>
      </w:pPr>
      <w:bookmarkStart w:id="544" w:name="_Toc31264"/>
      <w:bookmarkStart w:id="545" w:name="_Toc13905"/>
      <w:r>
        <w:rPr>
          <w:rFonts w:hint="eastAsia" w:asciiTheme="minorEastAsia" w:hAnsiTheme="minorEastAsia" w:eastAsiaTheme="minorEastAsia" w:cstheme="minorEastAsia"/>
          <w:b/>
          <w:bCs/>
          <w:color w:val="auto"/>
          <w:szCs w:val="24"/>
          <w:highlight w:val="none"/>
        </w:rPr>
        <w:t>格式七 投标人基本情况表</w:t>
      </w:r>
      <w:bookmarkEnd w:id="544"/>
      <w:bookmarkEnd w:id="545"/>
    </w:p>
    <w:p w14:paraId="244162F3">
      <w:pPr>
        <w:pStyle w:val="58"/>
        <w:widowControl w:val="0"/>
        <w:wordWrap w:val="0"/>
        <w:adjustRightInd w:val="0"/>
        <w:snapToGrid w:val="0"/>
        <w:spacing w:before="260" w:after="260" w:line="360" w:lineRule="auto"/>
        <w:ind w:firstLine="0"/>
        <w:jc w:val="center"/>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b/>
          <w:snapToGrid w:val="0"/>
          <w:color w:val="auto"/>
          <w:sz w:val="24"/>
          <w:szCs w:val="24"/>
          <w:highlight w:val="none"/>
        </w:rPr>
        <w:t>投标人基本情况表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541"/>
        <w:gridCol w:w="1140"/>
        <w:gridCol w:w="833"/>
        <w:gridCol w:w="460"/>
        <w:gridCol w:w="832"/>
        <w:gridCol w:w="269"/>
        <w:gridCol w:w="735"/>
        <w:gridCol w:w="1470"/>
      </w:tblGrid>
      <w:tr w14:paraId="13AF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17031DA0">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投标人名称</w:t>
            </w:r>
          </w:p>
        </w:tc>
        <w:tc>
          <w:tcPr>
            <w:tcW w:w="7280" w:type="dxa"/>
            <w:gridSpan w:val="8"/>
            <w:noWrap/>
            <w:vAlign w:val="center"/>
          </w:tcPr>
          <w:p w14:paraId="2922417B">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1ACB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60196E6A">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注册地址</w:t>
            </w:r>
          </w:p>
        </w:tc>
        <w:tc>
          <w:tcPr>
            <w:tcW w:w="3514" w:type="dxa"/>
            <w:gridSpan w:val="3"/>
            <w:noWrap/>
            <w:vAlign w:val="center"/>
          </w:tcPr>
          <w:p w14:paraId="2534C5BC">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2" w:type="dxa"/>
            <w:gridSpan w:val="2"/>
            <w:noWrap/>
            <w:vAlign w:val="center"/>
          </w:tcPr>
          <w:p w14:paraId="28151D48">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邮政编码</w:t>
            </w:r>
          </w:p>
        </w:tc>
        <w:tc>
          <w:tcPr>
            <w:tcW w:w="2474" w:type="dxa"/>
            <w:gridSpan w:val="3"/>
            <w:noWrap/>
            <w:vAlign w:val="center"/>
          </w:tcPr>
          <w:p w14:paraId="648CA5B4">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6A5A8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Merge w:val="restart"/>
            <w:noWrap/>
            <w:vAlign w:val="center"/>
          </w:tcPr>
          <w:p w14:paraId="77005BE7">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联系方式</w:t>
            </w:r>
          </w:p>
        </w:tc>
        <w:tc>
          <w:tcPr>
            <w:tcW w:w="1541" w:type="dxa"/>
            <w:noWrap/>
            <w:vAlign w:val="center"/>
          </w:tcPr>
          <w:p w14:paraId="6DA39D2A">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联系人</w:t>
            </w:r>
          </w:p>
        </w:tc>
        <w:tc>
          <w:tcPr>
            <w:tcW w:w="1973" w:type="dxa"/>
            <w:gridSpan w:val="2"/>
            <w:noWrap/>
            <w:vAlign w:val="center"/>
          </w:tcPr>
          <w:p w14:paraId="220FDAEB">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2" w:type="dxa"/>
            <w:gridSpan w:val="2"/>
            <w:noWrap/>
            <w:vAlign w:val="center"/>
          </w:tcPr>
          <w:p w14:paraId="3F88FF07">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电  话</w:t>
            </w:r>
          </w:p>
        </w:tc>
        <w:tc>
          <w:tcPr>
            <w:tcW w:w="2474" w:type="dxa"/>
            <w:gridSpan w:val="3"/>
            <w:noWrap/>
            <w:vAlign w:val="center"/>
          </w:tcPr>
          <w:p w14:paraId="78E42A51">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3A46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Merge w:val="continue"/>
            <w:noWrap/>
            <w:vAlign w:val="center"/>
          </w:tcPr>
          <w:p w14:paraId="30DD40AE">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541" w:type="dxa"/>
            <w:noWrap/>
            <w:vAlign w:val="center"/>
          </w:tcPr>
          <w:p w14:paraId="2D42253D">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传  真</w:t>
            </w:r>
          </w:p>
        </w:tc>
        <w:tc>
          <w:tcPr>
            <w:tcW w:w="1973" w:type="dxa"/>
            <w:gridSpan w:val="2"/>
            <w:noWrap/>
            <w:vAlign w:val="center"/>
          </w:tcPr>
          <w:p w14:paraId="0A57192B">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2" w:type="dxa"/>
            <w:gridSpan w:val="2"/>
            <w:noWrap/>
            <w:vAlign w:val="center"/>
          </w:tcPr>
          <w:p w14:paraId="7D8EAB59">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电子邮箱</w:t>
            </w:r>
          </w:p>
        </w:tc>
        <w:tc>
          <w:tcPr>
            <w:tcW w:w="2474" w:type="dxa"/>
            <w:gridSpan w:val="3"/>
            <w:noWrap/>
            <w:vAlign w:val="center"/>
          </w:tcPr>
          <w:p w14:paraId="44C31D6F">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46A94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13BED66B">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单位性质</w:t>
            </w:r>
          </w:p>
        </w:tc>
        <w:tc>
          <w:tcPr>
            <w:tcW w:w="7280" w:type="dxa"/>
            <w:gridSpan w:val="8"/>
            <w:noWrap/>
            <w:vAlign w:val="center"/>
          </w:tcPr>
          <w:p w14:paraId="18E12F01">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54AA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35041117">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法定代表人</w:t>
            </w:r>
          </w:p>
        </w:tc>
        <w:tc>
          <w:tcPr>
            <w:tcW w:w="1541" w:type="dxa"/>
            <w:noWrap/>
            <w:vAlign w:val="center"/>
          </w:tcPr>
          <w:p w14:paraId="3C89A138">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姓名</w:t>
            </w:r>
          </w:p>
        </w:tc>
        <w:tc>
          <w:tcPr>
            <w:tcW w:w="1140" w:type="dxa"/>
            <w:noWrap/>
            <w:vAlign w:val="center"/>
          </w:tcPr>
          <w:p w14:paraId="692AF9CB">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3" w:type="dxa"/>
            <w:gridSpan w:val="2"/>
            <w:noWrap/>
            <w:vAlign w:val="center"/>
          </w:tcPr>
          <w:p w14:paraId="2074D5CA">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技术职称</w:t>
            </w:r>
          </w:p>
        </w:tc>
        <w:tc>
          <w:tcPr>
            <w:tcW w:w="1101" w:type="dxa"/>
            <w:gridSpan w:val="2"/>
            <w:noWrap/>
            <w:vAlign w:val="center"/>
          </w:tcPr>
          <w:p w14:paraId="5520AFAA">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735" w:type="dxa"/>
            <w:noWrap/>
            <w:vAlign w:val="center"/>
          </w:tcPr>
          <w:p w14:paraId="3E1A2552">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电话</w:t>
            </w:r>
          </w:p>
        </w:tc>
        <w:tc>
          <w:tcPr>
            <w:tcW w:w="1470" w:type="dxa"/>
            <w:noWrap/>
            <w:vAlign w:val="center"/>
          </w:tcPr>
          <w:p w14:paraId="46DEE77C">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5F28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03DF737B">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成立时间</w:t>
            </w:r>
          </w:p>
        </w:tc>
        <w:tc>
          <w:tcPr>
            <w:tcW w:w="2681" w:type="dxa"/>
            <w:gridSpan w:val="2"/>
            <w:noWrap/>
            <w:vAlign w:val="center"/>
          </w:tcPr>
          <w:p w14:paraId="5D1CC060">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4599" w:type="dxa"/>
            <w:gridSpan w:val="6"/>
            <w:noWrap/>
            <w:vAlign w:val="center"/>
          </w:tcPr>
          <w:p w14:paraId="547C094B">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员工总人数（个）：</w:t>
            </w:r>
          </w:p>
        </w:tc>
      </w:tr>
      <w:tr w14:paraId="360E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exact"/>
          <w:jc w:val="center"/>
        </w:trPr>
        <w:tc>
          <w:tcPr>
            <w:tcW w:w="1540" w:type="dxa"/>
            <w:noWrap/>
            <w:vAlign w:val="center"/>
          </w:tcPr>
          <w:p w14:paraId="43C9CD15">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企业资质</w:t>
            </w:r>
          </w:p>
          <w:p w14:paraId="2DA599A3">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类型和等级</w:t>
            </w:r>
          </w:p>
        </w:tc>
        <w:tc>
          <w:tcPr>
            <w:tcW w:w="2681" w:type="dxa"/>
            <w:gridSpan w:val="2"/>
            <w:noWrap/>
            <w:vAlign w:val="center"/>
          </w:tcPr>
          <w:p w14:paraId="435587D3">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3" w:type="dxa"/>
            <w:gridSpan w:val="2"/>
            <w:vMerge w:val="restart"/>
            <w:noWrap/>
            <w:vAlign w:val="center"/>
          </w:tcPr>
          <w:p w14:paraId="64161980">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其中</w:t>
            </w:r>
          </w:p>
        </w:tc>
        <w:tc>
          <w:tcPr>
            <w:tcW w:w="1836" w:type="dxa"/>
            <w:gridSpan w:val="3"/>
            <w:noWrap/>
            <w:vAlign w:val="center"/>
          </w:tcPr>
          <w:p w14:paraId="1585BAA8">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项目经理</w:t>
            </w:r>
          </w:p>
        </w:tc>
        <w:tc>
          <w:tcPr>
            <w:tcW w:w="1470" w:type="dxa"/>
            <w:noWrap/>
            <w:vAlign w:val="center"/>
          </w:tcPr>
          <w:p w14:paraId="33668F7C">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1633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364B8632">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营业执照号</w:t>
            </w:r>
          </w:p>
        </w:tc>
        <w:tc>
          <w:tcPr>
            <w:tcW w:w="2681" w:type="dxa"/>
            <w:gridSpan w:val="2"/>
            <w:noWrap/>
            <w:vAlign w:val="center"/>
          </w:tcPr>
          <w:p w14:paraId="3661E2AE">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3" w:type="dxa"/>
            <w:gridSpan w:val="2"/>
            <w:vMerge w:val="continue"/>
            <w:noWrap/>
            <w:vAlign w:val="center"/>
          </w:tcPr>
          <w:p w14:paraId="1E22C194">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836" w:type="dxa"/>
            <w:gridSpan w:val="3"/>
            <w:noWrap/>
            <w:vAlign w:val="center"/>
          </w:tcPr>
          <w:p w14:paraId="206E84F0">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高级职称人员</w:t>
            </w:r>
          </w:p>
        </w:tc>
        <w:tc>
          <w:tcPr>
            <w:tcW w:w="1470" w:type="dxa"/>
            <w:noWrap/>
            <w:vAlign w:val="center"/>
          </w:tcPr>
          <w:p w14:paraId="0C76BE91">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5008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407B426D">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注册资金</w:t>
            </w:r>
          </w:p>
        </w:tc>
        <w:tc>
          <w:tcPr>
            <w:tcW w:w="2681" w:type="dxa"/>
            <w:gridSpan w:val="2"/>
            <w:noWrap/>
            <w:vAlign w:val="center"/>
          </w:tcPr>
          <w:p w14:paraId="275B6FE6">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3" w:type="dxa"/>
            <w:gridSpan w:val="2"/>
            <w:vMerge w:val="continue"/>
            <w:noWrap/>
            <w:vAlign w:val="center"/>
          </w:tcPr>
          <w:p w14:paraId="71E4C8E1">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836" w:type="dxa"/>
            <w:gridSpan w:val="3"/>
            <w:noWrap/>
            <w:vAlign w:val="center"/>
          </w:tcPr>
          <w:p w14:paraId="6596F59D">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中级职称人员</w:t>
            </w:r>
          </w:p>
        </w:tc>
        <w:tc>
          <w:tcPr>
            <w:tcW w:w="1470" w:type="dxa"/>
            <w:noWrap/>
            <w:vAlign w:val="center"/>
          </w:tcPr>
          <w:p w14:paraId="443F8464">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26FC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exact"/>
          <w:jc w:val="center"/>
        </w:trPr>
        <w:tc>
          <w:tcPr>
            <w:tcW w:w="1540" w:type="dxa"/>
            <w:noWrap/>
            <w:vAlign w:val="center"/>
          </w:tcPr>
          <w:p w14:paraId="5CD56260">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基本账户</w:t>
            </w:r>
          </w:p>
          <w:p w14:paraId="5E6EFF70">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开户银行</w:t>
            </w:r>
          </w:p>
        </w:tc>
        <w:tc>
          <w:tcPr>
            <w:tcW w:w="2681" w:type="dxa"/>
            <w:gridSpan w:val="2"/>
            <w:noWrap/>
            <w:vAlign w:val="center"/>
          </w:tcPr>
          <w:p w14:paraId="35963BB3">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3" w:type="dxa"/>
            <w:gridSpan w:val="2"/>
            <w:vMerge w:val="continue"/>
            <w:noWrap/>
            <w:vAlign w:val="center"/>
          </w:tcPr>
          <w:p w14:paraId="451799AF">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836" w:type="dxa"/>
            <w:gridSpan w:val="3"/>
            <w:noWrap/>
            <w:vAlign w:val="center"/>
          </w:tcPr>
          <w:p w14:paraId="1C90B777">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初级职称人员</w:t>
            </w:r>
          </w:p>
        </w:tc>
        <w:tc>
          <w:tcPr>
            <w:tcW w:w="1470" w:type="dxa"/>
            <w:noWrap/>
            <w:vAlign w:val="center"/>
          </w:tcPr>
          <w:p w14:paraId="5185F20C">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1A1E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exact"/>
          <w:jc w:val="center"/>
        </w:trPr>
        <w:tc>
          <w:tcPr>
            <w:tcW w:w="1540" w:type="dxa"/>
            <w:noWrap/>
            <w:vAlign w:val="center"/>
          </w:tcPr>
          <w:p w14:paraId="5F1EB85C">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基本账户</w:t>
            </w:r>
          </w:p>
          <w:p w14:paraId="59540401">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银行账号</w:t>
            </w:r>
          </w:p>
        </w:tc>
        <w:tc>
          <w:tcPr>
            <w:tcW w:w="2681" w:type="dxa"/>
            <w:gridSpan w:val="2"/>
            <w:noWrap/>
            <w:vAlign w:val="center"/>
          </w:tcPr>
          <w:p w14:paraId="6EEEA4D0">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3" w:type="dxa"/>
            <w:gridSpan w:val="2"/>
            <w:vMerge w:val="continue"/>
            <w:noWrap/>
            <w:vAlign w:val="center"/>
          </w:tcPr>
          <w:p w14:paraId="730649CA">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836" w:type="dxa"/>
            <w:gridSpan w:val="3"/>
            <w:noWrap/>
            <w:vAlign w:val="center"/>
          </w:tcPr>
          <w:p w14:paraId="283128EF">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技术员</w:t>
            </w:r>
          </w:p>
        </w:tc>
        <w:tc>
          <w:tcPr>
            <w:tcW w:w="1470" w:type="dxa"/>
            <w:noWrap/>
            <w:vAlign w:val="center"/>
          </w:tcPr>
          <w:p w14:paraId="13BB8B81">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7745C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jc w:val="center"/>
        </w:trPr>
        <w:tc>
          <w:tcPr>
            <w:tcW w:w="1540" w:type="dxa"/>
            <w:noWrap/>
            <w:vAlign w:val="center"/>
          </w:tcPr>
          <w:p w14:paraId="653E3CAE">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经营范围</w:t>
            </w:r>
          </w:p>
        </w:tc>
        <w:tc>
          <w:tcPr>
            <w:tcW w:w="7280" w:type="dxa"/>
            <w:gridSpan w:val="8"/>
            <w:noWrap/>
            <w:vAlign w:val="center"/>
          </w:tcPr>
          <w:p w14:paraId="790185DB">
            <w:pPr>
              <w:pStyle w:val="54"/>
              <w:wordWrap w:val="0"/>
              <w:adjustRightInd w:val="0"/>
              <w:snapToGrid w:val="0"/>
              <w:spacing w:line="360" w:lineRule="auto"/>
              <w:jc w:val="left"/>
              <w:rPr>
                <w:rFonts w:hint="eastAsia" w:asciiTheme="minorEastAsia" w:hAnsiTheme="minorEastAsia" w:eastAsiaTheme="minorEastAsia" w:cstheme="minorEastAsia"/>
                <w:snapToGrid w:val="0"/>
                <w:color w:val="auto"/>
                <w:kern w:val="0"/>
                <w:sz w:val="24"/>
                <w:highlight w:val="none"/>
              </w:rPr>
            </w:pPr>
          </w:p>
        </w:tc>
      </w:tr>
      <w:tr w14:paraId="1CCB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540" w:type="dxa"/>
            <w:noWrap/>
            <w:vAlign w:val="center"/>
          </w:tcPr>
          <w:p w14:paraId="2BB6AB5C">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关联企业情况</w:t>
            </w:r>
          </w:p>
        </w:tc>
        <w:tc>
          <w:tcPr>
            <w:tcW w:w="7280" w:type="dxa"/>
            <w:gridSpan w:val="8"/>
            <w:noWrap/>
            <w:vAlign w:val="center"/>
          </w:tcPr>
          <w:p w14:paraId="6EE38209">
            <w:pPr>
              <w:pStyle w:val="54"/>
              <w:wordWrap w:val="0"/>
              <w:adjustRightInd w:val="0"/>
              <w:snapToGrid w:val="0"/>
              <w:spacing w:line="360" w:lineRule="auto"/>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包括但不限于与投标人存在以下关系的不同单位：</w:t>
            </w:r>
          </w:p>
          <w:p w14:paraId="1844A97D">
            <w:pPr>
              <w:pStyle w:val="54"/>
              <w:wordWrap w:val="0"/>
              <w:adjustRightInd w:val="0"/>
              <w:snapToGrid w:val="0"/>
              <w:spacing w:line="360" w:lineRule="auto"/>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1．法定代表人为同一人的。</w:t>
            </w:r>
          </w:p>
          <w:p w14:paraId="643D42A4">
            <w:pPr>
              <w:pStyle w:val="54"/>
              <w:wordWrap w:val="0"/>
              <w:adjustRightInd w:val="0"/>
              <w:snapToGrid w:val="0"/>
              <w:spacing w:line="360" w:lineRule="auto"/>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2．存在控股、管理关系的。</w:t>
            </w:r>
          </w:p>
          <w:p w14:paraId="1EAED253">
            <w:pPr>
              <w:pStyle w:val="54"/>
              <w:wordWrap w:val="0"/>
              <w:adjustRightInd w:val="0"/>
              <w:snapToGrid w:val="0"/>
              <w:spacing w:line="360" w:lineRule="auto"/>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3．主要人员相互任职的。</w:t>
            </w:r>
          </w:p>
        </w:tc>
      </w:tr>
      <w:tr w14:paraId="7A1C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40" w:type="dxa"/>
            <w:noWrap/>
            <w:vAlign w:val="center"/>
          </w:tcPr>
          <w:p w14:paraId="1D753AD6">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备注</w:t>
            </w:r>
          </w:p>
        </w:tc>
        <w:tc>
          <w:tcPr>
            <w:tcW w:w="7280" w:type="dxa"/>
            <w:gridSpan w:val="8"/>
            <w:noWrap/>
            <w:vAlign w:val="center"/>
          </w:tcPr>
          <w:p w14:paraId="6D279D12">
            <w:pPr>
              <w:pStyle w:val="54"/>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bl>
    <w:p w14:paraId="7B89B98D">
      <w:pPr>
        <w:pStyle w:val="54"/>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说明：</w:t>
      </w:r>
    </w:p>
    <w:bookmarkEnd w:id="495"/>
    <w:bookmarkEnd w:id="496"/>
    <w:bookmarkEnd w:id="497"/>
    <w:bookmarkEnd w:id="498"/>
    <w:bookmarkEnd w:id="499"/>
    <w:p w14:paraId="3825431F">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1"/>
          <w:szCs w:val="21"/>
          <w:highlight w:val="none"/>
        </w:rPr>
      </w:pPr>
      <w:bookmarkStart w:id="546" w:name="_Toc1659"/>
      <w:bookmarkStart w:id="547" w:name="_Toc534641863"/>
      <w:bookmarkStart w:id="548" w:name="_Toc535300004"/>
      <w:bookmarkStart w:id="549" w:name="_Toc48547015"/>
      <w:bookmarkStart w:id="550" w:name="_Toc210101349"/>
      <w:bookmarkStart w:id="551" w:name="_Toc118541763"/>
      <w:r>
        <w:rPr>
          <w:rFonts w:hint="eastAsia" w:asciiTheme="minorEastAsia" w:hAnsiTheme="minorEastAsia" w:eastAsiaTheme="minorEastAsia" w:cstheme="minorEastAsia"/>
          <w:snapToGrid w:val="0"/>
          <w:color w:val="auto"/>
          <w:sz w:val="21"/>
          <w:szCs w:val="21"/>
          <w:highlight w:val="none"/>
        </w:rPr>
        <w:t>1．《投标人基本情况表》后应附以下资料：</w:t>
      </w:r>
    </w:p>
    <w:p w14:paraId="663DA07C">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（1）企业营业执照、资质证书、安全生产许可证</w:t>
      </w:r>
      <w:r>
        <w:rPr>
          <w:rFonts w:hint="eastAsia" w:asciiTheme="minorEastAsia" w:hAnsiTheme="minorEastAsia" w:eastAsiaTheme="minorEastAsia" w:cstheme="minorEastAsia"/>
          <w:snapToGrid w:val="0"/>
          <w:color w:val="auto"/>
          <w:sz w:val="21"/>
          <w:szCs w:val="21"/>
          <w:highlight w:val="none"/>
          <w:lang w:eastAsia="zh-CN"/>
        </w:rPr>
        <w:t>（</w:t>
      </w:r>
      <w:r>
        <w:rPr>
          <w:rFonts w:hint="eastAsia" w:asciiTheme="minorEastAsia" w:hAnsiTheme="minorEastAsia" w:eastAsiaTheme="minorEastAsia" w:cstheme="minorEastAsia"/>
          <w:snapToGrid w:val="0"/>
          <w:color w:val="auto"/>
          <w:sz w:val="21"/>
          <w:szCs w:val="21"/>
          <w:highlight w:val="none"/>
          <w:lang w:val="en-US" w:eastAsia="zh-CN"/>
        </w:rPr>
        <w:t>施工企业提供</w:t>
      </w:r>
      <w:r>
        <w:rPr>
          <w:rFonts w:hint="eastAsia" w:asciiTheme="minorEastAsia" w:hAnsiTheme="minorEastAsia" w:eastAsiaTheme="minorEastAsia" w:cstheme="minorEastAsia"/>
          <w:snapToGrid w:val="0"/>
          <w:color w:val="auto"/>
          <w:sz w:val="21"/>
          <w:szCs w:val="21"/>
          <w:highlight w:val="none"/>
          <w:lang w:eastAsia="zh-CN"/>
        </w:rPr>
        <w:t>）</w:t>
      </w:r>
      <w:r>
        <w:rPr>
          <w:rFonts w:hint="eastAsia" w:asciiTheme="minorEastAsia" w:hAnsiTheme="minorEastAsia" w:eastAsiaTheme="minorEastAsia" w:cstheme="minorEastAsia"/>
          <w:snapToGrid w:val="0"/>
          <w:color w:val="auto"/>
          <w:sz w:val="21"/>
          <w:szCs w:val="21"/>
          <w:highlight w:val="none"/>
        </w:rPr>
        <w:t>的</w:t>
      </w:r>
      <w:r>
        <w:rPr>
          <w:rFonts w:hint="eastAsia" w:asciiTheme="minorEastAsia" w:hAnsiTheme="minorEastAsia" w:eastAsiaTheme="minorEastAsia" w:cstheme="minorEastAsia"/>
          <w:snapToGrid w:val="0"/>
          <w:color w:val="auto"/>
          <w:sz w:val="21"/>
          <w:szCs w:val="21"/>
          <w:highlight w:val="none"/>
          <w:lang w:val="en-US" w:eastAsia="zh-CN"/>
        </w:rPr>
        <w:t>扫描</w:t>
      </w:r>
      <w:r>
        <w:rPr>
          <w:rFonts w:hint="eastAsia" w:asciiTheme="minorEastAsia" w:hAnsiTheme="minorEastAsia" w:eastAsiaTheme="minorEastAsia" w:cstheme="minorEastAsia"/>
          <w:snapToGrid w:val="0"/>
          <w:color w:val="auto"/>
          <w:sz w:val="21"/>
          <w:szCs w:val="21"/>
          <w:highlight w:val="none"/>
        </w:rPr>
        <w:t>件</w:t>
      </w:r>
      <w:r>
        <w:rPr>
          <w:rFonts w:hint="eastAsia" w:asciiTheme="minorEastAsia" w:hAnsiTheme="minorEastAsia" w:eastAsiaTheme="minorEastAsia" w:cstheme="minorEastAsia"/>
          <w:b w:val="0"/>
          <w:bCs w:val="0"/>
          <w:snapToGrid w:val="0"/>
          <w:color w:val="auto"/>
          <w:sz w:val="21"/>
          <w:szCs w:val="21"/>
          <w:highlight w:val="none"/>
        </w:rPr>
        <w:t>（因推行电子证照，企业的营业执照、资质证书等可以提供电子证照。为实时掌握项目</w:t>
      </w:r>
      <w:r>
        <w:rPr>
          <w:rFonts w:hint="eastAsia" w:asciiTheme="minorEastAsia" w:hAnsiTheme="minorEastAsia" w:eastAsiaTheme="minorEastAsia" w:cstheme="minorEastAsia"/>
          <w:b/>
          <w:bCs/>
          <w:snapToGrid w:val="0"/>
          <w:color w:val="auto"/>
          <w:sz w:val="21"/>
          <w:szCs w:val="21"/>
          <w:highlight w:val="none"/>
        </w:rPr>
        <w:t>投标单位的是否具备企业安全生产条件，企业的安全生产许可证需提供企业实时网页查询页，实时查询页的打印时间应在项目招标公告发布之日起至开标前。如中标后，投标单位安全生产许可证发生被暂扣情形，需双方另行协商）；</w:t>
      </w:r>
    </w:p>
    <w:p w14:paraId="21234B0F">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（2）外省建筑企业须提供“进粤企业和人员诚信信息登记平台”企业信息情况打印页。</w:t>
      </w:r>
    </w:p>
    <w:p w14:paraId="4D00A3DC">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2．联合体投标的，联合体成员单位均应填写《投标人基本情况表》并提供以上所需资料。</w:t>
      </w:r>
    </w:p>
    <w:p w14:paraId="3F793927">
      <w:pPr>
        <w:pStyle w:val="58"/>
        <w:widowControl w:val="0"/>
        <w:wordWrap w:val="0"/>
        <w:adjustRightInd w:val="0"/>
        <w:snapToGrid w:val="0"/>
        <w:spacing w:line="360" w:lineRule="auto"/>
        <w:rPr>
          <w:rFonts w:hint="eastAsia" w:asciiTheme="minorEastAsia" w:hAnsiTheme="minorEastAsia" w:eastAsiaTheme="minorEastAsia" w:cstheme="minorEastAsia"/>
          <w:snapToGrid w:val="0"/>
          <w:color w:val="auto"/>
          <w:sz w:val="21"/>
          <w:szCs w:val="21"/>
          <w:highlight w:val="none"/>
        </w:rPr>
        <w:sectPr>
          <w:endnotePr>
            <w:numFmt w:val="decimal"/>
          </w:endnotePr>
          <w:pgSz w:w="11905" w:h="16838"/>
          <w:pgMar w:top="1134" w:right="1134" w:bottom="1134" w:left="1134" w:header="850" w:footer="992" w:gutter="0"/>
          <w:pgNumType w:fmt="decimal"/>
          <w:cols w:space="0" w:num="1"/>
          <w:rtlGutter w:val="0"/>
          <w:docGrid w:linePitch="327" w:charSpace="0"/>
        </w:sectPr>
      </w:pPr>
      <w:r>
        <w:rPr>
          <w:rFonts w:hint="eastAsia" w:asciiTheme="minorEastAsia" w:hAnsiTheme="minorEastAsia" w:eastAsiaTheme="minorEastAsia" w:cstheme="minorEastAsia"/>
          <w:snapToGrid w:val="0"/>
          <w:color w:val="auto"/>
          <w:sz w:val="21"/>
          <w:szCs w:val="21"/>
          <w:highlight w:val="none"/>
        </w:rPr>
        <w:t>3.《法人和非法人组织公共信用信息报告》打印件（在“信用中国”网站企业查询界面中下载）。</w:t>
      </w:r>
    </w:p>
    <w:p w14:paraId="046ADA4A">
      <w:pPr>
        <w:pStyle w:val="11"/>
        <w:spacing w:before="120" w:line="360" w:lineRule="auto"/>
        <w:rPr>
          <w:rFonts w:hint="eastAsia" w:asciiTheme="minorEastAsia" w:hAnsiTheme="minorEastAsia" w:eastAsiaTheme="minorEastAsia" w:cstheme="minorEastAsia"/>
          <w:b/>
          <w:bCs/>
          <w:color w:val="auto"/>
          <w:szCs w:val="24"/>
          <w:highlight w:val="none"/>
        </w:rPr>
      </w:pPr>
      <w:bookmarkStart w:id="552" w:name="_Toc26261"/>
      <w:r>
        <w:rPr>
          <w:rFonts w:hint="eastAsia" w:asciiTheme="minorEastAsia" w:hAnsiTheme="minorEastAsia" w:eastAsiaTheme="minorEastAsia" w:cstheme="minorEastAsia"/>
          <w:b/>
          <w:bCs/>
          <w:color w:val="auto"/>
          <w:szCs w:val="24"/>
          <w:highlight w:val="none"/>
        </w:rPr>
        <w:t>格式八 项目经理简历表</w:t>
      </w:r>
      <w:bookmarkEnd w:id="546"/>
      <w:bookmarkEnd w:id="552"/>
    </w:p>
    <w:p w14:paraId="2B375A7A">
      <w:pPr>
        <w:wordWrap w:val="0"/>
        <w:adjustRightInd w:val="0"/>
        <w:snapToGrid w:val="0"/>
        <w:spacing w:line="360" w:lineRule="auto"/>
        <w:jc w:val="left"/>
        <w:rPr>
          <w:rFonts w:hint="eastAsia" w:asciiTheme="minorEastAsia" w:hAnsiTheme="minorEastAsia" w:eastAsiaTheme="minorEastAsia" w:cstheme="minorEastAsia"/>
          <w:b/>
          <w:bCs/>
          <w:snapToGrid w:val="0"/>
          <w:color w:val="auto"/>
          <w:kern w:val="0"/>
          <w:szCs w:val="24"/>
          <w:highlight w:val="none"/>
        </w:rPr>
      </w:pPr>
    </w:p>
    <w:tbl>
      <w:tblPr>
        <w:tblStyle w:val="31"/>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215F8D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5B88326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5FBC687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1876908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14:paraId="3DC7EB0D">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5EDD0DF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14:paraId="34CF2A23">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258E73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051D1AC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549D4F7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2973DA6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14:paraId="08BFF83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77F32BD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14:paraId="2B93C2F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37F0C2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69DBFC4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14:paraId="7DDA83C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14:paraId="6FCC032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14:paraId="2458BC55">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32050B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14:paraId="356F285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以项目经理身份参与过的主要业绩（已完工项目）</w:t>
            </w:r>
          </w:p>
        </w:tc>
      </w:tr>
      <w:tr w14:paraId="6921A2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627B6F9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013625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132CF8A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676DA2E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14:paraId="657C2FD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14:paraId="1FD45D7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质量等级</w:t>
            </w:r>
          </w:p>
        </w:tc>
      </w:tr>
      <w:tr w14:paraId="468EC3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6763A7FC">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6A59F68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545A565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24272EC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7BF3CA6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1F4CE40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316811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02E4B55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21926A2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14FDAD4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641946CC">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7CC1054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2A57807D">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4A98C6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61F63A0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6EA7951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A428B5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7A8DF59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531B0AE5">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475A699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6B29AD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0D8206F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57F91A0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4DB8876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58EC9B9">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4316668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57E1304F">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bl>
    <w:p w14:paraId="0B0BEAF0">
      <w:pPr>
        <w:wordWrap w:val="0"/>
        <w:adjustRightInd w:val="0"/>
        <w:snapToGrid w:val="0"/>
        <w:spacing w:line="360" w:lineRule="auto"/>
        <w:jc w:val="center"/>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snapToGrid w:val="0"/>
          <w:color w:val="auto"/>
          <w:kern w:val="0"/>
          <w:szCs w:val="24"/>
          <w:highlight w:val="none"/>
        </w:rPr>
        <w:t>项目经理简历表</w:t>
      </w:r>
    </w:p>
    <w:p w14:paraId="598C1A20">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p>
    <w:p w14:paraId="44DC5543">
      <w:pPr>
        <w:pStyle w:val="59"/>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p>
    <w:p w14:paraId="40A8A1A7">
      <w:pPr>
        <w:pStyle w:val="59"/>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项目经理：</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（签字）</w:t>
      </w:r>
    </w:p>
    <w:p w14:paraId="5E163C89">
      <w:pPr>
        <w:pStyle w:val="59"/>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p>
    <w:p w14:paraId="596E09A4">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 xml:space="preserve">                                     </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年</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月</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日</w:t>
      </w:r>
    </w:p>
    <w:p w14:paraId="5CD3B3E0">
      <w:pPr>
        <w:spacing w:line="360" w:lineRule="auto"/>
        <w:outlineLvl w:val="9"/>
        <w:rPr>
          <w:rFonts w:hint="eastAsia"/>
          <w:color w:val="auto"/>
          <w:highlight w:val="none"/>
        </w:rPr>
      </w:pPr>
    </w:p>
    <w:p w14:paraId="39724635">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说明：《项目经理简历表》后应附拟派项目经理以下资料：</w:t>
      </w:r>
    </w:p>
    <w:p w14:paraId="234E50E1">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1．身份证彩色扫描件；</w:t>
      </w:r>
    </w:p>
    <w:p w14:paraId="62F97137">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2．建造师电子注册证书（在使用有效期内的有效电子证书）彩色扫描件；</w:t>
      </w:r>
    </w:p>
    <w:p w14:paraId="24918F13">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3．B类安全生产考核合格证书彩色扫描件或广东省建筑施工企业管理人员安全生产考核系统考核合格信息彩色扫描件；</w:t>
      </w:r>
    </w:p>
    <w:p w14:paraId="2E1D7FAF">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4．在本单位缴纳社保的证明（</w:t>
      </w:r>
      <w:r>
        <w:rPr>
          <w:rFonts w:hint="eastAsia" w:asciiTheme="minorEastAsia" w:hAnsiTheme="minorEastAsia" w:eastAsiaTheme="minorEastAsia" w:cstheme="minorEastAsia"/>
          <w:snapToGrid w:val="0"/>
          <w:color w:val="auto"/>
          <w:kern w:val="0"/>
          <w:szCs w:val="24"/>
          <w:highlight w:val="none"/>
          <w:lang w:val="en-US" w:eastAsia="zh-CN"/>
        </w:rPr>
        <w:t>至少1个月，其中必须有2026年8月</w:t>
      </w:r>
      <w:r>
        <w:rPr>
          <w:rFonts w:hint="eastAsia" w:asciiTheme="minorEastAsia" w:hAnsiTheme="minorEastAsia" w:eastAsiaTheme="minorEastAsia" w:cstheme="minorEastAsia"/>
          <w:snapToGrid w:val="0"/>
          <w:color w:val="auto"/>
          <w:kern w:val="0"/>
          <w:szCs w:val="24"/>
          <w:highlight w:val="none"/>
        </w:rPr>
        <w:t>）彩色扫描件；拟派项目经理为退休返聘人员无法提供社保证明的，提供退休证和劳动合同彩色扫描件。</w:t>
      </w:r>
    </w:p>
    <w:p w14:paraId="2EEEE8BD">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lang w:val="en-US" w:eastAsia="zh-CN"/>
        </w:rPr>
      </w:pPr>
      <w:r>
        <w:rPr>
          <w:rFonts w:hint="eastAsia" w:asciiTheme="minorEastAsia" w:hAnsiTheme="minorEastAsia" w:eastAsiaTheme="minorEastAsia" w:cstheme="minorEastAsia"/>
          <w:snapToGrid w:val="0"/>
          <w:color w:val="auto"/>
          <w:kern w:val="0"/>
          <w:szCs w:val="24"/>
          <w:highlight w:val="none"/>
          <w:lang w:val="en-US" w:eastAsia="zh-CN"/>
        </w:rPr>
        <w:t>5.“进粤企业和人员诚信信息登记平台”个人信息情况截图。（适用于省外建筑企业）</w:t>
      </w:r>
    </w:p>
    <w:p w14:paraId="6086A30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sectPr>
          <w:endnotePr>
            <w:numFmt w:val="decimal"/>
          </w:endnotePr>
          <w:pgSz w:w="11905" w:h="16838"/>
          <w:pgMar w:top="1134" w:right="1134" w:bottom="1134" w:left="1134" w:header="850" w:footer="992" w:gutter="0"/>
          <w:pgNumType w:fmt="decimal"/>
          <w:cols w:space="0" w:num="1"/>
          <w:rtlGutter w:val="0"/>
          <w:docGrid w:linePitch="327" w:charSpace="0"/>
        </w:sectPr>
      </w:pPr>
    </w:p>
    <w:p w14:paraId="722A95E1">
      <w:pPr>
        <w:pStyle w:val="11"/>
        <w:spacing w:before="120" w:line="360" w:lineRule="auto"/>
        <w:rPr>
          <w:rFonts w:hint="eastAsia" w:asciiTheme="minorEastAsia" w:hAnsiTheme="minorEastAsia" w:eastAsiaTheme="minorEastAsia" w:cstheme="minorEastAsia"/>
          <w:b/>
          <w:bCs/>
          <w:color w:val="auto"/>
          <w:szCs w:val="24"/>
          <w:highlight w:val="none"/>
        </w:rPr>
      </w:pPr>
      <w:bookmarkStart w:id="553" w:name="_Toc9492"/>
      <w:r>
        <w:rPr>
          <w:rFonts w:hint="eastAsia" w:asciiTheme="minorEastAsia" w:hAnsiTheme="minorEastAsia" w:eastAsiaTheme="minorEastAsia" w:cstheme="minorEastAsia"/>
          <w:b/>
          <w:bCs/>
          <w:color w:val="auto"/>
          <w:szCs w:val="24"/>
          <w:highlight w:val="none"/>
        </w:rPr>
        <w:t>格式九 项目经理任职声明</w:t>
      </w:r>
      <w:bookmarkEnd w:id="553"/>
    </w:p>
    <w:p w14:paraId="4ADE852D">
      <w:pPr>
        <w:wordWrap w:val="0"/>
        <w:adjustRightInd w:val="0"/>
        <w:snapToGrid w:val="0"/>
        <w:spacing w:line="360" w:lineRule="auto"/>
        <w:jc w:val="left"/>
        <w:rPr>
          <w:rFonts w:hint="eastAsia" w:asciiTheme="minorEastAsia" w:hAnsiTheme="minorEastAsia" w:eastAsiaTheme="minorEastAsia" w:cstheme="minorEastAsia"/>
          <w:b/>
          <w:snapToGrid w:val="0"/>
          <w:color w:val="auto"/>
          <w:kern w:val="0"/>
          <w:szCs w:val="24"/>
          <w:highlight w:val="none"/>
        </w:rPr>
      </w:pPr>
    </w:p>
    <w:p w14:paraId="5B39C3F5">
      <w:pPr>
        <w:wordWrap w:val="0"/>
        <w:adjustRightInd w:val="0"/>
        <w:snapToGrid w:val="0"/>
        <w:spacing w:before="260" w:after="260"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snapToGrid w:val="0"/>
          <w:color w:val="auto"/>
          <w:kern w:val="0"/>
          <w:szCs w:val="24"/>
          <w:highlight w:val="none"/>
        </w:rPr>
        <w:t>项目经理任职声明</w:t>
      </w:r>
    </w:p>
    <w:p w14:paraId="5BBE975C">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p w14:paraId="364C715F">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bookmarkStart w:id="554" w:name="_Toc21599"/>
      <w:r>
        <w:rPr>
          <w:rFonts w:hint="eastAsia" w:asciiTheme="minorEastAsia" w:hAnsiTheme="minorEastAsia" w:eastAsiaTheme="minorEastAsia" w:cstheme="minorEastAsia"/>
          <w:snapToGrid w:val="0"/>
          <w:color w:val="auto"/>
          <w:kern w:val="0"/>
          <w:szCs w:val="24"/>
          <w:highlight w:val="none"/>
        </w:rPr>
        <w:t>致：</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（招标人名称）：</w:t>
      </w:r>
    </w:p>
    <w:p w14:paraId="4B31BB21">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我方在此声明，我方拟派往</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（项目名称）的项目经理</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（项目经理姓名）现阶段没有担任任何在施（包括已中标未开工、已开工未竣工）建设工程项目的项目经理。</w:t>
      </w:r>
    </w:p>
    <w:p w14:paraId="243E9439">
      <w:pPr>
        <w:wordWrap w:val="0"/>
        <w:adjustRightInd w:val="0"/>
        <w:snapToGrid w:val="0"/>
        <w:spacing w:line="360" w:lineRule="auto"/>
        <w:ind w:firstLine="48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我方保证上述信息的真实和准确，并愿意承担因我方就此弄虚作假所引起的一切法律后果。</w:t>
      </w:r>
    </w:p>
    <w:p w14:paraId="5CFC49FD">
      <w:pPr>
        <w:wordWrap w:val="0"/>
        <w:adjustRightInd w:val="0"/>
        <w:snapToGrid w:val="0"/>
        <w:spacing w:line="360" w:lineRule="auto"/>
        <w:ind w:firstLine="48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w:t>
      </w:r>
    </w:p>
    <w:p w14:paraId="42D74EF3">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特此承诺　　</w:t>
      </w:r>
    </w:p>
    <w:p w14:paraId="741114B9">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w:t>
      </w:r>
    </w:p>
    <w:p w14:paraId="2024B237">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w:t>
      </w:r>
    </w:p>
    <w:p w14:paraId="142252A1">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（盖单位章）</w:t>
      </w:r>
    </w:p>
    <w:p w14:paraId="4F2DA4C9">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p>
    <w:p w14:paraId="0B18FAC1">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p>
    <w:p w14:paraId="7DEBFFFA">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法定代表人或其委托代理人：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（签字或盖章）</w:t>
      </w:r>
    </w:p>
    <w:p w14:paraId="2E059885">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p>
    <w:p w14:paraId="0210DF3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日</w:t>
      </w:r>
    </w:p>
    <w:p w14:paraId="06228FEA">
      <w:pPr>
        <w:spacing w:before="120" w:line="360" w:lineRule="auto"/>
        <w:outlineLvl w:val="9"/>
        <w:rPr>
          <w:rFonts w:hint="eastAsia" w:asciiTheme="minorEastAsia" w:hAnsiTheme="minorEastAsia" w:eastAsiaTheme="minorEastAsia" w:cstheme="minorEastAsia"/>
          <w:b/>
          <w:bCs/>
          <w:color w:val="auto"/>
          <w:szCs w:val="24"/>
          <w:highlight w:val="none"/>
        </w:rPr>
      </w:pPr>
    </w:p>
    <w:p w14:paraId="206BB2EB">
      <w:pPr>
        <w:spacing w:before="120" w:line="360" w:lineRule="auto"/>
        <w:outlineLvl w:val="9"/>
        <w:rPr>
          <w:rFonts w:hint="eastAsia" w:asciiTheme="minorEastAsia" w:hAnsiTheme="minorEastAsia" w:eastAsiaTheme="minorEastAsia" w:cstheme="minorEastAsia"/>
          <w:b/>
          <w:bCs/>
          <w:color w:val="auto"/>
          <w:szCs w:val="24"/>
          <w:highlight w:val="none"/>
        </w:rPr>
      </w:pPr>
    </w:p>
    <w:p w14:paraId="64164BC2">
      <w:pPr>
        <w:spacing w:before="120" w:line="360" w:lineRule="auto"/>
        <w:outlineLvl w:val="9"/>
        <w:rPr>
          <w:rFonts w:hint="eastAsia" w:asciiTheme="minorEastAsia" w:hAnsiTheme="minorEastAsia" w:eastAsiaTheme="minorEastAsia" w:cstheme="minorEastAsia"/>
          <w:b/>
          <w:bCs/>
          <w:color w:val="auto"/>
          <w:szCs w:val="24"/>
          <w:highlight w:val="none"/>
        </w:rPr>
      </w:pPr>
    </w:p>
    <w:p w14:paraId="32026C24">
      <w:pPr>
        <w:spacing w:before="120" w:line="360" w:lineRule="auto"/>
        <w:outlineLvl w:val="9"/>
        <w:rPr>
          <w:rFonts w:hint="eastAsia" w:asciiTheme="minorEastAsia" w:hAnsiTheme="minorEastAsia" w:eastAsiaTheme="minorEastAsia" w:cstheme="minorEastAsia"/>
          <w:b/>
          <w:bCs/>
          <w:color w:val="auto"/>
          <w:szCs w:val="24"/>
          <w:highlight w:val="none"/>
        </w:rPr>
      </w:pPr>
    </w:p>
    <w:p w14:paraId="6BFF4F88">
      <w:pPr>
        <w:spacing w:before="120" w:line="360" w:lineRule="auto"/>
        <w:outlineLvl w:val="9"/>
        <w:rPr>
          <w:rFonts w:hint="eastAsia" w:asciiTheme="minorEastAsia" w:hAnsiTheme="minorEastAsia" w:eastAsiaTheme="minorEastAsia" w:cstheme="minorEastAsia"/>
          <w:b/>
          <w:bCs/>
          <w:color w:val="auto"/>
          <w:szCs w:val="24"/>
          <w:highlight w:val="none"/>
        </w:rPr>
      </w:pPr>
    </w:p>
    <w:p w14:paraId="1FF9C360">
      <w:pPr>
        <w:spacing w:before="120" w:line="360" w:lineRule="auto"/>
        <w:outlineLvl w:val="9"/>
        <w:rPr>
          <w:rFonts w:hint="eastAsia" w:asciiTheme="minorEastAsia" w:hAnsiTheme="minorEastAsia" w:eastAsiaTheme="minorEastAsia" w:cstheme="minorEastAsia"/>
          <w:b/>
          <w:bCs/>
          <w:color w:val="auto"/>
          <w:szCs w:val="24"/>
          <w:highlight w:val="none"/>
        </w:rPr>
      </w:pPr>
    </w:p>
    <w:p w14:paraId="5D28BB6C">
      <w:pPr>
        <w:rPr>
          <w:rFonts w:hint="eastAsia" w:asciiTheme="minorEastAsia" w:hAnsiTheme="minorEastAsia" w:eastAsiaTheme="minorEastAsia" w:cstheme="minorEastAsia"/>
          <w:b/>
          <w:bCs/>
          <w:color w:val="auto"/>
          <w:szCs w:val="24"/>
          <w:highlight w:val="none"/>
        </w:rPr>
      </w:pPr>
      <w:bookmarkStart w:id="555" w:name="_Toc3171"/>
      <w:r>
        <w:rPr>
          <w:rFonts w:hint="eastAsia" w:asciiTheme="minorEastAsia" w:hAnsiTheme="minorEastAsia" w:eastAsiaTheme="minorEastAsia" w:cstheme="minorEastAsia"/>
          <w:b/>
          <w:bCs/>
          <w:color w:val="auto"/>
          <w:szCs w:val="24"/>
          <w:highlight w:val="none"/>
        </w:rPr>
        <w:br w:type="page"/>
      </w:r>
    </w:p>
    <w:p w14:paraId="46560B8D">
      <w:pPr>
        <w:pStyle w:val="11"/>
        <w:spacing w:before="120" w:line="360" w:lineRule="auto"/>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格式十 项目技术负责人简历表</w:t>
      </w:r>
      <w:bookmarkEnd w:id="554"/>
      <w:bookmarkEnd w:id="555"/>
    </w:p>
    <w:p w14:paraId="69C790BB">
      <w:pPr>
        <w:wordWrap w:val="0"/>
        <w:adjustRightInd w:val="0"/>
        <w:snapToGrid w:val="0"/>
        <w:spacing w:line="360" w:lineRule="auto"/>
        <w:jc w:val="left"/>
        <w:rPr>
          <w:rFonts w:hint="eastAsia" w:asciiTheme="minorEastAsia" w:hAnsiTheme="minorEastAsia" w:eastAsiaTheme="minorEastAsia" w:cstheme="minorEastAsia"/>
          <w:b/>
          <w:bCs/>
          <w:snapToGrid w:val="0"/>
          <w:color w:val="auto"/>
          <w:kern w:val="0"/>
          <w:szCs w:val="24"/>
          <w:highlight w:val="none"/>
        </w:rPr>
      </w:pPr>
    </w:p>
    <w:tbl>
      <w:tblPr>
        <w:tblStyle w:val="31"/>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38EB5E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2D6AA48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3683FD6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68A7925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14:paraId="27A4DC8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38B85809">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14:paraId="58D6116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186C66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2476F06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369F66E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7097239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14:paraId="7ADE524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5311479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14:paraId="2B675439">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48548F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46B699E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14:paraId="69DF1E0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14:paraId="44B5375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14:paraId="0E5C094F">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2F85F9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14:paraId="1F832E2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以项目技术负责人身份参与过的主要业绩（已完工项目）</w:t>
            </w:r>
          </w:p>
        </w:tc>
      </w:tr>
      <w:tr w14:paraId="1EF5AD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3AC11449">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11D03FE5">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744A4AD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78E3363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14:paraId="66DE2BB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14:paraId="1CD231E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质量等级</w:t>
            </w:r>
          </w:p>
        </w:tc>
      </w:tr>
      <w:tr w14:paraId="019F1C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A06DF5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316BB8E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41503D2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6B84B5A3">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715D18C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771F479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38DD65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2B24CEB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31B8832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C54A9D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2EA8091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3A69EDA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68796693">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15ACF1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01CC66C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2D869935">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A70942F">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5813A8E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550C1E0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26A8E26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1D8322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626EFD5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9310F29">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7FF21225">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14736BCC">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33D7711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07EBDB3F">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00B954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392E004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4A1762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AF7719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03DA3EAC">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0B15926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3A64157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bl>
    <w:p w14:paraId="371C6CAC">
      <w:pPr>
        <w:wordWrap w:val="0"/>
        <w:adjustRightInd w:val="0"/>
        <w:snapToGrid w:val="0"/>
        <w:spacing w:line="360" w:lineRule="auto"/>
        <w:jc w:val="center"/>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snapToGrid w:val="0"/>
          <w:color w:val="auto"/>
          <w:kern w:val="0"/>
          <w:szCs w:val="24"/>
          <w:highlight w:val="none"/>
        </w:rPr>
        <w:t>项目技术负责人简历表</w:t>
      </w:r>
    </w:p>
    <w:p w14:paraId="17AC5CE6">
      <w:pPr>
        <w:pStyle w:val="59"/>
        <w:wordWrap w:val="0"/>
        <w:adjustRightInd w:val="0"/>
        <w:snapToGrid w:val="0"/>
        <w:spacing w:line="360" w:lineRule="auto"/>
        <w:jc w:val="both"/>
        <w:rPr>
          <w:rFonts w:hint="eastAsia" w:asciiTheme="minorEastAsia" w:hAnsiTheme="minorEastAsia" w:eastAsiaTheme="minorEastAsia" w:cstheme="minorEastAsia"/>
          <w:snapToGrid w:val="0"/>
          <w:color w:val="auto"/>
          <w:kern w:val="0"/>
          <w:sz w:val="24"/>
          <w:szCs w:val="24"/>
          <w:highlight w:val="none"/>
        </w:rPr>
      </w:pPr>
    </w:p>
    <w:p w14:paraId="15757182">
      <w:pPr>
        <w:pStyle w:val="59"/>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p>
    <w:p w14:paraId="4D95344E">
      <w:pPr>
        <w:pStyle w:val="59"/>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项目技术负责人：</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（签字）</w:t>
      </w:r>
    </w:p>
    <w:p w14:paraId="2C0A8BBB">
      <w:pPr>
        <w:pStyle w:val="59"/>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p>
    <w:p w14:paraId="71B8FEEF">
      <w:pPr>
        <w:pStyle w:val="59"/>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 xml:space="preserve">                                                 </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年</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月</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日</w:t>
      </w:r>
    </w:p>
    <w:p w14:paraId="1B25A8B4">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p>
    <w:p w14:paraId="31204AF5">
      <w:pPr>
        <w:pStyle w:val="59"/>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szCs w:val="24"/>
          <w:highlight w:val="none"/>
        </w:rPr>
      </w:pPr>
    </w:p>
    <w:p w14:paraId="25C04728">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p>
    <w:p w14:paraId="699FB7EE">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说明：《项目技术负责人简历表》后应附拟派项目技术负责人以下资料：</w:t>
      </w:r>
    </w:p>
    <w:p w14:paraId="46370442">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1．身份证彩色扫描件；</w:t>
      </w:r>
    </w:p>
    <w:p w14:paraId="333723B7">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2．职称证彩色扫描件；</w:t>
      </w:r>
    </w:p>
    <w:p w14:paraId="4FDA75C7">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3．在本单位缴纳社保的证明（</w:t>
      </w:r>
      <w:r>
        <w:rPr>
          <w:rFonts w:hint="eastAsia" w:asciiTheme="minorEastAsia" w:hAnsiTheme="minorEastAsia" w:eastAsiaTheme="minorEastAsia" w:cstheme="minorEastAsia"/>
          <w:snapToGrid w:val="0"/>
          <w:color w:val="auto"/>
          <w:kern w:val="0"/>
          <w:szCs w:val="24"/>
          <w:highlight w:val="none"/>
          <w:lang w:val="en-US" w:eastAsia="zh-CN"/>
        </w:rPr>
        <w:t>至少1个月，其中必须有2026年8月</w:t>
      </w:r>
      <w:r>
        <w:rPr>
          <w:rFonts w:hint="eastAsia" w:asciiTheme="minorEastAsia" w:hAnsiTheme="minorEastAsia" w:eastAsiaTheme="minorEastAsia" w:cstheme="minorEastAsia"/>
          <w:snapToGrid w:val="0"/>
          <w:color w:val="auto"/>
          <w:kern w:val="0"/>
          <w:szCs w:val="24"/>
          <w:highlight w:val="none"/>
        </w:rPr>
        <w:t>）彩色扫描件；拟派技术负责人为退休返聘人员无法提供社保证明的，提供退休证和劳动合同彩色扫描件。</w:t>
      </w:r>
    </w:p>
    <w:p w14:paraId="74337EDB">
      <w:pPr>
        <w:pStyle w:val="16"/>
        <w:keepNext w:val="0"/>
        <w:keepLines w:val="0"/>
        <w:pageBreakBefore w:val="0"/>
        <w:widowControl w:val="0"/>
        <w:kinsoku/>
        <w:overflowPunct/>
        <w:topLinePunct w:val="0"/>
        <w:autoSpaceDE/>
        <w:autoSpaceDN/>
        <w:bidi w:val="0"/>
        <w:spacing w:line="360" w:lineRule="auto"/>
        <w:ind w:firstLine="480" w:firstLineChars="20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lang w:val="en-US" w:eastAsia="zh-CN" w:bidi="ar-SA"/>
        </w:rPr>
        <w:t>“进粤企业和人员诚信信息登记平台”个人信息情况截图。（适用于省外建筑企业）</w:t>
      </w:r>
    </w:p>
    <w:p w14:paraId="06EFF7BF">
      <w:pPr>
        <w:rPr>
          <w:rFonts w:hint="eastAsia" w:asciiTheme="minorEastAsia" w:hAnsiTheme="minorEastAsia" w:eastAsiaTheme="minorEastAsia" w:cstheme="minorEastAsia"/>
          <w:b/>
          <w:bCs/>
          <w:color w:val="auto"/>
          <w:szCs w:val="24"/>
          <w:highlight w:val="none"/>
          <w:lang w:eastAsia="zh-CN"/>
        </w:rPr>
      </w:pPr>
      <w:r>
        <w:rPr>
          <w:rFonts w:hint="eastAsia" w:ascii="宋体" w:hAnsi="宋体" w:eastAsia="宋体" w:cs="宋体"/>
          <w:snapToGrid w:val="0"/>
          <w:color w:val="auto"/>
          <w:kern w:val="0"/>
          <w:sz w:val="24"/>
          <w:szCs w:val="24"/>
          <w:highlight w:val="none"/>
          <w:lang w:val="en-US" w:eastAsia="zh-CN" w:bidi="ar-SA"/>
        </w:rPr>
        <w:br w:type="page"/>
      </w:r>
      <w:bookmarkStart w:id="556" w:name="_Toc31748"/>
      <w:bookmarkStart w:id="557" w:name="_Toc31518"/>
      <w:r>
        <w:rPr>
          <w:rFonts w:hint="eastAsia" w:asciiTheme="minorEastAsia" w:hAnsiTheme="minorEastAsia" w:eastAsiaTheme="minorEastAsia" w:cstheme="minorEastAsia"/>
          <w:b/>
          <w:bCs/>
          <w:color w:val="auto"/>
          <w:szCs w:val="24"/>
          <w:highlight w:val="none"/>
        </w:rPr>
        <w:t>格式十一 项目设计负责人简历表</w:t>
      </w:r>
      <w:bookmarkEnd w:id="556"/>
      <w:bookmarkEnd w:id="557"/>
    </w:p>
    <w:p w14:paraId="1A4EA5EE">
      <w:pPr>
        <w:pStyle w:val="11"/>
        <w:spacing w:before="120" w:line="360" w:lineRule="auto"/>
        <w:rPr>
          <w:rFonts w:hint="eastAsia" w:asciiTheme="minorEastAsia" w:hAnsiTheme="minorEastAsia" w:eastAsiaTheme="minorEastAsia" w:cstheme="minorEastAsia"/>
          <w:b/>
          <w:bCs/>
          <w:color w:val="auto"/>
          <w:szCs w:val="24"/>
          <w:highlight w:val="none"/>
          <w:lang w:eastAsia="zh-CN"/>
        </w:rPr>
      </w:pPr>
    </w:p>
    <w:p w14:paraId="6BE0E100">
      <w:pPr>
        <w:wordWrap w:val="0"/>
        <w:adjustRightInd w:val="0"/>
        <w:snapToGrid w:val="0"/>
        <w:spacing w:line="360" w:lineRule="auto"/>
        <w:jc w:val="left"/>
        <w:rPr>
          <w:rFonts w:hint="eastAsia" w:asciiTheme="minorEastAsia" w:hAnsiTheme="minorEastAsia" w:eastAsiaTheme="minorEastAsia" w:cstheme="minorEastAsia"/>
          <w:b/>
          <w:bCs/>
          <w:snapToGrid w:val="0"/>
          <w:color w:val="auto"/>
          <w:kern w:val="0"/>
          <w:szCs w:val="24"/>
          <w:highlight w:val="none"/>
        </w:rPr>
      </w:pPr>
    </w:p>
    <w:tbl>
      <w:tblPr>
        <w:tblStyle w:val="31"/>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7959C1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31D87E5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3110D74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1E67DD1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14:paraId="0F58B60D">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0E75D2C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14:paraId="36CA4E5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71D556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7B359A3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4730A62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24DA3C3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14:paraId="4BC2079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6601887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14:paraId="412EF28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6F9465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663345B3">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14:paraId="0D984A0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14:paraId="26FDD63C">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14:paraId="39EAC85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15F36B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14:paraId="0D17669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以项目设计负责人身份参与过的主要业绩（已完工项目）</w:t>
            </w:r>
          </w:p>
        </w:tc>
      </w:tr>
      <w:tr w14:paraId="4F4E9F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2661383">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6D7CE1F3">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21C204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0E6D81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14:paraId="42CA1BE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14:paraId="1A33B00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质量等级</w:t>
            </w:r>
          </w:p>
        </w:tc>
      </w:tr>
      <w:tr w14:paraId="6BEE23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23C2747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30C26B5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73E20D6F">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7976D5B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6FE87C2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5B39C68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65E975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549D15E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69DB314D">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67931EEC">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50AF41E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166BA8F9">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0CDE6FC3">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1C35CF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301E4D0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0CD1A4B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027DED1F">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7B6C6B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03E7EC7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16CC8DC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716164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2A89ECF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1CCC90C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024051D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93B20A3">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2D28771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37B10625">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3D1B45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275FF3B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57AFE78F">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5A4A0CD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488E2A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38B644F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67F4709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bl>
    <w:p w14:paraId="04EB943A">
      <w:pPr>
        <w:wordWrap w:val="0"/>
        <w:adjustRightInd w:val="0"/>
        <w:snapToGrid w:val="0"/>
        <w:spacing w:line="360" w:lineRule="auto"/>
        <w:jc w:val="center"/>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snapToGrid w:val="0"/>
          <w:color w:val="auto"/>
          <w:kern w:val="0"/>
          <w:szCs w:val="24"/>
          <w:highlight w:val="none"/>
        </w:rPr>
        <w:t>项目设计负责人简历表</w:t>
      </w:r>
    </w:p>
    <w:p w14:paraId="3506B618">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p>
    <w:p w14:paraId="0A8464B6">
      <w:pPr>
        <w:pStyle w:val="59"/>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p>
    <w:p w14:paraId="25F73BA2">
      <w:pPr>
        <w:pStyle w:val="59"/>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项目</w:t>
      </w:r>
      <w:r>
        <w:rPr>
          <w:rFonts w:hint="eastAsia" w:asciiTheme="minorEastAsia" w:hAnsiTheme="minorEastAsia" w:eastAsiaTheme="minorEastAsia" w:cstheme="minorEastAsia"/>
          <w:snapToGrid w:val="0"/>
          <w:color w:val="auto"/>
          <w:kern w:val="0"/>
          <w:sz w:val="24"/>
          <w:szCs w:val="24"/>
          <w:highlight w:val="none"/>
          <w:lang w:val="en-US" w:eastAsia="zh-CN"/>
        </w:rPr>
        <w:t>设计</w:t>
      </w:r>
      <w:r>
        <w:rPr>
          <w:rFonts w:hint="eastAsia" w:asciiTheme="minorEastAsia" w:hAnsiTheme="minorEastAsia" w:eastAsiaTheme="minorEastAsia" w:cstheme="minorEastAsia"/>
          <w:snapToGrid w:val="0"/>
          <w:color w:val="auto"/>
          <w:kern w:val="0"/>
          <w:sz w:val="24"/>
          <w:szCs w:val="24"/>
          <w:highlight w:val="none"/>
        </w:rPr>
        <w:t>负责人：</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（签字）</w:t>
      </w:r>
    </w:p>
    <w:p w14:paraId="10647B72">
      <w:pPr>
        <w:pStyle w:val="59"/>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p>
    <w:p w14:paraId="74901679">
      <w:pPr>
        <w:pStyle w:val="59"/>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 xml:space="preserve">                                                 </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年</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月</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日</w:t>
      </w:r>
    </w:p>
    <w:p w14:paraId="01884584">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p>
    <w:p w14:paraId="59F06DFC">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p>
    <w:p w14:paraId="054F7E9E">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说明：《项目设计负责人简历表》后应附拟派项目设计负责人以下资料：</w:t>
      </w:r>
    </w:p>
    <w:p w14:paraId="4B633D08">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1．身份证彩色扫描件；</w:t>
      </w:r>
    </w:p>
    <w:p w14:paraId="586E437A">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2．</w:t>
      </w:r>
      <w:r>
        <w:rPr>
          <w:rFonts w:hint="eastAsia" w:asciiTheme="minorEastAsia" w:hAnsiTheme="minorEastAsia" w:eastAsiaTheme="minorEastAsia" w:cstheme="minorEastAsia"/>
          <w:snapToGrid w:val="0"/>
          <w:color w:val="auto"/>
          <w:kern w:val="0"/>
          <w:szCs w:val="24"/>
          <w:highlight w:val="none"/>
          <w:lang w:val="en-US" w:eastAsia="zh-CN"/>
        </w:rPr>
        <w:t>注册</w:t>
      </w:r>
      <w:r>
        <w:rPr>
          <w:rFonts w:hint="eastAsia" w:asciiTheme="minorEastAsia" w:hAnsiTheme="minorEastAsia" w:eastAsiaTheme="minorEastAsia" w:cstheme="minorEastAsia"/>
          <w:snapToGrid w:val="0"/>
          <w:color w:val="auto"/>
          <w:kern w:val="0"/>
          <w:szCs w:val="24"/>
          <w:highlight w:val="none"/>
        </w:rPr>
        <w:t>证彩色扫描件；</w:t>
      </w:r>
    </w:p>
    <w:p w14:paraId="0B22D139">
      <w:pPr>
        <w:wordWrap w:val="0"/>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snapToGrid w:val="0"/>
          <w:color w:val="auto"/>
          <w:kern w:val="0"/>
          <w:szCs w:val="24"/>
          <w:highlight w:val="none"/>
        </w:rPr>
        <w:t>3．在本单位缴纳社保的证明（</w:t>
      </w:r>
      <w:r>
        <w:rPr>
          <w:rFonts w:hint="eastAsia" w:asciiTheme="minorEastAsia" w:hAnsiTheme="minorEastAsia" w:eastAsiaTheme="minorEastAsia" w:cstheme="minorEastAsia"/>
          <w:snapToGrid w:val="0"/>
          <w:color w:val="auto"/>
          <w:kern w:val="0"/>
          <w:szCs w:val="24"/>
          <w:highlight w:val="none"/>
          <w:lang w:val="en-US" w:eastAsia="zh-CN"/>
        </w:rPr>
        <w:t>至少1个月，其中必须有2026年8月</w:t>
      </w:r>
      <w:r>
        <w:rPr>
          <w:rFonts w:hint="eastAsia" w:asciiTheme="minorEastAsia" w:hAnsiTheme="minorEastAsia" w:eastAsiaTheme="minorEastAsia" w:cstheme="minorEastAsia"/>
          <w:snapToGrid w:val="0"/>
          <w:color w:val="auto"/>
          <w:kern w:val="0"/>
          <w:szCs w:val="24"/>
          <w:highlight w:val="none"/>
        </w:rPr>
        <w:t>）彩色扫描件；拟派设计负责人为退休返聘人员无法提供社保证明的，提供退休证和劳动合同彩色扫描件。</w:t>
      </w:r>
      <w:bookmarkEnd w:id="547"/>
      <w:bookmarkEnd w:id="548"/>
      <w:bookmarkEnd w:id="549"/>
      <w:bookmarkEnd w:id="550"/>
      <w:bookmarkEnd w:id="551"/>
    </w:p>
    <w:p w14:paraId="6E013105">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4．“进粤企业和人员诚信信息登记平台”个人信息情况截图。（适用于省外建筑企业）。</w:t>
      </w:r>
    </w:p>
    <w:p w14:paraId="26535B57">
      <w:pPr>
        <w:rPr>
          <w:rFonts w:hint="eastAsia" w:asciiTheme="minorEastAsia" w:hAnsiTheme="minorEastAsia" w:eastAsiaTheme="minorEastAsia" w:cstheme="minorEastAsia"/>
          <w:b/>
          <w:snapToGrid w:val="0"/>
          <w:color w:val="auto"/>
          <w:szCs w:val="24"/>
          <w:highlight w:val="none"/>
        </w:rPr>
      </w:pPr>
      <w:bookmarkStart w:id="558" w:name="_Toc10080"/>
      <w:bookmarkStart w:id="559" w:name="_Toc21154"/>
      <w:bookmarkStart w:id="560" w:name="_Toc8264"/>
      <w:r>
        <w:rPr>
          <w:rFonts w:hint="eastAsia" w:asciiTheme="minorEastAsia" w:hAnsiTheme="minorEastAsia" w:eastAsiaTheme="minorEastAsia" w:cstheme="minorEastAsia"/>
          <w:b/>
          <w:snapToGrid w:val="0"/>
          <w:color w:val="auto"/>
          <w:szCs w:val="24"/>
          <w:highlight w:val="none"/>
        </w:rPr>
        <w:br w:type="page"/>
      </w:r>
    </w:p>
    <w:p w14:paraId="5B71362B">
      <w:pPr>
        <w:wordWrap w:val="0"/>
        <w:adjustRightInd w:val="0"/>
        <w:snapToGrid w:val="0"/>
        <w:spacing w:line="360" w:lineRule="auto"/>
        <w:rPr>
          <w:rFonts w:hint="eastAsia" w:asciiTheme="minorEastAsia" w:hAnsiTheme="minorEastAsia" w:eastAsiaTheme="minorEastAsia" w:cstheme="minorEastAsia"/>
          <w:bCs/>
          <w:snapToGrid w:val="0"/>
          <w:color w:val="auto"/>
          <w:szCs w:val="24"/>
          <w:highlight w:val="none"/>
        </w:rPr>
      </w:pPr>
      <w:r>
        <w:rPr>
          <w:rFonts w:hint="eastAsia" w:asciiTheme="minorEastAsia" w:hAnsiTheme="minorEastAsia" w:eastAsiaTheme="minorEastAsia" w:cstheme="minorEastAsia"/>
          <w:b/>
          <w:snapToGrid w:val="0"/>
          <w:color w:val="auto"/>
          <w:szCs w:val="24"/>
          <w:highlight w:val="none"/>
        </w:rPr>
        <w:t>格式十</w:t>
      </w:r>
      <w:r>
        <w:rPr>
          <w:rFonts w:hint="eastAsia" w:asciiTheme="minorEastAsia" w:hAnsiTheme="minorEastAsia" w:eastAsiaTheme="minorEastAsia" w:cstheme="minorEastAsia"/>
          <w:b/>
          <w:snapToGrid w:val="0"/>
          <w:color w:val="auto"/>
          <w:szCs w:val="24"/>
          <w:highlight w:val="none"/>
          <w:lang w:val="en-US" w:eastAsia="zh-CN"/>
        </w:rPr>
        <w:t>二</w:t>
      </w:r>
      <w:r>
        <w:rPr>
          <w:rFonts w:hint="eastAsia" w:asciiTheme="minorEastAsia" w:hAnsiTheme="minorEastAsia" w:eastAsiaTheme="minorEastAsia" w:cstheme="minorEastAsia"/>
          <w:b/>
          <w:snapToGrid w:val="0"/>
          <w:color w:val="auto"/>
          <w:szCs w:val="24"/>
          <w:highlight w:val="none"/>
        </w:rPr>
        <w:t xml:space="preserve"> 项目管理机构组成表</w:t>
      </w:r>
      <w:bookmarkEnd w:id="558"/>
      <w:bookmarkEnd w:id="559"/>
    </w:p>
    <w:p w14:paraId="6AB277B4">
      <w:pPr>
        <w:wordWrap w:val="0"/>
        <w:adjustRightInd w:val="0"/>
        <w:snapToGrid w:val="0"/>
        <w:spacing w:before="260" w:after="260" w:line="360" w:lineRule="auto"/>
        <w:jc w:val="center"/>
        <w:rPr>
          <w:rFonts w:hint="eastAsia" w:asciiTheme="minorEastAsia" w:hAnsiTheme="minorEastAsia" w:eastAsiaTheme="minorEastAsia" w:cstheme="minorEastAsia"/>
          <w:b/>
          <w:snapToGrid w:val="0"/>
          <w:color w:val="auto"/>
          <w:kern w:val="0"/>
          <w:szCs w:val="24"/>
          <w:highlight w:val="none"/>
        </w:rPr>
      </w:pPr>
      <w:r>
        <w:rPr>
          <w:rFonts w:hint="eastAsia" w:asciiTheme="minorEastAsia" w:hAnsiTheme="minorEastAsia" w:eastAsiaTheme="minorEastAsia" w:cstheme="minorEastAsia"/>
          <w:b/>
          <w:snapToGrid w:val="0"/>
          <w:color w:val="auto"/>
          <w:kern w:val="0"/>
          <w:szCs w:val="24"/>
          <w:highlight w:val="none"/>
        </w:rPr>
        <w:t>项目管理机构组成表</w:t>
      </w:r>
    </w:p>
    <w:tbl>
      <w:tblPr>
        <w:tblStyle w:val="31"/>
        <w:tblW w:w="895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44"/>
        <w:gridCol w:w="1424"/>
        <w:gridCol w:w="1358"/>
        <w:gridCol w:w="902"/>
        <w:gridCol w:w="819"/>
        <w:gridCol w:w="1541"/>
        <w:gridCol w:w="2169"/>
      </w:tblGrid>
      <w:tr w14:paraId="4266FB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0" w:hRule="atLeast"/>
          <w:jc w:val="center"/>
        </w:trPr>
        <w:tc>
          <w:tcPr>
            <w:tcW w:w="744" w:type="dxa"/>
            <w:tcBorders>
              <w:top w:val="single" w:color="auto" w:sz="6" w:space="0"/>
              <w:left w:val="single" w:color="auto" w:sz="6" w:space="0"/>
              <w:bottom w:val="single" w:color="auto" w:sz="6" w:space="0"/>
              <w:right w:val="single" w:color="auto" w:sz="6" w:space="0"/>
            </w:tcBorders>
            <w:noWrap/>
            <w:vAlign w:val="center"/>
          </w:tcPr>
          <w:p w14:paraId="605DFE11">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序号</w:t>
            </w:r>
          </w:p>
        </w:tc>
        <w:tc>
          <w:tcPr>
            <w:tcW w:w="1424" w:type="dxa"/>
            <w:tcBorders>
              <w:top w:val="single" w:color="auto" w:sz="6" w:space="0"/>
              <w:left w:val="single" w:color="auto" w:sz="6" w:space="0"/>
              <w:bottom w:val="single" w:color="auto" w:sz="6" w:space="0"/>
              <w:right w:val="single" w:color="auto" w:sz="6" w:space="0"/>
            </w:tcBorders>
            <w:noWrap/>
            <w:vAlign w:val="center"/>
          </w:tcPr>
          <w:p w14:paraId="1A40264F">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职务</w:t>
            </w:r>
          </w:p>
        </w:tc>
        <w:tc>
          <w:tcPr>
            <w:tcW w:w="1358" w:type="dxa"/>
            <w:tcBorders>
              <w:top w:val="single" w:color="auto" w:sz="6" w:space="0"/>
              <w:left w:val="single" w:color="auto" w:sz="6" w:space="0"/>
              <w:bottom w:val="single" w:color="auto" w:sz="6" w:space="0"/>
              <w:right w:val="single" w:color="auto" w:sz="6" w:space="0"/>
            </w:tcBorders>
            <w:noWrap/>
            <w:vAlign w:val="center"/>
          </w:tcPr>
          <w:p w14:paraId="008A8A2D">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姓名</w:t>
            </w:r>
          </w:p>
        </w:tc>
        <w:tc>
          <w:tcPr>
            <w:tcW w:w="902" w:type="dxa"/>
            <w:tcBorders>
              <w:top w:val="single" w:color="auto" w:sz="6" w:space="0"/>
              <w:left w:val="single" w:color="auto" w:sz="6" w:space="0"/>
              <w:bottom w:val="single" w:color="auto" w:sz="6" w:space="0"/>
              <w:right w:val="single" w:color="auto" w:sz="6" w:space="0"/>
            </w:tcBorders>
            <w:noWrap/>
            <w:vAlign w:val="center"/>
          </w:tcPr>
          <w:p w14:paraId="0EA3C276">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性别</w:t>
            </w:r>
          </w:p>
        </w:tc>
        <w:tc>
          <w:tcPr>
            <w:tcW w:w="819" w:type="dxa"/>
            <w:tcBorders>
              <w:top w:val="single" w:color="auto" w:sz="6" w:space="0"/>
              <w:left w:val="single" w:color="auto" w:sz="6" w:space="0"/>
              <w:bottom w:val="single" w:color="auto" w:sz="6" w:space="0"/>
              <w:right w:val="single" w:color="auto" w:sz="6" w:space="0"/>
            </w:tcBorders>
            <w:noWrap/>
            <w:vAlign w:val="center"/>
          </w:tcPr>
          <w:p w14:paraId="16E7F366">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年龄</w:t>
            </w:r>
          </w:p>
        </w:tc>
        <w:tc>
          <w:tcPr>
            <w:tcW w:w="1541" w:type="dxa"/>
            <w:tcBorders>
              <w:top w:val="single" w:color="auto" w:sz="6" w:space="0"/>
              <w:left w:val="single" w:color="auto" w:sz="6" w:space="0"/>
              <w:bottom w:val="single" w:color="auto" w:sz="6" w:space="0"/>
              <w:right w:val="single" w:color="auto" w:sz="6" w:space="0"/>
            </w:tcBorders>
            <w:noWrap/>
            <w:vAlign w:val="center"/>
          </w:tcPr>
          <w:p w14:paraId="1AAB057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职称</w:t>
            </w:r>
          </w:p>
        </w:tc>
        <w:tc>
          <w:tcPr>
            <w:tcW w:w="2169" w:type="dxa"/>
            <w:tcBorders>
              <w:top w:val="single" w:color="auto" w:sz="6" w:space="0"/>
              <w:left w:val="single" w:color="auto" w:sz="6" w:space="0"/>
              <w:bottom w:val="single" w:color="auto" w:sz="6" w:space="0"/>
              <w:right w:val="single" w:color="auto" w:sz="6" w:space="0"/>
            </w:tcBorders>
            <w:noWrap/>
            <w:vAlign w:val="center"/>
          </w:tcPr>
          <w:p w14:paraId="6E76902F">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备注</w:t>
            </w:r>
          </w:p>
        </w:tc>
      </w:tr>
      <w:tr w14:paraId="199407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2" w:hRule="exact"/>
          <w:jc w:val="center"/>
        </w:trPr>
        <w:tc>
          <w:tcPr>
            <w:tcW w:w="744" w:type="dxa"/>
            <w:tcBorders>
              <w:top w:val="single" w:color="auto" w:sz="6" w:space="0"/>
              <w:left w:val="single" w:color="auto" w:sz="6" w:space="0"/>
              <w:right w:val="single" w:color="auto" w:sz="6" w:space="0"/>
            </w:tcBorders>
            <w:noWrap/>
            <w:vAlign w:val="center"/>
          </w:tcPr>
          <w:p w14:paraId="256C31ED">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w:t>
            </w:r>
          </w:p>
        </w:tc>
        <w:tc>
          <w:tcPr>
            <w:tcW w:w="1424" w:type="dxa"/>
            <w:tcBorders>
              <w:top w:val="single" w:color="auto" w:sz="6" w:space="0"/>
              <w:left w:val="single" w:color="auto" w:sz="6" w:space="0"/>
              <w:right w:val="single" w:color="auto" w:sz="6" w:space="0"/>
            </w:tcBorders>
            <w:noWrap/>
            <w:vAlign w:val="center"/>
          </w:tcPr>
          <w:p w14:paraId="5AA3CDFF">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项目经理</w:t>
            </w:r>
          </w:p>
        </w:tc>
        <w:tc>
          <w:tcPr>
            <w:tcW w:w="1358" w:type="dxa"/>
            <w:tcBorders>
              <w:top w:val="single" w:color="auto" w:sz="6" w:space="0"/>
              <w:left w:val="single" w:color="auto" w:sz="6" w:space="0"/>
              <w:bottom w:val="single" w:color="auto" w:sz="6" w:space="0"/>
              <w:right w:val="single" w:color="auto" w:sz="6" w:space="0"/>
            </w:tcBorders>
            <w:noWrap/>
            <w:vAlign w:val="center"/>
          </w:tcPr>
          <w:p w14:paraId="55291077">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3D46A7DC">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63F73436">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430A5225">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656F9534">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591D49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jc w:val="center"/>
        </w:trPr>
        <w:tc>
          <w:tcPr>
            <w:tcW w:w="744" w:type="dxa"/>
            <w:tcBorders>
              <w:top w:val="single" w:color="auto" w:sz="6" w:space="0"/>
              <w:left w:val="single" w:color="auto" w:sz="6" w:space="0"/>
              <w:right w:val="single" w:color="auto" w:sz="6" w:space="0"/>
            </w:tcBorders>
            <w:noWrap/>
            <w:vAlign w:val="center"/>
          </w:tcPr>
          <w:p w14:paraId="59B3CC8F">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w:t>
            </w:r>
          </w:p>
        </w:tc>
        <w:tc>
          <w:tcPr>
            <w:tcW w:w="1424" w:type="dxa"/>
            <w:tcBorders>
              <w:top w:val="single" w:color="auto" w:sz="6" w:space="0"/>
              <w:left w:val="single" w:color="auto" w:sz="6" w:space="0"/>
              <w:right w:val="single" w:color="auto" w:sz="6" w:space="0"/>
            </w:tcBorders>
            <w:noWrap/>
            <w:vAlign w:val="center"/>
          </w:tcPr>
          <w:p w14:paraId="0A21FE6A">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项目技术</w:t>
            </w:r>
          </w:p>
          <w:p w14:paraId="093217D9">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负责人</w:t>
            </w:r>
          </w:p>
        </w:tc>
        <w:tc>
          <w:tcPr>
            <w:tcW w:w="1358" w:type="dxa"/>
            <w:tcBorders>
              <w:top w:val="single" w:color="auto" w:sz="6" w:space="0"/>
              <w:left w:val="single" w:color="auto" w:sz="6" w:space="0"/>
              <w:bottom w:val="single" w:color="auto" w:sz="6" w:space="0"/>
              <w:right w:val="single" w:color="auto" w:sz="6" w:space="0"/>
            </w:tcBorders>
            <w:noWrap/>
            <w:vAlign w:val="center"/>
          </w:tcPr>
          <w:p w14:paraId="1968084D">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3CB37C2C">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64597E18">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2FD97D69">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0C8D2928">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01857D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jc w:val="center"/>
        </w:trPr>
        <w:tc>
          <w:tcPr>
            <w:tcW w:w="744" w:type="dxa"/>
            <w:tcBorders>
              <w:top w:val="single" w:color="auto" w:sz="6" w:space="0"/>
              <w:left w:val="single" w:color="auto" w:sz="6" w:space="0"/>
              <w:right w:val="single" w:color="auto" w:sz="6" w:space="0"/>
            </w:tcBorders>
            <w:noWrap/>
            <w:vAlign w:val="center"/>
          </w:tcPr>
          <w:p w14:paraId="710297AB">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w:t>
            </w:r>
          </w:p>
        </w:tc>
        <w:tc>
          <w:tcPr>
            <w:tcW w:w="1424" w:type="dxa"/>
            <w:tcBorders>
              <w:top w:val="single" w:color="auto" w:sz="6" w:space="0"/>
              <w:left w:val="single" w:color="auto" w:sz="6" w:space="0"/>
              <w:right w:val="single" w:color="auto" w:sz="6" w:space="0"/>
            </w:tcBorders>
            <w:noWrap/>
            <w:vAlign w:val="center"/>
          </w:tcPr>
          <w:p w14:paraId="2AC5FBA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项目设计</w:t>
            </w:r>
          </w:p>
          <w:p w14:paraId="32940810">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负责人</w:t>
            </w:r>
          </w:p>
        </w:tc>
        <w:tc>
          <w:tcPr>
            <w:tcW w:w="1358" w:type="dxa"/>
            <w:tcBorders>
              <w:top w:val="single" w:color="auto" w:sz="6" w:space="0"/>
              <w:left w:val="single" w:color="auto" w:sz="6" w:space="0"/>
              <w:bottom w:val="single" w:color="auto" w:sz="6" w:space="0"/>
              <w:right w:val="single" w:color="auto" w:sz="6" w:space="0"/>
            </w:tcBorders>
            <w:noWrap/>
            <w:vAlign w:val="center"/>
          </w:tcPr>
          <w:p w14:paraId="721184FD">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4FC7128D">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649E38B6">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543D8F2C">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681A5423">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106483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jc w:val="center"/>
        </w:trPr>
        <w:tc>
          <w:tcPr>
            <w:tcW w:w="744" w:type="dxa"/>
            <w:tcBorders>
              <w:top w:val="single" w:color="auto" w:sz="6" w:space="0"/>
              <w:left w:val="single" w:color="auto" w:sz="6" w:space="0"/>
              <w:right w:val="single" w:color="auto" w:sz="6" w:space="0"/>
            </w:tcBorders>
            <w:shd w:val="clear" w:color="auto" w:fill="auto"/>
            <w:noWrap/>
            <w:vAlign w:val="center"/>
          </w:tcPr>
          <w:p w14:paraId="74A2DAB5">
            <w:pPr>
              <w:wordWrap w:val="0"/>
              <w:adjustRightInd w:val="0"/>
              <w:snapToGrid w:val="0"/>
              <w:spacing w:line="240" w:lineRule="auto"/>
              <w:ind w:firstLine="360" w:firstLineChars="150"/>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5</w:t>
            </w:r>
          </w:p>
        </w:tc>
        <w:tc>
          <w:tcPr>
            <w:tcW w:w="1424" w:type="dxa"/>
            <w:tcBorders>
              <w:top w:val="single" w:color="auto" w:sz="6" w:space="0"/>
              <w:left w:val="single" w:color="auto" w:sz="6" w:space="0"/>
              <w:right w:val="single" w:color="auto" w:sz="6" w:space="0"/>
            </w:tcBorders>
            <w:shd w:val="clear" w:color="auto" w:fill="auto"/>
            <w:noWrap/>
            <w:vAlign w:val="center"/>
          </w:tcPr>
          <w:p w14:paraId="4B4668B3">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专职安全员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59E32A9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5288FC75">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10DFD191">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23C29899">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3CA0A07C">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5B40E2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3" w:hRule="exact"/>
          <w:jc w:val="center"/>
        </w:trPr>
        <w:tc>
          <w:tcPr>
            <w:tcW w:w="744" w:type="dxa"/>
            <w:tcBorders>
              <w:top w:val="single" w:color="auto" w:sz="6" w:space="0"/>
              <w:left w:val="single" w:color="auto" w:sz="6" w:space="0"/>
              <w:right w:val="single" w:color="auto" w:sz="6" w:space="0"/>
            </w:tcBorders>
            <w:shd w:val="clear" w:color="auto" w:fill="auto"/>
            <w:noWrap/>
            <w:vAlign w:val="center"/>
          </w:tcPr>
          <w:p w14:paraId="0E90B66B">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6</w:t>
            </w:r>
          </w:p>
        </w:tc>
        <w:tc>
          <w:tcPr>
            <w:tcW w:w="142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0A1A83F">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施工员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47A6AEF6">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0E0D2892">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4A77DE28">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654A6BD8">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1BA08220">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70793E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jc w:val="center"/>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65709FC">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7</w:t>
            </w:r>
          </w:p>
        </w:tc>
        <w:tc>
          <w:tcPr>
            <w:tcW w:w="142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0A1CB3C">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质量员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42AD16D9">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4F5043C3">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09765712">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67081307">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5D2D9B49">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6F5BF8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jc w:val="center"/>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C19DB79">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8</w:t>
            </w:r>
          </w:p>
        </w:tc>
        <w:tc>
          <w:tcPr>
            <w:tcW w:w="142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E33F5D1">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材料员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34FA99D6">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7957E63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6FE400DB">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21BB1A0B">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581F0715">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091D08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jc w:val="center"/>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404A19C">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9</w:t>
            </w:r>
          </w:p>
        </w:tc>
        <w:tc>
          <w:tcPr>
            <w:tcW w:w="142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A32E8C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资料员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474891E5">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4C08C0D1">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7F2EA53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429BF67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3109CBA3">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4E4F6A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jc w:val="center"/>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30E99B9">
            <w:pPr>
              <w:wordWrap w:val="0"/>
              <w:adjustRightInd w:val="0"/>
              <w:snapToGrid w:val="0"/>
              <w:spacing w:line="240" w:lineRule="auto"/>
              <w:jc w:val="center"/>
              <w:rPr>
                <w:rFonts w:hint="default" w:asciiTheme="minorEastAsia" w:hAnsiTheme="minorEastAsia" w:eastAsiaTheme="minorEastAsia" w:cstheme="minorEastAsia"/>
                <w:snapToGrid w:val="0"/>
                <w:color w:val="auto"/>
                <w:kern w:val="0"/>
                <w:sz w:val="24"/>
                <w:szCs w:val="24"/>
                <w:highlight w:val="none"/>
                <w:lang w:val="en-US" w:eastAsia="zh-CN" w:bidi="ar-SA"/>
              </w:rPr>
            </w:pPr>
          </w:p>
        </w:tc>
        <w:tc>
          <w:tcPr>
            <w:tcW w:w="1424" w:type="dxa"/>
            <w:tcBorders>
              <w:top w:val="single" w:color="auto" w:sz="6" w:space="0"/>
              <w:left w:val="single" w:color="auto" w:sz="6" w:space="0"/>
              <w:bottom w:val="single" w:color="auto" w:sz="6" w:space="0"/>
              <w:right w:val="single" w:color="auto" w:sz="6" w:space="0"/>
            </w:tcBorders>
            <w:noWrap/>
            <w:vAlign w:val="center"/>
          </w:tcPr>
          <w:p w14:paraId="3CDC75F9">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p>
        </w:tc>
        <w:tc>
          <w:tcPr>
            <w:tcW w:w="1358" w:type="dxa"/>
            <w:tcBorders>
              <w:top w:val="single" w:color="auto" w:sz="6" w:space="0"/>
              <w:left w:val="single" w:color="auto" w:sz="6" w:space="0"/>
              <w:bottom w:val="single" w:color="auto" w:sz="6" w:space="0"/>
              <w:right w:val="single" w:color="auto" w:sz="6" w:space="0"/>
            </w:tcBorders>
            <w:noWrap/>
            <w:vAlign w:val="center"/>
          </w:tcPr>
          <w:p w14:paraId="001F7A4A">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01C3B98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06626CA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41754093">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2CAE6B74">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38F693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26" w:hRule="exact"/>
          <w:jc w:val="center"/>
        </w:trPr>
        <w:tc>
          <w:tcPr>
            <w:tcW w:w="744" w:type="dxa"/>
            <w:tcBorders>
              <w:top w:val="single" w:color="auto" w:sz="6" w:space="0"/>
              <w:left w:val="single" w:color="auto" w:sz="6" w:space="0"/>
              <w:bottom w:val="single" w:color="auto" w:sz="6" w:space="0"/>
              <w:right w:val="single" w:color="auto" w:sz="6" w:space="0"/>
            </w:tcBorders>
            <w:noWrap/>
            <w:vAlign w:val="center"/>
          </w:tcPr>
          <w:p w14:paraId="3E5DA711">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424" w:type="dxa"/>
            <w:tcBorders>
              <w:top w:val="single" w:color="auto" w:sz="6" w:space="0"/>
              <w:left w:val="single" w:color="auto" w:sz="6" w:space="0"/>
              <w:bottom w:val="single" w:color="auto" w:sz="6" w:space="0"/>
              <w:right w:val="single" w:color="auto" w:sz="6" w:space="0"/>
            </w:tcBorders>
            <w:noWrap/>
            <w:vAlign w:val="center"/>
          </w:tcPr>
          <w:p w14:paraId="5B4D2DB4">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p>
        </w:tc>
        <w:tc>
          <w:tcPr>
            <w:tcW w:w="1358" w:type="dxa"/>
            <w:tcBorders>
              <w:top w:val="single" w:color="auto" w:sz="6" w:space="0"/>
              <w:left w:val="single" w:color="auto" w:sz="6" w:space="0"/>
              <w:bottom w:val="single" w:color="auto" w:sz="6" w:space="0"/>
              <w:right w:val="single" w:color="auto" w:sz="6" w:space="0"/>
            </w:tcBorders>
            <w:noWrap/>
            <w:vAlign w:val="center"/>
          </w:tcPr>
          <w:p w14:paraId="4CFE553B">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0917E9B8">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7E9B9D47">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11A0BCD2">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68EA27DF">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bookmarkEnd w:id="560"/>
    </w:tbl>
    <w:p w14:paraId="43421B85">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bookmarkStart w:id="561" w:name="_Toc25577"/>
      <w:bookmarkStart w:id="562" w:name="_Toc8648"/>
      <w:bookmarkStart w:id="563" w:name="_Toc36804690"/>
    </w:p>
    <w:p w14:paraId="24A36270">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说明：</w:t>
      </w:r>
    </w:p>
    <w:p w14:paraId="66447872">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1．《项目管理机构组成表》后应附表中拟派人员（项目经理、项目技术负责人、项目设计负责人除外）以下资料：</w:t>
      </w:r>
    </w:p>
    <w:p w14:paraId="772B27CA">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（1）身份证证彩色扫描件；</w:t>
      </w:r>
    </w:p>
    <w:p w14:paraId="1944BBE8">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（2）职称证或岗位证或培训证</w:t>
      </w:r>
      <w:r>
        <w:rPr>
          <w:rFonts w:hint="eastAsia" w:asciiTheme="minorEastAsia" w:hAnsiTheme="minorEastAsia" w:eastAsiaTheme="minorEastAsia" w:cstheme="minorEastAsia"/>
          <w:snapToGrid w:val="0"/>
          <w:color w:val="auto"/>
          <w:kern w:val="0"/>
          <w:szCs w:val="24"/>
          <w:highlight w:val="none"/>
          <w:lang w:val="en-US" w:eastAsia="zh-CN"/>
        </w:rPr>
        <w:t>或执业证书</w:t>
      </w:r>
      <w:r>
        <w:rPr>
          <w:rFonts w:hint="eastAsia" w:asciiTheme="minorEastAsia" w:hAnsiTheme="minorEastAsia" w:eastAsiaTheme="minorEastAsia" w:cstheme="minorEastAsia"/>
          <w:snapToGrid w:val="0"/>
          <w:color w:val="auto"/>
          <w:kern w:val="0"/>
          <w:szCs w:val="24"/>
          <w:highlight w:val="none"/>
        </w:rPr>
        <w:t>彩色扫描件；</w:t>
      </w:r>
    </w:p>
    <w:p w14:paraId="076B6F6A">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（3）专职安全员须提供C类安全生产考核合格证书证彩色扫描件或“广东省建筑施工企业管理人员安全生产考核系统”考核合格信息打印页；</w:t>
      </w:r>
    </w:p>
    <w:p w14:paraId="2CA76E52">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（4）在本单位缴纳社保的证明（</w:t>
      </w:r>
      <w:r>
        <w:rPr>
          <w:rFonts w:hint="eastAsia" w:asciiTheme="minorEastAsia" w:hAnsiTheme="minorEastAsia" w:eastAsiaTheme="minorEastAsia" w:cstheme="minorEastAsia"/>
          <w:snapToGrid w:val="0"/>
          <w:color w:val="auto"/>
          <w:kern w:val="0"/>
          <w:szCs w:val="24"/>
          <w:highlight w:val="none"/>
          <w:lang w:val="en-US" w:eastAsia="zh-CN"/>
        </w:rPr>
        <w:t>至少1个月，其中必须有2026年8月</w:t>
      </w:r>
      <w:r>
        <w:rPr>
          <w:rFonts w:hint="eastAsia" w:asciiTheme="minorEastAsia" w:hAnsiTheme="minorEastAsia" w:eastAsiaTheme="minorEastAsia" w:cstheme="minorEastAsia"/>
          <w:snapToGrid w:val="0"/>
          <w:color w:val="auto"/>
          <w:kern w:val="0"/>
          <w:szCs w:val="24"/>
          <w:highlight w:val="none"/>
        </w:rPr>
        <w:t>）彩色扫描件；拟派人员为退休返聘人员无法提供社保证明的，提供退休证和劳动合同彩色扫描件；</w:t>
      </w:r>
    </w:p>
    <w:p w14:paraId="0714650D">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（5）“进粤企业和人员诚信信息登记平台”个人信息情况截图。（适用于省外建筑企业）。</w:t>
      </w:r>
    </w:p>
    <w:p w14:paraId="7D66C205">
      <w:pPr>
        <w:wordWrap w:val="0"/>
        <w:adjustRightInd w:val="0"/>
        <w:snapToGrid w:val="0"/>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snapToGrid w:val="0"/>
          <w:color w:val="auto"/>
          <w:kern w:val="0"/>
          <w:szCs w:val="24"/>
          <w:highlight w:val="none"/>
        </w:rPr>
        <w:t xml:space="preserve">    2．联合体投标的，《项目管理机构组成表》应包括联合体成员单位参与项目管理机构的人员，并提供以上所需资料。</w:t>
      </w:r>
    </w:p>
    <w:p w14:paraId="32BAE323">
      <w:pPr>
        <w:spacing w:before="136" w:line="360" w:lineRule="auto"/>
        <w:outlineLvl w:val="9"/>
        <w:rPr>
          <w:rFonts w:hint="eastAsia" w:asciiTheme="minorEastAsia" w:hAnsiTheme="minorEastAsia" w:eastAsiaTheme="minorEastAsia" w:cstheme="minorEastAsia"/>
          <w:b/>
          <w:bCs/>
          <w:color w:val="auto"/>
          <w:szCs w:val="24"/>
          <w:highlight w:val="none"/>
        </w:rPr>
      </w:pPr>
    </w:p>
    <w:p w14:paraId="1BC61B8E">
      <w:pPr>
        <w:pStyle w:val="11"/>
        <w:spacing w:before="136" w:line="360" w:lineRule="auto"/>
        <w:rPr>
          <w:rFonts w:hint="eastAsia" w:asciiTheme="minorEastAsia" w:hAnsiTheme="minorEastAsia" w:eastAsiaTheme="minorEastAsia" w:cstheme="minorEastAsia"/>
          <w:b/>
          <w:bCs/>
          <w:color w:val="auto"/>
          <w:szCs w:val="24"/>
          <w:highlight w:val="none"/>
        </w:rPr>
      </w:pPr>
      <w:bookmarkStart w:id="564" w:name="_Toc23478"/>
      <w:bookmarkStart w:id="565" w:name="_Toc193"/>
      <w:r>
        <w:rPr>
          <w:rFonts w:hint="eastAsia" w:asciiTheme="minorEastAsia" w:hAnsiTheme="minorEastAsia" w:eastAsiaTheme="minorEastAsia" w:cstheme="minorEastAsia"/>
          <w:b/>
          <w:bCs/>
          <w:color w:val="auto"/>
          <w:szCs w:val="24"/>
          <w:highlight w:val="none"/>
        </w:rPr>
        <w:t>格式十</w:t>
      </w:r>
      <w:r>
        <w:rPr>
          <w:rFonts w:hint="eastAsia" w:asciiTheme="minorEastAsia" w:hAnsiTheme="minorEastAsia" w:eastAsiaTheme="minorEastAsia" w:cstheme="minorEastAsia"/>
          <w:b/>
          <w:bCs/>
          <w:color w:val="auto"/>
          <w:szCs w:val="24"/>
          <w:highlight w:val="none"/>
          <w:lang w:val="en-US" w:eastAsia="zh-CN"/>
        </w:rPr>
        <w:t>三</w:t>
      </w:r>
      <w:r>
        <w:rPr>
          <w:rFonts w:hint="eastAsia" w:asciiTheme="minorEastAsia" w:hAnsiTheme="minorEastAsia" w:eastAsiaTheme="minorEastAsia" w:cstheme="minorEastAsia"/>
          <w:b/>
          <w:bCs/>
          <w:color w:val="auto"/>
          <w:szCs w:val="24"/>
          <w:highlight w:val="none"/>
        </w:rPr>
        <w:t xml:space="preserve"> 原件一览表</w:t>
      </w:r>
      <w:bookmarkEnd w:id="564"/>
      <w:bookmarkEnd w:id="565"/>
    </w:p>
    <w:p w14:paraId="483AC83E">
      <w:pPr>
        <w:spacing w:line="360" w:lineRule="auto"/>
        <w:contextualSpacing/>
        <w:jc w:val="left"/>
        <w:rPr>
          <w:rFonts w:hint="eastAsia" w:asciiTheme="minorEastAsia" w:hAnsiTheme="minorEastAsia" w:eastAsiaTheme="minorEastAsia" w:cstheme="minorEastAsia"/>
          <w:color w:val="auto"/>
          <w:szCs w:val="24"/>
          <w:highlight w:val="none"/>
        </w:rPr>
      </w:pPr>
    </w:p>
    <w:tbl>
      <w:tblPr>
        <w:tblStyle w:val="31"/>
        <w:tblpPr w:leftFromText="180" w:rightFromText="180" w:vertAnchor="text" w:horzAnchor="page" w:tblpX="1664" w:tblpY="4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00"/>
        <w:gridCol w:w="1505"/>
        <w:gridCol w:w="623"/>
        <w:gridCol w:w="1369"/>
        <w:gridCol w:w="1623"/>
        <w:gridCol w:w="753"/>
        <w:gridCol w:w="957"/>
        <w:gridCol w:w="1570"/>
      </w:tblGrid>
      <w:tr w14:paraId="133A3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9100" w:type="dxa"/>
            <w:gridSpan w:val="8"/>
            <w:noWrap/>
            <w:tcMar>
              <w:left w:w="108" w:type="dxa"/>
              <w:right w:w="108" w:type="dxa"/>
            </w:tcMar>
            <w:vAlign w:val="center"/>
          </w:tcPr>
          <w:p w14:paraId="7A1E61B3">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color w:val="auto"/>
                <w:szCs w:val="24"/>
                <w:highlight w:val="none"/>
              </w:rPr>
              <w:t>原件一览表</w:t>
            </w:r>
          </w:p>
        </w:tc>
      </w:tr>
      <w:tr w14:paraId="11C1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noWrap/>
            <w:tcMar>
              <w:left w:w="108" w:type="dxa"/>
              <w:right w:w="108" w:type="dxa"/>
            </w:tcMar>
            <w:vAlign w:val="center"/>
          </w:tcPr>
          <w:p w14:paraId="6AA55428">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工程名称</w:t>
            </w:r>
          </w:p>
        </w:tc>
        <w:tc>
          <w:tcPr>
            <w:tcW w:w="6272" w:type="dxa"/>
            <w:gridSpan w:val="5"/>
            <w:noWrap/>
            <w:tcMar>
              <w:left w:w="108" w:type="dxa"/>
              <w:right w:w="108" w:type="dxa"/>
            </w:tcMar>
            <w:vAlign w:val="center"/>
          </w:tcPr>
          <w:p w14:paraId="6B407179">
            <w:pPr>
              <w:spacing w:line="360" w:lineRule="auto"/>
              <w:jc w:val="center"/>
              <w:rPr>
                <w:rFonts w:hint="eastAsia" w:asciiTheme="minorEastAsia" w:hAnsiTheme="minorEastAsia" w:eastAsiaTheme="minorEastAsia" w:cstheme="minorEastAsia"/>
                <w:color w:val="auto"/>
                <w:szCs w:val="24"/>
                <w:highlight w:val="none"/>
              </w:rPr>
            </w:pPr>
          </w:p>
        </w:tc>
      </w:tr>
      <w:tr w14:paraId="6E9E8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noWrap/>
            <w:tcMar>
              <w:left w:w="108" w:type="dxa"/>
              <w:right w:w="108" w:type="dxa"/>
            </w:tcMar>
            <w:vAlign w:val="center"/>
          </w:tcPr>
          <w:p w14:paraId="388CAC08">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投标人名称                （请务必填写单位全称）</w:t>
            </w:r>
          </w:p>
        </w:tc>
        <w:tc>
          <w:tcPr>
            <w:tcW w:w="6272" w:type="dxa"/>
            <w:gridSpan w:val="5"/>
            <w:noWrap/>
            <w:tcMar>
              <w:left w:w="108" w:type="dxa"/>
              <w:right w:w="108" w:type="dxa"/>
            </w:tcMar>
            <w:vAlign w:val="center"/>
          </w:tcPr>
          <w:p w14:paraId="31AA0441">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w:t>
            </w:r>
          </w:p>
        </w:tc>
      </w:tr>
      <w:tr w14:paraId="4D25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noWrap/>
            <w:tcMar>
              <w:left w:w="108" w:type="dxa"/>
              <w:right w:w="108" w:type="dxa"/>
            </w:tcMar>
            <w:vAlign w:val="center"/>
          </w:tcPr>
          <w:p w14:paraId="051B511F">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投标人法定代表人或其</w:t>
            </w:r>
          </w:p>
          <w:p w14:paraId="1B2DB12B">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委托代理人签名</w:t>
            </w:r>
          </w:p>
        </w:tc>
        <w:tc>
          <w:tcPr>
            <w:tcW w:w="2992" w:type="dxa"/>
            <w:gridSpan w:val="2"/>
            <w:noWrap/>
            <w:tcMar>
              <w:left w:w="108" w:type="dxa"/>
              <w:right w:w="108" w:type="dxa"/>
            </w:tcMar>
            <w:vAlign w:val="center"/>
          </w:tcPr>
          <w:p w14:paraId="5DF9AB83">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w:t>
            </w:r>
          </w:p>
        </w:tc>
        <w:tc>
          <w:tcPr>
            <w:tcW w:w="753" w:type="dxa"/>
            <w:noWrap/>
            <w:tcMar>
              <w:left w:w="108" w:type="dxa"/>
              <w:right w:w="108" w:type="dxa"/>
            </w:tcMar>
            <w:vAlign w:val="center"/>
          </w:tcPr>
          <w:p w14:paraId="5064241D">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手机号码</w:t>
            </w:r>
          </w:p>
        </w:tc>
        <w:tc>
          <w:tcPr>
            <w:tcW w:w="2527" w:type="dxa"/>
            <w:gridSpan w:val="2"/>
            <w:noWrap/>
            <w:tcMar>
              <w:left w:w="108" w:type="dxa"/>
              <w:right w:w="108" w:type="dxa"/>
            </w:tcMar>
            <w:vAlign w:val="center"/>
          </w:tcPr>
          <w:p w14:paraId="17F4AE20">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w:t>
            </w:r>
          </w:p>
        </w:tc>
      </w:tr>
      <w:tr w14:paraId="5483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9100" w:type="dxa"/>
            <w:gridSpan w:val="8"/>
            <w:noWrap/>
            <w:tcMar>
              <w:left w:w="108" w:type="dxa"/>
              <w:right w:w="108" w:type="dxa"/>
            </w:tcMar>
            <w:vAlign w:val="center"/>
          </w:tcPr>
          <w:p w14:paraId="24B99115">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递交的证明材料原件如下：</w:t>
            </w:r>
          </w:p>
        </w:tc>
      </w:tr>
      <w:tr w14:paraId="2C9B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noWrap/>
            <w:tcMar>
              <w:left w:w="108" w:type="dxa"/>
              <w:right w:w="108" w:type="dxa"/>
            </w:tcMar>
            <w:vAlign w:val="center"/>
          </w:tcPr>
          <w:p w14:paraId="577EA55C">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序号</w:t>
            </w:r>
          </w:p>
        </w:tc>
        <w:tc>
          <w:tcPr>
            <w:tcW w:w="5120" w:type="dxa"/>
            <w:gridSpan w:val="4"/>
            <w:noWrap/>
            <w:tcMar>
              <w:left w:w="108" w:type="dxa"/>
              <w:right w:w="108" w:type="dxa"/>
            </w:tcMar>
            <w:vAlign w:val="center"/>
          </w:tcPr>
          <w:p w14:paraId="59AC2125">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证明材料原件名称</w:t>
            </w:r>
          </w:p>
        </w:tc>
        <w:tc>
          <w:tcPr>
            <w:tcW w:w="1710" w:type="dxa"/>
            <w:gridSpan w:val="2"/>
            <w:noWrap/>
            <w:tcMar>
              <w:left w:w="108" w:type="dxa"/>
              <w:right w:w="108" w:type="dxa"/>
            </w:tcMar>
            <w:vAlign w:val="center"/>
          </w:tcPr>
          <w:p w14:paraId="68DB2E0F">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单位</w:t>
            </w:r>
          </w:p>
        </w:tc>
        <w:tc>
          <w:tcPr>
            <w:tcW w:w="1570" w:type="dxa"/>
            <w:noWrap/>
            <w:tcMar>
              <w:left w:w="108" w:type="dxa"/>
              <w:right w:w="108" w:type="dxa"/>
            </w:tcMar>
            <w:vAlign w:val="center"/>
          </w:tcPr>
          <w:p w14:paraId="09C2EA9A">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数量</w:t>
            </w:r>
          </w:p>
        </w:tc>
      </w:tr>
      <w:tr w14:paraId="7B13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noWrap/>
            <w:tcMar>
              <w:left w:w="108" w:type="dxa"/>
              <w:right w:w="108" w:type="dxa"/>
            </w:tcMar>
            <w:vAlign w:val="center"/>
          </w:tcPr>
          <w:p w14:paraId="6CE9AF06">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p>
        </w:tc>
        <w:tc>
          <w:tcPr>
            <w:tcW w:w="5120" w:type="dxa"/>
            <w:gridSpan w:val="4"/>
            <w:noWrap/>
            <w:tcMar>
              <w:left w:w="108" w:type="dxa"/>
              <w:right w:w="108" w:type="dxa"/>
            </w:tcMar>
            <w:vAlign w:val="center"/>
          </w:tcPr>
          <w:p w14:paraId="6AA9A8AA">
            <w:pPr>
              <w:spacing w:line="360" w:lineRule="auto"/>
              <w:jc w:val="center"/>
              <w:rPr>
                <w:rFonts w:hint="eastAsia" w:asciiTheme="minorEastAsia" w:hAnsiTheme="minorEastAsia" w:eastAsiaTheme="minorEastAsia" w:cstheme="minorEastAsia"/>
                <w:color w:val="auto"/>
                <w:szCs w:val="24"/>
                <w:highlight w:val="none"/>
              </w:rPr>
            </w:pPr>
          </w:p>
        </w:tc>
        <w:tc>
          <w:tcPr>
            <w:tcW w:w="1710" w:type="dxa"/>
            <w:gridSpan w:val="2"/>
            <w:noWrap/>
            <w:tcMar>
              <w:left w:w="108" w:type="dxa"/>
              <w:right w:w="108" w:type="dxa"/>
            </w:tcMar>
            <w:vAlign w:val="center"/>
          </w:tcPr>
          <w:p w14:paraId="551C0982">
            <w:pPr>
              <w:spacing w:line="360" w:lineRule="auto"/>
              <w:jc w:val="center"/>
              <w:rPr>
                <w:rFonts w:hint="eastAsia" w:asciiTheme="minorEastAsia" w:hAnsiTheme="minorEastAsia" w:eastAsiaTheme="minorEastAsia" w:cstheme="minorEastAsia"/>
                <w:color w:val="auto"/>
                <w:szCs w:val="24"/>
                <w:highlight w:val="none"/>
              </w:rPr>
            </w:pPr>
          </w:p>
        </w:tc>
        <w:tc>
          <w:tcPr>
            <w:tcW w:w="1570" w:type="dxa"/>
            <w:noWrap/>
            <w:tcMar>
              <w:left w:w="108" w:type="dxa"/>
              <w:right w:w="108" w:type="dxa"/>
            </w:tcMar>
            <w:vAlign w:val="center"/>
          </w:tcPr>
          <w:p w14:paraId="6592B393">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w:t>
            </w:r>
          </w:p>
        </w:tc>
      </w:tr>
      <w:tr w14:paraId="5A239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noWrap/>
            <w:tcMar>
              <w:left w:w="108" w:type="dxa"/>
              <w:right w:w="108" w:type="dxa"/>
            </w:tcMar>
            <w:vAlign w:val="center"/>
          </w:tcPr>
          <w:p w14:paraId="3C983A57">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w:t>
            </w:r>
          </w:p>
        </w:tc>
        <w:tc>
          <w:tcPr>
            <w:tcW w:w="5120" w:type="dxa"/>
            <w:gridSpan w:val="4"/>
            <w:noWrap/>
            <w:tcMar>
              <w:left w:w="108" w:type="dxa"/>
              <w:right w:w="108" w:type="dxa"/>
            </w:tcMar>
            <w:vAlign w:val="center"/>
          </w:tcPr>
          <w:p w14:paraId="3F676136">
            <w:pPr>
              <w:spacing w:line="360" w:lineRule="auto"/>
              <w:jc w:val="center"/>
              <w:rPr>
                <w:rFonts w:hint="eastAsia" w:asciiTheme="minorEastAsia" w:hAnsiTheme="minorEastAsia" w:eastAsiaTheme="minorEastAsia" w:cstheme="minorEastAsia"/>
                <w:color w:val="auto"/>
                <w:szCs w:val="24"/>
                <w:highlight w:val="none"/>
              </w:rPr>
            </w:pPr>
          </w:p>
        </w:tc>
        <w:tc>
          <w:tcPr>
            <w:tcW w:w="1710" w:type="dxa"/>
            <w:gridSpan w:val="2"/>
            <w:noWrap/>
            <w:tcMar>
              <w:left w:w="108" w:type="dxa"/>
              <w:right w:w="108" w:type="dxa"/>
            </w:tcMar>
            <w:vAlign w:val="center"/>
          </w:tcPr>
          <w:p w14:paraId="6D6CEDA0">
            <w:pPr>
              <w:spacing w:line="360" w:lineRule="auto"/>
              <w:jc w:val="center"/>
              <w:rPr>
                <w:rFonts w:hint="eastAsia" w:asciiTheme="minorEastAsia" w:hAnsiTheme="minorEastAsia" w:eastAsiaTheme="minorEastAsia" w:cstheme="minorEastAsia"/>
                <w:color w:val="auto"/>
                <w:szCs w:val="24"/>
                <w:highlight w:val="none"/>
              </w:rPr>
            </w:pPr>
          </w:p>
        </w:tc>
        <w:tc>
          <w:tcPr>
            <w:tcW w:w="1570" w:type="dxa"/>
            <w:noWrap/>
            <w:tcMar>
              <w:left w:w="108" w:type="dxa"/>
              <w:right w:w="108" w:type="dxa"/>
            </w:tcMar>
            <w:vAlign w:val="center"/>
          </w:tcPr>
          <w:p w14:paraId="2DD7533B">
            <w:pPr>
              <w:spacing w:line="360" w:lineRule="auto"/>
              <w:jc w:val="center"/>
              <w:rPr>
                <w:rFonts w:hint="eastAsia" w:asciiTheme="minorEastAsia" w:hAnsiTheme="minorEastAsia" w:eastAsiaTheme="minorEastAsia" w:cstheme="minorEastAsia"/>
                <w:color w:val="auto"/>
                <w:szCs w:val="24"/>
                <w:highlight w:val="none"/>
              </w:rPr>
            </w:pPr>
          </w:p>
        </w:tc>
      </w:tr>
      <w:tr w14:paraId="1D9C6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noWrap/>
            <w:tcMar>
              <w:left w:w="108" w:type="dxa"/>
              <w:right w:w="108" w:type="dxa"/>
            </w:tcMar>
            <w:vAlign w:val="center"/>
          </w:tcPr>
          <w:p w14:paraId="1DAC6AE3">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w:t>
            </w:r>
          </w:p>
        </w:tc>
        <w:tc>
          <w:tcPr>
            <w:tcW w:w="5120" w:type="dxa"/>
            <w:gridSpan w:val="4"/>
            <w:noWrap/>
            <w:tcMar>
              <w:left w:w="108" w:type="dxa"/>
              <w:right w:w="108" w:type="dxa"/>
            </w:tcMar>
            <w:vAlign w:val="center"/>
          </w:tcPr>
          <w:p w14:paraId="44D0A20E">
            <w:pPr>
              <w:spacing w:line="360" w:lineRule="auto"/>
              <w:jc w:val="center"/>
              <w:rPr>
                <w:rFonts w:hint="eastAsia" w:asciiTheme="minorEastAsia" w:hAnsiTheme="minorEastAsia" w:eastAsiaTheme="minorEastAsia" w:cstheme="minorEastAsia"/>
                <w:color w:val="auto"/>
                <w:szCs w:val="24"/>
                <w:highlight w:val="none"/>
              </w:rPr>
            </w:pPr>
          </w:p>
        </w:tc>
        <w:tc>
          <w:tcPr>
            <w:tcW w:w="1710" w:type="dxa"/>
            <w:gridSpan w:val="2"/>
            <w:noWrap/>
            <w:tcMar>
              <w:left w:w="108" w:type="dxa"/>
              <w:right w:w="108" w:type="dxa"/>
            </w:tcMar>
            <w:vAlign w:val="center"/>
          </w:tcPr>
          <w:p w14:paraId="3488AB50">
            <w:pPr>
              <w:spacing w:line="360" w:lineRule="auto"/>
              <w:jc w:val="center"/>
              <w:rPr>
                <w:rFonts w:hint="eastAsia" w:asciiTheme="minorEastAsia" w:hAnsiTheme="minorEastAsia" w:eastAsiaTheme="minorEastAsia" w:cstheme="minorEastAsia"/>
                <w:color w:val="auto"/>
                <w:szCs w:val="24"/>
                <w:highlight w:val="none"/>
              </w:rPr>
            </w:pPr>
          </w:p>
        </w:tc>
        <w:tc>
          <w:tcPr>
            <w:tcW w:w="1570" w:type="dxa"/>
            <w:noWrap/>
            <w:tcMar>
              <w:left w:w="108" w:type="dxa"/>
              <w:right w:w="108" w:type="dxa"/>
            </w:tcMar>
            <w:vAlign w:val="center"/>
          </w:tcPr>
          <w:p w14:paraId="7C087D9E">
            <w:pPr>
              <w:spacing w:line="360" w:lineRule="auto"/>
              <w:jc w:val="center"/>
              <w:rPr>
                <w:rFonts w:hint="eastAsia" w:asciiTheme="minorEastAsia" w:hAnsiTheme="minorEastAsia" w:eastAsiaTheme="minorEastAsia" w:cstheme="minorEastAsia"/>
                <w:color w:val="auto"/>
                <w:szCs w:val="24"/>
                <w:highlight w:val="none"/>
              </w:rPr>
            </w:pPr>
          </w:p>
        </w:tc>
      </w:tr>
      <w:tr w14:paraId="2CAE0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noWrap/>
            <w:tcMar>
              <w:left w:w="108" w:type="dxa"/>
              <w:right w:w="108" w:type="dxa"/>
            </w:tcMar>
            <w:vAlign w:val="center"/>
          </w:tcPr>
          <w:p w14:paraId="64F799F4">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w:t>
            </w:r>
          </w:p>
        </w:tc>
        <w:tc>
          <w:tcPr>
            <w:tcW w:w="5120" w:type="dxa"/>
            <w:gridSpan w:val="4"/>
            <w:noWrap/>
            <w:tcMar>
              <w:left w:w="108" w:type="dxa"/>
              <w:right w:w="108" w:type="dxa"/>
            </w:tcMar>
            <w:vAlign w:val="center"/>
          </w:tcPr>
          <w:p w14:paraId="1659CA85">
            <w:pPr>
              <w:spacing w:line="360" w:lineRule="auto"/>
              <w:jc w:val="center"/>
              <w:rPr>
                <w:rFonts w:hint="eastAsia" w:asciiTheme="minorEastAsia" w:hAnsiTheme="minorEastAsia" w:eastAsiaTheme="minorEastAsia" w:cstheme="minorEastAsia"/>
                <w:color w:val="auto"/>
                <w:szCs w:val="24"/>
                <w:highlight w:val="none"/>
              </w:rPr>
            </w:pPr>
          </w:p>
        </w:tc>
        <w:tc>
          <w:tcPr>
            <w:tcW w:w="1710" w:type="dxa"/>
            <w:gridSpan w:val="2"/>
            <w:noWrap/>
            <w:tcMar>
              <w:left w:w="108" w:type="dxa"/>
              <w:right w:w="108" w:type="dxa"/>
            </w:tcMar>
            <w:vAlign w:val="center"/>
          </w:tcPr>
          <w:p w14:paraId="3DA24B9B">
            <w:pPr>
              <w:spacing w:line="360" w:lineRule="auto"/>
              <w:jc w:val="center"/>
              <w:rPr>
                <w:rFonts w:hint="eastAsia" w:asciiTheme="minorEastAsia" w:hAnsiTheme="minorEastAsia" w:eastAsiaTheme="minorEastAsia" w:cstheme="minorEastAsia"/>
                <w:color w:val="auto"/>
                <w:szCs w:val="24"/>
                <w:highlight w:val="none"/>
              </w:rPr>
            </w:pPr>
          </w:p>
        </w:tc>
        <w:tc>
          <w:tcPr>
            <w:tcW w:w="1570" w:type="dxa"/>
            <w:noWrap/>
            <w:tcMar>
              <w:left w:w="108" w:type="dxa"/>
              <w:right w:w="108" w:type="dxa"/>
            </w:tcMar>
            <w:vAlign w:val="center"/>
          </w:tcPr>
          <w:p w14:paraId="155705CC">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w:t>
            </w:r>
          </w:p>
        </w:tc>
      </w:tr>
      <w:tr w14:paraId="3F24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28" w:hRule="atLeast"/>
        </w:trPr>
        <w:tc>
          <w:tcPr>
            <w:tcW w:w="700" w:type="dxa"/>
            <w:noWrap/>
            <w:tcMar>
              <w:left w:w="108" w:type="dxa"/>
              <w:right w:w="108" w:type="dxa"/>
            </w:tcMar>
            <w:vAlign w:val="center"/>
          </w:tcPr>
          <w:p w14:paraId="08DE73B5">
            <w:pPr>
              <w:spacing w:line="360" w:lineRule="auto"/>
              <w:ind w:left="8" w:hanging="94"/>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注意：</w:t>
            </w:r>
          </w:p>
        </w:tc>
        <w:tc>
          <w:tcPr>
            <w:tcW w:w="8400" w:type="dxa"/>
            <w:gridSpan w:val="7"/>
            <w:noWrap/>
            <w:tcMar>
              <w:left w:w="108" w:type="dxa"/>
              <w:right w:w="108" w:type="dxa"/>
            </w:tcMar>
            <w:vAlign w:val="center"/>
          </w:tcPr>
          <w:p w14:paraId="39011553">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713E4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15" w:hRule="atLeast"/>
        </w:trPr>
        <w:tc>
          <w:tcPr>
            <w:tcW w:w="2205" w:type="dxa"/>
            <w:gridSpan w:val="2"/>
            <w:noWrap/>
            <w:tcMar>
              <w:left w:w="108" w:type="dxa"/>
              <w:right w:w="108" w:type="dxa"/>
            </w:tcMar>
            <w:vAlign w:val="center"/>
          </w:tcPr>
          <w:p w14:paraId="03248E81">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接收原件经办人（招标代理）：</w:t>
            </w:r>
          </w:p>
        </w:tc>
        <w:tc>
          <w:tcPr>
            <w:tcW w:w="1992" w:type="dxa"/>
            <w:gridSpan w:val="2"/>
            <w:noWrap/>
            <w:tcMar>
              <w:left w:w="108" w:type="dxa"/>
              <w:right w:w="108" w:type="dxa"/>
            </w:tcMar>
            <w:vAlign w:val="center"/>
          </w:tcPr>
          <w:p w14:paraId="5BCE5A61">
            <w:pPr>
              <w:spacing w:line="360" w:lineRule="auto"/>
              <w:jc w:val="center"/>
              <w:rPr>
                <w:rFonts w:hint="eastAsia" w:asciiTheme="minorEastAsia" w:hAnsiTheme="minorEastAsia" w:eastAsiaTheme="minorEastAsia" w:cstheme="minorEastAsia"/>
                <w:color w:val="auto"/>
                <w:szCs w:val="24"/>
                <w:highlight w:val="none"/>
              </w:rPr>
            </w:pPr>
          </w:p>
        </w:tc>
        <w:tc>
          <w:tcPr>
            <w:tcW w:w="1623" w:type="dxa"/>
            <w:noWrap/>
            <w:tcMar>
              <w:left w:w="108" w:type="dxa"/>
              <w:right w:w="108" w:type="dxa"/>
            </w:tcMar>
            <w:vAlign w:val="center"/>
          </w:tcPr>
          <w:p w14:paraId="43254EA9">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接收时间：</w:t>
            </w:r>
          </w:p>
        </w:tc>
        <w:tc>
          <w:tcPr>
            <w:tcW w:w="3280" w:type="dxa"/>
            <w:gridSpan w:val="3"/>
            <w:noWrap/>
            <w:tcMar>
              <w:left w:w="108" w:type="dxa"/>
              <w:right w:w="108" w:type="dxa"/>
            </w:tcMar>
            <w:vAlign w:val="center"/>
          </w:tcPr>
          <w:p w14:paraId="6922A9E2">
            <w:pPr>
              <w:spacing w:line="360" w:lineRule="auto"/>
              <w:ind w:firstLine="480" w:firstLineChars="20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年   月   日   时  分</w:t>
            </w:r>
          </w:p>
        </w:tc>
      </w:tr>
      <w:tr w14:paraId="44B11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89" w:hRule="atLeast"/>
        </w:trPr>
        <w:tc>
          <w:tcPr>
            <w:tcW w:w="2205" w:type="dxa"/>
            <w:gridSpan w:val="2"/>
            <w:noWrap/>
            <w:tcMar>
              <w:left w:w="108" w:type="dxa"/>
              <w:right w:w="108" w:type="dxa"/>
            </w:tcMar>
            <w:vAlign w:val="center"/>
          </w:tcPr>
          <w:p w14:paraId="1772F5DD">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退还原件接收人（投标人）：</w:t>
            </w:r>
          </w:p>
        </w:tc>
        <w:tc>
          <w:tcPr>
            <w:tcW w:w="1992" w:type="dxa"/>
            <w:gridSpan w:val="2"/>
            <w:noWrap/>
            <w:tcMar>
              <w:left w:w="108" w:type="dxa"/>
              <w:right w:w="108" w:type="dxa"/>
            </w:tcMar>
            <w:vAlign w:val="center"/>
          </w:tcPr>
          <w:p w14:paraId="74892C54">
            <w:pPr>
              <w:spacing w:line="360" w:lineRule="auto"/>
              <w:jc w:val="center"/>
              <w:rPr>
                <w:rFonts w:hint="eastAsia" w:asciiTheme="minorEastAsia" w:hAnsiTheme="minorEastAsia" w:eastAsiaTheme="minorEastAsia" w:cstheme="minorEastAsia"/>
                <w:color w:val="auto"/>
                <w:szCs w:val="24"/>
                <w:highlight w:val="none"/>
              </w:rPr>
            </w:pPr>
          </w:p>
        </w:tc>
        <w:tc>
          <w:tcPr>
            <w:tcW w:w="1623" w:type="dxa"/>
            <w:noWrap/>
            <w:tcMar>
              <w:left w:w="108" w:type="dxa"/>
              <w:right w:w="108" w:type="dxa"/>
            </w:tcMar>
            <w:vAlign w:val="center"/>
          </w:tcPr>
          <w:p w14:paraId="3627CE04">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退还时间：</w:t>
            </w:r>
          </w:p>
        </w:tc>
        <w:tc>
          <w:tcPr>
            <w:tcW w:w="3280" w:type="dxa"/>
            <w:gridSpan w:val="3"/>
            <w:noWrap/>
            <w:tcMar>
              <w:left w:w="108" w:type="dxa"/>
              <w:right w:w="108" w:type="dxa"/>
            </w:tcMar>
            <w:vAlign w:val="center"/>
          </w:tcPr>
          <w:p w14:paraId="425E27C0">
            <w:pPr>
              <w:spacing w:line="360" w:lineRule="auto"/>
              <w:ind w:firstLine="480" w:firstLineChars="20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年   月   日   时  分</w:t>
            </w:r>
          </w:p>
        </w:tc>
      </w:tr>
    </w:tbl>
    <w:p w14:paraId="75A82B2E">
      <w:pPr>
        <w:snapToGrid w:val="0"/>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snapToGrid w:val="0"/>
          <w:color w:val="auto"/>
          <w:highlight w:val="none"/>
        </w:rPr>
        <w:br w:type="page"/>
      </w:r>
    </w:p>
    <w:p w14:paraId="6BBFCDD9">
      <w:pPr>
        <w:wordWrap w:val="0"/>
        <w:adjustRightInd w:val="0"/>
        <w:snapToGrid w:val="0"/>
        <w:spacing w:line="360" w:lineRule="auto"/>
        <w:rPr>
          <w:rFonts w:hint="eastAsia" w:asciiTheme="minorEastAsia" w:hAnsiTheme="minorEastAsia" w:eastAsiaTheme="minorEastAsia" w:cstheme="minorEastAsia"/>
          <w:color w:val="auto"/>
          <w:szCs w:val="24"/>
          <w:highlight w:val="none"/>
        </w:rPr>
        <w:sectPr>
          <w:headerReference r:id="rId9" w:type="default"/>
          <w:footerReference r:id="rId10" w:type="default"/>
          <w:pgSz w:w="11905" w:h="16838"/>
          <w:pgMar w:top="1134" w:right="1134" w:bottom="1134" w:left="1134" w:header="850" w:footer="992" w:gutter="0"/>
          <w:pgNumType w:fmt="decimal"/>
          <w:cols w:space="0" w:num="1"/>
          <w:rtlGutter w:val="0"/>
          <w:docGrid w:linePitch="0" w:charSpace="0"/>
        </w:sectPr>
      </w:pPr>
    </w:p>
    <w:p w14:paraId="7D725F70">
      <w:pPr>
        <w:pStyle w:val="12"/>
        <w:bidi w:val="0"/>
        <w:spacing w:line="360" w:lineRule="auto"/>
        <w:jc w:val="left"/>
        <w:rPr>
          <w:rFonts w:hint="eastAsia" w:asciiTheme="minorEastAsia" w:hAnsiTheme="minorEastAsia" w:eastAsiaTheme="minorEastAsia" w:cstheme="minorEastAsia"/>
          <w:b/>
          <w:bCs/>
          <w:color w:val="auto"/>
          <w:kern w:val="0"/>
          <w:sz w:val="24"/>
          <w:szCs w:val="24"/>
          <w:highlight w:val="none"/>
          <w:lang w:val="en-US" w:eastAsia="zh-CN" w:bidi="ar-SA"/>
        </w:rPr>
      </w:pPr>
      <w:bookmarkStart w:id="566" w:name="_Toc19125"/>
      <w:bookmarkStart w:id="567" w:name="_Toc1825"/>
      <w:bookmarkStart w:id="568" w:name="_Toc13261"/>
      <w:bookmarkStart w:id="569" w:name="_Toc21506"/>
      <w:r>
        <w:rPr>
          <w:rFonts w:hint="eastAsia" w:asciiTheme="minorEastAsia" w:hAnsiTheme="minorEastAsia" w:eastAsiaTheme="minorEastAsia" w:cstheme="minorEastAsia"/>
          <w:b/>
          <w:bCs/>
          <w:color w:val="auto"/>
          <w:kern w:val="0"/>
          <w:sz w:val="24"/>
          <w:szCs w:val="24"/>
          <w:highlight w:val="none"/>
          <w:lang w:val="en-US" w:eastAsia="zh-CN" w:bidi="ar-SA"/>
        </w:rPr>
        <w:t>格式十四 建造师查询页（有效期+建造师签字）</w:t>
      </w:r>
      <w:bookmarkEnd w:id="566"/>
      <w:bookmarkEnd w:id="567"/>
      <w:bookmarkEnd w:id="568"/>
      <w:bookmarkEnd w:id="569"/>
    </w:p>
    <w:p w14:paraId="1CC172F1">
      <w:pPr>
        <w:pStyle w:val="89"/>
        <w:bidi w:val="0"/>
        <w:spacing w:line="360" w:lineRule="auto"/>
        <w:jc w:val="both"/>
        <w:rPr>
          <w:rFonts w:hint="eastAsia" w:ascii="宋体" w:hAnsi="宋体" w:eastAsia="宋体" w:cs="宋体"/>
          <w:b/>
          <w:bCs/>
          <w:caps w:val="0"/>
          <w:smallCaps w:val="0"/>
          <w:snapToGrid w:val="0"/>
          <w:color w:val="auto"/>
          <w:spacing w:val="0"/>
          <w:kern w:val="0"/>
          <w:sz w:val="24"/>
          <w:szCs w:val="24"/>
          <w:highlight w:val="none"/>
          <w:lang w:val="en-US" w:eastAsia="zh-CN"/>
        </w:rPr>
      </w:pPr>
      <w:bookmarkStart w:id="570" w:name="_Toc13556"/>
      <w:bookmarkStart w:id="571" w:name="_Toc29775"/>
      <w:r>
        <w:rPr>
          <w:color w:val="auto"/>
          <w:position w:val="-235"/>
          <w:highlight w:val="none"/>
        </w:rPr>
        <w:drawing>
          <wp:inline distT="0" distB="0" distL="114300" distR="114300">
            <wp:extent cx="5342890" cy="7470140"/>
            <wp:effectExtent l="0" t="0" r="10160" b="16510"/>
            <wp:docPr id="5" name="图片 1"/>
            <wp:cNvGraphicFramePr/>
            <a:graphic xmlns:a="http://schemas.openxmlformats.org/drawingml/2006/main">
              <a:graphicData uri="http://schemas.openxmlformats.org/drawingml/2006/picture">
                <pic:pic xmlns:pic="http://schemas.openxmlformats.org/drawingml/2006/picture">
                  <pic:nvPicPr>
                    <pic:cNvPr id="5" name="图片 1"/>
                    <pic:cNvPicPr/>
                  </pic:nvPicPr>
                  <pic:blipFill>
                    <a:blip r:embed="rId12"/>
                    <a:stretch>
                      <a:fillRect/>
                    </a:stretch>
                  </pic:blipFill>
                  <pic:spPr>
                    <a:xfrm>
                      <a:off x="0" y="0"/>
                      <a:ext cx="5342890" cy="7470140"/>
                    </a:xfrm>
                    <a:prstGeom prst="rect">
                      <a:avLst/>
                    </a:prstGeom>
                    <a:noFill/>
                    <a:ln>
                      <a:noFill/>
                    </a:ln>
                  </pic:spPr>
                </pic:pic>
              </a:graphicData>
            </a:graphic>
          </wp:inline>
        </w:drawing>
      </w:r>
      <w:bookmarkEnd w:id="570"/>
      <w:bookmarkEnd w:id="571"/>
    </w:p>
    <w:p w14:paraId="0996EDB7">
      <w:pPr>
        <w:pStyle w:val="58"/>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auto"/>
        <w:ind w:left="240" w:leftChars="100" w:right="0" w:rightChars="0" w:firstLine="241" w:firstLineChars="100"/>
        <w:jc w:val="left"/>
        <w:textAlignment w:val="auto"/>
        <w:outlineLvl w:val="9"/>
        <w:rPr>
          <w:rFonts w:hint="eastAsia" w:ascii="宋体" w:hAnsi="宋体" w:eastAsia="宋体" w:cs="宋体"/>
          <w:b/>
          <w:bCs/>
          <w:caps w:val="0"/>
          <w:smallCaps w:val="0"/>
          <w:snapToGrid w:val="0"/>
          <w:color w:val="auto"/>
          <w:spacing w:val="0"/>
          <w:kern w:val="0"/>
          <w:sz w:val="24"/>
          <w:szCs w:val="24"/>
          <w:highlight w:val="none"/>
          <w:lang w:val="en-US" w:eastAsia="zh-CN"/>
        </w:rPr>
      </w:pPr>
    </w:p>
    <w:p w14:paraId="1E2BF8E6">
      <w:pPr>
        <w:pStyle w:val="89"/>
        <w:keepNext w:val="0"/>
        <w:keepLines w:val="0"/>
        <w:widowControl w:val="0"/>
        <w:wordWrap w:val="0"/>
        <w:adjustRightInd w:val="0"/>
        <w:snapToGrid w:val="0"/>
        <w:spacing w:before="0" w:after="0" w:line="360" w:lineRule="auto"/>
        <w:ind w:left="3177" w:leftChars="15" w:hanging="3141" w:hangingChars="1496"/>
        <w:jc w:val="center"/>
        <w:outlineLvl w:val="9"/>
        <w:rPr>
          <w:rFonts w:hint="eastAsia" w:ascii="宋体" w:hAnsi="宋体" w:eastAsia="宋体" w:cs="宋体"/>
          <w:caps w:val="0"/>
          <w:smallCaps w:val="0"/>
          <w:snapToGrid w:val="0"/>
          <w:color w:val="auto"/>
          <w:spacing w:val="0"/>
          <w:kern w:val="0"/>
          <w:sz w:val="21"/>
          <w:highlight w:val="none"/>
          <w:lang w:val="en-US" w:eastAsia="zh-CN"/>
        </w:rPr>
      </w:pPr>
      <w:r>
        <w:rPr>
          <w:rFonts w:hint="eastAsia" w:ascii="宋体" w:hAnsi="宋体" w:eastAsia="宋体" w:cs="宋体"/>
          <w:caps w:val="0"/>
          <w:smallCaps w:val="0"/>
          <w:snapToGrid w:val="0"/>
          <w:color w:val="auto"/>
          <w:spacing w:val="0"/>
          <w:kern w:val="0"/>
          <w:sz w:val="21"/>
          <w:highlight w:val="none"/>
          <w:lang w:val="en-US" w:eastAsia="zh-CN"/>
        </w:rPr>
        <w:t xml:space="preserve">     </w:t>
      </w:r>
    </w:p>
    <w:p w14:paraId="0CC52A36">
      <w:pPr>
        <w:pStyle w:val="58"/>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auto"/>
        <w:ind w:left="0" w:leftChars="0" w:right="0" w:rightChars="0" w:firstLine="0" w:firstLineChars="0"/>
        <w:jc w:val="left"/>
        <w:textAlignment w:val="auto"/>
        <w:outlineLvl w:val="9"/>
        <w:rPr>
          <w:rFonts w:hint="eastAsia" w:ascii="宋体" w:hAnsi="宋体" w:eastAsia="宋体" w:cs="宋体"/>
          <w:caps w:val="0"/>
          <w:smallCaps w:val="0"/>
          <w:snapToGrid w:val="0"/>
          <w:color w:val="auto"/>
          <w:spacing w:val="0"/>
          <w:kern w:val="0"/>
          <w:sz w:val="21"/>
          <w:highlight w:val="none"/>
          <w:lang w:val="en-US" w:eastAsia="zh-CN"/>
        </w:rPr>
      </w:pPr>
      <w:r>
        <w:rPr>
          <w:rFonts w:hint="eastAsia" w:ascii="宋体" w:hAnsi="宋体" w:eastAsia="宋体" w:cs="宋体"/>
          <w:caps w:val="0"/>
          <w:smallCaps w:val="0"/>
          <w:snapToGrid w:val="0"/>
          <w:color w:val="auto"/>
          <w:spacing w:val="0"/>
          <w:kern w:val="0"/>
          <w:sz w:val="21"/>
          <w:highlight w:val="none"/>
          <w:lang w:val="en-US" w:eastAsia="zh-CN"/>
        </w:rPr>
        <w:t xml:space="preserve">    </w:t>
      </w:r>
    </w:p>
    <w:p w14:paraId="52E5DACC">
      <w:pPr>
        <w:pStyle w:val="89"/>
        <w:keepNext w:val="0"/>
        <w:keepLines w:val="0"/>
        <w:widowControl w:val="0"/>
        <w:wordWrap w:val="0"/>
        <w:adjustRightInd w:val="0"/>
        <w:snapToGrid w:val="0"/>
        <w:spacing w:before="0" w:after="0" w:line="360" w:lineRule="auto"/>
        <w:ind w:left="3640" w:leftChars="15" w:hanging="3604" w:hangingChars="1496"/>
        <w:jc w:val="both"/>
        <w:rPr>
          <w:rFonts w:hint="eastAsia"/>
          <w:b/>
          <w:snapToGrid w:val="0"/>
          <w:color w:val="auto"/>
          <w:highlight w:val="none"/>
        </w:rPr>
      </w:pPr>
    </w:p>
    <w:p w14:paraId="75A7E24D">
      <w:pPr>
        <w:spacing w:before="78" w:line="360" w:lineRule="auto"/>
        <w:rPr>
          <w:rFonts w:ascii="宋体" w:hAnsi="宋体" w:eastAsia="宋体" w:cs="宋体"/>
          <w:b/>
          <w:bCs/>
          <w:color w:val="auto"/>
          <w:spacing w:val="-4"/>
          <w:sz w:val="24"/>
          <w:szCs w:val="24"/>
          <w:highlight w:val="none"/>
        </w:rPr>
      </w:pPr>
    </w:p>
    <w:p w14:paraId="426BEBAA">
      <w:pPr>
        <w:pStyle w:val="90"/>
        <w:spacing w:line="360" w:lineRule="auto"/>
        <w:rPr>
          <w:rFonts w:ascii="宋体" w:hAnsi="宋体" w:eastAsia="宋体" w:cs="宋体"/>
          <w:b/>
          <w:bCs/>
          <w:color w:val="auto"/>
          <w:spacing w:val="-4"/>
          <w:sz w:val="24"/>
          <w:szCs w:val="24"/>
          <w:highlight w:val="none"/>
        </w:rPr>
      </w:pPr>
    </w:p>
    <w:p w14:paraId="50793883">
      <w:pPr>
        <w:pStyle w:val="90"/>
        <w:spacing w:line="360" w:lineRule="auto"/>
        <w:rPr>
          <w:rFonts w:ascii="宋体" w:hAnsi="宋体" w:eastAsia="宋体" w:cs="宋体"/>
          <w:b/>
          <w:bCs/>
          <w:color w:val="auto"/>
          <w:spacing w:val="-4"/>
          <w:sz w:val="24"/>
          <w:szCs w:val="24"/>
          <w:highlight w:val="none"/>
        </w:rPr>
      </w:pPr>
      <w:r>
        <w:rPr>
          <w:color w:val="auto"/>
          <w:position w:val="-214"/>
          <w:highlight w:val="none"/>
        </w:rPr>
        <w:drawing>
          <wp:inline distT="0" distB="0" distL="114300" distR="114300">
            <wp:extent cx="5353050" cy="6821805"/>
            <wp:effectExtent l="0" t="0" r="0" b="17145"/>
            <wp:docPr id="1" name="图片 2"/>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13"/>
                    <a:stretch>
                      <a:fillRect/>
                    </a:stretch>
                  </pic:blipFill>
                  <pic:spPr>
                    <a:xfrm>
                      <a:off x="0" y="0"/>
                      <a:ext cx="5353050" cy="6821805"/>
                    </a:xfrm>
                    <a:prstGeom prst="rect">
                      <a:avLst/>
                    </a:prstGeom>
                    <a:noFill/>
                    <a:ln>
                      <a:noFill/>
                    </a:ln>
                  </pic:spPr>
                </pic:pic>
              </a:graphicData>
            </a:graphic>
          </wp:inline>
        </w:drawing>
      </w:r>
    </w:p>
    <w:p w14:paraId="7CA3D3BB">
      <w:pPr>
        <w:spacing w:before="78" w:line="360" w:lineRule="auto"/>
        <w:rPr>
          <w:rFonts w:ascii="宋体" w:hAnsi="宋体" w:eastAsia="宋体" w:cs="宋体"/>
          <w:b/>
          <w:bCs/>
          <w:color w:val="auto"/>
          <w:spacing w:val="-4"/>
          <w:sz w:val="24"/>
          <w:szCs w:val="24"/>
          <w:highlight w:val="none"/>
        </w:rPr>
      </w:pPr>
    </w:p>
    <w:p w14:paraId="146E3B3C">
      <w:pPr>
        <w:wordWrap w:val="0"/>
        <w:adjustRightInd w:val="0"/>
        <w:snapToGrid w:val="0"/>
        <w:spacing w:line="360" w:lineRule="auto"/>
        <w:rPr>
          <w:rFonts w:hint="eastAsia" w:asciiTheme="minorEastAsia" w:hAnsiTheme="minorEastAsia" w:eastAsiaTheme="minorEastAsia" w:cstheme="minorEastAsia"/>
          <w:b/>
          <w:bCs/>
          <w:color w:val="auto"/>
          <w:kern w:val="0"/>
          <w:sz w:val="24"/>
          <w:szCs w:val="24"/>
          <w:highlight w:val="none"/>
          <w:lang w:val="en-US" w:eastAsia="zh-CN" w:bidi="ar-SA"/>
        </w:rPr>
      </w:pPr>
      <w:bookmarkStart w:id="572" w:name="_Toc19364"/>
      <w:r>
        <w:rPr>
          <w:rFonts w:hint="eastAsia" w:ascii="宋体" w:hAnsi="宋体" w:eastAsia="宋体" w:cs="宋体"/>
          <w:b/>
          <w:bCs/>
          <w:color w:val="auto"/>
          <w:spacing w:val="-4"/>
          <w:sz w:val="24"/>
          <w:szCs w:val="24"/>
          <w:highlight w:val="none"/>
        </w:rPr>
        <w:br w:type="page"/>
      </w:r>
      <w:bookmarkEnd w:id="572"/>
      <w:r>
        <w:rPr>
          <w:rFonts w:hint="eastAsia" w:asciiTheme="minorEastAsia" w:hAnsiTheme="minorEastAsia" w:eastAsiaTheme="minorEastAsia" w:cstheme="minorEastAsia"/>
          <w:b/>
          <w:bCs/>
          <w:color w:val="auto"/>
          <w:kern w:val="0"/>
          <w:sz w:val="24"/>
          <w:szCs w:val="24"/>
          <w:highlight w:val="none"/>
          <w:lang w:val="en-US" w:eastAsia="zh-CN" w:bidi="ar-SA"/>
        </w:rPr>
        <w:t>格式十五 定标因素评审资料</w:t>
      </w:r>
    </w:p>
    <w:p w14:paraId="4605C59A">
      <w:pPr>
        <w:wordWrap w:val="0"/>
        <w:adjustRightInd w:val="0"/>
        <w:snapToGrid w:val="0"/>
        <w:spacing w:line="360" w:lineRule="auto"/>
        <w:jc w:val="center"/>
        <w:rPr>
          <w:rFonts w:hint="eastAsia" w:asciiTheme="minorEastAsia" w:hAnsiTheme="minorEastAsia" w:eastAsiaTheme="minorEastAsia" w:cstheme="minorEastAsia"/>
          <w:color w:val="auto"/>
          <w:sz w:val="36"/>
          <w:szCs w:val="36"/>
          <w:highlight w:val="none"/>
          <w:lang w:val="en-US" w:eastAsia="zh-CN"/>
        </w:rPr>
      </w:pPr>
    </w:p>
    <w:p w14:paraId="0D7AF8C2">
      <w:pPr>
        <w:wordWrap w:val="0"/>
        <w:adjustRightInd w:val="0"/>
        <w:snapToGrid w:val="0"/>
        <w:spacing w:line="360" w:lineRule="auto"/>
        <w:jc w:val="center"/>
        <w:rPr>
          <w:rFonts w:hint="eastAsia" w:asciiTheme="minorEastAsia" w:hAnsiTheme="minorEastAsia" w:eastAsiaTheme="minorEastAsia" w:cstheme="minorEastAsia"/>
          <w:b/>
          <w:bCs/>
          <w:color w:val="auto"/>
          <w:sz w:val="32"/>
          <w:szCs w:val="32"/>
          <w:highlight w:val="none"/>
          <w:lang w:val="en-US" w:eastAsia="zh-CN"/>
        </w:rPr>
      </w:pPr>
      <w:r>
        <w:rPr>
          <w:rFonts w:hint="eastAsia" w:asciiTheme="minorEastAsia" w:hAnsiTheme="minorEastAsia" w:eastAsiaTheme="minorEastAsia" w:cstheme="minorEastAsia"/>
          <w:b/>
          <w:bCs/>
          <w:color w:val="auto"/>
          <w:sz w:val="32"/>
          <w:szCs w:val="32"/>
          <w:highlight w:val="none"/>
          <w:lang w:val="en-US" w:eastAsia="zh-CN"/>
        </w:rPr>
        <w:t>定标因素评审资料</w:t>
      </w:r>
    </w:p>
    <w:p w14:paraId="3DB6E1B7">
      <w:pPr>
        <w:wordWrap w:val="0"/>
        <w:adjustRightInd w:val="0"/>
        <w:snapToGrid w:val="0"/>
        <w:spacing w:line="360" w:lineRule="auto"/>
        <w:jc w:val="center"/>
        <w:rPr>
          <w:rFonts w:hint="eastAsia" w:asciiTheme="minorEastAsia" w:hAnsiTheme="minorEastAsia" w:eastAsiaTheme="minorEastAsia" w:cstheme="minorEastAsia"/>
          <w:b/>
          <w:bCs/>
          <w:color w:val="auto"/>
          <w:sz w:val="32"/>
          <w:szCs w:val="32"/>
          <w:highlight w:val="none"/>
          <w:lang w:val="en-US" w:eastAsia="zh-CN"/>
        </w:rPr>
      </w:pPr>
    </w:p>
    <w:p w14:paraId="497293E6">
      <w:pPr>
        <w:wordWrap w:val="0"/>
        <w:adjustRightInd w:val="0"/>
        <w:snapToGrid w:val="0"/>
        <w:spacing w:line="360" w:lineRule="auto"/>
        <w:jc w:val="center"/>
        <w:rPr>
          <w:rFonts w:hint="eastAsia" w:asciiTheme="minorEastAsia" w:hAnsiTheme="minorEastAsia" w:eastAsiaTheme="minorEastAsia" w:cstheme="minorEastAsia"/>
          <w:b/>
          <w:bCs/>
          <w:color w:val="auto"/>
          <w:sz w:val="32"/>
          <w:szCs w:val="32"/>
          <w:highlight w:val="none"/>
          <w:lang w:val="en-US" w:eastAsia="zh-CN"/>
        </w:rPr>
      </w:pPr>
    </w:p>
    <w:p w14:paraId="3C071F0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default" w:asciiTheme="minorEastAsia" w:hAnsiTheme="minorEastAsia" w:eastAsiaTheme="minorEastAsia" w:cstheme="minorEastAsia"/>
          <w:b w:val="0"/>
          <w:bCs w:val="0"/>
          <w:color w:val="auto"/>
          <w:sz w:val="28"/>
          <w:szCs w:val="28"/>
          <w:highlight w:val="none"/>
          <w:lang w:val="en-US" w:eastAsia="zh-CN"/>
        </w:rPr>
        <w:sectPr>
          <w:pgSz w:w="11905" w:h="16838"/>
          <w:pgMar w:top="1134" w:right="1134" w:bottom="1134" w:left="1134" w:header="850" w:footer="992" w:gutter="0"/>
          <w:pgNumType w:fmt="decimal"/>
          <w:cols w:space="0" w:num="1"/>
          <w:rtlGutter w:val="0"/>
          <w:docGrid w:linePitch="0" w:charSpace="0"/>
        </w:sectPr>
      </w:pPr>
      <w:r>
        <w:rPr>
          <w:rFonts w:hint="default" w:asciiTheme="minorEastAsia" w:hAnsiTheme="minorEastAsia" w:eastAsiaTheme="minorEastAsia" w:cstheme="minorEastAsia"/>
          <w:b w:val="0"/>
          <w:bCs w:val="0"/>
          <w:color w:val="auto"/>
          <w:sz w:val="28"/>
          <w:szCs w:val="28"/>
          <w:highlight w:val="none"/>
          <w:lang w:val="en-US" w:eastAsia="zh-CN"/>
        </w:rPr>
        <w:t>投标人根据“第一章 第五节 定标规定及定标办法”载明的定标因素，提交评审资料。</w:t>
      </w:r>
    </w:p>
    <w:bookmarkEnd w:id="561"/>
    <w:bookmarkEnd w:id="562"/>
    <w:bookmarkEnd w:id="563"/>
    <w:p w14:paraId="2082FE14">
      <w:pPr>
        <w:pStyle w:val="10"/>
        <w:spacing w:line="360" w:lineRule="auto"/>
        <w:jc w:val="center"/>
        <w:rPr>
          <w:rFonts w:hint="eastAsia" w:asciiTheme="minorEastAsia" w:hAnsiTheme="minorEastAsia" w:eastAsiaTheme="minorEastAsia" w:cstheme="minorEastAsia"/>
          <w:b/>
          <w:color w:val="auto"/>
          <w:kern w:val="44"/>
          <w:szCs w:val="30"/>
          <w:highlight w:val="none"/>
        </w:rPr>
      </w:pPr>
      <w:bookmarkStart w:id="573" w:name="_Toc24928"/>
      <w:bookmarkStart w:id="574" w:name="_Toc26622"/>
      <w:bookmarkStart w:id="575" w:name="_Toc22541"/>
      <w:bookmarkStart w:id="576" w:name="_Toc8821"/>
      <w:bookmarkStart w:id="577" w:name="_Toc26638"/>
      <w:bookmarkStart w:id="578" w:name="_Toc23446"/>
      <w:bookmarkStart w:id="579" w:name="_Toc9816"/>
      <w:bookmarkStart w:id="580" w:name="_Toc6918"/>
      <w:bookmarkStart w:id="581" w:name="_Toc8121"/>
      <w:r>
        <w:rPr>
          <w:rFonts w:hint="eastAsia" w:asciiTheme="minorEastAsia" w:hAnsiTheme="minorEastAsia" w:eastAsiaTheme="minorEastAsia" w:cstheme="minorEastAsia"/>
          <w:b/>
          <w:color w:val="auto"/>
          <w:kern w:val="44"/>
          <w:szCs w:val="30"/>
          <w:highlight w:val="none"/>
        </w:rPr>
        <w:t>第</w:t>
      </w:r>
      <w:r>
        <w:rPr>
          <w:rFonts w:hint="eastAsia" w:asciiTheme="minorEastAsia" w:hAnsiTheme="minorEastAsia" w:eastAsiaTheme="minorEastAsia" w:cstheme="minorEastAsia"/>
          <w:b/>
          <w:color w:val="auto"/>
          <w:kern w:val="44"/>
          <w:szCs w:val="30"/>
          <w:highlight w:val="none"/>
          <w:lang w:val="en-US" w:eastAsia="zh-CN"/>
        </w:rPr>
        <w:t>七</w:t>
      </w:r>
      <w:r>
        <w:rPr>
          <w:rFonts w:hint="eastAsia" w:asciiTheme="minorEastAsia" w:hAnsiTheme="minorEastAsia" w:eastAsiaTheme="minorEastAsia" w:cstheme="minorEastAsia"/>
          <w:b/>
          <w:color w:val="auto"/>
          <w:kern w:val="44"/>
          <w:szCs w:val="30"/>
          <w:highlight w:val="none"/>
        </w:rPr>
        <w:t>章  廉政合同、履约保函、预付款保函、支付保函</w:t>
      </w:r>
      <w:bookmarkEnd w:id="573"/>
      <w:bookmarkEnd w:id="574"/>
      <w:bookmarkEnd w:id="575"/>
      <w:bookmarkEnd w:id="576"/>
      <w:bookmarkEnd w:id="577"/>
      <w:bookmarkEnd w:id="578"/>
      <w:bookmarkEnd w:id="579"/>
      <w:bookmarkEnd w:id="580"/>
      <w:bookmarkEnd w:id="581"/>
    </w:p>
    <w:p w14:paraId="172855D5">
      <w:pPr>
        <w:spacing w:line="360" w:lineRule="auto"/>
        <w:rPr>
          <w:rFonts w:hint="eastAsia" w:asciiTheme="minorEastAsia" w:hAnsiTheme="minorEastAsia" w:eastAsiaTheme="minorEastAsia" w:cstheme="minorEastAsia"/>
          <w:color w:val="auto"/>
          <w:highlight w:val="none"/>
        </w:rPr>
      </w:pPr>
    </w:p>
    <w:p w14:paraId="192C8A41">
      <w:pPr>
        <w:pStyle w:val="12"/>
        <w:spacing w:line="360" w:lineRule="auto"/>
        <w:ind w:left="4511" w:leftChars="174" w:hanging="4093" w:hangingChars="1274"/>
        <w:jc w:val="center"/>
        <w:rPr>
          <w:rFonts w:hint="eastAsia" w:asciiTheme="minorEastAsia" w:hAnsiTheme="minorEastAsia" w:eastAsiaTheme="minorEastAsia" w:cstheme="minorEastAsia"/>
          <w:bCs/>
          <w:color w:val="auto"/>
          <w:sz w:val="32"/>
          <w:szCs w:val="32"/>
          <w:highlight w:val="none"/>
        </w:rPr>
      </w:pPr>
      <w:bookmarkStart w:id="582" w:name="_Toc20232"/>
      <w:bookmarkStart w:id="583" w:name="_Toc2994"/>
      <w:bookmarkStart w:id="584" w:name="_Toc22176"/>
      <w:bookmarkStart w:id="585" w:name="_Toc16029"/>
      <w:bookmarkStart w:id="586" w:name="_Toc10193"/>
      <w:bookmarkStart w:id="587" w:name="_Toc10603"/>
      <w:bookmarkStart w:id="588" w:name="_Toc32046"/>
      <w:bookmarkStart w:id="589" w:name="_Toc29713"/>
      <w:bookmarkStart w:id="590" w:name="_Toc30503"/>
      <w:bookmarkStart w:id="591" w:name="_Toc5870"/>
      <w:bookmarkStart w:id="592" w:name="_Toc5845"/>
      <w:r>
        <w:rPr>
          <w:rFonts w:hint="eastAsia" w:asciiTheme="minorEastAsia" w:hAnsiTheme="minorEastAsia" w:eastAsiaTheme="minorEastAsia" w:cstheme="minorEastAsia"/>
          <w:bCs/>
          <w:color w:val="auto"/>
          <w:sz w:val="32"/>
          <w:szCs w:val="32"/>
          <w:highlight w:val="none"/>
        </w:rPr>
        <w:t>廉政合同</w:t>
      </w:r>
      <w:bookmarkEnd w:id="582"/>
      <w:bookmarkEnd w:id="583"/>
      <w:bookmarkEnd w:id="584"/>
      <w:bookmarkEnd w:id="585"/>
      <w:bookmarkEnd w:id="586"/>
      <w:bookmarkEnd w:id="587"/>
      <w:bookmarkEnd w:id="588"/>
      <w:bookmarkEnd w:id="589"/>
      <w:bookmarkEnd w:id="590"/>
      <w:bookmarkEnd w:id="591"/>
      <w:bookmarkEnd w:id="592"/>
    </w:p>
    <w:p w14:paraId="4CEB01C0">
      <w:pPr>
        <w:tabs>
          <w:tab w:val="left" w:pos="9100"/>
        </w:tabs>
        <w:autoSpaceDE w:val="0"/>
        <w:autoSpaceDN w:val="0"/>
        <w:adjustRightInd w:val="0"/>
        <w:spacing w:line="360" w:lineRule="auto"/>
        <w:ind w:left="101" w:right="101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招标人：（全称）</w:t>
      </w:r>
      <w:r>
        <w:rPr>
          <w:rFonts w:hint="eastAsia" w:asciiTheme="minorEastAsia" w:hAnsiTheme="minorEastAsia" w:eastAsiaTheme="minorEastAsia" w:cstheme="minorEastAsia"/>
          <w:color w:val="auto"/>
          <w:kern w:val="0"/>
          <w:highlight w:val="none"/>
          <w:u w:val="single"/>
        </w:rPr>
        <w:tab/>
      </w:r>
    </w:p>
    <w:p w14:paraId="767DC3F8">
      <w:pPr>
        <w:tabs>
          <w:tab w:val="left" w:pos="9100"/>
        </w:tabs>
        <w:autoSpaceDE w:val="0"/>
        <w:autoSpaceDN w:val="0"/>
        <w:adjustRightInd w:val="0"/>
        <w:spacing w:line="360" w:lineRule="auto"/>
        <w:ind w:left="101" w:right="101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中标人：（全称）</w:t>
      </w:r>
      <w:r>
        <w:rPr>
          <w:rFonts w:hint="eastAsia" w:asciiTheme="minorEastAsia" w:hAnsiTheme="minorEastAsia" w:eastAsiaTheme="minorEastAsia" w:cstheme="minorEastAsia"/>
          <w:color w:val="auto"/>
          <w:kern w:val="0"/>
          <w:highlight w:val="none"/>
          <w:u w:val="single"/>
        </w:rPr>
        <w:tab/>
      </w:r>
    </w:p>
    <w:p w14:paraId="110241E6">
      <w:pPr>
        <w:autoSpaceDE w:val="0"/>
        <w:autoSpaceDN w:val="0"/>
        <w:adjustRightInd w:val="0"/>
        <w:spacing w:before="6" w:line="360" w:lineRule="auto"/>
        <w:jc w:val="left"/>
        <w:rPr>
          <w:rFonts w:hint="eastAsia" w:asciiTheme="minorEastAsia" w:hAnsiTheme="minorEastAsia" w:eastAsiaTheme="minorEastAsia" w:cstheme="minorEastAsia"/>
          <w:color w:val="auto"/>
          <w:kern w:val="0"/>
          <w:szCs w:val="15"/>
          <w:highlight w:val="none"/>
        </w:rPr>
      </w:pPr>
    </w:p>
    <w:p w14:paraId="30964C20">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1F3807F3">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44F84AE7">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position w:val="-3"/>
          <w:highlight w:val="none"/>
        </w:rPr>
        <w:t>根据国家、省有关廉政建设的规定，为做好合同工程的廉政建设，保证工程质量与施工安</w:t>
      </w:r>
      <w:r>
        <w:rPr>
          <w:rFonts w:hint="eastAsia" w:asciiTheme="minorEastAsia" w:hAnsiTheme="minorEastAsia" w:eastAsiaTheme="minorEastAsia" w:cstheme="minorEastAsia"/>
          <w:color w:val="auto"/>
          <w:kern w:val="0"/>
          <w:highlight w:val="none"/>
        </w:rPr>
        <w:t>全，提高建设资金的有效使用和投资效益，合同双方当事人就加强合同工程的廉政建设，订立本合同。</w:t>
      </w:r>
    </w:p>
    <w:p w14:paraId="3524FAB7">
      <w:pPr>
        <w:autoSpaceDE w:val="0"/>
        <w:autoSpaceDN w:val="0"/>
        <w:adjustRightInd w:val="0"/>
        <w:spacing w:line="360" w:lineRule="auto"/>
        <w:ind w:firstLine="482" w:firstLineChars="200"/>
        <w:jc w:val="left"/>
        <w:rPr>
          <w:rFonts w:hint="eastAsia" w:asciiTheme="minorEastAsia" w:hAnsiTheme="minorEastAsia" w:eastAsiaTheme="minorEastAsia" w:cstheme="minorEastAsia"/>
          <w:b/>
          <w:bCs/>
          <w:color w:val="auto"/>
          <w:spacing w:val="1"/>
          <w:kern w:val="0"/>
          <w:szCs w:val="28"/>
          <w:highlight w:val="none"/>
        </w:rPr>
      </w:pPr>
      <w:r>
        <w:rPr>
          <w:rFonts w:hint="eastAsia" w:asciiTheme="minorEastAsia" w:hAnsiTheme="minorEastAsia" w:eastAsiaTheme="minorEastAsia" w:cstheme="minorEastAsia"/>
          <w:b/>
          <w:bCs/>
          <w:color w:val="auto"/>
          <w:kern w:val="0"/>
          <w:szCs w:val="28"/>
          <w:highlight w:val="none"/>
        </w:rPr>
        <w:t>1</w:t>
      </w:r>
      <w:r>
        <w:rPr>
          <w:rFonts w:hint="eastAsia" w:asciiTheme="minorEastAsia" w:hAnsiTheme="minorEastAsia" w:eastAsiaTheme="minorEastAsia" w:cstheme="minorEastAsia"/>
          <w:b/>
          <w:bCs/>
          <w:color w:val="auto"/>
          <w:kern w:val="0"/>
          <w:szCs w:val="28"/>
          <w:highlight w:val="none"/>
        </w:rPr>
        <w:tab/>
      </w:r>
      <w:r>
        <w:rPr>
          <w:rFonts w:hint="eastAsia" w:asciiTheme="minorEastAsia" w:hAnsiTheme="minorEastAsia" w:eastAsiaTheme="minorEastAsia" w:cstheme="minorEastAsia"/>
          <w:b/>
          <w:bCs/>
          <w:color w:val="auto"/>
          <w:spacing w:val="1"/>
          <w:kern w:val="0"/>
          <w:szCs w:val="28"/>
          <w:highlight w:val="none"/>
        </w:rPr>
        <w:t>双方权利和义务</w:t>
      </w:r>
    </w:p>
    <w:p w14:paraId="545CBDDF">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1.1</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严格遵守国家、省有关法律法规的规定。</w:t>
      </w:r>
    </w:p>
    <w:p w14:paraId="7DF0856F">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1.2</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严格执行合同工程一切合同文件，自觉按合同办事。</w:t>
      </w:r>
    </w:p>
    <w:p w14:paraId="7DF08E7D">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1.3</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合同双方当事人的业务活动应坚持公平</w:t>
      </w:r>
      <w:r>
        <w:rPr>
          <w:rFonts w:hint="eastAsia" w:asciiTheme="minorEastAsia" w:hAnsiTheme="minorEastAsia" w:eastAsiaTheme="minorEastAsia" w:cstheme="minorEastAsia"/>
          <w:color w:val="auto"/>
          <w:spacing w:val="-12"/>
          <w:kern w:val="0"/>
          <w:highlight w:val="none"/>
        </w:rPr>
        <w:t>、</w:t>
      </w:r>
      <w:r>
        <w:rPr>
          <w:rFonts w:hint="eastAsia" w:asciiTheme="minorEastAsia" w:hAnsiTheme="minorEastAsia" w:eastAsiaTheme="minorEastAsia" w:cstheme="minorEastAsia"/>
          <w:color w:val="auto"/>
          <w:kern w:val="0"/>
          <w:highlight w:val="none"/>
        </w:rPr>
        <w:t>公开</w:t>
      </w:r>
      <w:r>
        <w:rPr>
          <w:rFonts w:hint="eastAsia" w:asciiTheme="minorEastAsia" w:hAnsiTheme="minorEastAsia" w:eastAsiaTheme="minorEastAsia" w:cstheme="minorEastAsia"/>
          <w:color w:val="auto"/>
          <w:spacing w:val="-12"/>
          <w:kern w:val="0"/>
          <w:highlight w:val="none"/>
        </w:rPr>
        <w:t>、</w:t>
      </w:r>
      <w:r>
        <w:rPr>
          <w:rFonts w:hint="eastAsia" w:asciiTheme="minorEastAsia" w:hAnsiTheme="minorEastAsia" w:eastAsiaTheme="minorEastAsia" w:cstheme="minorEastAsia"/>
          <w:color w:val="auto"/>
          <w:kern w:val="0"/>
          <w:highlight w:val="none"/>
        </w:rPr>
        <w:t>公正和诚信的原</w:t>
      </w:r>
      <w:r>
        <w:rPr>
          <w:rFonts w:hint="eastAsia" w:asciiTheme="minorEastAsia" w:hAnsiTheme="minorEastAsia" w:eastAsiaTheme="minorEastAsia" w:cstheme="minorEastAsia"/>
          <w:color w:val="auto"/>
          <w:spacing w:val="-12"/>
          <w:kern w:val="0"/>
          <w:highlight w:val="none"/>
        </w:rPr>
        <w:t>则</w:t>
      </w:r>
      <w:r>
        <w:rPr>
          <w:rFonts w:hint="eastAsia" w:asciiTheme="minorEastAsia" w:hAnsiTheme="minorEastAsia" w:eastAsiaTheme="minorEastAsia" w:cstheme="minorEastAsia"/>
          <w:color w:val="auto"/>
          <w:kern w:val="0"/>
          <w:highlight w:val="none"/>
        </w:rPr>
        <w:t>（法律认定的商业 秘密和合同文件另有规定除外</w:t>
      </w:r>
      <w:r>
        <w:rPr>
          <w:rFonts w:hint="eastAsia" w:asciiTheme="minorEastAsia" w:hAnsiTheme="minorEastAsia" w:eastAsiaTheme="minorEastAsia" w:cstheme="minorEastAsia"/>
          <w:color w:val="auto"/>
          <w:spacing w:val="-120"/>
          <w:kern w:val="0"/>
          <w:highlight w:val="none"/>
        </w:rPr>
        <w:t>）</w:t>
      </w:r>
      <w:r>
        <w:rPr>
          <w:rFonts w:hint="eastAsia" w:asciiTheme="minorEastAsia" w:hAnsiTheme="minorEastAsia" w:eastAsiaTheme="minorEastAsia" w:cstheme="minorEastAsia"/>
          <w:color w:val="auto"/>
          <w:kern w:val="0"/>
          <w:highlight w:val="none"/>
        </w:rPr>
        <w:t>，不得损害国家和集体利益，不得违反工程建设管理规章制度。</w:t>
      </w:r>
    </w:p>
    <w:p w14:paraId="1BBA8BB4">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1.4</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建立健全廉政制度</w:t>
      </w:r>
      <w:r>
        <w:rPr>
          <w:rFonts w:hint="eastAsia" w:asciiTheme="minorEastAsia" w:hAnsiTheme="minorEastAsia" w:eastAsiaTheme="minorEastAsia" w:cstheme="minorEastAsia"/>
          <w:color w:val="auto"/>
          <w:spacing w:val="-10"/>
          <w:kern w:val="0"/>
          <w:highlight w:val="none"/>
        </w:rPr>
        <w:t>，</w:t>
      </w:r>
      <w:r>
        <w:rPr>
          <w:rFonts w:hint="eastAsia" w:asciiTheme="minorEastAsia" w:hAnsiTheme="minorEastAsia" w:eastAsiaTheme="minorEastAsia" w:cstheme="minorEastAsia"/>
          <w:color w:val="auto"/>
          <w:kern w:val="0"/>
          <w:highlight w:val="none"/>
        </w:rPr>
        <w:t>开展廉政教育</w:t>
      </w:r>
      <w:r>
        <w:rPr>
          <w:rFonts w:hint="eastAsia" w:asciiTheme="minorEastAsia" w:hAnsiTheme="minorEastAsia" w:eastAsiaTheme="minorEastAsia" w:cstheme="minorEastAsia"/>
          <w:color w:val="auto"/>
          <w:spacing w:val="-8"/>
          <w:kern w:val="0"/>
          <w:highlight w:val="none"/>
        </w:rPr>
        <w:t>，</w:t>
      </w:r>
      <w:r>
        <w:rPr>
          <w:rFonts w:hint="eastAsia" w:asciiTheme="minorEastAsia" w:hAnsiTheme="minorEastAsia" w:eastAsiaTheme="minorEastAsia" w:cstheme="minorEastAsia"/>
          <w:color w:val="auto"/>
          <w:kern w:val="0"/>
          <w:highlight w:val="none"/>
        </w:rPr>
        <w:t>设立廉政告示牌</w:t>
      </w:r>
      <w:r>
        <w:rPr>
          <w:rFonts w:hint="eastAsia" w:asciiTheme="minorEastAsia" w:hAnsiTheme="minorEastAsia" w:eastAsiaTheme="minorEastAsia" w:cstheme="minorEastAsia"/>
          <w:color w:val="auto"/>
          <w:spacing w:val="-8"/>
          <w:kern w:val="0"/>
          <w:highlight w:val="none"/>
        </w:rPr>
        <w:t>，</w:t>
      </w:r>
      <w:r>
        <w:rPr>
          <w:rFonts w:hint="eastAsia" w:asciiTheme="minorEastAsia" w:hAnsiTheme="minorEastAsia" w:eastAsiaTheme="minorEastAsia" w:cstheme="minorEastAsia"/>
          <w:color w:val="auto"/>
          <w:kern w:val="0"/>
          <w:highlight w:val="none"/>
        </w:rPr>
        <w:t>公布举报电话</w:t>
      </w:r>
      <w:r>
        <w:rPr>
          <w:rFonts w:hint="eastAsia" w:asciiTheme="minorEastAsia" w:hAnsiTheme="minorEastAsia" w:eastAsiaTheme="minorEastAsia" w:cstheme="minorEastAsia"/>
          <w:color w:val="auto"/>
          <w:spacing w:val="-8"/>
          <w:kern w:val="0"/>
          <w:highlight w:val="none"/>
        </w:rPr>
        <w:t>，</w:t>
      </w:r>
      <w:r>
        <w:rPr>
          <w:rFonts w:hint="eastAsia" w:asciiTheme="minorEastAsia" w:hAnsiTheme="minorEastAsia" w:eastAsiaTheme="minorEastAsia" w:cstheme="minorEastAsia"/>
          <w:color w:val="auto"/>
          <w:kern w:val="0"/>
          <w:highlight w:val="none"/>
        </w:rPr>
        <w:t>监督并认真查 处违法违纪行为。</w:t>
      </w:r>
    </w:p>
    <w:p w14:paraId="394BCC7E">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1.5</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发现对方在业务活动中有违反廉政建设规定的行为，应及时给予提醒和纠正。</w:t>
      </w:r>
    </w:p>
    <w:p w14:paraId="3A3CCFAE">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1.6</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发现对方严重违反合同的行为</w:t>
      </w:r>
      <w:r>
        <w:rPr>
          <w:rFonts w:hint="eastAsia" w:asciiTheme="minorEastAsia" w:hAnsiTheme="minorEastAsia" w:eastAsiaTheme="minorEastAsia" w:cstheme="minorEastAsia"/>
          <w:color w:val="auto"/>
          <w:spacing w:val="-18"/>
          <w:kern w:val="0"/>
          <w:highlight w:val="none"/>
        </w:rPr>
        <w:t>，</w:t>
      </w:r>
      <w:r>
        <w:rPr>
          <w:rFonts w:hint="eastAsia" w:asciiTheme="minorEastAsia" w:hAnsiTheme="minorEastAsia" w:eastAsiaTheme="minorEastAsia" w:cstheme="minorEastAsia"/>
          <w:color w:val="auto"/>
          <w:kern w:val="0"/>
          <w:highlight w:val="none"/>
        </w:rPr>
        <w:t>有向其上级部门举报</w:t>
      </w:r>
      <w:r>
        <w:rPr>
          <w:rFonts w:hint="eastAsia" w:asciiTheme="minorEastAsia" w:hAnsiTheme="minorEastAsia" w:eastAsiaTheme="minorEastAsia" w:cstheme="minorEastAsia"/>
          <w:color w:val="auto"/>
          <w:spacing w:val="-18"/>
          <w:kern w:val="0"/>
          <w:highlight w:val="none"/>
        </w:rPr>
        <w:t>、</w:t>
      </w:r>
      <w:r>
        <w:rPr>
          <w:rFonts w:hint="eastAsia" w:asciiTheme="minorEastAsia" w:hAnsiTheme="minorEastAsia" w:eastAsiaTheme="minorEastAsia" w:cstheme="minorEastAsia"/>
          <w:color w:val="auto"/>
          <w:kern w:val="0"/>
          <w:highlight w:val="none"/>
        </w:rPr>
        <w:t>建议给予处理并要求告知处理 结果的权利。没有上级部门的，可按本合同第二部分《通用条款》第87 条规定处理。</w:t>
      </w:r>
    </w:p>
    <w:p w14:paraId="7D2BCF75">
      <w:pPr>
        <w:autoSpaceDE w:val="0"/>
        <w:autoSpaceDN w:val="0"/>
        <w:adjustRightInd w:val="0"/>
        <w:spacing w:line="360" w:lineRule="auto"/>
        <w:ind w:firstLine="482" w:firstLineChars="200"/>
        <w:jc w:val="left"/>
        <w:rPr>
          <w:rFonts w:hint="eastAsia" w:asciiTheme="minorEastAsia" w:hAnsiTheme="minorEastAsia" w:eastAsiaTheme="minorEastAsia" w:cstheme="minorEastAsia"/>
          <w:b/>
          <w:bCs/>
          <w:color w:val="auto"/>
          <w:spacing w:val="1"/>
          <w:kern w:val="0"/>
          <w:szCs w:val="28"/>
          <w:highlight w:val="none"/>
        </w:rPr>
      </w:pPr>
      <w:r>
        <w:rPr>
          <w:rFonts w:hint="eastAsia" w:asciiTheme="minorEastAsia" w:hAnsiTheme="minorEastAsia" w:eastAsiaTheme="minorEastAsia" w:cstheme="minorEastAsia"/>
          <w:b/>
          <w:bCs/>
          <w:color w:val="auto"/>
          <w:kern w:val="0"/>
          <w:szCs w:val="28"/>
          <w:highlight w:val="none"/>
        </w:rPr>
        <w:t>2</w:t>
      </w:r>
      <w:r>
        <w:rPr>
          <w:rFonts w:hint="eastAsia" w:asciiTheme="minorEastAsia" w:hAnsiTheme="minorEastAsia" w:eastAsiaTheme="minorEastAsia" w:cstheme="minorEastAsia"/>
          <w:b/>
          <w:bCs/>
          <w:color w:val="auto"/>
          <w:kern w:val="0"/>
          <w:szCs w:val="28"/>
          <w:highlight w:val="none"/>
        </w:rPr>
        <w:tab/>
      </w:r>
      <w:r>
        <w:rPr>
          <w:rFonts w:hint="eastAsia" w:asciiTheme="minorEastAsia" w:hAnsiTheme="minorEastAsia" w:eastAsiaTheme="minorEastAsia" w:cstheme="minorEastAsia"/>
          <w:b/>
          <w:bCs/>
          <w:color w:val="auto"/>
          <w:spacing w:val="1"/>
          <w:kern w:val="0"/>
          <w:szCs w:val="28"/>
          <w:highlight w:val="none"/>
        </w:rPr>
        <w:t>招标人义务</w:t>
      </w:r>
    </w:p>
    <w:p w14:paraId="250A1280">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2.1</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招标人及其工作人员不得索取或接受中标人的礼金</w:t>
      </w:r>
      <w:r>
        <w:rPr>
          <w:rFonts w:hint="eastAsia" w:asciiTheme="minorEastAsia" w:hAnsiTheme="minorEastAsia" w:eastAsiaTheme="minorEastAsia" w:cstheme="minorEastAsia"/>
          <w:color w:val="auto"/>
          <w:spacing w:val="-18"/>
          <w:kern w:val="0"/>
          <w:highlight w:val="none"/>
        </w:rPr>
        <w:t>、</w:t>
      </w:r>
      <w:r>
        <w:rPr>
          <w:rFonts w:hint="eastAsia" w:asciiTheme="minorEastAsia" w:hAnsiTheme="minorEastAsia" w:eastAsiaTheme="minorEastAsia" w:cstheme="minorEastAsia"/>
          <w:color w:val="auto"/>
          <w:kern w:val="0"/>
          <w:highlight w:val="none"/>
        </w:rPr>
        <w:t>有价证券和贵重物品</w:t>
      </w:r>
      <w:r>
        <w:rPr>
          <w:rFonts w:hint="eastAsia" w:asciiTheme="minorEastAsia" w:hAnsiTheme="minorEastAsia" w:eastAsiaTheme="minorEastAsia" w:cstheme="minorEastAsia"/>
          <w:color w:val="auto"/>
          <w:spacing w:val="-18"/>
          <w:kern w:val="0"/>
          <w:highlight w:val="none"/>
        </w:rPr>
        <w:t>，</w:t>
      </w:r>
      <w:r>
        <w:rPr>
          <w:rFonts w:hint="eastAsia" w:asciiTheme="minorEastAsia" w:hAnsiTheme="minorEastAsia" w:eastAsiaTheme="minorEastAsia" w:cstheme="minorEastAsia"/>
          <w:color w:val="auto"/>
          <w:kern w:val="0"/>
          <w:highlight w:val="none"/>
        </w:rPr>
        <w:t>不得在承 包人报销任何应由招标人或其工作人员个人支付的费用。</w:t>
      </w:r>
    </w:p>
    <w:p w14:paraId="224220B2">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2.2</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招标人及其工作人员不得参加中标人安排的宴</w:t>
      </w:r>
      <w:r>
        <w:rPr>
          <w:rFonts w:hint="eastAsia" w:asciiTheme="minorEastAsia" w:hAnsiTheme="minorEastAsia" w:eastAsiaTheme="minorEastAsia" w:cstheme="minorEastAsia"/>
          <w:color w:val="auto"/>
          <w:spacing w:val="-12"/>
          <w:kern w:val="0"/>
          <w:highlight w:val="none"/>
        </w:rPr>
        <w:t>请</w:t>
      </w:r>
      <w:r>
        <w:rPr>
          <w:rFonts w:hint="eastAsia" w:asciiTheme="minorEastAsia" w:hAnsiTheme="minorEastAsia" w:eastAsiaTheme="minorEastAsia" w:cstheme="minorEastAsia"/>
          <w:color w:val="auto"/>
          <w:kern w:val="0"/>
          <w:highlight w:val="none"/>
        </w:rPr>
        <w:t>（工作餐除外</w:t>
      </w:r>
      <w:r>
        <w:rPr>
          <w:rFonts w:hint="eastAsia" w:asciiTheme="minorEastAsia" w:hAnsiTheme="minorEastAsia" w:eastAsiaTheme="minorEastAsia" w:cstheme="minorEastAsia"/>
          <w:color w:val="auto"/>
          <w:spacing w:val="-12"/>
          <w:kern w:val="0"/>
          <w:highlight w:val="none"/>
        </w:rPr>
        <w:t>）</w:t>
      </w:r>
      <w:r>
        <w:rPr>
          <w:rFonts w:hint="eastAsia" w:asciiTheme="minorEastAsia" w:hAnsiTheme="minorEastAsia" w:eastAsiaTheme="minorEastAsia" w:cstheme="minorEastAsia"/>
          <w:color w:val="auto"/>
          <w:kern w:val="0"/>
          <w:highlight w:val="none"/>
        </w:rPr>
        <w:t>和娱乐活动</w:t>
      </w:r>
      <w:r>
        <w:rPr>
          <w:rFonts w:hint="eastAsia" w:asciiTheme="minorEastAsia" w:hAnsiTheme="minorEastAsia" w:eastAsiaTheme="minorEastAsia" w:cstheme="minorEastAsia"/>
          <w:color w:val="auto"/>
          <w:spacing w:val="-12"/>
          <w:kern w:val="0"/>
          <w:highlight w:val="none"/>
        </w:rPr>
        <w:t>，</w:t>
      </w:r>
      <w:r>
        <w:rPr>
          <w:rFonts w:hint="eastAsia" w:asciiTheme="minorEastAsia" w:hAnsiTheme="minorEastAsia" w:eastAsiaTheme="minorEastAsia" w:cstheme="minorEastAsia"/>
          <w:color w:val="auto"/>
          <w:kern w:val="0"/>
          <w:highlight w:val="none"/>
        </w:rPr>
        <w:t>不得接受中标人提供的通讯、交通工具和高档办公用品等物品。</w:t>
      </w:r>
    </w:p>
    <w:p w14:paraId="5F6DD461">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position w:val="-2"/>
          <w:highlight w:val="none"/>
        </w:rPr>
        <w:t>2.3</w:t>
      </w:r>
      <w:r>
        <w:rPr>
          <w:rFonts w:hint="eastAsia" w:asciiTheme="minorEastAsia" w:hAnsiTheme="minorEastAsia" w:eastAsiaTheme="minorEastAsia" w:cstheme="minorEastAsia"/>
          <w:color w:val="auto"/>
          <w:kern w:val="0"/>
          <w:position w:val="-2"/>
          <w:highlight w:val="none"/>
        </w:rPr>
        <w:tab/>
      </w:r>
      <w:r>
        <w:rPr>
          <w:rFonts w:hint="eastAsia" w:asciiTheme="minorEastAsia" w:hAnsiTheme="minorEastAsia" w:eastAsiaTheme="minorEastAsia" w:cstheme="minorEastAsia"/>
          <w:color w:val="auto"/>
          <w:kern w:val="0"/>
          <w:position w:val="-2"/>
          <w:highlight w:val="none"/>
        </w:rPr>
        <w:t>招标人及其工作人员不得要求或者接受中标人为其住房装修</w:t>
      </w:r>
      <w:r>
        <w:rPr>
          <w:rFonts w:hint="eastAsia" w:asciiTheme="minorEastAsia" w:hAnsiTheme="minorEastAsia" w:eastAsiaTheme="minorEastAsia" w:cstheme="minorEastAsia"/>
          <w:color w:val="auto"/>
          <w:spacing w:val="-18"/>
          <w:kern w:val="0"/>
          <w:position w:val="-2"/>
          <w:highlight w:val="none"/>
        </w:rPr>
        <w:t>、</w:t>
      </w:r>
      <w:r>
        <w:rPr>
          <w:rFonts w:hint="eastAsia" w:asciiTheme="minorEastAsia" w:hAnsiTheme="minorEastAsia" w:eastAsiaTheme="minorEastAsia" w:cstheme="minorEastAsia"/>
          <w:color w:val="auto"/>
          <w:kern w:val="0"/>
          <w:position w:val="-2"/>
          <w:highlight w:val="none"/>
        </w:rPr>
        <w:t>婚丧嫁娶活动</w:t>
      </w:r>
      <w:r>
        <w:rPr>
          <w:rFonts w:hint="eastAsia" w:asciiTheme="minorEastAsia" w:hAnsiTheme="minorEastAsia" w:eastAsiaTheme="minorEastAsia" w:cstheme="minorEastAsia"/>
          <w:color w:val="auto"/>
          <w:spacing w:val="-18"/>
          <w:kern w:val="0"/>
          <w:position w:val="-2"/>
          <w:highlight w:val="none"/>
        </w:rPr>
        <w:t>、</w:t>
      </w:r>
      <w:r>
        <w:rPr>
          <w:rFonts w:hint="eastAsia" w:asciiTheme="minorEastAsia" w:hAnsiTheme="minorEastAsia" w:eastAsiaTheme="minorEastAsia" w:cstheme="minorEastAsia"/>
          <w:color w:val="auto"/>
          <w:kern w:val="0"/>
          <w:position w:val="-2"/>
          <w:highlight w:val="none"/>
        </w:rPr>
        <w:t>配偶子</w:t>
      </w:r>
      <w:r>
        <w:rPr>
          <w:rFonts w:hint="eastAsia" w:asciiTheme="minorEastAsia" w:hAnsiTheme="minorEastAsia" w:eastAsiaTheme="minorEastAsia" w:cstheme="minorEastAsia"/>
          <w:color w:val="auto"/>
          <w:kern w:val="0"/>
          <w:highlight w:val="none"/>
        </w:rPr>
        <w:t>女工作安排以及出国出境、旅游等提供方便。</w:t>
      </w:r>
    </w:p>
    <w:p w14:paraId="346DF012">
      <w:pPr>
        <w:autoSpaceDE w:val="0"/>
        <w:autoSpaceDN w:val="0"/>
        <w:adjustRightInd w:val="0"/>
        <w:spacing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 xml:space="preserve">2.4 </w:t>
      </w:r>
      <w:r>
        <w:rPr>
          <w:rFonts w:hint="eastAsia" w:asciiTheme="minorEastAsia" w:hAnsiTheme="minorEastAsia" w:eastAsiaTheme="minorEastAsia" w:cstheme="minorEastAsia"/>
          <w:color w:val="auto"/>
          <w:spacing w:val="2"/>
          <w:kern w:val="0"/>
          <w:highlight w:val="none"/>
        </w:rPr>
        <w:t>招标人及其工作人员不得以任何理由向中标人推荐</w:t>
      </w:r>
      <w:r>
        <w:rPr>
          <w:rFonts w:hint="eastAsia" w:asciiTheme="minorEastAsia" w:hAnsiTheme="minorEastAsia" w:eastAsiaTheme="minorEastAsia" w:cstheme="minorEastAsia"/>
          <w:color w:val="auto"/>
          <w:spacing w:val="1"/>
          <w:kern w:val="0"/>
          <w:highlight w:val="none"/>
        </w:rPr>
        <w:t>分</w:t>
      </w:r>
      <w:r>
        <w:rPr>
          <w:rFonts w:hint="eastAsia" w:asciiTheme="minorEastAsia" w:hAnsiTheme="minorEastAsia" w:eastAsiaTheme="minorEastAsia" w:cstheme="minorEastAsia"/>
          <w:color w:val="auto"/>
          <w:spacing w:val="2"/>
          <w:kern w:val="0"/>
          <w:highlight w:val="none"/>
        </w:rPr>
        <w:t xml:space="preserve">包人、推销材料和工程设备，不 </w:t>
      </w:r>
      <w:r>
        <w:rPr>
          <w:rFonts w:hint="eastAsia" w:asciiTheme="minorEastAsia" w:hAnsiTheme="minorEastAsia" w:eastAsiaTheme="minorEastAsia" w:cstheme="minorEastAsia"/>
          <w:color w:val="auto"/>
          <w:kern w:val="0"/>
          <w:highlight w:val="none"/>
        </w:rPr>
        <w:t>得要求中标人购买合同以外的材料和工程设备。</w:t>
      </w:r>
    </w:p>
    <w:p w14:paraId="14AA02E8">
      <w:pPr>
        <w:autoSpaceDE w:val="0"/>
        <w:autoSpaceDN w:val="0"/>
        <w:adjustRightInd w:val="0"/>
        <w:spacing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2.5</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招标人及其工作人员要秉公办事</w:t>
      </w:r>
      <w:r>
        <w:rPr>
          <w:rFonts w:hint="eastAsia" w:asciiTheme="minorEastAsia" w:hAnsiTheme="minorEastAsia" w:eastAsiaTheme="minorEastAsia" w:cstheme="minorEastAsia"/>
          <w:color w:val="auto"/>
          <w:spacing w:val="-18"/>
          <w:kern w:val="0"/>
          <w:highlight w:val="none"/>
        </w:rPr>
        <w:t>，</w:t>
      </w:r>
      <w:r>
        <w:rPr>
          <w:rFonts w:hint="eastAsia" w:asciiTheme="minorEastAsia" w:hAnsiTheme="minorEastAsia" w:eastAsiaTheme="minorEastAsia" w:cstheme="minorEastAsia"/>
          <w:color w:val="auto"/>
          <w:kern w:val="0"/>
          <w:highlight w:val="none"/>
        </w:rPr>
        <w:t>不准营私舞弊</w:t>
      </w:r>
      <w:r>
        <w:rPr>
          <w:rFonts w:hint="eastAsia" w:asciiTheme="minorEastAsia" w:hAnsiTheme="minorEastAsia" w:eastAsiaTheme="minorEastAsia" w:cstheme="minorEastAsia"/>
          <w:color w:val="auto"/>
          <w:spacing w:val="-18"/>
          <w:kern w:val="0"/>
          <w:highlight w:val="none"/>
        </w:rPr>
        <w:t>，</w:t>
      </w:r>
      <w:r>
        <w:rPr>
          <w:rFonts w:hint="eastAsia" w:asciiTheme="minorEastAsia" w:hAnsiTheme="minorEastAsia" w:eastAsiaTheme="minorEastAsia" w:cstheme="minorEastAsia"/>
          <w:color w:val="auto"/>
          <w:kern w:val="0"/>
          <w:highlight w:val="none"/>
        </w:rPr>
        <w:t>不准利用职权私自为合同工程安排 施工队伍，也不得从事与合同工程有关的各种有偿中介活动。</w:t>
      </w:r>
    </w:p>
    <w:p w14:paraId="3B719603">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 xml:space="preserve">2.6 </w:t>
      </w:r>
      <w:r>
        <w:rPr>
          <w:rFonts w:hint="eastAsia" w:asciiTheme="minorEastAsia" w:hAnsiTheme="minorEastAsia" w:eastAsiaTheme="minorEastAsia" w:cstheme="minorEastAsia"/>
          <w:color w:val="auto"/>
          <w:spacing w:val="2"/>
          <w:kern w:val="0"/>
          <w:highlight w:val="none"/>
        </w:rPr>
        <w:t>招标人及其工作人员（含其配偶、子女）不得从事</w:t>
      </w:r>
      <w:r>
        <w:rPr>
          <w:rFonts w:hint="eastAsia" w:asciiTheme="minorEastAsia" w:hAnsiTheme="minorEastAsia" w:eastAsiaTheme="minorEastAsia" w:cstheme="minorEastAsia"/>
          <w:color w:val="auto"/>
          <w:spacing w:val="1"/>
          <w:kern w:val="0"/>
          <w:highlight w:val="none"/>
        </w:rPr>
        <w:t>与</w:t>
      </w:r>
      <w:r>
        <w:rPr>
          <w:rFonts w:hint="eastAsia" w:asciiTheme="minorEastAsia" w:hAnsiTheme="minorEastAsia" w:eastAsiaTheme="minorEastAsia" w:cstheme="minorEastAsia"/>
          <w:color w:val="auto"/>
          <w:spacing w:val="2"/>
          <w:kern w:val="0"/>
          <w:highlight w:val="none"/>
        </w:rPr>
        <w:t xml:space="preserve">合同工程有关的材料和工程设备 </w:t>
      </w:r>
      <w:r>
        <w:rPr>
          <w:rFonts w:hint="eastAsia" w:asciiTheme="minorEastAsia" w:hAnsiTheme="minorEastAsia" w:eastAsiaTheme="minorEastAsia" w:cstheme="minorEastAsia"/>
          <w:color w:val="auto"/>
          <w:kern w:val="0"/>
          <w:highlight w:val="none"/>
        </w:rPr>
        <w:t>供应、工程分包、劳务等经济活动。</w:t>
      </w:r>
    </w:p>
    <w:p w14:paraId="4D9BB120">
      <w:pPr>
        <w:autoSpaceDE w:val="0"/>
        <w:autoSpaceDN w:val="0"/>
        <w:adjustRightInd w:val="0"/>
        <w:spacing w:before="72" w:line="360" w:lineRule="auto"/>
        <w:ind w:right="185" w:firstLine="482" w:firstLineChars="200"/>
        <w:jc w:val="left"/>
        <w:rPr>
          <w:rFonts w:hint="eastAsia" w:asciiTheme="minorEastAsia" w:hAnsiTheme="minorEastAsia" w:eastAsiaTheme="minorEastAsia" w:cstheme="minorEastAsia"/>
          <w:b/>
          <w:bCs/>
          <w:color w:val="auto"/>
          <w:spacing w:val="1"/>
          <w:kern w:val="0"/>
          <w:szCs w:val="28"/>
          <w:highlight w:val="none"/>
        </w:rPr>
      </w:pPr>
      <w:r>
        <w:rPr>
          <w:rFonts w:hint="eastAsia" w:asciiTheme="minorEastAsia" w:hAnsiTheme="minorEastAsia" w:eastAsiaTheme="minorEastAsia" w:cstheme="minorEastAsia"/>
          <w:b/>
          <w:bCs/>
          <w:color w:val="auto"/>
          <w:kern w:val="0"/>
          <w:szCs w:val="28"/>
          <w:highlight w:val="none"/>
        </w:rPr>
        <w:t>3</w:t>
      </w:r>
      <w:r>
        <w:rPr>
          <w:rFonts w:hint="eastAsia" w:asciiTheme="minorEastAsia" w:hAnsiTheme="minorEastAsia" w:eastAsiaTheme="minorEastAsia" w:cstheme="minorEastAsia"/>
          <w:b/>
          <w:bCs/>
          <w:color w:val="auto"/>
          <w:kern w:val="0"/>
          <w:szCs w:val="28"/>
          <w:highlight w:val="none"/>
        </w:rPr>
        <w:tab/>
      </w:r>
      <w:r>
        <w:rPr>
          <w:rFonts w:hint="eastAsia" w:asciiTheme="minorEastAsia" w:hAnsiTheme="minorEastAsia" w:eastAsiaTheme="minorEastAsia" w:cstheme="minorEastAsia"/>
          <w:b/>
          <w:bCs/>
          <w:color w:val="auto"/>
          <w:spacing w:val="1"/>
          <w:kern w:val="0"/>
          <w:szCs w:val="28"/>
          <w:highlight w:val="none"/>
        </w:rPr>
        <w:t>中标人义务</w:t>
      </w:r>
    </w:p>
    <w:p w14:paraId="394B952F">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3.1</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中标人不得以任何理由向招标人及其工作人员行贿或馈赠礼金</w:t>
      </w:r>
      <w:r>
        <w:rPr>
          <w:rFonts w:hint="eastAsia" w:asciiTheme="minorEastAsia" w:hAnsiTheme="minorEastAsia" w:eastAsiaTheme="minorEastAsia" w:cstheme="minorEastAsia"/>
          <w:color w:val="auto"/>
          <w:spacing w:val="-78"/>
          <w:kern w:val="0"/>
          <w:highlight w:val="none"/>
        </w:rPr>
        <w:t>、</w:t>
      </w:r>
      <w:r>
        <w:rPr>
          <w:rFonts w:hint="eastAsia" w:asciiTheme="minorEastAsia" w:hAnsiTheme="minorEastAsia" w:eastAsiaTheme="minorEastAsia" w:cstheme="minorEastAsia"/>
          <w:color w:val="auto"/>
          <w:kern w:val="0"/>
          <w:highlight w:val="none"/>
        </w:rPr>
        <w:t>有价证券</w:t>
      </w:r>
      <w:r>
        <w:rPr>
          <w:rFonts w:hint="eastAsia" w:asciiTheme="minorEastAsia" w:hAnsiTheme="minorEastAsia" w:eastAsiaTheme="minorEastAsia" w:cstheme="minorEastAsia"/>
          <w:color w:val="auto"/>
          <w:spacing w:val="-78"/>
          <w:kern w:val="0"/>
          <w:highlight w:val="none"/>
        </w:rPr>
        <w:t>、</w:t>
      </w:r>
      <w:r>
        <w:rPr>
          <w:rFonts w:hint="eastAsia" w:asciiTheme="minorEastAsia" w:hAnsiTheme="minorEastAsia" w:eastAsiaTheme="minorEastAsia" w:cstheme="minorEastAsia"/>
          <w:color w:val="auto"/>
          <w:kern w:val="0"/>
          <w:highlight w:val="none"/>
        </w:rPr>
        <w:t>贵重礼品。</w:t>
      </w:r>
    </w:p>
    <w:p w14:paraId="63B51EC7">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3.2</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spacing w:val="5"/>
          <w:kern w:val="0"/>
          <w:highlight w:val="none"/>
        </w:rPr>
        <w:t>中标人不得以任何名义为招标人及其</w:t>
      </w:r>
      <w:r>
        <w:rPr>
          <w:rFonts w:hint="eastAsia" w:asciiTheme="minorEastAsia" w:hAnsiTheme="minorEastAsia" w:eastAsiaTheme="minorEastAsia" w:cstheme="minorEastAsia"/>
          <w:color w:val="auto"/>
          <w:spacing w:val="4"/>
          <w:kern w:val="0"/>
          <w:highlight w:val="none"/>
        </w:rPr>
        <w:t>工</w:t>
      </w:r>
      <w:r>
        <w:rPr>
          <w:rFonts w:hint="eastAsia" w:asciiTheme="minorEastAsia" w:hAnsiTheme="minorEastAsia" w:eastAsiaTheme="minorEastAsia" w:cstheme="minorEastAsia"/>
          <w:color w:val="auto"/>
          <w:spacing w:val="6"/>
          <w:kern w:val="0"/>
          <w:highlight w:val="none"/>
        </w:rPr>
        <w:t xml:space="preserve">作人员报销应由招标人或其工作人员个人支 </w:t>
      </w:r>
      <w:r>
        <w:rPr>
          <w:rFonts w:hint="eastAsia" w:asciiTheme="minorEastAsia" w:hAnsiTheme="minorEastAsia" w:eastAsiaTheme="minorEastAsia" w:cstheme="minorEastAsia"/>
          <w:color w:val="auto"/>
          <w:kern w:val="0"/>
          <w:highlight w:val="none"/>
        </w:rPr>
        <w:t>付的任何费用。</w:t>
      </w:r>
    </w:p>
    <w:p w14:paraId="644D8D3B">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3.3</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中标人不得以任何理由安排招标人及其工作人员参加宴</w:t>
      </w:r>
      <w:r>
        <w:rPr>
          <w:rFonts w:hint="eastAsia" w:asciiTheme="minorEastAsia" w:hAnsiTheme="minorEastAsia" w:eastAsiaTheme="minorEastAsia" w:cstheme="minorEastAsia"/>
          <w:color w:val="auto"/>
          <w:spacing w:val="-78"/>
          <w:kern w:val="0"/>
          <w:highlight w:val="none"/>
        </w:rPr>
        <w:t>请</w:t>
      </w:r>
      <w:r>
        <w:rPr>
          <w:rFonts w:hint="eastAsia" w:asciiTheme="minorEastAsia" w:hAnsiTheme="minorEastAsia" w:eastAsiaTheme="minorEastAsia" w:cstheme="minorEastAsia"/>
          <w:color w:val="auto"/>
          <w:kern w:val="0"/>
          <w:highlight w:val="none"/>
        </w:rPr>
        <w:t>（工作餐除外</w:t>
      </w:r>
      <w:r>
        <w:rPr>
          <w:rFonts w:hint="eastAsia" w:asciiTheme="minorEastAsia" w:hAnsiTheme="minorEastAsia" w:eastAsiaTheme="minorEastAsia" w:cstheme="minorEastAsia"/>
          <w:color w:val="auto"/>
          <w:spacing w:val="-78"/>
          <w:kern w:val="0"/>
          <w:highlight w:val="none"/>
        </w:rPr>
        <w:t>）</w:t>
      </w:r>
      <w:r>
        <w:rPr>
          <w:rFonts w:hint="eastAsia" w:asciiTheme="minorEastAsia" w:hAnsiTheme="minorEastAsia" w:eastAsiaTheme="minorEastAsia" w:cstheme="minorEastAsia"/>
          <w:color w:val="auto"/>
          <w:kern w:val="0"/>
          <w:highlight w:val="none"/>
        </w:rPr>
        <w:t>及娱乐活动。</w:t>
      </w:r>
    </w:p>
    <w:p w14:paraId="27DD60F2">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3.4</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中标人不得为招标人和个人购置或提供通讯、交通工具和高档办公用品等物品。</w:t>
      </w:r>
    </w:p>
    <w:p w14:paraId="57149C64">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3.5</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中标人不得为招标人及其工作人员的住房装修</w:t>
      </w:r>
      <w:r>
        <w:rPr>
          <w:rFonts w:hint="eastAsia" w:asciiTheme="minorEastAsia" w:hAnsiTheme="minorEastAsia" w:eastAsiaTheme="minorEastAsia" w:cstheme="minorEastAsia"/>
          <w:color w:val="auto"/>
          <w:spacing w:val="-18"/>
          <w:kern w:val="0"/>
          <w:highlight w:val="none"/>
        </w:rPr>
        <w:t>、</w:t>
      </w:r>
      <w:r>
        <w:rPr>
          <w:rFonts w:hint="eastAsia" w:asciiTheme="minorEastAsia" w:hAnsiTheme="minorEastAsia" w:eastAsiaTheme="minorEastAsia" w:cstheme="minorEastAsia"/>
          <w:color w:val="auto"/>
          <w:kern w:val="0"/>
          <w:highlight w:val="none"/>
        </w:rPr>
        <w:t>婚丧嫁娶活动</w:t>
      </w:r>
      <w:r>
        <w:rPr>
          <w:rFonts w:hint="eastAsia" w:asciiTheme="minorEastAsia" w:hAnsiTheme="minorEastAsia" w:eastAsiaTheme="minorEastAsia" w:cstheme="minorEastAsia"/>
          <w:color w:val="auto"/>
          <w:spacing w:val="-18"/>
          <w:kern w:val="0"/>
          <w:highlight w:val="none"/>
        </w:rPr>
        <w:t>、</w:t>
      </w:r>
      <w:r>
        <w:rPr>
          <w:rFonts w:hint="eastAsia" w:asciiTheme="minorEastAsia" w:hAnsiTheme="minorEastAsia" w:eastAsiaTheme="minorEastAsia" w:cstheme="minorEastAsia"/>
          <w:color w:val="auto"/>
          <w:kern w:val="0"/>
          <w:highlight w:val="none"/>
        </w:rPr>
        <w:t>配偶子女工作安排以 及出国出境、旅游等提供方便。</w:t>
      </w:r>
    </w:p>
    <w:p w14:paraId="0EC4B34F">
      <w:pPr>
        <w:autoSpaceDE w:val="0"/>
        <w:autoSpaceDN w:val="0"/>
        <w:adjustRightInd w:val="0"/>
        <w:spacing w:before="72" w:line="360" w:lineRule="auto"/>
        <w:ind w:right="185" w:firstLine="482" w:firstLineChars="200"/>
        <w:jc w:val="left"/>
        <w:rPr>
          <w:rFonts w:hint="eastAsia" w:asciiTheme="minorEastAsia" w:hAnsiTheme="minorEastAsia" w:eastAsiaTheme="minorEastAsia" w:cstheme="minorEastAsia"/>
          <w:b/>
          <w:bCs/>
          <w:color w:val="auto"/>
          <w:spacing w:val="1"/>
          <w:kern w:val="0"/>
          <w:szCs w:val="28"/>
          <w:highlight w:val="none"/>
        </w:rPr>
      </w:pPr>
      <w:r>
        <w:rPr>
          <w:rFonts w:hint="eastAsia" w:asciiTheme="minorEastAsia" w:hAnsiTheme="minorEastAsia" w:eastAsiaTheme="minorEastAsia" w:cstheme="minorEastAsia"/>
          <w:b/>
          <w:bCs/>
          <w:color w:val="auto"/>
          <w:kern w:val="0"/>
          <w:szCs w:val="28"/>
          <w:highlight w:val="none"/>
        </w:rPr>
        <w:t>4</w:t>
      </w:r>
      <w:r>
        <w:rPr>
          <w:rFonts w:hint="eastAsia" w:asciiTheme="minorEastAsia" w:hAnsiTheme="minorEastAsia" w:eastAsiaTheme="minorEastAsia" w:cstheme="minorEastAsia"/>
          <w:b/>
          <w:bCs/>
          <w:color w:val="auto"/>
          <w:kern w:val="0"/>
          <w:szCs w:val="28"/>
          <w:highlight w:val="none"/>
        </w:rPr>
        <w:tab/>
      </w:r>
      <w:r>
        <w:rPr>
          <w:rFonts w:hint="eastAsia" w:asciiTheme="minorEastAsia" w:hAnsiTheme="minorEastAsia" w:eastAsiaTheme="minorEastAsia" w:cstheme="minorEastAsia"/>
          <w:b/>
          <w:bCs/>
          <w:color w:val="auto"/>
          <w:spacing w:val="1"/>
          <w:kern w:val="0"/>
          <w:szCs w:val="28"/>
          <w:highlight w:val="none"/>
        </w:rPr>
        <w:t>违约责任</w:t>
      </w:r>
    </w:p>
    <w:p w14:paraId="7B8FD472">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4.1</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招标人及其工作人员违反本合同第1 条和第2 条规定</w:t>
      </w:r>
      <w:r>
        <w:rPr>
          <w:rFonts w:hint="eastAsia" w:asciiTheme="minorEastAsia" w:hAnsiTheme="minorEastAsia" w:eastAsiaTheme="minorEastAsia" w:cstheme="minorEastAsia"/>
          <w:color w:val="auto"/>
          <w:spacing w:val="-36"/>
          <w:kern w:val="0"/>
          <w:highlight w:val="none"/>
        </w:rPr>
        <w:t>，</w:t>
      </w:r>
      <w:r>
        <w:rPr>
          <w:rFonts w:hint="eastAsia" w:asciiTheme="minorEastAsia" w:hAnsiTheme="minorEastAsia" w:eastAsiaTheme="minorEastAsia" w:cstheme="minorEastAsia"/>
          <w:color w:val="auto"/>
          <w:kern w:val="0"/>
          <w:highlight w:val="none"/>
        </w:rPr>
        <w:t>应按照廉政建设的有关规定给 予处分；涉嫌犯罪的，移交司法机关追究刑事责任；给中标人造成损失的，应予赔偿。</w:t>
      </w:r>
    </w:p>
    <w:p w14:paraId="34408EEB">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4.2</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中标人及其工作人员违反本合同第1 条和第3 条规定</w:t>
      </w:r>
      <w:r>
        <w:rPr>
          <w:rFonts w:hint="eastAsia" w:asciiTheme="minorEastAsia" w:hAnsiTheme="minorEastAsia" w:eastAsiaTheme="minorEastAsia" w:cstheme="minorEastAsia"/>
          <w:color w:val="auto"/>
          <w:spacing w:val="-36"/>
          <w:kern w:val="0"/>
          <w:highlight w:val="none"/>
        </w:rPr>
        <w:t>，</w:t>
      </w:r>
      <w:r>
        <w:rPr>
          <w:rFonts w:hint="eastAsia" w:asciiTheme="minorEastAsia" w:hAnsiTheme="minorEastAsia" w:eastAsiaTheme="minorEastAsia" w:cstheme="minorEastAsia"/>
          <w:color w:val="auto"/>
          <w:kern w:val="0"/>
          <w:highlight w:val="none"/>
        </w:rPr>
        <w:t>应按照廉政建设的有关规定给 予处分</w:t>
      </w:r>
      <w:r>
        <w:rPr>
          <w:rFonts w:hint="eastAsia" w:asciiTheme="minorEastAsia" w:hAnsiTheme="minorEastAsia" w:eastAsiaTheme="minorEastAsia" w:cstheme="minorEastAsia"/>
          <w:color w:val="auto"/>
          <w:spacing w:val="-24"/>
          <w:kern w:val="0"/>
          <w:highlight w:val="none"/>
        </w:rPr>
        <w:t>；</w:t>
      </w:r>
      <w:r>
        <w:rPr>
          <w:rFonts w:hint="eastAsia" w:asciiTheme="minorEastAsia" w:hAnsiTheme="minorEastAsia" w:eastAsiaTheme="minorEastAsia" w:cstheme="minorEastAsia"/>
          <w:color w:val="auto"/>
          <w:kern w:val="0"/>
          <w:highlight w:val="none"/>
        </w:rPr>
        <w:t>情节严重的</w:t>
      </w:r>
      <w:r>
        <w:rPr>
          <w:rFonts w:hint="eastAsia" w:asciiTheme="minorEastAsia" w:hAnsiTheme="minorEastAsia" w:eastAsiaTheme="minorEastAsia" w:cstheme="minorEastAsia"/>
          <w:color w:val="auto"/>
          <w:spacing w:val="-24"/>
          <w:kern w:val="0"/>
          <w:highlight w:val="none"/>
        </w:rPr>
        <w:t>，</w:t>
      </w:r>
      <w:r>
        <w:rPr>
          <w:rFonts w:hint="eastAsia" w:asciiTheme="minorEastAsia" w:hAnsiTheme="minorEastAsia" w:eastAsiaTheme="minorEastAsia" w:cstheme="minorEastAsia"/>
          <w:color w:val="auto"/>
          <w:kern w:val="0"/>
          <w:highlight w:val="none"/>
        </w:rPr>
        <w:t>给予中标人1～3 年内不得进入工程建设市场的处罚</w:t>
      </w:r>
      <w:r>
        <w:rPr>
          <w:rFonts w:hint="eastAsia" w:asciiTheme="minorEastAsia" w:hAnsiTheme="minorEastAsia" w:eastAsiaTheme="minorEastAsia" w:cstheme="minorEastAsia"/>
          <w:color w:val="auto"/>
          <w:spacing w:val="-24"/>
          <w:kern w:val="0"/>
          <w:highlight w:val="none"/>
        </w:rPr>
        <w:t>；</w:t>
      </w:r>
      <w:r>
        <w:rPr>
          <w:rFonts w:hint="eastAsia" w:asciiTheme="minorEastAsia" w:hAnsiTheme="minorEastAsia" w:eastAsiaTheme="minorEastAsia" w:cstheme="minorEastAsia"/>
          <w:color w:val="auto"/>
          <w:kern w:val="0"/>
          <w:highlight w:val="none"/>
        </w:rPr>
        <w:t>涉嫌犯罪的</w:t>
      </w:r>
      <w:r>
        <w:rPr>
          <w:rFonts w:hint="eastAsia" w:asciiTheme="minorEastAsia" w:hAnsiTheme="minorEastAsia" w:eastAsiaTheme="minorEastAsia" w:cstheme="minorEastAsia"/>
          <w:color w:val="auto"/>
          <w:spacing w:val="-24"/>
          <w:kern w:val="0"/>
          <w:highlight w:val="none"/>
        </w:rPr>
        <w:t>，</w:t>
      </w:r>
      <w:r>
        <w:rPr>
          <w:rFonts w:hint="eastAsia" w:asciiTheme="minorEastAsia" w:hAnsiTheme="minorEastAsia" w:eastAsiaTheme="minorEastAsia" w:cstheme="minorEastAsia"/>
          <w:color w:val="auto"/>
          <w:kern w:val="0"/>
          <w:highlight w:val="none"/>
        </w:rPr>
        <w:t>移交 司法机关追究刑事责任；给招标人造成损失的，应予赔偿；</w:t>
      </w:r>
    </w:p>
    <w:p w14:paraId="731F24BE">
      <w:pPr>
        <w:autoSpaceDE w:val="0"/>
        <w:autoSpaceDN w:val="0"/>
        <w:adjustRightInd w:val="0"/>
        <w:spacing w:before="16" w:line="360" w:lineRule="auto"/>
        <w:jc w:val="left"/>
        <w:rPr>
          <w:rFonts w:hint="eastAsia" w:asciiTheme="minorEastAsia" w:hAnsiTheme="minorEastAsia" w:eastAsiaTheme="minorEastAsia" w:cstheme="minorEastAsia"/>
          <w:color w:val="auto"/>
          <w:kern w:val="0"/>
          <w:szCs w:val="28"/>
          <w:highlight w:val="none"/>
        </w:rPr>
      </w:pPr>
      <w:r>
        <w:rPr>
          <w:rFonts w:hint="eastAsia" w:asciiTheme="minorEastAsia" w:hAnsiTheme="minorEastAsia" w:eastAsiaTheme="minorEastAsia" w:cstheme="minorEastAsia"/>
          <w:b/>
          <w:bCs/>
          <w:color w:val="auto"/>
          <w:kern w:val="0"/>
          <w:szCs w:val="28"/>
          <w:highlight w:val="none"/>
        </w:rPr>
        <w:t xml:space="preserve">    5</w:t>
      </w:r>
      <w:r>
        <w:rPr>
          <w:rFonts w:hint="eastAsia" w:asciiTheme="minorEastAsia" w:hAnsiTheme="minorEastAsia" w:eastAsiaTheme="minorEastAsia" w:cstheme="minorEastAsia"/>
          <w:b/>
          <w:bCs/>
          <w:color w:val="auto"/>
          <w:kern w:val="0"/>
          <w:szCs w:val="28"/>
          <w:highlight w:val="none"/>
          <w:lang w:val="en-US" w:eastAsia="zh-CN"/>
        </w:rPr>
        <w:t xml:space="preserve">  </w:t>
      </w:r>
      <w:r>
        <w:rPr>
          <w:rFonts w:hint="eastAsia" w:asciiTheme="minorEastAsia" w:hAnsiTheme="minorEastAsia" w:eastAsiaTheme="minorEastAsia" w:cstheme="minorEastAsia"/>
          <w:b/>
          <w:bCs/>
          <w:color w:val="auto"/>
          <w:spacing w:val="1"/>
          <w:kern w:val="0"/>
          <w:szCs w:val="28"/>
          <w:highlight w:val="none"/>
        </w:rPr>
        <w:t>双方约定</w:t>
      </w:r>
    </w:p>
    <w:p w14:paraId="655B6D52">
      <w:pPr>
        <w:autoSpaceDE w:val="0"/>
        <w:autoSpaceDN w:val="0"/>
        <w:adjustRightInd w:val="0"/>
        <w:spacing w:line="360" w:lineRule="auto"/>
        <w:ind w:right="184" w:firstLine="484"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spacing w:val="1"/>
          <w:kern w:val="0"/>
          <w:highlight w:val="none"/>
        </w:rPr>
        <w:t>本合同由合同双方当事人或其上</w:t>
      </w:r>
      <w:r>
        <w:rPr>
          <w:rFonts w:hint="eastAsia" w:asciiTheme="minorEastAsia" w:hAnsiTheme="minorEastAsia" w:eastAsiaTheme="minorEastAsia" w:cstheme="minorEastAsia"/>
          <w:color w:val="auto"/>
          <w:kern w:val="0"/>
          <w:highlight w:val="none"/>
        </w:rPr>
        <w:t>级</w:t>
      </w:r>
      <w:r>
        <w:rPr>
          <w:rFonts w:hint="eastAsia" w:asciiTheme="minorEastAsia" w:hAnsiTheme="minorEastAsia" w:eastAsiaTheme="minorEastAsia" w:cstheme="minorEastAsia"/>
          <w:color w:val="auto"/>
          <w:spacing w:val="1"/>
          <w:kern w:val="0"/>
          <w:highlight w:val="none"/>
        </w:rPr>
        <w:t>部门负责监督执行，并由合</w:t>
      </w:r>
      <w:r>
        <w:rPr>
          <w:rFonts w:hint="eastAsia" w:asciiTheme="minorEastAsia" w:hAnsiTheme="minorEastAsia" w:eastAsiaTheme="minorEastAsia" w:cstheme="minorEastAsia"/>
          <w:color w:val="auto"/>
          <w:kern w:val="0"/>
          <w:highlight w:val="none"/>
        </w:rPr>
        <w:t>同</w:t>
      </w:r>
      <w:r>
        <w:rPr>
          <w:rFonts w:hint="eastAsia" w:asciiTheme="minorEastAsia" w:hAnsiTheme="minorEastAsia" w:eastAsiaTheme="minorEastAsia" w:cstheme="minorEastAsia"/>
          <w:color w:val="auto"/>
          <w:spacing w:val="1"/>
          <w:kern w:val="0"/>
          <w:highlight w:val="none"/>
        </w:rPr>
        <w:t xml:space="preserve">双方当事人或其上级部门 </w:t>
      </w:r>
      <w:r>
        <w:rPr>
          <w:rFonts w:hint="eastAsia" w:asciiTheme="minorEastAsia" w:hAnsiTheme="minorEastAsia" w:eastAsiaTheme="minorEastAsia" w:cstheme="minorEastAsia"/>
          <w:color w:val="auto"/>
          <w:kern w:val="0"/>
          <w:highlight w:val="none"/>
        </w:rPr>
        <w:t>相互约请对本合同执行情况进行检查。</w:t>
      </w:r>
    </w:p>
    <w:p w14:paraId="08A9DD8D">
      <w:pPr>
        <w:autoSpaceDE w:val="0"/>
        <w:autoSpaceDN w:val="0"/>
        <w:adjustRightInd w:val="0"/>
        <w:spacing w:line="360" w:lineRule="auto"/>
        <w:ind w:right="184" w:firstLine="482" w:firstLineChars="200"/>
        <w:jc w:val="left"/>
        <w:rPr>
          <w:rFonts w:hint="eastAsia" w:asciiTheme="minorEastAsia" w:hAnsiTheme="minorEastAsia" w:eastAsiaTheme="minorEastAsia" w:cstheme="minorEastAsia"/>
          <w:b/>
          <w:bCs/>
          <w:color w:val="auto"/>
          <w:kern w:val="0"/>
          <w:szCs w:val="28"/>
          <w:highlight w:val="none"/>
        </w:rPr>
      </w:pPr>
      <w:r>
        <w:rPr>
          <w:rFonts w:hint="eastAsia" w:asciiTheme="minorEastAsia" w:hAnsiTheme="minorEastAsia" w:eastAsiaTheme="minorEastAsia" w:cstheme="minorEastAsia"/>
          <w:b/>
          <w:bCs/>
          <w:color w:val="auto"/>
          <w:kern w:val="0"/>
          <w:szCs w:val="28"/>
          <w:highlight w:val="none"/>
        </w:rPr>
        <w:t xml:space="preserve">6 </w:t>
      </w:r>
      <w:r>
        <w:rPr>
          <w:rFonts w:hint="eastAsia" w:asciiTheme="minorEastAsia" w:hAnsiTheme="minorEastAsia" w:eastAsiaTheme="minorEastAsia" w:cstheme="minorEastAsia"/>
          <w:b/>
          <w:bCs/>
          <w:color w:val="auto"/>
          <w:kern w:val="0"/>
          <w:szCs w:val="28"/>
          <w:highlight w:val="none"/>
          <w:lang w:val="en-US" w:eastAsia="zh-CN"/>
        </w:rPr>
        <w:t xml:space="preserve"> </w:t>
      </w:r>
      <w:r>
        <w:rPr>
          <w:rFonts w:hint="eastAsia" w:asciiTheme="minorEastAsia" w:hAnsiTheme="minorEastAsia" w:eastAsiaTheme="minorEastAsia" w:cstheme="minorEastAsia"/>
          <w:b/>
          <w:bCs/>
          <w:color w:val="auto"/>
          <w:kern w:val="0"/>
          <w:szCs w:val="28"/>
          <w:highlight w:val="none"/>
        </w:rPr>
        <w:t>合同法律效力</w:t>
      </w:r>
    </w:p>
    <w:p w14:paraId="2A7B8DB8">
      <w:pPr>
        <w:autoSpaceDE w:val="0"/>
        <w:autoSpaceDN w:val="0"/>
        <w:adjustRightInd w:val="0"/>
        <w:spacing w:line="360" w:lineRule="auto"/>
        <w:ind w:right="184"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本合同作为</w:t>
      </w:r>
      <w:r>
        <w:rPr>
          <w:rFonts w:hint="eastAsia" w:asciiTheme="minorEastAsia" w:hAnsiTheme="minorEastAsia" w:eastAsiaTheme="minorEastAsia" w:cstheme="minorEastAsia"/>
          <w:color w:val="auto"/>
          <w:kern w:val="0"/>
          <w:highlight w:val="none"/>
          <w:u w:val="single"/>
        </w:rPr>
        <w:t xml:space="preserve"> </w:t>
      </w:r>
      <w:r>
        <w:rPr>
          <w:rFonts w:hint="eastAsia" w:asciiTheme="minorEastAsia" w:hAnsiTheme="minorEastAsia" w:eastAsiaTheme="minorEastAsia" w:cstheme="minorEastAsia"/>
          <w:bCs/>
          <w:color w:val="auto"/>
          <w:szCs w:val="28"/>
          <w:highlight w:val="none"/>
          <w:u w:val="single"/>
        </w:rPr>
        <w:t xml:space="preserve">                                                 </w:t>
      </w:r>
      <w:r>
        <w:rPr>
          <w:rFonts w:hint="eastAsia" w:asciiTheme="minorEastAsia" w:hAnsiTheme="minorEastAsia" w:eastAsiaTheme="minorEastAsia" w:cstheme="minorEastAsia"/>
          <w:color w:val="auto"/>
          <w:kern w:val="0"/>
          <w:highlight w:val="none"/>
          <w:u w:val="single"/>
        </w:rPr>
        <w:t xml:space="preserve">  </w:t>
      </w:r>
      <w:r>
        <w:rPr>
          <w:rFonts w:hint="eastAsia" w:asciiTheme="minorEastAsia" w:hAnsiTheme="minorEastAsia" w:eastAsiaTheme="minorEastAsia" w:cstheme="minorEastAsia"/>
          <w:color w:val="auto"/>
          <w:kern w:val="0"/>
          <w:highlight w:val="none"/>
        </w:rPr>
        <w:t>（工程名称） 工程施工合同的附件，与施工合同具有同等的法律效力。</w:t>
      </w:r>
    </w:p>
    <w:p w14:paraId="2BAC4CB3">
      <w:pPr>
        <w:autoSpaceDE w:val="0"/>
        <w:autoSpaceDN w:val="0"/>
        <w:adjustRightInd w:val="0"/>
        <w:spacing w:line="360" w:lineRule="auto"/>
        <w:ind w:right="184" w:firstLine="482" w:firstLineChars="200"/>
        <w:jc w:val="left"/>
        <w:rPr>
          <w:rFonts w:hint="eastAsia" w:asciiTheme="minorEastAsia" w:hAnsiTheme="minorEastAsia" w:eastAsiaTheme="minorEastAsia" w:cstheme="minorEastAsia"/>
          <w:color w:val="auto"/>
          <w:kern w:val="0"/>
          <w:szCs w:val="28"/>
          <w:highlight w:val="none"/>
        </w:rPr>
      </w:pPr>
      <w:r>
        <w:rPr>
          <w:rFonts w:hint="eastAsia" w:asciiTheme="minorEastAsia" w:hAnsiTheme="minorEastAsia" w:eastAsiaTheme="minorEastAsia" w:cstheme="minorEastAsia"/>
          <w:b/>
          <w:bCs/>
          <w:color w:val="auto"/>
          <w:kern w:val="0"/>
          <w:szCs w:val="28"/>
          <w:highlight w:val="none"/>
        </w:rPr>
        <w:t>7</w:t>
      </w:r>
      <w:r>
        <w:rPr>
          <w:rFonts w:hint="eastAsia" w:asciiTheme="minorEastAsia" w:hAnsiTheme="minorEastAsia" w:eastAsiaTheme="minorEastAsia" w:cstheme="minorEastAsia"/>
          <w:b/>
          <w:bCs/>
          <w:color w:val="auto"/>
          <w:kern w:val="0"/>
          <w:szCs w:val="28"/>
          <w:highlight w:val="none"/>
        </w:rPr>
        <w:tab/>
      </w:r>
      <w:r>
        <w:rPr>
          <w:rFonts w:hint="eastAsia" w:asciiTheme="minorEastAsia" w:hAnsiTheme="minorEastAsia" w:eastAsiaTheme="minorEastAsia" w:cstheme="minorEastAsia"/>
          <w:b/>
          <w:bCs/>
          <w:color w:val="auto"/>
          <w:spacing w:val="1"/>
          <w:kern w:val="0"/>
          <w:szCs w:val="28"/>
          <w:highlight w:val="none"/>
        </w:rPr>
        <w:t>合同生效</w:t>
      </w:r>
    </w:p>
    <w:p w14:paraId="134C56EE">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本合同自合同双方当事人签署之日起生效，至合同工程竣工验收合格之日后失效。</w:t>
      </w:r>
    </w:p>
    <w:p w14:paraId="1A78F3FF">
      <w:pPr>
        <w:autoSpaceDE w:val="0"/>
        <w:autoSpaceDN w:val="0"/>
        <w:adjustRightInd w:val="0"/>
        <w:spacing w:line="360" w:lineRule="auto"/>
        <w:ind w:firstLine="482" w:firstLineChars="200"/>
        <w:jc w:val="left"/>
        <w:rPr>
          <w:rFonts w:hint="eastAsia" w:asciiTheme="minorEastAsia" w:hAnsiTheme="minorEastAsia" w:eastAsiaTheme="minorEastAsia" w:cstheme="minorEastAsia"/>
          <w:b/>
          <w:bCs/>
          <w:color w:val="auto"/>
          <w:spacing w:val="1"/>
          <w:kern w:val="0"/>
          <w:szCs w:val="28"/>
          <w:highlight w:val="none"/>
        </w:rPr>
      </w:pPr>
      <w:r>
        <w:rPr>
          <w:rFonts w:hint="eastAsia" w:asciiTheme="minorEastAsia" w:hAnsiTheme="minorEastAsia" w:eastAsiaTheme="minorEastAsia" w:cstheme="minorEastAsia"/>
          <w:b/>
          <w:bCs/>
          <w:color w:val="auto"/>
          <w:kern w:val="0"/>
          <w:szCs w:val="28"/>
          <w:highlight w:val="none"/>
        </w:rPr>
        <w:t>8</w:t>
      </w:r>
      <w:r>
        <w:rPr>
          <w:rFonts w:hint="eastAsia" w:asciiTheme="minorEastAsia" w:hAnsiTheme="minorEastAsia" w:eastAsiaTheme="minorEastAsia" w:cstheme="minorEastAsia"/>
          <w:b/>
          <w:bCs/>
          <w:color w:val="auto"/>
          <w:kern w:val="0"/>
          <w:szCs w:val="28"/>
          <w:highlight w:val="none"/>
        </w:rPr>
        <w:tab/>
      </w:r>
      <w:r>
        <w:rPr>
          <w:rFonts w:hint="eastAsia" w:asciiTheme="minorEastAsia" w:hAnsiTheme="minorEastAsia" w:eastAsiaTheme="minorEastAsia" w:cstheme="minorEastAsia"/>
          <w:b/>
          <w:bCs/>
          <w:color w:val="auto"/>
          <w:spacing w:val="1"/>
          <w:kern w:val="0"/>
          <w:szCs w:val="28"/>
          <w:highlight w:val="none"/>
        </w:rPr>
        <w:t>合同份数</w:t>
      </w:r>
    </w:p>
    <w:p w14:paraId="3A8DD19D">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本合同一</w:t>
      </w:r>
      <w:r>
        <w:rPr>
          <w:rFonts w:hint="eastAsia" w:asciiTheme="minorEastAsia" w:hAnsiTheme="minorEastAsia" w:eastAsiaTheme="minorEastAsia" w:cstheme="minorEastAsia"/>
          <w:color w:val="auto"/>
          <w:spacing w:val="1"/>
          <w:kern w:val="0"/>
          <w:highlight w:val="none"/>
        </w:rPr>
        <w:t>式</w:t>
      </w:r>
      <w:r>
        <w:rPr>
          <w:rFonts w:hint="eastAsia" w:asciiTheme="minorEastAsia" w:hAnsiTheme="minorEastAsia" w:eastAsiaTheme="minorEastAsia" w:cstheme="minorEastAsia"/>
          <w:color w:val="auto"/>
          <w:kern w:val="0"/>
          <w:highlight w:val="none"/>
          <w:u w:val="single"/>
        </w:rPr>
        <w:t xml:space="preserve">    </w:t>
      </w:r>
      <w:r>
        <w:rPr>
          <w:rFonts w:hint="eastAsia" w:asciiTheme="minorEastAsia" w:hAnsiTheme="minorEastAsia" w:eastAsiaTheme="minorEastAsia" w:cstheme="minorEastAsia"/>
          <w:color w:val="auto"/>
          <w:kern w:val="0"/>
          <w:highlight w:val="none"/>
        </w:rPr>
        <w:t>份，合同双方当事人各</w:t>
      </w:r>
      <w:r>
        <w:rPr>
          <w:rFonts w:hint="eastAsia" w:asciiTheme="minorEastAsia" w:hAnsiTheme="minorEastAsia" w:eastAsiaTheme="minorEastAsia" w:cstheme="minorEastAsia"/>
          <w:color w:val="auto"/>
          <w:spacing w:val="2"/>
          <w:kern w:val="0"/>
          <w:highlight w:val="none"/>
        </w:rPr>
        <w:t>执</w:t>
      </w:r>
      <w:r>
        <w:rPr>
          <w:rFonts w:hint="eastAsia" w:asciiTheme="minorEastAsia" w:hAnsiTheme="minorEastAsia" w:eastAsiaTheme="minorEastAsia" w:cstheme="minorEastAsia"/>
          <w:color w:val="auto"/>
          <w:kern w:val="0"/>
          <w:highlight w:val="none"/>
          <w:u w:val="single"/>
        </w:rPr>
        <w:t xml:space="preserve">    </w:t>
      </w:r>
      <w:r>
        <w:rPr>
          <w:rFonts w:hint="eastAsia" w:asciiTheme="minorEastAsia" w:hAnsiTheme="minorEastAsia" w:eastAsiaTheme="minorEastAsia" w:cstheme="minorEastAsia"/>
          <w:color w:val="auto"/>
          <w:spacing w:val="1"/>
          <w:kern w:val="0"/>
          <w:highlight w:val="none"/>
        </w:rPr>
        <w:t>份。有上级部门的，合同双方当事人应各送</w:t>
      </w:r>
      <w:r>
        <w:rPr>
          <w:rFonts w:hint="eastAsia" w:asciiTheme="minorEastAsia" w:hAnsiTheme="minorEastAsia" w:eastAsiaTheme="minorEastAsia" w:cstheme="minorEastAsia"/>
          <w:color w:val="auto"/>
          <w:kern w:val="0"/>
          <w:highlight w:val="none"/>
        </w:rPr>
        <w:t>交其上级部门一份。</w:t>
      </w:r>
    </w:p>
    <w:p w14:paraId="0C0C2F81">
      <w:pPr>
        <w:autoSpaceDE w:val="0"/>
        <w:autoSpaceDN w:val="0"/>
        <w:adjustRightInd w:val="0"/>
        <w:spacing w:before="3" w:line="360" w:lineRule="auto"/>
        <w:jc w:val="left"/>
        <w:rPr>
          <w:rFonts w:hint="eastAsia" w:asciiTheme="minorEastAsia" w:hAnsiTheme="minorEastAsia" w:eastAsiaTheme="minorEastAsia" w:cstheme="minorEastAsia"/>
          <w:color w:val="auto"/>
          <w:kern w:val="0"/>
          <w:szCs w:val="13"/>
          <w:highlight w:val="none"/>
        </w:rPr>
      </w:pPr>
    </w:p>
    <w:p w14:paraId="5C8AC97B">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322891EE">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2BCE59F3">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062C1492">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6303B017">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04BE5EA4">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2B51DA5E">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0A1B5A90">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0DFF45EC">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 xml:space="preserve">     发 包 人</w:t>
      </w:r>
      <w:r>
        <w:rPr>
          <w:rFonts w:hint="eastAsia" w:asciiTheme="minorEastAsia" w:hAnsiTheme="minorEastAsia" w:eastAsiaTheme="minorEastAsia" w:cstheme="minorEastAsia"/>
          <w:color w:val="auto"/>
          <w:spacing w:val="-120"/>
          <w:kern w:val="0"/>
          <w:highlight w:val="none"/>
        </w:rPr>
        <w:t>：</w:t>
      </w:r>
      <w:r>
        <w:rPr>
          <w:rFonts w:hint="eastAsia" w:asciiTheme="minorEastAsia" w:hAnsiTheme="minorEastAsia" w:eastAsiaTheme="minorEastAsia" w:cstheme="minorEastAsia"/>
          <w:color w:val="auto"/>
          <w:kern w:val="0"/>
          <w:highlight w:val="none"/>
        </w:rPr>
        <w:t>（公章）</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 xml:space="preserve">                    承 包 人 </w:t>
      </w:r>
      <w:r>
        <w:rPr>
          <w:rFonts w:hint="eastAsia" w:asciiTheme="minorEastAsia" w:hAnsiTheme="minorEastAsia" w:eastAsiaTheme="minorEastAsia" w:cstheme="minorEastAsia"/>
          <w:color w:val="auto"/>
          <w:spacing w:val="-120"/>
          <w:kern w:val="0"/>
          <w:highlight w:val="none"/>
        </w:rPr>
        <w:t>：</w:t>
      </w:r>
      <w:r>
        <w:rPr>
          <w:rFonts w:hint="eastAsia" w:asciiTheme="minorEastAsia" w:hAnsiTheme="minorEastAsia" w:eastAsiaTheme="minorEastAsia" w:cstheme="minorEastAsia"/>
          <w:color w:val="auto"/>
          <w:kern w:val="0"/>
          <w:highlight w:val="none"/>
        </w:rPr>
        <w:t xml:space="preserve">（公章） </w:t>
      </w:r>
    </w:p>
    <w:p w14:paraId="019529E9">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 xml:space="preserve">     法定代表人</w:t>
      </w:r>
      <w:r>
        <w:rPr>
          <w:rFonts w:hint="eastAsia" w:asciiTheme="minorEastAsia" w:hAnsiTheme="minorEastAsia" w:eastAsiaTheme="minorEastAsia" w:cstheme="minorEastAsia"/>
          <w:color w:val="auto"/>
          <w:spacing w:val="-120"/>
          <w:kern w:val="0"/>
          <w:highlight w:val="none"/>
        </w:rPr>
        <w:t>：</w:t>
      </w:r>
      <w:r>
        <w:rPr>
          <w:rFonts w:hint="eastAsia" w:asciiTheme="minorEastAsia" w:hAnsiTheme="minorEastAsia" w:eastAsiaTheme="minorEastAsia" w:cstheme="minorEastAsia"/>
          <w:color w:val="auto"/>
          <w:kern w:val="0"/>
          <w:highlight w:val="none"/>
        </w:rPr>
        <w:t>（签字）</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 xml:space="preserve">                 法定代表人</w:t>
      </w:r>
      <w:r>
        <w:rPr>
          <w:rFonts w:hint="eastAsia" w:asciiTheme="minorEastAsia" w:hAnsiTheme="minorEastAsia" w:eastAsiaTheme="minorEastAsia" w:cstheme="minorEastAsia"/>
          <w:color w:val="auto"/>
          <w:spacing w:val="-120"/>
          <w:kern w:val="0"/>
          <w:highlight w:val="none"/>
        </w:rPr>
        <w:t>：</w:t>
      </w:r>
      <w:r>
        <w:rPr>
          <w:rFonts w:hint="eastAsia" w:asciiTheme="minorEastAsia" w:hAnsiTheme="minorEastAsia" w:eastAsiaTheme="minorEastAsia" w:cstheme="minorEastAsia"/>
          <w:color w:val="auto"/>
          <w:kern w:val="0"/>
          <w:highlight w:val="none"/>
        </w:rPr>
        <w:t xml:space="preserve">（签字） </w:t>
      </w:r>
    </w:p>
    <w:p w14:paraId="0BA17DB5">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u w:val="single"/>
        </w:rPr>
      </w:pPr>
      <w:r>
        <w:rPr>
          <w:rFonts w:hint="eastAsia" w:asciiTheme="minorEastAsia" w:hAnsiTheme="minorEastAsia" w:eastAsiaTheme="minorEastAsia" w:cstheme="minorEastAsia"/>
          <w:color w:val="auto"/>
          <w:kern w:val="0"/>
          <w:highlight w:val="none"/>
        </w:rPr>
        <w:t xml:space="preserve">     联系电话：</w:t>
      </w:r>
      <w:r>
        <w:rPr>
          <w:rFonts w:hint="eastAsia" w:asciiTheme="minorEastAsia" w:hAnsiTheme="minorEastAsia" w:eastAsiaTheme="minorEastAsia" w:cstheme="minorEastAsia"/>
          <w:color w:val="auto"/>
          <w:kern w:val="0"/>
          <w:highlight w:val="none"/>
          <w:u w:val="single"/>
        </w:rPr>
        <w:tab/>
      </w:r>
      <w:r>
        <w:rPr>
          <w:rFonts w:hint="eastAsia" w:asciiTheme="minorEastAsia" w:hAnsiTheme="minorEastAsia" w:eastAsiaTheme="minorEastAsia" w:cstheme="minorEastAsia"/>
          <w:color w:val="auto"/>
          <w:kern w:val="0"/>
          <w:highlight w:val="none"/>
          <w:u w:val="single"/>
        </w:rPr>
        <w:tab/>
      </w:r>
      <w:r>
        <w:rPr>
          <w:rFonts w:hint="eastAsia" w:asciiTheme="minorEastAsia" w:hAnsiTheme="minorEastAsia" w:eastAsiaTheme="minorEastAsia" w:cstheme="minorEastAsia"/>
          <w:color w:val="auto"/>
          <w:kern w:val="0"/>
          <w:highlight w:val="none"/>
        </w:rPr>
        <w:t xml:space="preserve">                     联系电话：</w:t>
      </w:r>
    </w:p>
    <w:p w14:paraId="15F9B04F">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 xml:space="preserve">     上级部门：（公章）                     上级部门：（公章）</w:t>
      </w:r>
    </w:p>
    <w:p w14:paraId="044AF42C">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p>
    <w:p w14:paraId="7A1987DD">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p>
    <w:p w14:paraId="19C15ACC">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 xml:space="preserve">          年   月    日                                年   月   日</w:t>
      </w:r>
    </w:p>
    <w:p w14:paraId="461225E5">
      <w:pPr>
        <w:spacing w:line="360" w:lineRule="auto"/>
        <w:rPr>
          <w:rFonts w:hint="eastAsia" w:asciiTheme="minorEastAsia" w:hAnsiTheme="minorEastAsia" w:eastAsiaTheme="minorEastAsia" w:cstheme="minorEastAsia"/>
          <w:b/>
          <w:bCs/>
          <w:color w:val="auto"/>
          <w:sz w:val="32"/>
          <w:szCs w:val="32"/>
          <w:highlight w:val="none"/>
        </w:rPr>
      </w:pPr>
    </w:p>
    <w:p w14:paraId="4480BB62">
      <w:pPr>
        <w:pStyle w:val="12"/>
        <w:spacing w:line="360" w:lineRule="auto"/>
        <w:ind w:left="4511" w:leftChars="174" w:hanging="4093" w:hangingChars="1274"/>
        <w:jc w:val="center"/>
        <w:rPr>
          <w:rFonts w:hint="eastAsia" w:asciiTheme="minorEastAsia" w:hAnsiTheme="minorEastAsia" w:eastAsiaTheme="minorEastAsia" w:cstheme="minorEastAsia"/>
          <w:bCs/>
          <w:color w:val="auto"/>
          <w:sz w:val="32"/>
          <w:szCs w:val="32"/>
          <w:highlight w:val="none"/>
        </w:rPr>
      </w:pPr>
      <w:bookmarkStart w:id="593" w:name="_Toc28513"/>
      <w:bookmarkStart w:id="594" w:name="_Toc24859"/>
      <w:bookmarkStart w:id="595" w:name="_Toc18530"/>
      <w:bookmarkStart w:id="596" w:name="_Toc6897"/>
      <w:bookmarkStart w:id="597" w:name="_Toc20715"/>
      <w:bookmarkStart w:id="598" w:name="_Toc126"/>
      <w:bookmarkStart w:id="599" w:name="_Toc29017"/>
      <w:bookmarkStart w:id="600" w:name="_Toc11559"/>
      <w:r>
        <w:rPr>
          <w:rFonts w:hint="eastAsia" w:asciiTheme="minorEastAsia" w:hAnsiTheme="minorEastAsia" w:eastAsiaTheme="minorEastAsia" w:cstheme="minorEastAsia"/>
          <w:bCs/>
          <w:color w:val="auto"/>
          <w:sz w:val="32"/>
          <w:szCs w:val="32"/>
          <w:highlight w:val="none"/>
        </w:rPr>
        <w:br w:type="page"/>
      </w:r>
      <w:bookmarkStart w:id="601" w:name="_Toc10245"/>
      <w:bookmarkStart w:id="602" w:name="_Toc30796"/>
      <w:bookmarkStart w:id="603" w:name="_Toc26962"/>
      <w:r>
        <w:rPr>
          <w:rFonts w:hint="eastAsia" w:asciiTheme="minorEastAsia" w:hAnsiTheme="minorEastAsia" w:eastAsiaTheme="minorEastAsia" w:cstheme="minorEastAsia"/>
          <w:bCs/>
          <w:color w:val="auto"/>
          <w:sz w:val="32"/>
          <w:szCs w:val="32"/>
          <w:highlight w:val="none"/>
        </w:rPr>
        <w:t>履约保函</w:t>
      </w:r>
      <w:bookmarkEnd w:id="593"/>
      <w:bookmarkEnd w:id="594"/>
      <w:bookmarkEnd w:id="595"/>
      <w:bookmarkEnd w:id="596"/>
      <w:bookmarkEnd w:id="597"/>
      <w:bookmarkEnd w:id="598"/>
      <w:bookmarkEnd w:id="599"/>
      <w:bookmarkEnd w:id="600"/>
      <w:bookmarkEnd w:id="601"/>
      <w:bookmarkEnd w:id="602"/>
      <w:bookmarkEnd w:id="603"/>
    </w:p>
    <w:p w14:paraId="3B9F6898">
      <w:pPr>
        <w:spacing w:line="360" w:lineRule="auto"/>
        <w:jc w:val="center"/>
        <w:rPr>
          <w:rFonts w:hint="eastAsia" w:asciiTheme="minorEastAsia" w:hAnsiTheme="minorEastAsia" w:eastAsiaTheme="minorEastAsia" w:cstheme="minorEastAsia"/>
          <w:b/>
          <w:bCs/>
          <w:color w:val="auto"/>
          <w:sz w:val="32"/>
          <w:szCs w:val="32"/>
          <w:highlight w:val="none"/>
        </w:rPr>
      </w:pPr>
    </w:p>
    <w:p w14:paraId="221D34C8">
      <w:pPr>
        <w:wordWrap w:val="0"/>
        <w:spacing w:line="360" w:lineRule="auto"/>
        <w:jc w:val="righ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编号：           </w:t>
      </w:r>
    </w:p>
    <w:p w14:paraId="1DEC7C4F">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申请人：</w:t>
      </w:r>
    </w:p>
    <w:p w14:paraId="6D23A14C">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地址：</w:t>
      </w:r>
    </w:p>
    <w:p w14:paraId="739ED372">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受益人：</w:t>
      </w:r>
    </w:p>
    <w:p w14:paraId="1240D116">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地址：</w:t>
      </w:r>
    </w:p>
    <w:p w14:paraId="2374388F">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开立人：</w:t>
      </w:r>
    </w:p>
    <w:p w14:paraId="43292334">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地址：</w:t>
      </w:r>
    </w:p>
    <w:p w14:paraId="78C9AAC9">
      <w:pPr>
        <w:spacing w:line="360" w:lineRule="auto"/>
        <w:rPr>
          <w:rFonts w:hint="eastAsia" w:asciiTheme="minorEastAsia" w:hAnsiTheme="minorEastAsia" w:eastAsiaTheme="minorEastAsia" w:cstheme="minorEastAsia"/>
          <w:color w:val="auto"/>
          <w:szCs w:val="24"/>
          <w:highlight w:val="none"/>
        </w:rPr>
      </w:pPr>
    </w:p>
    <w:p w14:paraId="1900612E">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 xml:space="preserve">（受益人名称）： </w:t>
      </w:r>
    </w:p>
    <w:p w14:paraId="7A1B804A">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鉴于</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（以下简称“受益人”）与</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（以下简称“申请人”）于</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年</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月</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日就</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工程（以下简称“本工程”）施工和有关事项协商一致共同签订</w:t>
      </w:r>
      <w:r>
        <w:rPr>
          <w:rFonts w:hint="eastAsia" w:asciiTheme="minorEastAsia" w:hAnsiTheme="minorEastAsia" w:eastAsiaTheme="minorEastAsia" w:cstheme="minorEastAsia"/>
          <w:color w:val="auto"/>
          <w:szCs w:val="24"/>
          <w:highlight w:val="none"/>
          <w:u w:val="single"/>
        </w:rPr>
        <w:t>《        》</w:t>
      </w:r>
      <w:r>
        <w:rPr>
          <w:rFonts w:hint="eastAsia" w:asciiTheme="minorEastAsia" w:hAnsiTheme="minorEastAsia" w:eastAsiaTheme="minorEastAsia" w:cstheme="minorEastAsia"/>
          <w:color w:val="auto"/>
          <w:szCs w:val="24"/>
          <w:highlight w:val="none"/>
        </w:rPr>
        <w:t xml:space="preserve">（以下简称“基础合同”），我方（即“开立人”）根据基础合同了解到申请人为基础合同项下之中标人，受益人为基础合同项下之招标人，基于申请人的请求，我方同意就申请人履行与贵方签订的基础合同项下的义务，向贵方提供不可撤销、不可转让的见索即付独立保函（以下简称“本保函”）。 </w:t>
      </w:r>
    </w:p>
    <w:p w14:paraId="0539FD0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一、本保函担保范围：中标人未按照基础合同的约定履行义务，应当向贵方承担的违约责任和赔偿因此造成的损失、利息、律师费、诉讼费用等实现债权的费用。</w:t>
      </w:r>
    </w:p>
    <w:p w14:paraId="59B1FBF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二、本保函担保金额最高不超过人民币（大写）</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元（¥</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 xml:space="preserve">）。 </w:t>
      </w:r>
    </w:p>
    <w:p w14:paraId="670D9D6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三、本保函有效期自开立之日起至基础合同约定的缺陷责任期后</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日止，最迟不超过</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年</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月</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 xml:space="preserve">日。 </w:t>
      </w:r>
    </w:p>
    <w:p w14:paraId="5CD8E593">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四、我方承诺，在收到受益人发来的书面付款通知后的</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日内无条件支付，前述书面付款通知即为付款要求之单据，且应满足以下要求：</w:t>
      </w:r>
    </w:p>
    <w:p w14:paraId="3068B7B7">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（1）付款通知到达的日期在本保函的有效期内；</w:t>
      </w:r>
    </w:p>
    <w:p w14:paraId="123CE61A">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（2）载明要求支付的金额；</w:t>
      </w:r>
    </w:p>
    <w:p w14:paraId="1430F2D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（3）载明申请人违反合同义务的条款和内容；</w:t>
      </w:r>
    </w:p>
    <w:p w14:paraId="28A18F3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（4）声明不存在合同文件约定或我国法律规定免除申请人或开立人支付责任的情形；</w:t>
      </w:r>
    </w:p>
    <w:p w14:paraId="7909BCE6">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（5）付款通知应在本保函有效期内到达的地址是：</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w:t>
      </w:r>
    </w:p>
    <w:p w14:paraId="4A124532">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受益人发出的书面付款通知应由其为鉴明受益人法定代表人（负责人）或授权代理人签字并加盖公章。</w:t>
      </w:r>
    </w:p>
    <w:p w14:paraId="27CF41E5">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五、本保函项下的权利不得转让，不得设定担保。贵方未经我方书面同意转 让本保函或其项下任何权利，对我方不发生法律效力。 </w:t>
      </w:r>
    </w:p>
    <w:p w14:paraId="0732B51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六、与本保函有关的基础合同不成立、不生效、无效、被撤销、被解除，不影响本保函的独立有效。 </w:t>
      </w:r>
    </w:p>
    <w:p w14:paraId="071B8B51">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29A0E544">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八、本保函适用的法律为中华人民共和国法律，争议裁判管辖地为中华人民共和国</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 xml:space="preserve">。 </w:t>
      </w:r>
    </w:p>
    <w:p w14:paraId="481E583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九、本保函自我方法定代表人或授权代表签字并加盖公章之日起生效。 </w:t>
      </w:r>
    </w:p>
    <w:p w14:paraId="4A73354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开 立 人：                              （公章） </w:t>
      </w:r>
    </w:p>
    <w:p w14:paraId="045BD6AB">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法定代表人（或授权代表）：               （签字） </w:t>
      </w:r>
    </w:p>
    <w:p w14:paraId="29DFEFDD">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地    址：                                       </w:t>
      </w:r>
    </w:p>
    <w:p w14:paraId="21D4725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邮政编码：                 </w:t>
      </w:r>
    </w:p>
    <w:p w14:paraId="6A252FB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电    话：                 </w:t>
      </w:r>
    </w:p>
    <w:p w14:paraId="4C1423BD">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传    真：                 </w:t>
      </w:r>
    </w:p>
    <w:p w14:paraId="58AA204F">
      <w:pPr>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4"/>
          <w:highlight w:val="none"/>
        </w:rPr>
        <w:t xml:space="preserve">开立时间：      年      月    </w:t>
      </w:r>
    </w:p>
    <w:p w14:paraId="2C43A4FD">
      <w:pPr>
        <w:spacing w:line="360" w:lineRule="auto"/>
        <w:ind w:left="698" w:right="524"/>
        <w:jc w:val="left"/>
        <w:rPr>
          <w:rFonts w:hint="eastAsia" w:asciiTheme="minorEastAsia" w:hAnsiTheme="minorEastAsia" w:eastAsiaTheme="minorEastAsia" w:cstheme="minorEastAsia"/>
          <w:strike/>
          <w:color w:val="auto"/>
          <w:szCs w:val="24"/>
          <w:highlight w:val="none"/>
        </w:rPr>
        <w:sectPr>
          <w:pgSz w:w="11905" w:h="16838"/>
          <w:pgMar w:top="1134" w:right="1134" w:bottom="1134" w:left="1134" w:header="850" w:footer="992" w:gutter="0"/>
          <w:pgNumType w:fmt="decimal"/>
          <w:cols w:space="0" w:num="1"/>
          <w:rtlGutter w:val="0"/>
          <w:docGrid w:linePitch="0" w:charSpace="0"/>
        </w:sectPr>
      </w:pPr>
    </w:p>
    <w:p w14:paraId="30942E89">
      <w:pPr>
        <w:pStyle w:val="72"/>
        <w:spacing w:line="360" w:lineRule="auto"/>
        <w:ind w:firstLine="0" w:firstLineChars="0"/>
        <w:rPr>
          <w:rFonts w:hint="eastAsia" w:asciiTheme="minorEastAsia" w:hAnsiTheme="minorEastAsia" w:eastAsiaTheme="minorEastAsia" w:cstheme="minorEastAsia"/>
          <w:color w:val="auto"/>
          <w:szCs w:val="32"/>
          <w:highlight w:val="none"/>
        </w:rPr>
      </w:pPr>
    </w:p>
    <w:p w14:paraId="7205DE45">
      <w:pPr>
        <w:pStyle w:val="10"/>
        <w:spacing w:line="360" w:lineRule="auto"/>
        <w:jc w:val="center"/>
        <w:rPr>
          <w:rFonts w:hint="eastAsia" w:asciiTheme="minorEastAsia" w:hAnsiTheme="minorEastAsia" w:eastAsiaTheme="minorEastAsia" w:cstheme="minorEastAsia"/>
          <w:b/>
          <w:color w:val="auto"/>
          <w:kern w:val="44"/>
          <w:sz w:val="36"/>
          <w:szCs w:val="36"/>
          <w:highlight w:val="none"/>
        </w:rPr>
      </w:pPr>
      <w:bookmarkStart w:id="604" w:name="_Toc466640622"/>
      <w:bookmarkStart w:id="605" w:name="_Toc1879"/>
      <w:bookmarkStart w:id="606" w:name="_Toc3242"/>
      <w:bookmarkStart w:id="607" w:name="_Toc26594"/>
      <w:bookmarkStart w:id="608" w:name="_Toc13641"/>
      <w:bookmarkStart w:id="609" w:name="_Toc420"/>
      <w:bookmarkStart w:id="610" w:name="_Toc3894"/>
      <w:bookmarkStart w:id="611" w:name="_Toc19434"/>
      <w:bookmarkStart w:id="612" w:name="_Toc9802"/>
      <w:bookmarkStart w:id="613" w:name="_Toc21409"/>
      <w:r>
        <w:rPr>
          <w:rFonts w:hint="eastAsia" w:asciiTheme="minorEastAsia" w:hAnsiTheme="minorEastAsia" w:eastAsiaTheme="minorEastAsia" w:cstheme="minorEastAsia"/>
          <w:b/>
          <w:color w:val="auto"/>
          <w:kern w:val="44"/>
          <w:sz w:val="36"/>
          <w:szCs w:val="36"/>
          <w:highlight w:val="none"/>
        </w:rPr>
        <w:t>第</w:t>
      </w:r>
      <w:r>
        <w:rPr>
          <w:rFonts w:hint="eastAsia" w:asciiTheme="minorEastAsia" w:hAnsiTheme="minorEastAsia" w:eastAsiaTheme="minorEastAsia" w:cstheme="minorEastAsia"/>
          <w:b/>
          <w:color w:val="auto"/>
          <w:kern w:val="44"/>
          <w:sz w:val="36"/>
          <w:szCs w:val="36"/>
          <w:highlight w:val="none"/>
          <w:lang w:val="en-US" w:eastAsia="zh-CN"/>
        </w:rPr>
        <w:t>八</w:t>
      </w:r>
      <w:r>
        <w:rPr>
          <w:rFonts w:hint="eastAsia" w:asciiTheme="minorEastAsia" w:hAnsiTheme="minorEastAsia" w:eastAsiaTheme="minorEastAsia" w:cstheme="minorEastAsia"/>
          <w:b/>
          <w:color w:val="auto"/>
          <w:kern w:val="44"/>
          <w:sz w:val="36"/>
          <w:szCs w:val="36"/>
          <w:highlight w:val="none"/>
        </w:rPr>
        <w:t xml:space="preserve">章  </w:t>
      </w:r>
      <w:bookmarkEnd w:id="479"/>
      <w:bookmarkEnd w:id="480"/>
      <w:bookmarkEnd w:id="481"/>
      <w:bookmarkEnd w:id="482"/>
      <w:bookmarkEnd w:id="604"/>
      <w:r>
        <w:rPr>
          <w:rFonts w:hint="eastAsia" w:asciiTheme="minorEastAsia" w:hAnsiTheme="minorEastAsia" w:eastAsiaTheme="minorEastAsia" w:cstheme="minorEastAsia"/>
          <w:b/>
          <w:color w:val="auto"/>
          <w:kern w:val="44"/>
          <w:sz w:val="36"/>
          <w:szCs w:val="36"/>
          <w:highlight w:val="none"/>
        </w:rPr>
        <w:t>建设工程合同</w:t>
      </w:r>
      <w:bookmarkEnd w:id="605"/>
      <w:bookmarkEnd w:id="606"/>
      <w:bookmarkEnd w:id="607"/>
      <w:bookmarkEnd w:id="608"/>
      <w:bookmarkEnd w:id="609"/>
      <w:bookmarkEnd w:id="610"/>
      <w:bookmarkEnd w:id="611"/>
      <w:bookmarkEnd w:id="612"/>
      <w:bookmarkEnd w:id="613"/>
    </w:p>
    <w:p w14:paraId="2B1FD30E">
      <w:pPr>
        <w:spacing w:line="360" w:lineRule="auto"/>
        <w:rPr>
          <w:rFonts w:hint="eastAsia" w:asciiTheme="minorEastAsia" w:hAnsiTheme="minorEastAsia" w:eastAsiaTheme="minorEastAsia" w:cstheme="minorEastAsia"/>
          <w:color w:val="auto"/>
          <w:highlight w:val="none"/>
        </w:rPr>
      </w:pPr>
    </w:p>
    <w:bookmarkEnd w:id="483"/>
    <w:bookmarkEnd w:id="484"/>
    <w:p w14:paraId="429AE631">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略。总承包合同参照住房城乡建设部、国家工商行政管理总局制定的《建设项目工程总承包合同（示范文本）》GF-2020-0216。</w:t>
      </w:r>
    </w:p>
    <w:p w14:paraId="33E07525">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施工合同按广东省建设厅《广东省建设工程标准施工合同》范本（2009）执行。</w:t>
      </w:r>
    </w:p>
    <w:p w14:paraId="36D352AB">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设计合同按住房城乡建设部、国家工商行政管理总局制定《建设工程设计合同示范文本（市政公用工程）》（GF-2015-0209）、《建设工程设计合同示范文本（专业建设工程）》（GF-2015-0210）执行。 </w:t>
      </w:r>
    </w:p>
    <w:p w14:paraId="388C85E6">
      <w:pPr>
        <w:spacing w:line="360" w:lineRule="auto"/>
        <w:ind w:firstLine="480" w:firstLineChars="200"/>
        <w:rPr>
          <w:rFonts w:hint="eastAsia" w:asciiTheme="minorEastAsia" w:hAnsiTheme="minorEastAsia" w:eastAsiaTheme="minorEastAsia" w:cstheme="minorEastAsia"/>
          <w:color w:val="auto"/>
          <w:highlight w:val="none"/>
        </w:rPr>
      </w:pPr>
    </w:p>
    <w:p w14:paraId="6D486A02">
      <w:pPr>
        <w:spacing w:line="360" w:lineRule="auto"/>
        <w:ind w:firstLine="480" w:firstLineChars="200"/>
        <w:rPr>
          <w:rFonts w:hint="eastAsia" w:asciiTheme="minorEastAsia" w:hAnsiTheme="minorEastAsia" w:eastAsiaTheme="minorEastAsia" w:cstheme="minorEastAsia"/>
          <w:color w:val="auto"/>
          <w:highlight w:val="none"/>
        </w:rPr>
      </w:pPr>
    </w:p>
    <w:p w14:paraId="588468EC">
      <w:pPr>
        <w:spacing w:line="360" w:lineRule="auto"/>
        <w:rPr>
          <w:rFonts w:hint="eastAsia" w:asciiTheme="minorEastAsia" w:hAnsiTheme="minorEastAsia" w:eastAsiaTheme="minorEastAsia" w:cstheme="minorEastAsia"/>
          <w:color w:val="auto"/>
          <w:highlight w:val="none"/>
        </w:rPr>
      </w:pPr>
    </w:p>
    <w:sectPr>
      <w:endnotePr>
        <w:numFmt w:val="decimal"/>
      </w:endnotePr>
      <w:pgSz w:w="11905" w:h="16838"/>
      <w:pgMar w:top="1134" w:right="1134" w:bottom="1134" w:left="1134" w:header="850" w:footer="992" w:gutter="0"/>
      <w:pgNumType w:fmt="decimal"/>
      <w:cols w:space="0" w:num="1"/>
      <w:rtlGutter w:val="0"/>
      <w:docGrid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Bodoni MT">
    <w:panose1 w:val="02070603080606020203"/>
    <w:charset w:val="00"/>
    <w:family w:val="roman"/>
    <w:pitch w:val="default"/>
    <w:sig w:usb0="00000003" w:usb1="00000000" w:usb2="00000000" w:usb3="00000000" w:csb0="2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宋体">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F91F8">
    <w:pPr>
      <w:pStyle w:val="81"/>
      <w:tabs>
        <w:tab w:val="left" w:pos="4803"/>
        <w:tab w:val="clear" w:pos="4153"/>
      </w:tabs>
    </w:pPr>
    <w:r>
      <w:rPr>
        <w:rFonts w:hint="eastAsia"/>
      </w:rPr>
      <w:tab/>
    </w:r>
  </w:p>
  <w:p w14:paraId="4AFCE7F2">
    <w:pPr>
      <w:pStyle w:val="8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7DE61">
    <w:pPr>
      <w:pStyle w:val="81"/>
      <w:tabs>
        <w:tab w:val="left" w:pos="4803"/>
        <w:tab w:val="clear" w:pos="4153"/>
      </w:tabs>
    </w:pPr>
    <w:r>
      <w:rPr>
        <w:rFonts w:hint="eastAsia"/>
      </w:rPr>
      <w:tab/>
    </w:r>
  </w:p>
  <w:p w14:paraId="686904C8">
    <w:pPr>
      <w:pStyle w:val="8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638F0">
    <w:pPr>
      <w:pStyle w:val="81"/>
      <w:tabs>
        <w:tab w:val="left" w:pos="4803"/>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5536CC">
                          <w:pPr>
                            <w:pStyle w:val="2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D5536CC">
                    <w:pPr>
                      <w:pStyle w:val="22"/>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rPr>
      <w:tab/>
    </w:r>
  </w:p>
  <w:p w14:paraId="7F301BBB">
    <w:pPr>
      <w:pStyle w:val="8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45C18">
    <w:pPr>
      <w:pStyle w:val="81"/>
      <w:tabs>
        <w:tab w:val="left" w:pos="4803"/>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0430D3">
                          <w:pPr>
                            <w:pStyle w:val="2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pfMzMkBAACZ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yl8zMyQEAAJkDAAAOAAAAAAAAAAEAIAAAAB4BAABkcnMvZTJvRG9j&#10;LnhtbFBLBQYAAAAABgAGAFkBAABZBQAAAAA=&#10;">
              <v:fill on="f" focussize="0,0"/>
              <v:stroke on="f"/>
              <v:imagedata o:title=""/>
              <o:lock v:ext="edit" aspectratio="f"/>
              <v:textbox inset="0mm,0mm,0mm,0mm" style="mso-fit-shape-to-text:t;">
                <w:txbxContent>
                  <w:p w14:paraId="370430D3">
                    <w:pPr>
                      <w:pStyle w:val="22"/>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p w14:paraId="5C7F47BF">
    <w:pPr>
      <w:pStyle w:val="8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FFD58">
    <w:pPr>
      <w:pStyle w:val="81"/>
      <w:tabs>
        <w:tab w:val="left" w:pos="4803"/>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1000AA">
                          <w:pPr>
                            <w:pStyle w:val="22"/>
                          </w:pPr>
                          <w:r>
                            <w:fldChar w:fldCharType="begin"/>
                          </w:r>
                          <w:r>
                            <w:instrText xml:space="preserve"> PAGE  \* MERGEFORMAT </w:instrText>
                          </w:r>
                          <w:r>
                            <w:fldChar w:fldCharType="separate"/>
                          </w:r>
                          <w:r>
                            <w:t>105</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F7+8kBAACZ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8Xv7yQEAAJkDAAAOAAAAAAAAAAEAIAAAAB4BAABkcnMvZTJvRG9j&#10;LnhtbFBLBQYAAAAABgAGAFkBAABZBQAAAAA=&#10;">
              <v:fill on="f" focussize="0,0"/>
              <v:stroke on="f"/>
              <v:imagedata o:title=""/>
              <o:lock v:ext="edit" aspectratio="f"/>
              <v:textbox inset="0mm,0mm,0mm,0mm" style="mso-fit-shape-to-text:t;">
                <w:txbxContent>
                  <w:p w14:paraId="701000AA">
                    <w:pPr>
                      <w:pStyle w:val="22"/>
                    </w:pPr>
                    <w:r>
                      <w:fldChar w:fldCharType="begin"/>
                    </w:r>
                    <w:r>
                      <w:instrText xml:space="preserve"> PAGE  \* MERGEFORMAT </w:instrText>
                    </w:r>
                    <w:r>
                      <w:fldChar w:fldCharType="separate"/>
                    </w:r>
                    <w:r>
                      <w:t>105</w:t>
                    </w:r>
                    <w:r>
                      <w:fldChar w:fldCharType="end"/>
                    </w:r>
                  </w:p>
                </w:txbxContent>
              </v:textbox>
            </v:shape>
          </w:pict>
        </mc:Fallback>
      </mc:AlternateContent>
    </w:r>
    <w:r>
      <w:rPr>
        <w:rFonts w:hint="eastAsia"/>
      </w:rPr>
      <w:tab/>
    </w:r>
  </w:p>
  <w:p w14:paraId="73FD3302">
    <w:pPr>
      <w:pStyle w:val="8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7BD87">
    <w:pPr>
      <w:pStyle w:val="22"/>
      <w:jc w:val="center"/>
      <w:rPr>
        <w:rFonts w:hint="default"/>
        <w:szCs w:val="24"/>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D0D853">
                          <w:pPr>
                            <w:pStyle w:val="22"/>
                          </w:pPr>
                          <w:r>
                            <w:fldChar w:fldCharType="begin"/>
                          </w:r>
                          <w:r>
                            <w:instrText xml:space="preserve"> PAGE  \* MERGEFORMAT </w:instrText>
                          </w:r>
                          <w:r>
                            <w:fldChar w:fldCharType="separate"/>
                          </w:r>
                          <w:r>
                            <w:t>117</w:t>
                          </w:r>
                          <w: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tUyEMkBAACZAwAADgAAAGRycy9lMm9Eb2MueG1srVPNjtMwEL4j8Q6W&#10;79TZC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X1L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W1TIQyQEAAJkDAAAOAAAAAAAAAAEAIAAAAB4BAABkcnMvZTJvRG9j&#10;LnhtbFBLBQYAAAAABgAGAFkBAABZBQAAAAA=&#10;">
              <v:fill on="f" focussize="0,0"/>
              <v:stroke on="f"/>
              <v:imagedata o:title=""/>
              <o:lock v:ext="edit" aspectratio="f"/>
              <v:textbox inset="0mm,0mm,0mm,0mm" style="mso-fit-shape-to-text:t;">
                <w:txbxContent>
                  <w:p w14:paraId="61D0D853">
                    <w:pPr>
                      <w:pStyle w:val="22"/>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1C487">
    <w:pPr>
      <w:jc w:val="center"/>
      <w:rPr>
        <w:rFonts w:hint="default"/>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4B371">
    <w:pPr>
      <w:pStyle w:val="15"/>
      <w:pBdr>
        <w:bottom w:val="none" w:color="auto" w:sz="0" w:space="0"/>
      </w:pBdr>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F5E32E"/>
    <w:multiLevelType w:val="singleLevel"/>
    <w:tmpl w:val="87F5E32E"/>
    <w:lvl w:ilvl="0" w:tentative="0">
      <w:start w:val="1"/>
      <w:numFmt w:val="chineseCounting"/>
      <w:suff w:val="nothing"/>
      <w:lvlText w:val="（%1）"/>
      <w:lvlJc w:val="left"/>
      <w:pPr>
        <w:ind w:left="0" w:firstLine="420"/>
      </w:pPr>
      <w:rPr>
        <w:rFonts w:hint="eastAsia"/>
      </w:rPr>
    </w:lvl>
  </w:abstractNum>
  <w:abstractNum w:abstractNumId="1">
    <w:nsid w:val="9A22DE3C"/>
    <w:multiLevelType w:val="singleLevel"/>
    <w:tmpl w:val="9A22DE3C"/>
    <w:lvl w:ilvl="0" w:tentative="0">
      <w:start w:val="5"/>
      <w:numFmt w:val="decimal"/>
      <w:suff w:val="space"/>
      <w:lvlText w:val="%1."/>
      <w:lvlJc w:val="left"/>
    </w:lvl>
  </w:abstractNum>
  <w:abstractNum w:abstractNumId="2">
    <w:nsid w:val="C099E3A4"/>
    <w:multiLevelType w:val="singleLevel"/>
    <w:tmpl w:val="C099E3A4"/>
    <w:lvl w:ilvl="0" w:tentative="0">
      <w:start w:val="1"/>
      <w:numFmt w:val="chineseCounting"/>
      <w:suff w:val="nothing"/>
      <w:lvlText w:val="第%1、"/>
      <w:lvlJc w:val="left"/>
      <w:rPr>
        <w:rFonts w:hint="eastAsia"/>
      </w:rPr>
    </w:lvl>
  </w:abstractNum>
  <w:abstractNum w:abstractNumId="3">
    <w:nsid w:val="CFABDD9F"/>
    <w:multiLevelType w:val="singleLevel"/>
    <w:tmpl w:val="CFABDD9F"/>
    <w:lvl w:ilvl="0" w:tentative="0">
      <w:start w:val="1"/>
      <w:numFmt w:val="decimal"/>
      <w:suff w:val="nothing"/>
      <w:lvlText w:val="（%1）"/>
      <w:lvlJc w:val="left"/>
    </w:lvl>
  </w:abstractNum>
  <w:abstractNum w:abstractNumId="4">
    <w:nsid w:val="00000009"/>
    <w:multiLevelType w:val="multilevel"/>
    <w:tmpl w:val="00000009"/>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420"/>
  <w:drawingGridHorizontalSpacing w:val="240"/>
  <w:drawingGridVerticalSpacing w:val="99999990"/>
  <w:displayHorizontalDrawingGridEvery w:val="1"/>
  <w:displayVerticalDrawingGridEvery w:val="1"/>
  <w:noPunctuationKerning w:val="1"/>
  <w:characterSpacingControl w:val="compressPunctuation"/>
  <w:hdrShapeDefaults>
    <o:shapelayout v:ext="edit">
      <o:idmap v:ext="edit" data="2"/>
    </o:shapelayout>
  </w:hdrShapeDefaults>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jNTZhM2Y3Y2VjMzYxMDhmOTE1NzQzN2U4NjM5NzEifQ=="/>
    <w:docVar w:name="KSO_WPS_MARK_KEY" w:val="2b56eff9-4bef-4219-8874-9567fb1cde91"/>
  </w:docVars>
  <w:rsids>
    <w:rsidRoot w:val="4C5944B1"/>
    <w:rsid w:val="000B7698"/>
    <w:rsid w:val="000F7646"/>
    <w:rsid w:val="0011760F"/>
    <w:rsid w:val="001E0850"/>
    <w:rsid w:val="00281ECB"/>
    <w:rsid w:val="002F176F"/>
    <w:rsid w:val="00334D50"/>
    <w:rsid w:val="003A1942"/>
    <w:rsid w:val="003B643A"/>
    <w:rsid w:val="003E2709"/>
    <w:rsid w:val="004218C1"/>
    <w:rsid w:val="004F7FD5"/>
    <w:rsid w:val="0055689E"/>
    <w:rsid w:val="005E6BB8"/>
    <w:rsid w:val="0064163D"/>
    <w:rsid w:val="007C3F91"/>
    <w:rsid w:val="008C4168"/>
    <w:rsid w:val="00901845"/>
    <w:rsid w:val="00936991"/>
    <w:rsid w:val="00943625"/>
    <w:rsid w:val="00954357"/>
    <w:rsid w:val="00954A54"/>
    <w:rsid w:val="00A322B9"/>
    <w:rsid w:val="00A80EA7"/>
    <w:rsid w:val="00AF685C"/>
    <w:rsid w:val="00B16179"/>
    <w:rsid w:val="00B37196"/>
    <w:rsid w:val="00C04E0C"/>
    <w:rsid w:val="00CB07F4"/>
    <w:rsid w:val="00CD4D5B"/>
    <w:rsid w:val="00D561CD"/>
    <w:rsid w:val="00DA5A23"/>
    <w:rsid w:val="00E76514"/>
    <w:rsid w:val="00ED4B12"/>
    <w:rsid w:val="00F95669"/>
    <w:rsid w:val="01284AF4"/>
    <w:rsid w:val="012C10F1"/>
    <w:rsid w:val="016A5229"/>
    <w:rsid w:val="0176597C"/>
    <w:rsid w:val="0189664D"/>
    <w:rsid w:val="01A93FA3"/>
    <w:rsid w:val="01C53654"/>
    <w:rsid w:val="01E704A0"/>
    <w:rsid w:val="01F123E4"/>
    <w:rsid w:val="024C6CD9"/>
    <w:rsid w:val="02665093"/>
    <w:rsid w:val="02673FAD"/>
    <w:rsid w:val="027F7030"/>
    <w:rsid w:val="02983AAC"/>
    <w:rsid w:val="029933CC"/>
    <w:rsid w:val="02D70973"/>
    <w:rsid w:val="02D84414"/>
    <w:rsid w:val="033923C2"/>
    <w:rsid w:val="0348159A"/>
    <w:rsid w:val="03541A8A"/>
    <w:rsid w:val="03681C3C"/>
    <w:rsid w:val="03724869"/>
    <w:rsid w:val="0385459C"/>
    <w:rsid w:val="03C50E3C"/>
    <w:rsid w:val="03F46BE4"/>
    <w:rsid w:val="0400747C"/>
    <w:rsid w:val="041A1188"/>
    <w:rsid w:val="042E69E2"/>
    <w:rsid w:val="04360B53"/>
    <w:rsid w:val="04965C00"/>
    <w:rsid w:val="049727D9"/>
    <w:rsid w:val="04EA57F9"/>
    <w:rsid w:val="05735E79"/>
    <w:rsid w:val="06204F50"/>
    <w:rsid w:val="06310B6D"/>
    <w:rsid w:val="06505A75"/>
    <w:rsid w:val="06656ADB"/>
    <w:rsid w:val="068308FE"/>
    <w:rsid w:val="068A58D2"/>
    <w:rsid w:val="0694486B"/>
    <w:rsid w:val="06F37A6F"/>
    <w:rsid w:val="06FB608B"/>
    <w:rsid w:val="06FF1426"/>
    <w:rsid w:val="07235B8A"/>
    <w:rsid w:val="0741366C"/>
    <w:rsid w:val="074849DB"/>
    <w:rsid w:val="075527EB"/>
    <w:rsid w:val="076B2C30"/>
    <w:rsid w:val="076D2FEB"/>
    <w:rsid w:val="077C17D7"/>
    <w:rsid w:val="07A10088"/>
    <w:rsid w:val="07A76DE7"/>
    <w:rsid w:val="07C40809"/>
    <w:rsid w:val="081E0766"/>
    <w:rsid w:val="08397E54"/>
    <w:rsid w:val="083E11BD"/>
    <w:rsid w:val="08896029"/>
    <w:rsid w:val="08915791"/>
    <w:rsid w:val="08A851E3"/>
    <w:rsid w:val="08B15A45"/>
    <w:rsid w:val="08BC2A1A"/>
    <w:rsid w:val="08C47915"/>
    <w:rsid w:val="090C36AD"/>
    <w:rsid w:val="092752BD"/>
    <w:rsid w:val="092F24B4"/>
    <w:rsid w:val="09414204"/>
    <w:rsid w:val="0994687B"/>
    <w:rsid w:val="09B554AF"/>
    <w:rsid w:val="09C86F91"/>
    <w:rsid w:val="09EB1836"/>
    <w:rsid w:val="0A560A40"/>
    <w:rsid w:val="0A695B52"/>
    <w:rsid w:val="0A873975"/>
    <w:rsid w:val="0A9E2D09"/>
    <w:rsid w:val="0AB36DB1"/>
    <w:rsid w:val="0AD7112E"/>
    <w:rsid w:val="0AFD4502"/>
    <w:rsid w:val="0B00275A"/>
    <w:rsid w:val="0B4D31DF"/>
    <w:rsid w:val="0B633415"/>
    <w:rsid w:val="0BD240F7"/>
    <w:rsid w:val="0BDA37C7"/>
    <w:rsid w:val="0BEE1EC8"/>
    <w:rsid w:val="0C183B2E"/>
    <w:rsid w:val="0C292989"/>
    <w:rsid w:val="0C3C08C2"/>
    <w:rsid w:val="0C5C7E64"/>
    <w:rsid w:val="0C711B61"/>
    <w:rsid w:val="0C7358DA"/>
    <w:rsid w:val="0C74196B"/>
    <w:rsid w:val="0C7D5BCC"/>
    <w:rsid w:val="0C8F023A"/>
    <w:rsid w:val="0CBC40CB"/>
    <w:rsid w:val="0CC53C5B"/>
    <w:rsid w:val="0CDD0FA5"/>
    <w:rsid w:val="0CF40FAA"/>
    <w:rsid w:val="0D1B00F8"/>
    <w:rsid w:val="0D2B56E9"/>
    <w:rsid w:val="0D322C8D"/>
    <w:rsid w:val="0D4A769B"/>
    <w:rsid w:val="0D5374B9"/>
    <w:rsid w:val="0D724D63"/>
    <w:rsid w:val="0D7D07E5"/>
    <w:rsid w:val="0D8D045B"/>
    <w:rsid w:val="0D9642F0"/>
    <w:rsid w:val="0DA63A8D"/>
    <w:rsid w:val="0DB937C0"/>
    <w:rsid w:val="0DBB25A8"/>
    <w:rsid w:val="0DC53787"/>
    <w:rsid w:val="0DDA28D6"/>
    <w:rsid w:val="0DDD40E0"/>
    <w:rsid w:val="0DDE4FD5"/>
    <w:rsid w:val="0DE6650F"/>
    <w:rsid w:val="0DF73507"/>
    <w:rsid w:val="0DFA207C"/>
    <w:rsid w:val="0E074DC1"/>
    <w:rsid w:val="0E172E1A"/>
    <w:rsid w:val="0E554708"/>
    <w:rsid w:val="0E554C7C"/>
    <w:rsid w:val="0EAD0264"/>
    <w:rsid w:val="0F0A0D37"/>
    <w:rsid w:val="0F273882"/>
    <w:rsid w:val="0F28662E"/>
    <w:rsid w:val="0F4E10F7"/>
    <w:rsid w:val="0F640D2F"/>
    <w:rsid w:val="0F930041"/>
    <w:rsid w:val="0F955B67"/>
    <w:rsid w:val="0FB24E29"/>
    <w:rsid w:val="0FE90846"/>
    <w:rsid w:val="0FF7412C"/>
    <w:rsid w:val="10093E5F"/>
    <w:rsid w:val="101C0036"/>
    <w:rsid w:val="10264A11"/>
    <w:rsid w:val="10667503"/>
    <w:rsid w:val="10725EA8"/>
    <w:rsid w:val="109D06FC"/>
    <w:rsid w:val="10BD6F35"/>
    <w:rsid w:val="10CD6B01"/>
    <w:rsid w:val="10E34150"/>
    <w:rsid w:val="10E42E83"/>
    <w:rsid w:val="10FE598E"/>
    <w:rsid w:val="11584D75"/>
    <w:rsid w:val="11845E93"/>
    <w:rsid w:val="11DB4B38"/>
    <w:rsid w:val="123E21E9"/>
    <w:rsid w:val="12533956"/>
    <w:rsid w:val="125C6E10"/>
    <w:rsid w:val="12BB3B36"/>
    <w:rsid w:val="12BB58E4"/>
    <w:rsid w:val="12C37CA8"/>
    <w:rsid w:val="12C95642"/>
    <w:rsid w:val="12F2633B"/>
    <w:rsid w:val="13156E63"/>
    <w:rsid w:val="131F5532"/>
    <w:rsid w:val="13426006"/>
    <w:rsid w:val="13734957"/>
    <w:rsid w:val="13AB3BAB"/>
    <w:rsid w:val="13B512A1"/>
    <w:rsid w:val="142C45C0"/>
    <w:rsid w:val="142F30EF"/>
    <w:rsid w:val="143C0CA7"/>
    <w:rsid w:val="14430A9C"/>
    <w:rsid w:val="146E4B4E"/>
    <w:rsid w:val="149763D6"/>
    <w:rsid w:val="14BB4DC8"/>
    <w:rsid w:val="14E1675A"/>
    <w:rsid w:val="1514486D"/>
    <w:rsid w:val="1525173B"/>
    <w:rsid w:val="159F14ED"/>
    <w:rsid w:val="15A765F4"/>
    <w:rsid w:val="15BC4477"/>
    <w:rsid w:val="15D85784"/>
    <w:rsid w:val="160E6248"/>
    <w:rsid w:val="161F586A"/>
    <w:rsid w:val="16201F02"/>
    <w:rsid w:val="164E4741"/>
    <w:rsid w:val="16E178E4"/>
    <w:rsid w:val="175E7186"/>
    <w:rsid w:val="17793BB0"/>
    <w:rsid w:val="17AF3CDA"/>
    <w:rsid w:val="17B73663"/>
    <w:rsid w:val="17E17622"/>
    <w:rsid w:val="17FF3E14"/>
    <w:rsid w:val="18426433"/>
    <w:rsid w:val="18770500"/>
    <w:rsid w:val="18AE7C99"/>
    <w:rsid w:val="18B72C9A"/>
    <w:rsid w:val="18F546F2"/>
    <w:rsid w:val="190C0049"/>
    <w:rsid w:val="19212219"/>
    <w:rsid w:val="19363AFA"/>
    <w:rsid w:val="19375EE1"/>
    <w:rsid w:val="19B600B0"/>
    <w:rsid w:val="19CB4621"/>
    <w:rsid w:val="19F37903"/>
    <w:rsid w:val="1A04743A"/>
    <w:rsid w:val="1A241393"/>
    <w:rsid w:val="1A3B37AF"/>
    <w:rsid w:val="1A495ECC"/>
    <w:rsid w:val="1A4A39F2"/>
    <w:rsid w:val="1A602AAD"/>
    <w:rsid w:val="1A8506D5"/>
    <w:rsid w:val="1A937147"/>
    <w:rsid w:val="1AA650CC"/>
    <w:rsid w:val="1AA77840"/>
    <w:rsid w:val="1AC63078"/>
    <w:rsid w:val="1ACC14F2"/>
    <w:rsid w:val="1ACF42A1"/>
    <w:rsid w:val="1AF94774"/>
    <w:rsid w:val="1AF97567"/>
    <w:rsid w:val="1B1742F2"/>
    <w:rsid w:val="1B2E4C6C"/>
    <w:rsid w:val="1B690B70"/>
    <w:rsid w:val="1B7350C7"/>
    <w:rsid w:val="1B754A9E"/>
    <w:rsid w:val="1B8076CB"/>
    <w:rsid w:val="1B8A59D6"/>
    <w:rsid w:val="1BA240CA"/>
    <w:rsid w:val="1BAF4AA0"/>
    <w:rsid w:val="1BC03F6C"/>
    <w:rsid w:val="1BC05D1A"/>
    <w:rsid w:val="1BC11A92"/>
    <w:rsid w:val="1BC21D75"/>
    <w:rsid w:val="1BC62A56"/>
    <w:rsid w:val="1BEB6E0B"/>
    <w:rsid w:val="1BF32049"/>
    <w:rsid w:val="1BF80445"/>
    <w:rsid w:val="1C01417E"/>
    <w:rsid w:val="1C161DDD"/>
    <w:rsid w:val="1C381D54"/>
    <w:rsid w:val="1C4C1CA3"/>
    <w:rsid w:val="1C4C3F1D"/>
    <w:rsid w:val="1C5173EB"/>
    <w:rsid w:val="1C6061C5"/>
    <w:rsid w:val="1C6D1B06"/>
    <w:rsid w:val="1C8F1025"/>
    <w:rsid w:val="1CDD25B2"/>
    <w:rsid w:val="1CDD28FB"/>
    <w:rsid w:val="1CDE71ED"/>
    <w:rsid w:val="1D074030"/>
    <w:rsid w:val="1D190DEF"/>
    <w:rsid w:val="1D3F2962"/>
    <w:rsid w:val="1D6F3E31"/>
    <w:rsid w:val="1D750002"/>
    <w:rsid w:val="1D7B63DC"/>
    <w:rsid w:val="1DB4365C"/>
    <w:rsid w:val="1DB63878"/>
    <w:rsid w:val="1DB7314C"/>
    <w:rsid w:val="1DC85359"/>
    <w:rsid w:val="1DE504BC"/>
    <w:rsid w:val="1DEB51E9"/>
    <w:rsid w:val="1DFC7984"/>
    <w:rsid w:val="1E0801F3"/>
    <w:rsid w:val="1E480248"/>
    <w:rsid w:val="1E5310C7"/>
    <w:rsid w:val="1E6622F4"/>
    <w:rsid w:val="1E6E4153"/>
    <w:rsid w:val="1E787E3F"/>
    <w:rsid w:val="1E896032"/>
    <w:rsid w:val="1EA41352"/>
    <w:rsid w:val="1ED02718"/>
    <w:rsid w:val="1EE14055"/>
    <w:rsid w:val="1EE84E4D"/>
    <w:rsid w:val="1F0B09EA"/>
    <w:rsid w:val="1F26208B"/>
    <w:rsid w:val="1F27633C"/>
    <w:rsid w:val="1F505606"/>
    <w:rsid w:val="1F57096F"/>
    <w:rsid w:val="1F7F413E"/>
    <w:rsid w:val="1F9951FF"/>
    <w:rsid w:val="1FBD45F2"/>
    <w:rsid w:val="20012DA5"/>
    <w:rsid w:val="20315438"/>
    <w:rsid w:val="206C46C2"/>
    <w:rsid w:val="20941E5C"/>
    <w:rsid w:val="20A16EDA"/>
    <w:rsid w:val="20B144DF"/>
    <w:rsid w:val="20B74A0C"/>
    <w:rsid w:val="20E92EC4"/>
    <w:rsid w:val="20EF49EE"/>
    <w:rsid w:val="211046C7"/>
    <w:rsid w:val="211D59BC"/>
    <w:rsid w:val="213212B7"/>
    <w:rsid w:val="218B1BA7"/>
    <w:rsid w:val="21933ED0"/>
    <w:rsid w:val="21976550"/>
    <w:rsid w:val="2252621C"/>
    <w:rsid w:val="225278E7"/>
    <w:rsid w:val="22574EFE"/>
    <w:rsid w:val="225A40A6"/>
    <w:rsid w:val="225A5C6B"/>
    <w:rsid w:val="225B51D9"/>
    <w:rsid w:val="227635D6"/>
    <w:rsid w:val="228D0920"/>
    <w:rsid w:val="22A26860"/>
    <w:rsid w:val="22AC263C"/>
    <w:rsid w:val="22C541CF"/>
    <w:rsid w:val="22DC6741"/>
    <w:rsid w:val="22E42C35"/>
    <w:rsid w:val="23047728"/>
    <w:rsid w:val="2305495A"/>
    <w:rsid w:val="230C5CE8"/>
    <w:rsid w:val="234D1433"/>
    <w:rsid w:val="235F6EB5"/>
    <w:rsid w:val="23843015"/>
    <w:rsid w:val="23A2739A"/>
    <w:rsid w:val="23BE3486"/>
    <w:rsid w:val="23DF51AB"/>
    <w:rsid w:val="23FF0B9F"/>
    <w:rsid w:val="242F6132"/>
    <w:rsid w:val="24491954"/>
    <w:rsid w:val="24697468"/>
    <w:rsid w:val="24704055"/>
    <w:rsid w:val="247274DC"/>
    <w:rsid w:val="24C3478E"/>
    <w:rsid w:val="24EE1B49"/>
    <w:rsid w:val="25153BB3"/>
    <w:rsid w:val="253B5A69"/>
    <w:rsid w:val="2578303A"/>
    <w:rsid w:val="257D5076"/>
    <w:rsid w:val="25972C96"/>
    <w:rsid w:val="25A01B67"/>
    <w:rsid w:val="25BF256F"/>
    <w:rsid w:val="25C1100C"/>
    <w:rsid w:val="25D36F91"/>
    <w:rsid w:val="25E8104B"/>
    <w:rsid w:val="264439EB"/>
    <w:rsid w:val="266F2816"/>
    <w:rsid w:val="268F110A"/>
    <w:rsid w:val="26C0203C"/>
    <w:rsid w:val="271D6716"/>
    <w:rsid w:val="27247B73"/>
    <w:rsid w:val="272F01F7"/>
    <w:rsid w:val="274572A5"/>
    <w:rsid w:val="274577C6"/>
    <w:rsid w:val="27462BA9"/>
    <w:rsid w:val="275131CB"/>
    <w:rsid w:val="276445C9"/>
    <w:rsid w:val="278C73F8"/>
    <w:rsid w:val="27910EB2"/>
    <w:rsid w:val="27AC35F6"/>
    <w:rsid w:val="27EB411E"/>
    <w:rsid w:val="28310773"/>
    <w:rsid w:val="28335AC5"/>
    <w:rsid w:val="283B4DC5"/>
    <w:rsid w:val="28461C9C"/>
    <w:rsid w:val="285F2D5E"/>
    <w:rsid w:val="288B3029"/>
    <w:rsid w:val="28910741"/>
    <w:rsid w:val="28A459E7"/>
    <w:rsid w:val="28C411E9"/>
    <w:rsid w:val="28FD4CC9"/>
    <w:rsid w:val="29061A4D"/>
    <w:rsid w:val="297D16EE"/>
    <w:rsid w:val="298736A5"/>
    <w:rsid w:val="298F4F7D"/>
    <w:rsid w:val="29D86AEC"/>
    <w:rsid w:val="29DC62BD"/>
    <w:rsid w:val="2A0B5624"/>
    <w:rsid w:val="2A0F2112"/>
    <w:rsid w:val="2A1738F0"/>
    <w:rsid w:val="2A475858"/>
    <w:rsid w:val="2A6B3832"/>
    <w:rsid w:val="2A7655E9"/>
    <w:rsid w:val="2A793900"/>
    <w:rsid w:val="2A7F1496"/>
    <w:rsid w:val="2A881CEC"/>
    <w:rsid w:val="2A994305"/>
    <w:rsid w:val="2AA85E3B"/>
    <w:rsid w:val="2AAA4765"/>
    <w:rsid w:val="2AAD14E3"/>
    <w:rsid w:val="2AB80DCB"/>
    <w:rsid w:val="2AB90504"/>
    <w:rsid w:val="2AD510B6"/>
    <w:rsid w:val="2AEA4B61"/>
    <w:rsid w:val="2B167CAC"/>
    <w:rsid w:val="2B1C4F36"/>
    <w:rsid w:val="2B204A27"/>
    <w:rsid w:val="2B4C6B5C"/>
    <w:rsid w:val="2B777082"/>
    <w:rsid w:val="2B8C7C7C"/>
    <w:rsid w:val="2BA456FE"/>
    <w:rsid w:val="2BAB037B"/>
    <w:rsid w:val="2BEF49DC"/>
    <w:rsid w:val="2C1B0D4A"/>
    <w:rsid w:val="2C302A48"/>
    <w:rsid w:val="2C5D5807"/>
    <w:rsid w:val="2C733DC5"/>
    <w:rsid w:val="2C861EB2"/>
    <w:rsid w:val="2CA60F5C"/>
    <w:rsid w:val="2CAA4940"/>
    <w:rsid w:val="2CBF3E97"/>
    <w:rsid w:val="2CD57184"/>
    <w:rsid w:val="2CE466AC"/>
    <w:rsid w:val="2CE53DF2"/>
    <w:rsid w:val="2CF73565"/>
    <w:rsid w:val="2D145EC5"/>
    <w:rsid w:val="2D652012"/>
    <w:rsid w:val="2D6A1F89"/>
    <w:rsid w:val="2DB24674"/>
    <w:rsid w:val="2DFA155F"/>
    <w:rsid w:val="2E222864"/>
    <w:rsid w:val="2E3B5279"/>
    <w:rsid w:val="2E3F3416"/>
    <w:rsid w:val="2E3F6DC0"/>
    <w:rsid w:val="2E5A3DAC"/>
    <w:rsid w:val="2F0C7FE5"/>
    <w:rsid w:val="2F141663"/>
    <w:rsid w:val="2F34284F"/>
    <w:rsid w:val="2F6649D2"/>
    <w:rsid w:val="2F6C4D1C"/>
    <w:rsid w:val="2F77098D"/>
    <w:rsid w:val="2F7E7F6E"/>
    <w:rsid w:val="2F7F0633"/>
    <w:rsid w:val="2F8530AA"/>
    <w:rsid w:val="2FC35981"/>
    <w:rsid w:val="2FC90D1F"/>
    <w:rsid w:val="2FEC3129"/>
    <w:rsid w:val="303625F7"/>
    <w:rsid w:val="30890978"/>
    <w:rsid w:val="30922CB1"/>
    <w:rsid w:val="30BB4DBD"/>
    <w:rsid w:val="31307647"/>
    <w:rsid w:val="313C1E8F"/>
    <w:rsid w:val="3150593A"/>
    <w:rsid w:val="31557F29"/>
    <w:rsid w:val="315947EF"/>
    <w:rsid w:val="315A40C3"/>
    <w:rsid w:val="317B7E20"/>
    <w:rsid w:val="31C91C1F"/>
    <w:rsid w:val="31CA56EC"/>
    <w:rsid w:val="31E9733B"/>
    <w:rsid w:val="31FB42D0"/>
    <w:rsid w:val="3240150B"/>
    <w:rsid w:val="32696CB3"/>
    <w:rsid w:val="326B7E18"/>
    <w:rsid w:val="32830F54"/>
    <w:rsid w:val="3286265A"/>
    <w:rsid w:val="32891103"/>
    <w:rsid w:val="328A4FFE"/>
    <w:rsid w:val="329A44C1"/>
    <w:rsid w:val="32B653FC"/>
    <w:rsid w:val="32DE4292"/>
    <w:rsid w:val="32EB37B8"/>
    <w:rsid w:val="32EC5E34"/>
    <w:rsid w:val="330A2D02"/>
    <w:rsid w:val="33594898"/>
    <w:rsid w:val="33784CD4"/>
    <w:rsid w:val="33B71CA0"/>
    <w:rsid w:val="33CD3272"/>
    <w:rsid w:val="33E800AC"/>
    <w:rsid w:val="33F87B2A"/>
    <w:rsid w:val="33FB1B8D"/>
    <w:rsid w:val="343C4C08"/>
    <w:rsid w:val="34441BD5"/>
    <w:rsid w:val="346317C9"/>
    <w:rsid w:val="34924516"/>
    <w:rsid w:val="34A55F9D"/>
    <w:rsid w:val="34A5706F"/>
    <w:rsid w:val="34AB28E5"/>
    <w:rsid w:val="34B14EA3"/>
    <w:rsid w:val="34C33404"/>
    <w:rsid w:val="34D53C75"/>
    <w:rsid w:val="34F1756F"/>
    <w:rsid w:val="34FA62E8"/>
    <w:rsid w:val="35325511"/>
    <w:rsid w:val="35C12962"/>
    <w:rsid w:val="35C4206C"/>
    <w:rsid w:val="35D44570"/>
    <w:rsid w:val="360F7B72"/>
    <w:rsid w:val="365437D6"/>
    <w:rsid w:val="3670318E"/>
    <w:rsid w:val="36BF209F"/>
    <w:rsid w:val="36D13957"/>
    <w:rsid w:val="36D466C5"/>
    <w:rsid w:val="36D84407"/>
    <w:rsid w:val="36F11025"/>
    <w:rsid w:val="36FA44D9"/>
    <w:rsid w:val="37094FC9"/>
    <w:rsid w:val="37436ACA"/>
    <w:rsid w:val="3747333B"/>
    <w:rsid w:val="37496D56"/>
    <w:rsid w:val="375624D4"/>
    <w:rsid w:val="37620175"/>
    <w:rsid w:val="37691503"/>
    <w:rsid w:val="377C4D93"/>
    <w:rsid w:val="377D5C9F"/>
    <w:rsid w:val="37AF33BA"/>
    <w:rsid w:val="37D70CAE"/>
    <w:rsid w:val="37DD0002"/>
    <w:rsid w:val="37ED2BA2"/>
    <w:rsid w:val="37FC5ED4"/>
    <w:rsid w:val="37FC7C1F"/>
    <w:rsid w:val="381E5756"/>
    <w:rsid w:val="3828316D"/>
    <w:rsid w:val="382F17A6"/>
    <w:rsid w:val="384358B1"/>
    <w:rsid w:val="386859FD"/>
    <w:rsid w:val="38A5656B"/>
    <w:rsid w:val="38B44A00"/>
    <w:rsid w:val="38C95916"/>
    <w:rsid w:val="38CD6618"/>
    <w:rsid w:val="390E5CB1"/>
    <w:rsid w:val="39177E14"/>
    <w:rsid w:val="39232DB5"/>
    <w:rsid w:val="39495F16"/>
    <w:rsid w:val="39657AA9"/>
    <w:rsid w:val="396A03ED"/>
    <w:rsid w:val="397321C6"/>
    <w:rsid w:val="397B45CF"/>
    <w:rsid w:val="39AE77D7"/>
    <w:rsid w:val="39D3116A"/>
    <w:rsid w:val="39E930B1"/>
    <w:rsid w:val="39F8091D"/>
    <w:rsid w:val="3A0745CE"/>
    <w:rsid w:val="3A0A0D7C"/>
    <w:rsid w:val="3A1514CF"/>
    <w:rsid w:val="3A21319F"/>
    <w:rsid w:val="3A223F8F"/>
    <w:rsid w:val="3A350062"/>
    <w:rsid w:val="3A3F654C"/>
    <w:rsid w:val="3A437F11"/>
    <w:rsid w:val="3A6313BE"/>
    <w:rsid w:val="3AAF722D"/>
    <w:rsid w:val="3AC147A5"/>
    <w:rsid w:val="3AD6600A"/>
    <w:rsid w:val="3AD959D6"/>
    <w:rsid w:val="3ADB6274"/>
    <w:rsid w:val="3B091033"/>
    <w:rsid w:val="3B2154F6"/>
    <w:rsid w:val="3B286FE0"/>
    <w:rsid w:val="3B3E2DB3"/>
    <w:rsid w:val="3B556CAF"/>
    <w:rsid w:val="3BF86348"/>
    <w:rsid w:val="3C1E33AE"/>
    <w:rsid w:val="3C3001B4"/>
    <w:rsid w:val="3C3F638E"/>
    <w:rsid w:val="3C4C6A14"/>
    <w:rsid w:val="3C836701"/>
    <w:rsid w:val="3CA52FDE"/>
    <w:rsid w:val="3CC22946"/>
    <w:rsid w:val="3CD01F3B"/>
    <w:rsid w:val="3CD7328C"/>
    <w:rsid w:val="3CE753A4"/>
    <w:rsid w:val="3CEC5ACA"/>
    <w:rsid w:val="3CF96E86"/>
    <w:rsid w:val="3D204801"/>
    <w:rsid w:val="3D287F80"/>
    <w:rsid w:val="3D361E88"/>
    <w:rsid w:val="3D3A3C3D"/>
    <w:rsid w:val="3D4C4431"/>
    <w:rsid w:val="3D697A37"/>
    <w:rsid w:val="3D864BBD"/>
    <w:rsid w:val="3D9646D4"/>
    <w:rsid w:val="3DC95243"/>
    <w:rsid w:val="3DD358A6"/>
    <w:rsid w:val="3DE07FF0"/>
    <w:rsid w:val="3E0525CD"/>
    <w:rsid w:val="3E06185A"/>
    <w:rsid w:val="3E0D42F0"/>
    <w:rsid w:val="3E3363C7"/>
    <w:rsid w:val="3E976956"/>
    <w:rsid w:val="3E9B4946"/>
    <w:rsid w:val="3EB73D12"/>
    <w:rsid w:val="3EBE4C8C"/>
    <w:rsid w:val="3ECC2B23"/>
    <w:rsid w:val="3F0538C0"/>
    <w:rsid w:val="3F073ADC"/>
    <w:rsid w:val="3F1461F9"/>
    <w:rsid w:val="3F2526AD"/>
    <w:rsid w:val="3F390778"/>
    <w:rsid w:val="3FA0796D"/>
    <w:rsid w:val="3FA62879"/>
    <w:rsid w:val="3FB5786C"/>
    <w:rsid w:val="3FB672B0"/>
    <w:rsid w:val="3FB928FC"/>
    <w:rsid w:val="3FC218C6"/>
    <w:rsid w:val="3FE306FB"/>
    <w:rsid w:val="3FEA0D08"/>
    <w:rsid w:val="3FEB51AC"/>
    <w:rsid w:val="3FEC021E"/>
    <w:rsid w:val="400242A3"/>
    <w:rsid w:val="4004001B"/>
    <w:rsid w:val="400B3176"/>
    <w:rsid w:val="401122A5"/>
    <w:rsid w:val="40112738"/>
    <w:rsid w:val="401F4E55"/>
    <w:rsid w:val="40582115"/>
    <w:rsid w:val="406658CA"/>
    <w:rsid w:val="40720D30"/>
    <w:rsid w:val="40900A48"/>
    <w:rsid w:val="4099576A"/>
    <w:rsid w:val="410B1343"/>
    <w:rsid w:val="411C1395"/>
    <w:rsid w:val="413D1A37"/>
    <w:rsid w:val="414032D5"/>
    <w:rsid w:val="4145308E"/>
    <w:rsid w:val="414E5376"/>
    <w:rsid w:val="41566655"/>
    <w:rsid w:val="41626E05"/>
    <w:rsid w:val="4196079D"/>
    <w:rsid w:val="419D0246"/>
    <w:rsid w:val="41DD28D2"/>
    <w:rsid w:val="41E33C60"/>
    <w:rsid w:val="420648DE"/>
    <w:rsid w:val="42114C71"/>
    <w:rsid w:val="42150157"/>
    <w:rsid w:val="421C10AE"/>
    <w:rsid w:val="423435B8"/>
    <w:rsid w:val="425D3A13"/>
    <w:rsid w:val="42660677"/>
    <w:rsid w:val="42793B9A"/>
    <w:rsid w:val="42912938"/>
    <w:rsid w:val="429E0812"/>
    <w:rsid w:val="429E3AD6"/>
    <w:rsid w:val="42B44D10"/>
    <w:rsid w:val="42BA41B0"/>
    <w:rsid w:val="42C13FA2"/>
    <w:rsid w:val="42EB54C2"/>
    <w:rsid w:val="430C15CB"/>
    <w:rsid w:val="430C699F"/>
    <w:rsid w:val="435D2698"/>
    <w:rsid w:val="437943F5"/>
    <w:rsid w:val="439E2535"/>
    <w:rsid w:val="43A80694"/>
    <w:rsid w:val="43B6162D"/>
    <w:rsid w:val="43C6284E"/>
    <w:rsid w:val="43DF5FA7"/>
    <w:rsid w:val="43F403A7"/>
    <w:rsid w:val="43F54D27"/>
    <w:rsid w:val="44220A07"/>
    <w:rsid w:val="442C7B41"/>
    <w:rsid w:val="445F5FF9"/>
    <w:rsid w:val="446F27D2"/>
    <w:rsid w:val="44A578BE"/>
    <w:rsid w:val="44AD5AB7"/>
    <w:rsid w:val="44BA339E"/>
    <w:rsid w:val="44E64193"/>
    <w:rsid w:val="44F93EC7"/>
    <w:rsid w:val="44FA73AF"/>
    <w:rsid w:val="45135120"/>
    <w:rsid w:val="45280308"/>
    <w:rsid w:val="45530C49"/>
    <w:rsid w:val="45967968"/>
    <w:rsid w:val="45AA241A"/>
    <w:rsid w:val="45AC718B"/>
    <w:rsid w:val="45B778DE"/>
    <w:rsid w:val="45E61DF3"/>
    <w:rsid w:val="46144D30"/>
    <w:rsid w:val="46220097"/>
    <w:rsid w:val="46893028"/>
    <w:rsid w:val="46A02C50"/>
    <w:rsid w:val="46A674BD"/>
    <w:rsid w:val="46B458C0"/>
    <w:rsid w:val="46C40504"/>
    <w:rsid w:val="46C67DD9"/>
    <w:rsid w:val="46E77832"/>
    <w:rsid w:val="46EA736D"/>
    <w:rsid w:val="46F265D5"/>
    <w:rsid w:val="470E1780"/>
    <w:rsid w:val="471E6BE4"/>
    <w:rsid w:val="472879B0"/>
    <w:rsid w:val="474531F8"/>
    <w:rsid w:val="474D04FA"/>
    <w:rsid w:val="47617388"/>
    <w:rsid w:val="47777520"/>
    <w:rsid w:val="4796702E"/>
    <w:rsid w:val="480E5EDB"/>
    <w:rsid w:val="484418FD"/>
    <w:rsid w:val="48657A71"/>
    <w:rsid w:val="487429ED"/>
    <w:rsid w:val="487E3BD5"/>
    <w:rsid w:val="48C159B8"/>
    <w:rsid w:val="48C37705"/>
    <w:rsid w:val="48D11064"/>
    <w:rsid w:val="48D6451F"/>
    <w:rsid w:val="48F34DB8"/>
    <w:rsid w:val="48FA020D"/>
    <w:rsid w:val="490620D6"/>
    <w:rsid w:val="49350787"/>
    <w:rsid w:val="493E5947"/>
    <w:rsid w:val="49697141"/>
    <w:rsid w:val="497004D0"/>
    <w:rsid w:val="49730844"/>
    <w:rsid w:val="49A53A73"/>
    <w:rsid w:val="49BA59AE"/>
    <w:rsid w:val="49E50EBD"/>
    <w:rsid w:val="49FA4868"/>
    <w:rsid w:val="4A080708"/>
    <w:rsid w:val="4A17094B"/>
    <w:rsid w:val="4A91694F"/>
    <w:rsid w:val="4AAB6A9C"/>
    <w:rsid w:val="4B3D2633"/>
    <w:rsid w:val="4B524331"/>
    <w:rsid w:val="4BBC5C4E"/>
    <w:rsid w:val="4BC55F37"/>
    <w:rsid w:val="4BE24F56"/>
    <w:rsid w:val="4C1E4213"/>
    <w:rsid w:val="4C5944B1"/>
    <w:rsid w:val="4C6F3A23"/>
    <w:rsid w:val="4C8F5C62"/>
    <w:rsid w:val="4CA77A88"/>
    <w:rsid w:val="4CD37FC1"/>
    <w:rsid w:val="4D0168EA"/>
    <w:rsid w:val="4D027EED"/>
    <w:rsid w:val="4D073CF0"/>
    <w:rsid w:val="4D355CB8"/>
    <w:rsid w:val="4D4001B9"/>
    <w:rsid w:val="4D4B557E"/>
    <w:rsid w:val="4D690DDD"/>
    <w:rsid w:val="4D6E32E7"/>
    <w:rsid w:val="4D727586"/>
    <w:rsid w:val="4DB320D6"/>
    <w:rsid w:val="4DD67651"/>
    <w:rsid w:val="4DD958BA"/>
    <w:rsid w:val="4DEB3918"/>
    <w:rsid w:val="4DEF4911"/>
    <w:rsid w:val="4E192EE4"/>
    <w:rsid w:val="4E267A1C"/>
    <w:rsid w:val="4E74636C"/>
    <w:rsid w:val="4EA9414C"/>
    <w:rsid w:val="4EA94B28"/>
    <w:rsid w:val="4EC779CB"/>
    <w:rsid w:val="4EE87ACC"/>
    <w:rsid w:val="4EEF1E97"/>
    <w:rsid w:val="4EFE47D1"/>
    <w:rsid w:val="4F122A8C"/>
    <w:rsid w:val="4F244236"/>
    <w:rsid w:val="4F501C11"/>
    <w:rsid w:val="4F802EB1"/>
    <w:rsid w:val="4F907E81"/>
    <w:rsid w:val="4FF63749"/>
    <w:rsid w:val="50102AE1"/>
    <w:rsid w:val="504C7CF2"/>
    <w:rsid w:val="50597F0F"/>
    <w:rsid w:val="50605398"/>
    <w:rsid w:val="507408A5"/>
    <w:rsid w:val="507F0A3C"/>
    <w:rsid w:val="50832EE6"/>
    <w:rsid w:val="508A67B9"/>
    <w:rsid w:val="509129BD"/>
    <w:rsid w:val="50ED1318"/>
    <w:rsid w:val="512A23E5"/>
    <w:rsid w:val="51654692"/>
    <w:rsid w:val="51D14ACF"/>
    <w:rsid w:val="51E073BF"/>
    <w:rsid w:val="51FA638D"/>
    <w:rsid w:val="5200056D"/>
    <w:rsid w:val="52181704"/>
    <w:rsid w:val="5237602E"/>
    <w:rsid w:val="52392F23"/>
    <w:rsid w:val="525A17EE"/>
    <w:rsid w:val="525A3919"/>
    <w:rsid w:val="52741030"/>
    <w:rsid w:val="527E5A0B"/>
    <w:rsid w:val="52923265"/>
    <w:rsid w:val="529260B2"/>
    <w:rsid w:val="52B551A5"/>
    <w:rsid w:val="52D3458B"/>
    <w:rsid w:val="52DE0C04"/>
    <w:rsid w:val="52E516B4"/>
    <w:rsid w:val="52ED43B9"/>
    <w:rsid w:val="53043E75"/>
    <w:rsid w:val="53084363"/>
    <w:rsid w:val="53215999"/>
    <w:rsid w:val="53387A31"/>
    <w:rsid w:val="533D4D64"/>
    <w:rsid w:val="535B3F9E"/>
    <w:rsid w:val="53933738"/>
    <w:rsid w:val="53A26B31"/>
    <w:rsid w:val="53B460FE"/>
    <w:rsid w:val="53BF452D"/>
    <w:rsid w:val="54052ACA"/>
    <w:rsid w:val="543A0058"/>
    <w:rsid w:val="544E5CE1"/>
    <w:rsid w:val="5458228C"/>
    <w:rsid w:val="545A24A8"/>
    <w:rsid w:val="547509DC"/>
    <w:rsid w:val="5496745E"/>
    <w:rsid w:val="54A454D1"/>
    <w:rsid w:val="54A82930"/>
    <w:rsid w:val="54DE6C35"/>
    <w:rsid w:val="5521008A"/>
    <w:rsid w:val="553E1687"/>
    <w:rsid w:val="55750DBC"/>
    <w:rsid w:val="558772CD"/>
    <w:rsid w:val="55985036"/>
    <w:rsid w:val="55C20305"/>
    <w:rsid w:val="55D94182"/>
    <w:rsid w:val="55E97640"/>
    <w:rsid w:val="55F07786"/>
    <w:rsid w:val="55FE3948"/>
    <w:rsid w:val="5624780D"/>
    <w:rsid w:val="56290384"/>
    <w:rsid w:val="568D0913"/>
    <w:rsid w:val="56B20706"/>
    <w:rsid w:val="56E46059"/>
    <w:rsid w:val="56F249B9"/>
    <w:rsid w:val="56F73FDE"/>
    <w:rsid w:val="570F1E19"/>
    <w:rsid w:val="574A6804"/>
    <w:rsid w:val="57566F57"/>
    <w:rsid w:val="577C3646"/>
    <w:rsid w:val="57827F81"/>
    <w:rsid w:val="579730CB"/>
    <w:rsid w:val="57D91936"/>
    <w:rsid w:val="57DF13E7"/>
    <w:rsid w:val="57E13CEA"/>
    <w:rsid w:val="583C31BB"/>
    <w:rsid w:val="585A4825"/>
    <w:rsid w:val="587D7E5A"/>
    <w:rsid w:val="589D2963"/>
    <w:rsid w:val="58D04CC8"/>
    <w:rsid w:val="58D77C23"/>
    <w:rsid w:val="58EF1411"/>
    <w:rsid w:val="58F4009C"/>
    <w:rsid w:val="58F419FA"/>
    <w:rsid w:val="590B1FC3"/>
    <w:rsid w:val="594340A3"/>
    <w:rsid w:val="597013FA"/>
    <w:rsid w:val="59725B9E"/>
    <w:rsid w:val="59832E67"/>
    <w:rsid w:val="59B166C6"/>
    <w:rsid w:val="59DD570D"/>
    <w:rsid w:val="5A97107E"/>
    <w:rsid w:val="5AA9356E"/>
    <w:rsid w:val="5AE34FA5"/>
    <w:rsid w:val="5AE66844"/>
    <w:rsid w:val="5B1D63D9"/>
    <w:rsid w:val="5B2E3D47"/>
    <w:rsid w:val="5B661732"/>
    <w:rsid w:val="5B991B08"/>
    <w:rsid w:val="5BA1276A"/>
    <w:rsid w:val="5BA32F4B"/>
    <w:rsid w:val="5BC22E0D"/>
    <w:rsid w:val="5BC40C35"/>
    <w:rsid w:val="5BC51F20"/>
    <w:rsid w:val="5BDC19F5"/>
    <w:rsid w:val="5C007491"/>
    <w:rsid w:val="5C0C052C"/>
    <w:rsid w:val="5C0D0AE7"/>
    <w:rsid w:val="5C0E3D80"/>
    <w:rsid w:val="5C3754AC"/>
    <w:rsid w:val="5C6A0DAE"/>
    <w:rsid w:val="5CB100A4"/>
    <w:rsid w:val="5CBB64FD"/>
    <w:rsid w:val="5CCA4FB9"/>
    <w:rsid w:val="5CE1534A"/>
    <w:rsid w:val="5CE943C9"/>
    <w:rsid w:val="5D3D64C3"/>
    <w:rsid w:val="5D641CA2"/>
    <w:rsid w:val="5D6F2B20"/>
    <w:rsid w:val="5D8B5480"/>
    <w:rsid w:val="5DDF397E"/>
    <w:rsid w:val="5DE80ECD"/>
    <w:rsid w:val="5DE828D3"/>
    <w:rsid w:val="5DF97057"/>
    <w:rsid w:val="5E062D59"/>
    <w:rsid w:val="5E134C8C"/>
    <w:rsid w:val="5E257683"/>
    <w:rsid w:val="5E677C9B"/>
    <w:rsid w:val="5E6F4DA2"/>
    <w:rsid w:val="5EAA7148"/>
    <w:rsid w:val="5F217E4A"/>
    <w:rsid w:val="5F575EB2"/>
    <w:rsid w:val="5F577D10"/>
    <w:rsid w:val="5FAF18FA"/>
    <w:rsid w:val="5FB4382E"/>
    <w:rsid w:val="5FE34E9C"/>
    <w:rsid w:val="60152BED"/>
    <w:rsid w:val="60885E2E"/>
    <w:rsid w:val="60A03B80"/>
    <w:rsid w:val="613B0F6B"/>
    <w:rsid w:val="615C359C"/>
    <w:rsid w:val="615D7326"/>
    <w:rsid w:val="617701F5"/>
    <w:rsid w:val="61B72CE8"/>
    <w:rsid w:val="6256605D"/>
    <w:rsid w:val="625C5CEF"/>
    <w:rsid w:val="62774225"/>
    <w:rsid w:val="62813D56"/>
    <w:rsid w:val="628A3F58"/>
    <w:rsid w:val="62AD76C0"/>
    <w:rsid w:val="62C507C9"/>
    <w:rsid w:val="62D11B87"/>
    <w:rsid w:val="63272A98"/>
    <w:rsid w:val="63294227"/>
    <w:rsid w:val="63422A85"/>
    <w:rsid w:val="634405AB"/>
    <w:rsid w:val="63460C52"/>
    <w:rsid w:val="634C3E8B"/>
    <w:rsid w:val="63621217"/>
    <w:rsid w:val="6390559E"/>
    <w:rsid w:val="63B30F2E"/>
    <w:rsid w:val="63B53257"/>
    <w:rsid w:val="63C96D02"/>
    <w:rsid w:val="63DC07E4"/>
    <w:rsid w:val="640161A2"/>
    <w:rsid w:val="640518EE"/>
    <w:rsid w:val="640C1C55"/>
    <w:rsid w:val="64326656"/>
    <w:rsid w:val="64557053"/>
    <w:rsid w:val="64754DD6"/>
    <w:rsid w:val="647E0D38"/>
    <w:rsid w:val="64960A56"/>
    <w:rsid w:val="64986EFA"/>
    <w:rsid w:val="64A60857"/>
    <w:rsid w:val="64AB2B3B"/>
    <w:rsid w:val="64DB69B3"/>
    <w:rsid w:val="64DE6447"/>
    <w:rsid w:val="64FA0EE1"/>
    <w:rsid w:val="6501769D"/>
    <w:rsid w:val="650267A2"/>
    <w:rsid w:val="65041398"/>
    <w:rsid w:val="650A75D2"/>
    <w:rsid w:val="65285AD1"/>
    <w:rsid w:val="65680AED"/>
    <w:rsid w:val="65885901"/>
    <w:rsid w:val="65D5198E"/>
    <w:rsid w:val="65E7556D"/>
    <w:rsid w:val="65EB7404"/>
    <w:rsid w:val="669757DE"/>
    <w:rsid w:val="66A93C9E"/>
    <w:rsid w:val="66B27F22"/>
    <w:rsid w:val="66E77BCB"/>
    <w:rsid w:val="66F525EC"/>
    <w:rsid w:val="670A40FD"/>
    <w:rsid w:val="674E6C15"/>
    <w:rsid w:val="675114E9"/>
    <w:rsid w:val="67867202"/>
    <w:rsid w:val="67966EFB"/>
    <w:rsid w:val="67A96C2F"/>
    <w:rsid w:val="67AC671F"/>
    <w:rsid w:val="67AE2497"/>
    <w:rsid w:val="67AF7FBD"/>
    <w:rsid w:val="67C617E9"/>
    <w:rsid w:val="67C63C85"/>
    <w:rsid w:val="67E450CE"/>
    <w:rsid w:val="680746BF"/>
    <w:rsid w:val="68300192"/>
    <w:rsid w:val="687F09E7"/>
    <w:rsid w:val="688356D2"/>
    <w:rsid w:val="6888718C"/>
    <w:rsid w:val="688A4CB2"/>
    <w:rsid w:val="688C44B1"/>
    <w:rsid w:val="68AB7A23"/>
    <w:rsid w:val="68DE4FFE"/>
    <w:rsid w:val="68E32614"/>
    <w:rsid w:val="68F13666"/>
    <w:rsid w:val="69114CFB"/>
    <w:rsid w:val="693410C2"/>
    <w:rsid w:val="693B7312"/>
    <w:rsid w:val="6949691B"/>
    <w:rsid w:val="697274F4"/>
    <w:rsid w:val="69765236"/>
    <w:rsid w:val="69787200"/>
    <w:rsid w:val="697F233D"/>
    <w:rsid w:val="69B2159C"/>
    <w:rsid w:val="69B60FE6"/>
    <w:rsid w:val="69BE7BAE"/>
    <w:rsid w:val="69C90AA3"/>
    <w:rsid w:val="6A060AF0"/>
    <w:rsid w:val="6A0B4E3E"/>
    <w:rsid w:val="6A257ABE"/>
    <w:rsid w:val="6A30135A"/>
    <w:rsid w:val="6A387B61"/>
    <w:rsid w:val="6A542DAB"/>
    <w:rsid w:val="6A6D39FC"/>
    <w:rsid w:val="6A746F87"/>
    <w:rsid w:val="6A856B17"/>
    <w:rsid w:val="6ABE0C43"/>
    <w:rsid w:val="6ABF0529"/>
    <w:rsid w:val="6AD13784"/>
    <w:rsid w:val="6AF44D7B"/>
    <w:rsid w:val="6B3158B9"/>
    <w:rsid w:val="6B37171D"/>
    <w:rsid w:val="6B3A2BB1"/>
    <w:rsid w:val="6B493A4E"/>
    <w:rsid w:val="6B5559B8"/>
    <w:rsid w:val="6B601CFA"/>
    <w:rsid w:val="6BB87D88"/>
    <w:rsid w:val="6BB90FAB"/>
    <w:rsid w:val="6BF16DF6"/>
    <w:rsid w:val="6C3F4006"/>
    <w:rsid w:val="6C4F72C1"/>
    <w:rsid w:val="6C7A503E"/>
    <w:rsid w:val="6C946959"/>
    <w:rsid w:val="6CB9494B"/>
    <w:rsid w:val="6CEB1A97"/>
    <w:rsid w:val="6CF84455"/>
    <w:rsid w:val="6D1B2659"/>
    <w:rsid w:val="6D374CDD"/>
    <w:rsid w:val="6D390A55"/>
    <w:rsid w:val="6D4A2C62"/>
    <w:rsid w:val="6D7C12DA"/>
    <w:rsid w:val="6D9337F1"/>
    <w:rsid w:val="6DA3401C"/>
    <w:rsid w:val="6DC1385B"/>
    <w:rsid w:val="6DEE254B"/>
    <w:rsid w:val="6DF2723B"/>
    <w:rsid w:val="6DFD5F26"/>
    <w:rsid w:val="6E100C6D"/>
    <w:rsid w:val="6E105C5A"/>
    <w:rsid w:val="6E290AC9"/>
    <w:rsid w:val="6E4006B2"/>
    <w:rsid w:val="6E427DDD"/>
    <w:rsid w:val="6E62222D"/>
    <w:rsid w:val="6E8F4FD4"/>
    <w:rsid w:val="6E9D4ECA"/>
    <w:rsid w:val="6EF235B1"/>
    <w:rsid w:val="6EF82637"/>
    <w:rsid w:val="6F051FA6"/>
    <w:rsid w:val="6F0E39FD"/>
    <w:rsid w:val="6F1060F6"/>
    <w:rsid w:val="6F3F1DCB"/>
    <w:rsid w:val="6F541B76"/>
    <w:rsid w:val="6F752D2D"/>
    <w:rsid w:val="6F7E1B58"/>
    <w:rsid w:val="6F8B7B20"/>
    <w:rsid w:val="6FAE548E"/>
    <w:rsid w:val="6FE0165C"/>
    <w:rsid w:val="6FE74798"/>
    <w:rsid w:val="700A0B7B"/>
    <w:rsid w:val="70633D9B"/>
    <w:rsid w:val="706A0C87"/>
    <w:rsid w:val="7072466B"/>
    <w:rsid w:val="708741CD"/>
    <w:rsid w:val="70922F05"/>
    <w:rsid w:val="709A7A5C"/>
    <w:rsid w:val="70A95EF1"/>
    <w:rsid w:val="70B17F14"/>
    <w:rsid w:val="70B76860"/>
    <w:rsid w:val="70C66AA3"/>
    <w:rsid w:val="70CE7706"/>
    <w:rsid w:val="70F16E84"/>
    <w:rsid w:val="70F9549B"/>
    <w:rsid w:val="70FA04FB"/>
    <w:rsid w:val="710E3FA6"/>
    <w:rsid w:val="716C2EFB"/>
    <w:rsid w:val="71765B16"/>
    <w:rsid w:val="71894E49"/>
    <w:rsid w:val="719E65D2"/>
    <w:rsid w:val="71BF5462"/>
    <w:rsid w:val="71D71745"/>
    <w:rsid w:val="71E70757"/>
    <w:rsid w:val="72194564"/>
    <w:rsid w:val="724203AC"/>
    <w:rsid w:val="725026E2"/>
    <w:rsid w:val="725325B9"/>
    <w:rsid w:val="725351DA"/>
    <w:rsid w:val="727A15DA"/>
    <w:rsid w:val="72987FCC"/>
    <w:rsid w:val="72D54D7C"/>
    <w:rsid w:val="72E41463"/>
    <w:rsid w:val="72EA7879"/>
    <w:rsid w:val="73014D0C"/>
    <w:rsid w:val="730F43F8"/>
    <w:rsid w:val="731628F2"/>
    <w:rsid w:val="731E2BC7"/>
    <w:rsid w:val="7343262D"/>
    <w:rsid w:val="7346093C"/>
    <w:rsid w:val="73490DFC"/>
    <w:rsid w:val="73B471A1"/>
    <w:rsid w:val="73B9469D"/>
    <w:rsid w:val="73DD1399"/>
    <w:rsid w:val="73EE0CA0"/>
    <w:rsid w:val="73F42F4C"/>
    <w:rsid w:val="74126433"/>
    <w:rsid w:val="74356371"/>
    <w:rsid w:val="74485A21"/>
    <w:rsid w:val="74512B28"/>
    <w:rsid w:val="74885923"/>
    <w:rsid w:val="74D66009"/>
    <w:rsid w:val="74DE431D"/>
    <w:rsid w:val="75071439"/>
    <w:rsid w:val="751A6F0B"/>
    <w:rsid w:val="752244C4"/>
    <w:rsid w:val="75623F7A"/>
    <w:rsid w:val="756F5F40"/>
    <w:rsid w:val="757203DB"/>
    <w:rsid w:val="75750A98"/>
    <w:rsid w:val="757D05AD"/>
    <w:rsid w:val="75862CA5"/>
    <w:rsid w:val="76092CCA"/>
    <w:rsid w:val="76257DC8"/>
    <w:rsid w:val="763837E6"/>
    <w:rsid w:val="76426A32"/>
    <w:rsid w:val="768A40CF"/>
    <w:rsid w:val="76EA0007"/>
    <w:rsid w:val="77130569"/>
    <w:rsid w:val="771A5453"/>
    <w:rsid w:val="77392FC3"/>
    <w:rsid w:val="773A0865"/>
    <w:rsid w:val="77784870"/>
    <w:rsid w:val="77813C9E"/>
    <w:rsid w:val="77B358A8"/>
    <w:rsid w:val="77B72BEB"/>
    <w:rsid w:val="77C80DE4"/>
    <w:rsid w:val="77C83101"/>
    <w:rsid w:val="77E13BA0"/>
    <w:rsid w:val="77FC724F"/>
    <w:rsid w:val="78040E65"/>
    <w:rsid w:val="783B1B25"/>
    <w:rsid w:val="784D1858"/>
    <w:rsid w:val="7871571C"/>
    <w:rsid w:val="78B33397"/>
    <w:rsid w:val="78BF0CEF"/>
    <w:rsid w:val="78E66DD7"/>
    <w:rsid w:val="78EA76EE"/>
    <w:rsid w:val="78FE2050"/>
    <w:rsid w:val="794D669D"/>
    <w:rsid w:val="7955517B"/>
    <w:rsid w:val="79664F44"/>
    <w:rsid w:val="79CD432C"/>
    <w:rsid w:val="79FA5A10"/>
    <w:rsid w:val="7A067F11"/>
    <w:rsid w:val="7A1A0F94"/>
    <w:rsid w:val="7A1B1294"/>
    <w:rsid w:val="7A1C7878"/>
    <w:rsid w:val="7A2111EE"/>
    <w:rsid w:val="7A2544C3"/>
    <w:rsid w:val="7A37631C"/>
    <w:rsid w:val="7A401675"/>
    <w:rsid w:val="7A5D5924"/>
    <w:rsid w:val="7A603412"/>
    <w:rsid w:val="7A642B47"/>
    <w:rsid w:val="7A955AA3"/>
    <w:rsid w:val="7AA80BCB"/>
    <w:rsid w:val="7AB17498"/>
    <w:rsid w:val="7AB20E73"/>
    <w:rsid w:val="7AE069B4"/>
    <w:rsid w:val="7AEB57A3"/>
    <w:rsid w:val="7AF70927"/>
    <w:rsid w:val="7AFB5EA4"/>
    <w:rsid w:val="7B123A1E"/>
    <w:rsid w:val="7B4231CA"/>
    <w:rsid w:val="7B62481E"/>
    <w:rsid w:val="7B971942"/>
    <w:rsid w:val="7B9E3DFA"/>
    <w:rsid w:val="7BB63A0E"/>
    <w:rsid w:val="7BCB25C1"/>
    <w:rsid w:val="7C137C33"/>
    <w:rsid w:val="7C1F2ED6"/>
    <w:rsid w:val="7C501917"/>
    <w:rsid w:val="7C586438"/>
    <w:rsid w:val="7C5E5EE7"/>
    <w:rsid w:val="7C7C270C"/>
    <w:rsid w:val="7C857813"/>
    <w:rsid w:val="7CA83501"/>
    <w:rsid w:val="7CBE4AD3"/>
    <w:rsid w:val="7CC3033B"/>
    <w:rsid w:val="7CC9189C"/>
    <w:rsid w:val="7CDC31AB"/>
    <w:rsid w:val="7CF60710"/>
    <w:rsid w:val="7D7F551F"/>
    <w:rsid w:val="7D937D1A"/>
    <w:rsid w:val="7D9B4867"/>
    <w:rsid w:val="7DC3365B"/>
    <w:rsid w:val="7E2F3AA9"/>
    <w:rsid w:val="7E45786A"/>
    <w:rsid w:val="7E486D4A"/>
    <w:rsid w:val="7E4B4712"/>
    <w:rsid w:val="7E4F2B52"/>
    <w:rsid w:val="7E68119A"/>
    <w:rsid w:val="7E6E5448"/>
    <w:rsid w:val="7E70110E"/>
    <w:rsid w:val="7EDE145C"/>
    <w:rsid w:val="7EEA1BAF"/>
    <w:rsid w:val="7F231565"/>
    <w:rsid w:val="7F403D11"/>
    <w:rsid w:val="7F631961"/>
    <w:rsid w:val="7F9E2999"/>
    <w:rsid w:val="7FCA5830"/>
    <w:rsid w:val="7FE42AA2"/>
    <w:rsid w:val="7FF2742E"/>
    <w:rsid w:val="7FF627D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eastAsia" w:ascii="宋体" w:hAnsi="等线" w:eastAsia="等线" w:cs="Times New Roman"/>
      <w:kern w:val="2"/>
      <w:sz w:val="24"/>
      <w:lang w:val="en-US" w:eastAsia="zh-CN" w:bidi="ar-SA"/>
    </w:rPr>
  </w:style>
  <w:style w:type="paragraph" w:styleId="10">
    <w:name w:val="heading 1"/>
    <w:basedOn w:val="1"/>
    <w:next w:val="1"/>
    <w:qFormat/>
    <w:uiPriority w:val="0"/>
    <w:pPr>
      <w:autoSpaceDE w:val="0"/>
      <w:autoSpaceDN w:val="0"/>
      <w:adjustRightInd w:val="0"/>
      <w:jc w:val="left"/>
      <w:outlineLvl w:val="0"/>
    </w:pPr>
    <w:rPr>
      <w:kern w:val="0"/>
      <w:sz w:val="30"/>
    </w:rPr>
  </w:style>
  <w:style w:type="paragraph" w:styleId="11">
    <w:name w:val="heading 2"/>
    <w:basedOn w:val="1"/>
    <w:next w:val="1"/>
    <w:link w:val="88"/>
    <w:qFormat/>
    <w:uiPriority w:val="0"/>
    <w:pPr>
      <w:autoSpaceDE w:val="0"/>
      <w:autoSpaceDN w:val="0"/>
      <w:adjustRightInd w:val="0"/>
      <w:jc w:val="left"/>
      <w:outlineLvl w:val="1"/>
    </w:pPr>
    <w:rPr>
      <w:kern w:val="0"/>
    </w:rPr>
  </w:style>
  <w:style w:type="paragraph" w:styleId="12">
    <w:name w:val="heading 3"/>
    <w:basedOn w:val="1"/>
    <w:next w:val="1"/>
    <w:link w:val="61"/>
    <w:qFormat/>
    <w:uiPriority w:val="0"/>
    <w:pPr>
      <w:keepNext/>
      <w:keepLines/>
      <w:outlineLvl w:val="2"/>
    </w:pPr>
    <w:rPr>
      <w:rFonts w:hint="default" w:ascii="Times New Roman" w:hAnsi="Times New Roman" w:eastAsia="宋体"/>
      <w:b/>
    </w:rPr>
  </w:style>
  <w:style w:type="paragraph" w:styleId="13">
    <w:name w:val="heading 4"/>
    <w:basedOn w:val="1"/>
    <w:next w:val="1"/>
    <w:qFormat/>
    <w:uiPriority w:val="0"/>
    <w:pPr>
      <w:keepNext/>
      <w:keepLines/>
      <w:spacing w:line="372" w:lineRule="auto"/>
      <w:outlineLvl w:val="3"/>
    </w:pPr>
    <w:rPr>
      <w:rFonts w:ascii="Arial" w:hAnsi="Arial" w:eastAsia="黑体"/>
      <w:b/>
      <w:sz w:val="28"/>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qFormat/>
    <w:uiPriority w:val="0"/>
    <w:rPr>
      <w:rFonts w:hAnsi="Courier New" w:eastAsia="楷体_GB2312"/>
      <w:kern w:val="0"/>
      <w:sz w:val="20"/>
      <w:szCs w:val="24"/>
    </w:rPr>
  </w:style>
  <w:style w:type="paragraph" w:customStyle="1" w:styleId="3">
    <w:name w:val="font5"/>
    <w:basedOn w:val="1"/>
    <w:next w:val="4"/>
    <w:qFormat/>
    <w:uiPriority w:val="0"/>
    <w:pPr>
      <w:spacing w:before="280" w:after="280"/>
    </w:pPr>
    <w:rPr>
      <w:rFonts w:ascii="宋体"/>
      <w:sz w:val="18"/>
    </w:rPr>
  </w:style>
  <w:style w:type="paragraph" w:customStyle="1" w:styleId="4">
    <w:name w:val="Char Char Char Char Char Char1 Char Char"/>
    <w:basedOn w:val="1"/>
    <w:next w:val="5"/>
    <w:qFormat/>
    <w:uiPriority w:val="0"/>
    <w:pPr>
      <w:spacing w:line="240" w:lineRule="exact"/>
      <w:ind w:firstLine="200"/>
    </w:pPr>
    <w:rPr>
      <w:rFonts w:ascii="Verdana"/>
      <w:sz w:val="20"/>
    </w:rPr>
  </w:style>
  <w:style w:type="paragraph" w:customStyle="1" w:styleId="5">
    <w:name w:val="xl28"/>
    <w:basedOn w:val="1"/>
    <w:next w:val="6"/>
    <w:qFormat/>
    <w:uiPriority w:val="0"/>
    <w:pPr>
      <w:spacing w:before="280" w:after="280"/>
      <w:jc w:val="center"/>
    </w:pPr>
    <w:rPr>
      <w:rFonts w:ascii="宋体"/>
      <w:b/>
      <w:sz w:val="24"/>
    </w:rPr>
  </w:style>
  <w:style w:type="paragraph" w:customStyle="1" w:styleId="6">
    <w:name w:val="xl36"/>
    <w:basedOn w:val="1"/>
    <w:next w:val="7"/>
    <w:qFormat/>
    <w:uiPriority w:val="0"/>
    <w:pPr>
      <w:spacing w:before="280" w:after="280"/>
      <w:jc w:val="center"/>
    </w:pPr>
    <w:rPr>
      <w:rFonts w:ascii="宋体"/>
      <w:b/>
      <w:sz w:val="24"/>
    </w:rPr>
  </w:style>
  <w:style w:type="paragraph" w:customStyle="1" w:styleId="7">
    <w:name w:val="xl156"/>
    <w:basedOn w:val="1"/>
    <w:next w:val="8"/>
    <w:qFormat/>
    <w:uiPriority w:val="0"/>
    <w:pPr>
      <w:shd w:val="clear" w:color="000000" w:fill="FF9900"/>
      <w:spacing w:before="280" w:after="280"/>
      <w:jc w:val="center"/>
    </w:pPr>
    <w:rPr>
      <w:rFonts w:ascii="宋体"/>
      <w:sz w:val="24"/>
    </w:rPr>
  </w:style>
  <w:style w:type="paragraph" w:styleId="8">
    <w:name w:val="footnote text"/>
    <w:basedOn w:val="1"/>
    <w:next w:val="9"/>
    <w:unhideWhenUsed/>
    <w:qFormat/>
    <w:uiPriority w:val="99"/>
    <w:pPr>
      <w:adjustRightInd w:val="0"/>
      <w:spacing w:line="312" w:lineRule="atLeast"/>
      <w:jc w:val="left"/>
      <w:textAlignment w:val="baseline"/>
    </w:pPr>
    <w:rPr>
      <w:kern w:val="0"/>
      <w:sz w:val="18"/>
      <w:szCs w:val="20"/>
    </w:rPr>
  </w:style>
  <w:style w:type="paragraph" w:customStyle="1" w:styleId="9">
    <w:name w:val="xl27"/>
    <w:basedOn w:val="1"/>
    <w:next w:val="1"/>
    <w:qFormat/>
    <w:uiPriority w:val="0"/>
    <w:pPr>
      <w:spacing w:before="280" w:after="280"/>
      <w:jc w:val="center"/>
    </w:pPr>
    <w:rPr>
      <w:sz w:val="24"/>
    </w:rPr>
  </w:style>
  <w:style w:type="paragraph" w:styleId="14">
    <w:name w:val="Normal Indent"/>
    <w:basedOn w:val="1"/>
    <w:next w:val="15"/>
    <w:qFormat/>
    <w:uiPriority w:val="0"/>
    <w:pPr>
      <w:widowControl/>
      <w:ind w:firstLine="420"/>
      <w:jc w:val="left"/>
    </w:pPr>
    <w:rPr>
      <w:kern w:val="0"/>
      <w:sz w:val="20"/>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16">
    <w:name w:val="annotation text"/>
    <w:basedOn w:val="1"/>
    <w:qFormat/>
    <w:uiPriority w:val="0"/>
    <w:pPr>
      <w:jc w:val="left"/>
    </w:pPr>
    <w:rPr>
      <w:rFonts w:hint="default" w:ascii="Times New Roman" w:hAnsi="Times New Roman" w:eastAsia="宋体"/>
      <w:sz w:val="21"/>
    </w:rPr>
  </w:style>
  <w:style w:type="paragraph" w:styleId="17">
    <w:name w:val="Body Text"/>
    <w:basedOn w:val="1"/>
    <w:next w:val="1"/>
    <w:qFormat/>
    <w:uiPriority w:val="0"/>
  </w:style>
  <w:style w:type="paragraph" w:styleId="18">
    <w:name w:val="Body Text Indent"/>
    <w:basedOn w:val="1"/>
    <w:qFormat/>
    <w:uiPriority w:val="0"/>
    <w:pPr>
      <w:ind w:firstLine="560" w:firstLineChars="200"/>
    </w:pPr>
  </w:style>
  <w:style w:type="paragraph" w:styleId="19">
    <w:name w:val="toc 3"/>
    <w:basedOn w:val="1"/>
    <w:next w:val="1"/>
    <w:qFormat/>
    <w:uiPriority w:val="39"/>
    <w:pPr>
      <w:ind w:left="840" w:leftChars="400"/>
    </w:pPr>
  </w:style>
  <w:style w:type="paragraph" w:styleId="20">
    <w:name w:val="Body Text Indent 2"/>
    <w:basedOn w:val="1"/>
    <w:qFormat/>
    <w:uiPriority w:val="0"/>
    <w:pPr>
      <w:spacing w:line="480" w:lineRule="auto"/>
      <w:ind w:firstLine="561"/>
    </w:pPr>
  </w:style>
  <w:style w:type="paragraph" w:styleId="21">
    <w:name w:val="Balloon Text"/>
    <w:basedOn w:val="1"/>
    <w:link w:val="82"/>
    <w:qFormat/>
    <w:uiPriority w:val="0"/>
    <w:rPr>
      <w:sz w:val="18"/>
      <w:szCs w:val="18"/>
    </w:rPr>
  </w:style>
  <w:style w:type="paragraph" w:styleId="22">
    <w:name w:val="footer"/>
    <w:basedOn w:val="1"/>
    <w:next w:val="1"/>
    <w:qFormat/>
    <w:uiPriority w:val="0"/>
    <w:pPr>
      <w:tabs>
        <w:tab w:val="center" w:pos="4153"/>
        <w:tab w:val="right" w:pos="8306"/>
      </w:tabs>
      <w:snapToGrid w:val="0"/>
      <w:jc w:val="left"/>
    </w:pPr>
    <w:rPr>
      <w:sz w:val="18"/>
    </w:rPr>
  </w:style>
  <w:style w:type="paragraph" w:styleId="23">
    <w:name w:val="toc 1"/>
    <w:basedOn w:val="24"/>
    <w:next w:val="1"/>
    <w:qFormat/>
    <w:uiPriority w:val="39"/>
  </w:style>
  <w:style w:type="paragraph" w:styleId="24">
    <w:name w:val="index 1"/>
    <w:basedOn w:val="1"/>
    <w:next w:val="1"/>
    <w:unhideWhenUsed/>
    <w:qFormat/>
    <w:uiPriority w:val="0"/>
  </w:style>
  <w:style w:type="paragraph" w:styleId="25">
    <w:name w:val="toc 4"/>
    <w:basedOn w:val="1"/>
    <w:next w:val="1"/>
    <w:qFormat/>
    <w:uiPriority w:val="0"/>
    <w:pPr>
      <w:ind w:left="1260" w:leftChars="600"/>
    </w:pPr>
  </w:style>
  <w:style w:type="paragraph" w:styleId="26">
    <w:name w:val="toc 2"/>
    <w:basedOn w:val="1"/>
    <w:next w:val="1"/>
    <w:qFormat/>
    <w:uiPriority w:val="39"/>
    <w:pPr>
      <w:ind w:left="420" w:leftChars="200"/>
    </w:pPr>
  </w:style>
  <w:style w:type="paragraph" w:styleId="27">
    <w:name w:val="Body Text 2"/>
    <w:basedOn w:val="1"/>
    <w:next w:val="17"/>
    <w:qFormat/>
    <w:uiPriority w:val="0"/>
    <w:pPr>
      <w:spacing w:line="500" w:lineRule="exact"/>
    </w:pPr>
  </w:style>
  <w:style w:type="paragraph" w:styleId="28">
    <w:name w:val="Normal (Web)"/>
    <w:basedOn w:val="1"/>
    <w:qFormat/>
    <w:uiPriority w:val="0"/>
    <w:pPr>
      <w:widowControl/>
      <w:spacing w:beforeAutospacing="1" w:afterAutospacing="1"/>
      <w:jc w:val="left"/>
    </w:pPr>
    <w:rPr>
      <w:rFonts w:hAnsi="宋体" w:cs="宋体"/>
      <w:color w:val="000000"/>
      <w:kern w:val="0"/>
      <w:szCs w:val="24"/>
    </w:rPr>
  </w:style>
  <w:style w:type="paragraph" w:styleId="29">
    <w:name w:val="Body Text First Indent"/>
    <w:basedOn w:val="17"/>
    <w:next w:val="1"/>
    <w:qFormat/>
    <w:uiPriority w:val="0"/>
    <w:pPr>
      <w:spacing w:line="312" w:lineRule="auto"/>
      <w:ind w:firstLine="420"/>
    </w:pPr>
  </w:style>
  <w:style w:type="paragraph" w:styleId="30">
    <w:name w:val="Body Text First Indent 2"/>
    <w:basedOn w:val="18"/>
    <w:next w:val="29"/>
    <w:qFormat/>
    <w:uiPriority w:val="0"/>
    <w:pPr>
      <w:ind w:firstLine="420" w:firstLineChars="200"/>
    </w:pPr>
    <w:rPr>
      <w:rFonts w:ascii="Times New Roman" w:hAnsi="Times New Roman" w:eastAsia="仿宋_GB2312"/>
    </w:rPr>
  </w:style>
  <w:style w:type="table" w:styleId="32">
    <w:name w:val="Table Grid"/>
    <w:basedOn w:val="3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basedOn w:val="33"/>
    <w:qFormat/>
    <w:uiPriority w:val="0"/>
    <w:rPr>
      <w:b/>
    </w:rPr>
  </w:style>
  <w:style w:type="character" w:styleId="35">
    <w:name w:val="FollowedHyperlink"/>
    <w:basedOn w:val="33"/>
    <w:qFormat/>
    <w:uiPriority w:val="0"/>
    <w:rPr>
      <w:color w:val="333333"/>
      <w:u w:val="none"/>
    </w:rPr>
  </w:style>
  <w:style w:type="character" w:styleId="36">
    <w:name w:val="Emphasis"/>
    <w:basedOn w:val="33"/>
    <w:qFormat/>
    <w:uiPriority w:val="0"/>
    <w:rPr>
      <w:i/>
    </w:rPr>
  </w:style>
  <w:style w:type="character" w:styleId="37">
    <w:name w:val="HTML Variable"/>
    <w:basedOn w:val="33"/>
    <w:qFormat/>
    <w:uiPriority w:val="0"/>
    <w:rPr>
      <w:i/>
    </w:rPr>
  </w:style>
  <w:style w:type="character" w:styleId="38">
    <w:name w:val="Hyperlink"/>
    <w:basedOn w:val="33"/>
    <w:qFormat/>
    <w:uiPriority w:val="0"/>
    <w:rPr>
      <w:color w:val="333333"/>
      <w:u w:val="none"/>
    </w:rPr>
  </w:style>
  <w:style w:type="character" w:styleId="39">
    <w:name w:val="HTML Code"/>
    <w:basedOn w:val="33"/>
    <w:qFormat/>
    <w:uiPriority w:val="0"/>
    <w:rPr>
      <w:rFonts w:ascii="Courier New" w:hAnsi="Courier New"/>
      <w:sz w:val="20"/>
    </w:rPr>
  </w:style>
  <w:style w:type="character" w:styleId="40">
    <w:name w:val="HTML Cite"/>
    <w:basedOn w:val="33"/>
    <w:qFormat/>
    <w:uiPriority w:val="0"/>
    <w:rPr>
      <w:i/>
    </w:rPr>
  </w:style>
  <w:style w:type="paragraph" w:customStyle="1" w:styleId="41">
    <w:name w:val="Default"/>
    <w:unhideWhenUsed/>
    <w:qFormat/>
    <w:uiPriority w:val="99"/>
    <w:pPr>
      <w:widowControl w:val="0"/>
      <w:autoSpaceDE w:val="0"/>
      <w:autoSpaceDN w:val="0"/>
      <w:adjustRightInd w:val="0"/>
    </w:pPr>
    <w:rPr>
      <w:rFonts w:hint="eastAsia" w:ascii="Arial Unicode MS" w:hAnsi="Arial Unicode MS" w:eastAsia="Arial Unicode MS" w:cs="Times New Roman"/>
      <w:color w:val="000000"/>
      <w:sz w:val="24"/>
      <w:lang w:val="en-US" w:eastAsia="zh-CN" w:bidi="ar-SA"/>
    </w:rPr>
  </w:style>
  <w:style w:type="paragraph" w:customStyle="1" w:styleId="42">
    <w:name w:val="样式 宋体 行距: 1.5 倍行距"/>
    <w:basedOn w:val="43"/>
    <w:next w:val="1"/>
    <w:qFormat/>
    <w:uiPriority w:val="0"/>
    <w:pPr>
      <w:jc w:val="center"/>
    </w:pPr>
    <w:rPr>
      <w:rFonts w:ascii="Times New Roman" w:hAnsi="Times New Roman" w:cs="Times New Roman"/>
      <w:b/>
    </w:rPr>
  </w:style>
  <w:style w:type="paragraph" w:customStyle="1" w:styleId="43">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42"/>
    <w:qFormat/>
    <w:uiPriority w:val="0"/>
    <w:pPr>
      <w:widowControl w:val="0"/>
      <w:jc w:val="both"/>
    </w:pPr>
    <w:rPr>
      <w:rFonts w:ascii="Calibri" w:hAnsi="Calibri" w:eastAsia="宋体" w:cs="黑体"/>
      <w:kern w:val="2"/>
      <w:sz w:val="21"/>
      <w:szCs w:val="24"/>
      <w:lang w:val="en-US" w:eastAsia="zh-CN" w:bidi="ar-SA"/>
    </w:rPr>
  </w:style>
  <w:style w:type="paragraph" w:customStyle="1" w:styleId="4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42"/>
    <w:qFormat/>
    <w:uiPriority w:val="0"/>
    <w:pPr>
      <w:widowControl w:val="0"/>
      <w:jc w:val="both"/>
    </w:pPr>
    <w:rPr>
      <w:rFonts w:ascii="Calibri" w:hAnsi="Calibri" w:eastAsia="宋体" w:cs="黑体"/>
      <w:kern w:val="2"/>
      <w:sz w:val="21"/>
      <w:szCs w:val="24"/>
      <w:lang w:val="en-US" w:eastAsia="zh-CN" w:bidi="ar-SA"/>
    </w:rPr>
  </w:style>
  <w:style w:type="paragraph" w:customStyle="1" w:styleId="45">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6">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7">
    <w:name w:val="正文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8">
    <w:name w:val="标题 1 New"/>
    <w:basedOn w:val="47"/>
    <w:next w:val="47"/>
    <w:qFormat/>
    <w:uiPriority w:val="0"/>
    <w:pPr>
      <w:autoSpaceDE w:val="0"/>
      <w:autoSpaceDN w:val="0"/>
      <w:adjustRightInd w:val="0"/>
      <w:jc w:val="left"/>
      <w:outlineLvl w:val="0"/>
    </w:pPr>
    <w:rPr>
      <w:kern w:val="0"/>
      <w:sz w:val="30"/>
    </w:rPr>
  </w:style>
  <w:style w:type="paragraph" w:customStyle="1" w:styleId="49">
    <w:name w:val="标题 2 New New"/>
    <w:basedOn w:val="47"/>
    <w:next w:val="47"/>
    <w:qFormat/>
    <w:uiPriority w:val="0"/>
    <w:pPr>
      <w:autoSpaceDE w:val="0"/>
      <w:autoSpaceDN w:val="0"/>
      <w:adjustRightInd w:val="0"/>
      <w:jc w:val="left"/>
      <w:outlineLvl w:val="1"/>
    </w:pPr>
    <w:rPr>
      <w:kern w:val="0"/>
    </w:rPr>
  </w:style>
  <w:style w:type="paragraph" w:customStyle="1" w:styleId="5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Normal Indent1"/>
    <w:basedOn w:val="1"/>
    <w:qFormat/>
    <w:uiPriority w:val="0"/>
    <w:pPr>
      <w:widowControl/>
      <w:spacing w:line="360" w:lineRule="auto"/>
      <w:ind w:firstLine="420"/>
      <w:jc w:val="left"/>
    </w:pPr>
    <w:rPr>
      <w:rFonts w:hAnsi="Times New Roman"/>
      <w:kern w:val="0"/>
      <w:sz w:val="20"/>
    </w:rPr>
  </w:style>
  <w:style w:type="paragraph" w:customStyle="1" w:styleId="52">
    <w:name w:val="正文缩进1"/>
    <w:basedOn w:val="1"/>
    <w:qFormat/>
    <w:uiPriority w:val="0"/>
    <w:pPr>
      <w:widowControl/>
      <w:spacing w:line="360" w:lineRule="auto"/>
      <w:ind w:firstLine="420"/>
      <w:jc w:val="left"/>
    </w:pPr>
    <w:rPr>
      <w:rFonts w:hAnsi="Times New Roman"/>
      <w:kern w:val="0"/>
      <w:sz w:val="20"/>
    </w:rPr>
  </w:style>
  <w:style w:type="paragraph" w:customStyle="1" w:styleId="53">
    <w:name w:val="正文 New New New New New New New New New New New New New New New New New New New New New New New New New New New New New New New New New New New New New New New New New New New New New New New New New New New New New New New New New New New New New New Ne1"/>
    <w:next w:val="42"/>
    <w:qFormat/>
    <w:uiPriority w:val="0"/>
    <w:pPr>
      <w:widowControl w:val="0"/>
      <w:jc w:val="both"/>
    </w:pPr>
    <w:rPr>
      <w:rFonts w:ascii="Calibri" w:hAnsi="Calibri" w:eastAsia="宋体" w:cs="黑体"/>
      <w:kern w:val="2"/>
      <w:sz w:val="21"/>
      <w:szCs w:val="24"/>
      <w:lang w:val="en-US" w:eastAsia="zh-CN" w:bidi="ar-SA"/>
    </w:rPr>
  </w:style>
  <w:style w:type="paragraph" w:customStyle="1" w:styleId="54">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Bodoni MT" w:hAnsi="Bodoni MT" w:eastAsia="宋体" w:cs="Bodoni MT"/>
      <w:kern w:val="2"/>
      <w:sz w:val="21"/>
      <w:szCs w:val="24"/>
      <w:lang w:val="en-US" w:eastAsia="zh-CN" w:bidi="ar-SA"/>
    </w:rPr>
  </w:style>
  <w:style w:type="paragraph" w:customStyle="1" w:styleId="55">
    <w:name w:val="正文文本缩进 New New"/>
    <w:basedOn w:val="47"/>
    <w:qFormat/>
    <w:uiPriority w:val="0"/>
    <w:pPr>
      <w:ind w:firstLine="560" w:firstLineChars="200"/>
    </w:pPr>
  </w:style>
  <w:style w:type="paragraph" w:customStyle="1" w:styleId="56">
    <w:name w:val="正文文本缩进 3 New"/>
    <w:basedOn w:val="47"/>
    <w:qFormat/>
    <w:uiPriority w:val="0"/>
    <w:pPr>
      <w:ind w:firstLine="560"/>
    </w:pPr>
    <w:rPr>
      <w:color w:val="FF0000"/>
    </w:rPr>
  </w:style>
  <w:style w:type="paragraph" w:customStyle="1" w:styleId="57">
    <w:name w:val="标题 3 New New New"/>
    <w:basedOn w:val="58"/>
    <w:next w:val="58"/>
    <w:qFormat/>
    <w:uiPriority w:val="0"/>
    <w:pPr>
      <w:keepNext/>
      <w:keepLines/>
      <w:jc w:val="center"/>
      <w:outlineLvl w:val="2"/>
    </w:pPr>
    <w:rPr>
      <w:sz w:val="24"/>
    </w:rPr>
  </w:style>
  <w:style w:type="paragraph" w:customStyle="1" w:styleId="58">
    <w:name w:val="正文缩进 New"/>
    <w:basedOn w:val="59"/>
    <w:qFormat/>
    <w:uiPriority w:val="0"/>
    <w:pPr>
      <w:widowControl/>
      <w:ind w:firstLine="420"/>
      <w:jc w:val="left"/>
    </w:pPr>
    <w:rPr>
      <w:kern w:val="0"/>
      <w:sz w:val="20"/>
    </w:rPr>
  </w:style>
  <w:style w:type="paragraph" w:customStyle="1" w:styleId="59">
    <w:name w:val="正文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0">
    <w:name w:val="正文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61">
    <w:name w:val="标题 3 Char"/>
    <w:link w:val="12"/>
    <w:qFormat/>
    <w:uiPriority w:val="0"/>
    <w:rPr>
      <w:rFonts w:hint="default" w:ascii="Times New Roman" w:hAnsi="Times New Roman" w:eastAsia="宋体"/>
      <w:b/>
    </w:rPr>
  </w:style>
  <w:style w:type="character" w:customStyle="1" w:styleId="62">
    <w:name w:val="NormalCharacter"/>
    <w:semiHidden/>
    <w:qFormat/>
    <w:uiPriority w:val="0"/>
    <w:rPr>
      <w:rFonts w:ascii="宋体"/>
      <w:kern w:val="2"/>
      <w:sz w:val="24"/>
      <w:lang w:val="en-US" w:eastAsia="zh-CN" w:bidi="ar-SA"/>
    </w:rPr>
  </w:style>
  <w:style w:type="paragraph" w:customStyle="1" w:styleId="63">
    <w:name w:val="标题 2 New New New"/>
    <w:basedOn w:val="64"/>
    <w:next w:val="64"/>
    <w:qFormat/>
    <w:uiPriority w:val="0"/>
    <w:pPr>
      <w:autoSpaceDE w:val="0"/>
      <w:autoSpaceDN w:val="0"/>
      <w:adjustRightInd w:val="0"/>
      <w:jc w:val="left"/>
      <w:outlineLvl w:val="1"/>
    </w:pPr>
  </w:style>
  <w:style w:type="paragraph" w:customStyle="1" w:styleId="64">
    <w:name w:val="正文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5">
    <w:name w:val="普通(网站) New"/>
    <w:basedOn w:val="66"/>
    <w:qFormat/>
    <w:uiPriority w:val="0"/>
    <w:rPr>
      <w:sz w:val="24"/>
    </w:rPr>
  </w:style>
  <w:style w:type="paragraph" w:customStyle="1" w:styleId="66">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7">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8">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70">
    <w:name w:val="YJ22 Char"/>
    <w:link w:val="71"/>
    <w:qFormat/>
    <w:uiPriority w:val="0"/>
    <w:rPr>
      <w:rFonts w:ascii="Times New Roman" w:hAnsi="宋体"/>
      <w:b/>
      <w:kern w:val="0"/>
      <w:sz w:val="20"/>
    </w:rPr>
  </w:style>
  <w:style w:type="paragraph" w:customStyle="1" w:styleId="71">
    <w:name w:val="YJ22"/>
    <w:basedOn w:val="47"/>
    <w:next w:val="47"/>
    <w:link w:val="70"/>
    <w:qFormat/>
    <w:uiPriority w:val="0"/>
    <w:pPr>
      <w:autoSpaceDE w:val="0"/>
      <w:autoSpaceDN w:val="0"/>
      <w:adjustRightInd w:val="0"/>
      <w:jc w:val="left"/>
      <w:outlineLvl w:val="1"/>
    </w:pPr>
    <w:rPr>
      <w:rFonts w:ascii="Times New Roman" w:hAnsi="宋体"/>
      <w:b/>
      <w:kern w:val="0"/>
      <w:sz w:val="20"/>
    </w:rPr>
  </w:style>
  <w:style w:type="paragraph" w:customStyle="1" w:styleId="72">
    <w:name w:val="正文文本缩进 New"/>
    <w:basedOn w:val="73"/>
    <w:qFormat/>
    <w:uiPriority w:val="0"/>
    <w:pPr>
      <w:ind w:firstLine="560" w:firstLineChars="200"/>
    </w:pPr>
  </w:style>
  <w:style w:type="paragraph" w:customStyle="1" w:styleId="73">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4">
    <w:name w:val="正文文本缩进 New New New New"/>
    <w:basedOn w:val="75"/>
    <w:qFormat/>
    <w:uiPriority w:val="0"/>
    <w:pPr>
      <w:ind w:firstLine="560" w:firstLineChars="200"/>
    </w:pPr>
    <w:rPr>
      <w:szCs w:val="28"/>
    </w:rPr>
  </w:style>
  <w:style w:type="paragraph" w:customStyle="1" w:styleId="75">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76">
    <w:name w:val="正文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7">
    <w:name w:val="正文文本缩进 New New New New New New New"/>
    <w:basedOn w:val="76"/>
    <w:qFormat/>
    <w:uiPriority w:val="0"/>
    <w:pPr>
      <w:ind w:left="420" w:leftChars="200"/>
    </w:pPr>
    <w:rPr>
      <w:szCs w:val="24"/>
    </w:rPr>
  </w:style>
  <w:style w:type="paragraph" w:customStyle="1" w:styleId="78">
    <w:name w:val="正文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9">
    <w:name w:val="正文文本缩进 New New New New New New New New"/>
    <w:basedOn w:val="78"/>
    <w:qFormat/>
    <w:uiPriority w:val="0"/>
    <w:pPr>
      <w:ind w:left="420" w:leftChars="200"/>
    </w:pPr>
    <w:rPr>
      <w:szCs w:val="24"/>
    </w:rPr>
  </w:style>
  <w:style w:type="paragraph" w:customStyle="1" w:styleId="80">
    <w:name w:val="正文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1">
    <w:name w:val="页脚 New"/>
    <w:basedOn w:val="47"/>
    <w:qFormat/>
    <w:uiPriority w:val="0"/>
    <w:pPr>
      <w:widowControl/>
      <w:tabs>
        <w:tab w:val="center" w:pos="4153"/>
        <w:tab w:val="right" w:pos="8306"/>
      </w:tabs>
      <w:snapToGrid w:val="0"/>
      <w:jc w:val="left"/>
    </w:pPr>
    <w:rPr>
      <w:kern w:val="0"/>
      <w:sz w:val="18"/>
    </w:rPr>
  </w:style>
  <w:style w:type="character" w:customStyle="1" w:styleId="82">
    <w:name w:val="批注框文本 Char"/>
    <w:basedOn w:val="33"/>
    <w:link w:val="21"/>
    <w:qFormat/>
    <w:uiPriority w:val="0"/>
    <w:rPr>
      <w:rFonts w:ascii="宋体" w:hAnsi="等线" w:eastAsia="等线" w:cs="Times New Roman"/>
      <w:kern w:val="2"/>
      <w:sz w:val="18"/>
      <w:szCs w:val="18"/>
    </w:rPr>
  </w:style>
  <w:style w:type="character" w:customStyle="1" w:styleId="83">
    <w:name w:val="hover21"/>
    <w:basedOn w:val="33"/>
    <w:qFormat/>
    <w:uiPriority w:val="0"/>
    <w:rPr>
      <w:color w:val="5FB878"/>
    </w:rPr>
  </w:style>
  <w:style w:type="character" w:customStyle="1" w:styleId="84">
    <w:name w:val="hover22"/>
    <w:basedOn w:val="33"/>
    <w:qFormat/>
    <w:uiPriority w:val="0"/>
    <w:rPr>
      <w:color w:val="5FB878"/>
    </w:rPr>
  </w:style>
  <w:style w:type="character" w:customStyle="1" w:styleId="85">
    <w:name w:val="hover23"/>
    <w:basedOn w:val="33"/>
    <w:qFormat/>
    <w:uiPriority w:val="0"/>
    <w:rPr>
      <w:color w:val="FFFFFF"/>
    </w:rPr>
  </w:style>
  <w:style w:type="paragraph" w:customStyle="1" w:styleId="86">
    <w:name w:val="正文文本缩进 31"/>
    <w:basedOn w:val="1"/>
    <w:qFormat/>
    <w:uiPriority w:val="0"/>
    <w:pPr>
      <w:ind w:firstLine="570"/>
    </w:pPr>
    <w:rPr>
      <w:color w:val="0000FF"/>
      <w:kern w:val="0"/>
      <w:sz w:val="24"/>
      <w:u w:val="single"/>
    </w:rPr>
  </w:style>
  <w:style w:type="paragraph" w:customStyle="1" w:styleId="87">
    <w:name w:val=" Char Char Char Char"/>
    <w:basedOn w:val="1"/>
    <w:qFormat/>
    <w:uiPriority w:val="0"/>
    <w:pPr>
      <w:tabs>
        <w:tab w:val="left" w:pos="360"/>
      </w:tabs>
      <w:spacing w:line="440" w:lineRule="exact"/>
      <w:ind w:firstLine="480" w:firstLineChars="200"/>
    </w:pPr>
    <w:rPr>
      <w:rFonts w:cs="宋体"/>
      <w:kern w:val="0"/>
      <w:sz w:val="24"/>
      <w:u w:val="wave"/>
    </w:rPr>
  </w:style>
  <w:style w:type="character" w:customStyle="1" w:styleId="88">
    <w:name w:val="标题 2 Char"/>
    <w:link w:val="11"/>
    <w:qFormat/>
    <w:uiPriority w:val="0"/>
    <w:rPr>
      <w:kern w:val="0"/>
    </w:rPr>
  </w:style>
  <w:style w:type="paragraph" w:customStyle="1" w:styleId="89">
    <w:name w:val="标题 3 New New"/>
    <w:basedOn w:val="58"/>
    <w:next w:val="58"/>
    <w:qFormat/>
    <w:uiPriority w:val="0"/>
    <w:pPr>
      <w:keepNext/>
      <w:keepLines/>
      <w:spacing w:before="120" w:beforeLines="0" w:beforeAutospacing="0" w:after="120" w:afterLines="0" w:afterAutospacing="0"/>
      <w:jc w:val="center"/>
      <w:outlineLvl w:val="2"/>
    </w:pPr>
    <w:rPr>
      <w:rFonts w:ascii="Times New Roman"/>
      <w:sz w:val="24"/>
    </w:rPr>
  </w:style>
  <w:style w:type="paragraph" w:customStyle="1" w:styleId="90">
    <w:name w:val="_Style 3"/>
    <w:basedOn w:val="1"/>
    <w:qFormat/>
    <w:uiPriority w:val="0"/>
    <w:pPr>
      <w:ind w:firstLine="420" w:firstLineChars="200"/>
    </w:pPr>
    <w:rPr>
      <w:kern w:val="0"/>
      <w:sz w:val="20"/>
      <w:szCs w:val="20"/>
    </w:rPr>
  </w:style>
  <w:style w:type="paragraph" w:customStyle="1" w:styleId="91">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e57fc5ff-9b78-4903-bd77-e083477651b4</errorID>
      <errorWord>(</errorWord>
      <group>L1_Format</group>
      <groupName>格式问题</groupName>
      <ability>L2_HalfPunc_CN</ability>
      <abilityName>全半角问题</abilityName>
      <candidateList>
        <item>（</item>
      </candidateList>
      <explain>文本全半角错误。</explain>
      <paraID>491B7975</paraID>
      <start>27</start>
      <end>28</end>
      <status>unmodified</status>
      <modifiedWord/>
      <trackRevisions>false</trackRevisions>
    </reviewItem>
    <reviewItem>
      <errorID>ad4f6b69-cde5-4f0e-8847-619832e212b2</errorID>
      <errorWord>)</errorWord>
      <group>L1_Format</group>
      <groupName>格式问题</groupName>
      <ability>L2_HalfPunc_CN</ability>
      <abilityName>全半角问题</abilityName>
      <candidateList>
        <item>）</item>
      </candidateList>
      <explain>文本全半角错误。</explain>
      <paraID>491B7975</paraID>
      <start>30</start>
      <end>31</end>
      <status>unmodified</status>
      <modifiedWord/>
      <trackRevisions>false</trackRevisions>
    </reviewItem>
    <reviewItem>
      <errorID>4a263ac6-6b0e-49d4-9b8e-235d87305924</errorID>
      <errorWord>(</errorWord>
      <group>L1_Format</group>
      <groupName>格式问题</groupName>
      <ability>L2_HalfPunc_CN</ability>
      <abilityName>全半角问题</abilityName>
      <candidateList>
        <item>（</item>
      </candidateList>
      <explain>文本全半角错误。</explain>
      <paraID>555CDF75</paraID>
      <start>27</start>
      <end>28</end>
      <status>unmodified</status>
      <modifiedWord/>
      <trackRevisions>false</trackRevisions>
    </reviewItem>
    <reviewItem>
      <errorID>5d0eb379-bc76-4ff0-9a0d-357db0913640</errorID>
      <errorWord>)</errorWord>
      <group>L1_Format</group>
      <groupName>格式问题</groupName>
      <ability>L2_HalfPunc_CN</ability>
      <abilityName>全半角问题</abilityName>
      <candidateList>
        <item>）</item>
      </candidateList>
      <explain>文本全半角错误。</explain>
      <paraID>555CDF75</paraID>
      <start>30</start>
      <end>31</end>
      <status>unmodified</status>
      <modifiedWord/>
      <trackRevisions>false</trackRevisions>
    </reviewItem>
    <reviewItem>
      <errorID>4f34eb7e-78f8-4894-9ded-c2f6812c3b5e</errorID>
      <errorWord>-</errorWord>
      <group>L1_Format</group>
      <groupName>格式问题</groupName>
      <ability>L2_HalfPunc_CN</ability>
      <abilityName>全半角问题</abilityName>
      <candidateList>
        <item>－</item>
      </candidateList>
      <explain>文本全半角错误。</explain>
      <paraID>48010CA5</paraID>
      <start>3</start>
      <end>4</end>
      <status>unmodified</status>
      <modifiedWord/>
      <trackRevisions>false</trackRevisions>
    </reviewItem>
    <reviewItem>
      <errorID>9fb922bd-2a9f-4186-b83a-e08dce3b78dc</errorID>
      <errorWord>-</errorWord>
      <group>L1_Format</group>
      <groupName>格式问题</groupName>
      <ability>L2_HalfPunc_CN</ability>
      <abilityName>全半角问题</abilityName>
      <candidateList>
        <item>－</item>
      </candidateList>
      <explain>文本全半角错误。</explain>
      <paraID>4B12E2A2</paraID>
      <start>14</start>
      <end>15</end>
      <status>unmodified</status>
      <modifiedWord/>
      <trackRevisions>false</trackRevisions>
    </reviewItem>
    <reviewItem>
      <errorID>1b1e4c0a-8bfa-48fa-87d6-03b5b96b28a2</errorID>
      <errorWord>(</errorWord>
      <group>L1_Format</group>
      <groupName>格式问题</groupName>
      <ability>L2_HalfPunc_CN</ability>
      <abilityName>全半角问题</abilityName>
      <candidateList>
        <item>（</item>
      </candidateList>
      <explain>文本全半角错误。</explain>
      <paraID>3B32A986</paraID>
      <start>126</start>
      <end>127</end>
      <status>unmodified</status>
      <modifiedWord/>
      <trackRevisions>false</trackRevisions>
    </reviewItem>
    <reviewItem>
      <errorID>5294a52e-6f57-41ca-8674-3c3cfd6ff008</errorID>
      <errorWord>)</errorWord>
      <group>L1_Format</group>
      <groupName>格式问题</groupName>
      <ability>L2_HalfPunc_CN</ability>
      <abilityName>全半角问题</abilityName>
      <candidateList>
        <item>）</item>
      </candidateList>
      <explain>文本全半角错误。</explain>
      <paraID>3B32A986</paraID>
      <start>128</start>
      <end>129</end>
      <status>unmodified</status>
      <modifiedWord/>
      <trackRevisions>false</trackRevisions>
    </reviewItem>
    <reviewItem>
      <errorID>ae1f2e1a-5fab-45d6-8b9d-1e8da7d0c383</errorID>
      <errorWord>(</errorWord>
      <group>L1_Format</group>
      <groupName>格式问题</groupName>
      <ability>L2_HalfPunc_CN</ability>
      <abilityName>全半角问题</abilityName>
      <candidateList>
        <item>（</item>
      </candidateList>
      <explain>文本全半角错误。</explain>
      <paraID>3B32A986</paraID>
      <start>130</start>
      <end>131</end>
      <status>unmodified</status>
      <modifiedWord/>
      <trackRevisions>false</trackRevisions>
    </reviewItem>
    <reviewItem>
      <errorID>31069859-dd8c-4369-9090-5201003bd331</errorID>
      <errorWord>)</errorWord>
      <group>L1_Format</group>
      <groupName>格式问题</groupName>
      <ability>L2_HalfPunc_CN</ability>
      <abilityName>全半角问题</abilityName>
      <candidateList>
        <item>）</item>
      </candidateList>
      <explain>文本全半角错误。</explain>
      <paraID>3B32A986</paraID>
      <start>132</start>
      <end>133</end>
      <status>unmodified</status>
      <modifiedWord/>
      <trackRevisions>false</trackRevisions>
    </reviewItem>
    <reviewItem>
      <errorID>746acb40-fdc0-4ac0-a9be-66636df7b9bd</errorID>
      <errorWord>联合后</errorWord>
      <group>L1_Word</group>
      <groupName>字词问题</groupName>
      <ability>L2_Typo</ability>
      <abilityName>字词错误</abilityName>
      <candidateList>
        <item>联合体</item>
      </candidateList>
      <explain/>
      <paraID>3B32A986</paraID>
      <start>145</start>
      <end>148</end>
      <status>unmodified</status>
      <modifiedWord/>
      <trackRevisions>false</trackRevisions>
    </reviewItem>
    <reviewItem>
      <errorID>0d5540bc-1aa7-40b3-bd84-e85cee1fa5f1</errorID>
      <errorWord>(</errorWord>
      <group>L1_Format</group>
      <groupName>格式问题</groupName>
      <ability>L2_HalfPunc_CN</ability>
      <abilityName>全半角问题</abilityName>
      <candidateList>
        <item>（</item>
      </candidateList>
      <explain>文本全半角错误。</explain>
      <paraID>3B32A986</paraID>
      <start>156</start>
      <end>157</end>
      <status>unmodified</status>
      <modifiedWord/>
      <trackRevisions>false</trackRevisions>
    </reviewItem>
    <reviewItem>
      <errorID>fbb52efc-cd41-4c06-b598-e33a719add1e</errorID>
      <errorWord>)</errorWord>
      <group>L1_Format</group>
      <groupName>格式问题</groupName>
      <ability>L2_HalfPunc_CN</ability>
      <abilityName>全半角问题</abilityName>
      <candidateList>
        <item>）</item>
      </candidateList>
      <explain>文本全半角错误。</explain>
      <paraID>3B32A986</paraID>
      <start>158</start>
      <end>159</end>
      <status>unmodified</status>
      <modifiedWord/>
      <trackRevisions>false</trackRevisions>
    </reviewItem>
    <reviewItem>
      <errorID>a4c8aabf-86ab-4d5f-bc0b-4e8de482cc50</errorID>
      <errorWord>(</errorWord>
      <group>L1_Format</group>
      <groupName>格式问题</groupName>
      <ability>L2_HalfPunc_CN</ability>
      <abilityName>全半角问题</abilityName>
      <candidateList>
        <item>（</item>
      </candidateList>
      <explain>文本全半角错误。</explain>
      <paraID>3B32A986</paraID>
      <start>160</start>
      <end>161</end>
      <status>unmodified</status>
      <modifiedWord/>
      <trackRevisions>false</trackRevisions>
    </reviewItem>
    <reviewItem>
      <errorID>10584934-ac06-4e58-b9e6-b08fe1d49d80</errorID>
      <errorWord>)</errorWord>
      <group>L1_Format</group>
      <groupName>格式问题</groupName>
      <ability>L2_HalfPunc_CN</ability>
      <abilityName>全半角问题</abilityName>
      <candidateList>
        <item>）</item>
      </candidateList>
      <explain>文本全半角错误。</explain>
      <paraID>3B32A986</paraID>
      <start>162</start>
      <end>163</end>
      <status>unmodified</status>
      <modifiedWord/>
      <trackRevisions>false</trackRevisions>
    </reviewItem>
    <reviewItem>
      <errorID>db44e5bb-4d47-446f-9a8f-847fc1a68739</errorID>
      <errorWord>)</errorWord>
      <group>L1_Format</group>
      <groupName>格式问题</groupName>
      <ability>L2_HalfPunc_CN</ability>
      <abilityName>全半角问题</abilityName>
      <candidateList>
        <item>）</item>
      </candidateList>
      <explain>文本全半角错误。</explain>
      <paraID>533078E0</paraID>
      <start>2</start>
      <end>3</end>
      <status>unmodified</status>
      <modifiedWord/>
      <trackRevisions>false</trackRevisions>
    </reviewItem>
    <reviewItem>
      <errorID>05572032-0cdf-4428-8e94-e92fe3eb7720</errorID>
      <errorWord>)</errorWord>
      <group>L1_Format</group>
      <groupName>格式问题</groupName>
      <ability>L2_HalfPunc_CN</ability>
      <abilityName>全半角问题</abilityName>
      <candidateList>
        <item>）</item>
      </candidateList>
      <explain>文本全半角错误。</explain>
      <paraID>533078E0</paraID>
      <start>30</start>
      <end>31</end>
      <status>unmodified</status>
      <modifiedWord/>
      <trackRevisions>false</trackRevisions>
    </reviewItem>
    <reviewItem>
      <errorID>2a520e65-72e3-442c-838d-f1fcc601a051</errorID>
      <errorWord>(</errorWord>
      <group>L1_Format</group>
      <groupName>格式问题</groupName>
      <ability>L2_HalfPunc_CN</ability>
      <abilityName>全半角问题</abilityName>
      <candidateList>
        <item>（</item>
      </candidateList>
      <explain>文本全半角错误。</explain>
      <paraID>6205E95E</paraID>
      <start>29</start>
      <end>30</end>
      <status>unmodified</status>
      <modifiedWord/>
      <trackRevisions>false</trackRevisions>
    </reviewItem>
    <reviewItem>
      <errorID>371159f2-b3f9-43cd-9660-99e23b5abe93</errorID>
      <errorWord>)</errorWord>
      <group>L1_Format</group>
      <groupName>格式问题</groupName>
      <ability>L2_HalfPunc_CN</ability>
      <abilityName>全半角问题</abilityName>
      <candidateList>
        <item>）</item>
      </candidateList>
      <explain>文本全半角错误。</explain>
      <paraID>6205E95E</paraID>
      <start>33</start>
      <end>34</end>
      <status>unmodified</status>
      <modifiedWord/>
      <trackRevisions>false</trackRevisions>
    </reviewItem>
    <reviewItem>
      <errorID>f1ff72a7-9329-4184-98c8-b560ce335f24</errorID>
      <errorWord>(</errorWord>
      <group>L1_Format</group>
      <groupName>格式问题</groupName>
      <ability>L2_HalfPunc_CN</ability>
      <abilityName>全半角问题</abilityName>
      <candidateList>
        <item>（</item>
      </candidateList>
      <explain>文本全半角错误。</explain>
      <paraID>30CACCCD</paraID>
      <start>14</start>
      <end>15</end>
      <status>unmodified</status>
      <modifiedWord/>
      <trackRevisions>false</trackRevisions>
    </reviewItem>
    <reviewItem>
      <errorID>b9da72c4-ba00-48d1-95fa-128afc86ea6d</errorID>
      <errorWord>)</errorWord>
      <group>L1_Format</group>
      <groupName>格式问题</groupName>
      <ability>L2_HalfPunc_CN</ability>
      <abilityName>全半角问题</abilityName>
      <candidateList>
        <item>）</item>
      </candidateList>
      <explain>文本全半角错误。</explain>
      <paraID>30CACCCD</paraID>
      <start>18</start>
      <end>19</end>
      <status>unmodified</status>
      <modifiedWord/>
      <trackRevisions>false</trackRevisions>
    </reviewItem>
    <reviewItem>
      <errorID>02986955-5687-41c3-9cde-8a01dbfab88b</errorID>
      <errorWord>;</errorWord>
      <group>L1_Format</group>
      <groupName>格式问题</groupName>
      <ability>L2_HalfPunc_CN</ability>
      <abilityName>全半角问题</abilityName>
      <candidateList>
        <item>；</item>
      </candidateList>
      <explain>文本全半角错误。</explain>
      <paraID>12FD3317</paraID>
      <start>37</start>
      <end>38</end>
      <status>unmodified</status>
      <modifiedWord/>
      <trackRevisions>false</trackRevisions>
    </reviewItem>
    <reviewItem>
      <errorID>f711e58e-d71c-4bb2-b2e0-d0b6c465da4e</errorID>
      <errorWord>:</errorWord>
      <group>L1_Format</group>
      <groupName>格式问题</groupName>
      <ability>L2_HalfPunc_CN</ability>
      <abilityName>全半角问题</abilityName>
      <candidateList>
        <item>：</item>
      </candidateList>
      <explain>文本全半角错误。</explain>
      <paraID>  E9D4B9</paraID>
      <start>18</start>
      <end>19</end>
      <status>unmodified</status>
      <modifiedWord/>
      <trackRevisions>false</trackRevisions>
    </reviewItem>
    <reviewItem>
      <errorID>08d78df1-4e82-4ef3-8e66-1af0645a5cff</errorID>
      <errorWord>(</errorWord>
      <group>L1_Format</group>
      <groupName>格式问题</groupName>
      <ability>L2_HalfPunc_CN</ability>
      <abilityName>全半角问题</abilityName>
      <candidateList>
        <item>（</item>
      </candidateList>
      <explain>文本全半角错误。</explain>
      <paraID>68D5FCF9</paraID>
      <start>10</start>
      <end>11</end>
      <status>unmodified</status>
      <modifiedWord/>
      <trackRevisions>false</trackRevisions>
    </reviewItem>
    <reviewItem>
      <errorID>0cacc95a-f44a-47f1-9443-9eab6de25726</errorID>
      <errorWord>)</errorWord>
      <group>L1_Format</group>
      <groupName>格式问题</groupName>
      <ability>L2_HalfPunc_CN</ability>
      <abilityName>全半角问题</abilityName>
      <candidateList>
        <item>）</item>
      </candidateList>
      <explain>文本全半角错误。</explain>
      <paraID>68D5FCF9</paraID>
      <start>24</start>
      <end>25</end>
      <status>unmodified</status>
      <modifiedWord/>
      <trackRevisions>false</trackRevisions>
    </reviewItem>
    <reviewItem>
      <errorID>c1886cb5-8ab5-449e-a187-1a2fa2b5b0ac</errorID>
      <errorWord>(</errorWord>
      <group>L1_Format</group>
      <groupName>格式问题</groupName>
      <ability>L2_HalfPunc_CN</ability>
      <abilityName>全半角问题</abilityName>
      <candidateList>
        <item>（</item>
      </candidateList>
      <explain>文本全半角错误。</explain>
      <paraID>13CCDBE6</paraID>
      <start>10</start>
      <end>11</end>
      <status>unmodified</status>
      <modifiedWord/>
      <trackRevisions>false</trackRevisions>
    </reviewItem>
    <reviewItem>
      <errorID>50a6042e-35f6-4fe8-8405-1ecaa87f6bd4</errorID>
      <errorWord>)</errorWord>
      <group>L1_Format</group>
      <groupName>格式问题</groupName>
      <ability>L2_HalfPunc_CN</ability>
      <abilityName>全半角问题</abilityName>
      <candidateList>
        <item>）</item>
      </candidateList>
      <explain>文本全半角错误。</explain>
      <paraID>13CCDBE6</paraID>
      <start>15</start>
      <end>16</end>
      <status>unmodified</status>
      <modifiedWord/>
      <trackRevisions>false</trackRevisions>
    </reviewItem>
    <reviewItem>
      <errorID>2983391d-69f2-4df8-a408-69db580c7375</errorID>
      <errorWord>:</errorWord>
      <group>L1_Format</group>
      <groupName>格式问题</groupName>
      <ability>L2_HalfPunc_CN</ability>
      <abilityName>全半角问题</abilityName>
      <candidateList>
        <item>：</item>
      </candidateList>
      <explain>文本全半角错误。</explain>
      <paraID>38504F86</paraID>
      <start>18</start>
      <end>19</end>
      <status>unmodified</status>
      <modifiedWord/>
      <trackRevisions>false</trackRevisions>
    </reviewItem>
    <reviewItem>
      <errorID>742965aa-7297-45fb-8dd7-a0d0f4f39782</errorID>
      <errorWord>(</errorWord>
      <group>L1_Format</group>
      <groupName>格式问题</groupName>
      <ability>L2_HalfPunc_CN</ability>
      <abilityName>全半角问题</abilityName>
      <candidateList>
        <item>（</item>
      </candidateList>
      <explain>文本全半角错误。</explain>
      <paraID>2FC4DE74</paraID>
      <start>10</start>
      <end>11</end>
      <status>unmodified</status>
      <modifiedWord/>
      <trackRevisions>false</trackRevisions>
    </reviewItem>
    <reviewItem>
      <errorID>28f3cb14-562d-4f83-a078-06f9f9ddc454</errorID>
      <errorWord>)</errorWord>
      <group>L1_Format</group>
      <groupName>格式问题</groupName>
      <ability>L2_HalfPunc_CN</ability>
      <abilityName>全半角问题</abilityName>
      <candidateList>
        <item>）</item>
      </candidateList>
      <explain>文本全半角错误。</explain>
      <paraID>2FC4DE74</paraID>
      <start>15</start>
      <end>16</end>
      <status>unmodified</status>
      <modifiedWord/>
      <trackRevisions>false</trackRevisions>
    </reviewItem>
    <reviewItem>
      <errorID>839e4a1b-3a87-41be-ade6-31e74f4a8fd9</errorID>
      <errorWord>;</errorWord>
      <group>L1_Format</group>
      <groupName>格式问题</groupName>
      <ability>L2_HalfPunc_CN</ability>
      <abilityName>全半角问题</abilityName>
      <candidateList>
        <item>；</item>
      </candidateList>
      <explain>文本全半角错误。</explain>
      <paraID>3B278295</paraID>
      <start>28</start>
      <end>29</end>
      <status>unmodified</status>
      <modifiedWord/>
      <trackRevisions>false</trackRevisions>
    </reviewItem>
    <reviewItem>
      <errorID>a33d9153-4ca6-4170-9906-f4a378132127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3B8272D3</paraID>
      <start>0</start>
      <end>3</end>
      <status>unmodified</status>
      <modifiedWord/>
      <trackRevisions>false</trackRevisions>
    </reviewItem>
    <reviewItem>
      <errorID>f10e5426-3629-4c05-9869-dcaed09f6478</errorID>
      <errorWord>;</errorWord>
      <group>L1_Format</group>
      <groupName>格式问题</groupName>
      <ability>L2_HalfPunc_CN</ability>
      <abilityName>全半角问题</abilityName>
      <candidateList>
        <item>；</item>
      </candidateList>
      <explain>文本全半角错误。</explain>
      <paraID>3B8272D3</paraID>
      <start>14</start>
      <end>15</end>
      <status>unmodified</status>
      <modifiedWord/>
      <trackRevisions>false</trackRevisions>
    </reviewItem>
    <reviewItem>
      <errorID>ebb48e4b-c867-40d1-b4f9-3cfff9734ca7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897392E</paraID>
      <start>0</start>
      <end>3</end>
      <status>unmodified</status>
      <modifiedWord/>
      <trackRevisions>false</trackRevisions>
    </reviewItem>
    <reviewItem>
      <errorID>72b46fef-9dad-489f-b99e-53668a8008d9</errorID>
      <errorWord>(</errorWord>
      <group>L1_Format</group>
      <groupName>格式问题</groupName>
      <ability>L2_HalfPunc_CN</ability>
      <abilityName>全半角问题</abilityName>
      <candidateList>
        <item>（</item>
      </candidateList>
      <explain>文本全半角错误。</explain>
      <paraID> 897392E</paraID>
      <start>14</start>
      <end>15</end>
      <status>unmodified</status>
      <modifiedWord/>
      <trackRevisions>false</trackRevisions>
    </reviewItem>
    <reviewItem>
      <errorID>7081512d-6ad8-49bd-ba4a-6ea6b1523fca</errorID>
      <errorWord>)</errorWord>
      <group>L1_Format</group>
      <groupName>格式问题</groupName>
      <ability>L2_HalfPunc_CN</ability>
      <abilityName>全半角问题</abilityName>
      <candidateList>
        <item>）</item>
      </candidateList>
      <explain>文本全半角错误。</explain>
      <paraID> 897392E</paraID>
      <start>19</start>
      <end>20</end>
      <status>unmodified</status>
      <modifiedWord/>
      <trackRevisions>false</trackRevisions>
    </reviewItem>
    <reviewItem>
      <errorID>80c09913-af0c-41a4-a4dd-1fc5c7c92143</errorID>
      <errorWord>(</errorWord>
      <group>L1_Format</group>
      <groupName>格式问题</groupName>
      <ability>L2_HalfPunc_CN</ability>
      <abilityName>全半角问题</abilityName>
      <candidateList>
        <item>（</item>
      </candidateList>
      <explain>文本全半角错误。</explain>
      <paraID> 897392E</paraID>
      <start>24</start>
      <end>25</end>
      <status>unmodified</status>
      <modifiedWord/>
      <trackRevisions>false</trackRevisions>
    </reviewItem>
    <reviewItem>
      <errorID>52feff23-fa88-40e9-b5c6-28c8ff30d461</errorID>
      <errorWord>)</errorWord>
      <group>L1_Format</group>
      <groupName>格式问题</groupName>
      <ability>L2_HalfPunc_CN</ability>
      <abilityName>全半角问题</abilityName>
      <candidateList>
        <item>）</item>
      </candidateList>
      <explain>文本全半角错误。</explain>
      <paraID> 897392E</paraID>
      <start>28</start>
      <end>29</end>
      <status>unmodified</status>
      <modifiedWord/>
      <trackRevisions>false</trackRevisions>
    </reviewItem>
    <reviewItem>
      <errorID>cb6d9f0b-6cd8-4999-9031-a7fc565a2702</errorID>
      <errorWord>(</errorWord>
      <group>L1_Format</group>
      <groupName>格式问题</groupName>
      <ability>L2_HalfPunc_CN</ability>
      <abilityName>全半角问题</abilityName>
      <candidateList>
        <item>（</item>
      </candidateList>
      <explain>文本全半角错误。</explain>
      <paraID> 897392E</paraID>
      <start>39</start>
      <end>40</end>
      <status>unmodified</status>
      <modifiedWord/>
      <trackRevisions>false</trackRevisions>
    </reviewItem>
    <reviewItem>
      <errorID>c3222f4a-d181-44e1-90f1-c9c26b11b54e</errorID>
      <errorWord>)</errorWord>
      <group>L1_Format</group>
      <groupName>格式问题</groupName>
      <ability>L2_HalfPunc_CN</ability>
      <abilityName>全半角问题</abilityName>
      <candidateList>
        <item>）</item>
      </candidateList>
      <explain>文本全半角错误。</explain>
      <paraID> 897392E</paraID>
      <start>44</start>
      <end>45</end>
      <status>unmodified</status>
      <modifiedWord/>
      <trackRevisions>false</trackRevisions>
    </reviewItem>
    <reviewItem>
      <errorID>05aeb37c-add8-42b7-9a53-2f44e0d4f4ab</errorID>
      <errorWord>(</errorWord>
      <group>L1_Format</group>
      <groupName>格式问题</groupName>
      <ability>L2_HalfPunc_CN</ability>
      <abilityName>全半角问题</abilityName>
      <candidateList>
        <item>（</item>
      </candidateList>
      <explain>文本全半角错误。</explain>
      <paraID> 897392E</paraID>
      <start>49</start>
      <end>50</end>
      <status>unmodified</status>
      <modifiedWord/>
      <trackRevisions>false</trackRevisions>
    </reviewItem>
    <reviewItem>
      <errorID>e5526ec5-ca78-47a2-a200-32a5a9e83838</errorID>
      <errorWord>)</errorWord>
      <group>L1_Format</group>
      <groupName>格式问题</groupName>
      <ability>L2_HalfPunc_CN</ability>
      <abilityName>全半角问题</abilityName>
      <candidateList>
        <item>）</item>
      </candidateList>
      <explain>文本全半角错误。</explain>
      <paraID> 897392E</paraID>
      <start>53</start>
      <end>54</end>
      <status>unmodified</status>
      <modifiedWord/>
      <trackRevisions>false</trackRevisions>
    </reviewItem>
    <reviewItem>
      <errorID>beb8bba4-ab4c-490a-abd8-3029ba6fa7d5</errorID>
      <errorWord>;</errorWord>
      <group>L1_Format</group>
      <groupName>格式问题</groupName>
      <ability>L2_HalfPunc_CN</ability>
      <abilityName>全半角问题</abilityName>
      <candidateList>
        <item>；</item>
      </candidateList>
      <explain>文本全半角错误。</explain>
      <paraID> 897392E</paraID>
      <start>56</start>
      <end>57</end>
      <status>unmodified</status>
      <modifiedWord/>
      <trackRevisions>false</trackRevisions>
    </reviewItem>
    <reviewItem>
      <errorID>27f9ae84-2a7c-4247-893f-cd251953a4af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2C9BCD03</paraID>
      <start>0</start>
      <end>3</end>
      <status>unmodified</status>
      <modifiedWord/>
      <trackRevisions>false</trackRevisions>
    </reviewItem>
    <reviewItem>
      <errorID>357ee8a7-402b-4938-8097-5dd7e041bee4</errorID>
      <errorWord>(</errorWord>
      <group>L1_Format</group>
      <groupName>格式问题</groupName>
      <ability>L2_HalfPunc_CN</ability>
      <abilityName>全半角问题</abilityName>
      <candidateList>
        <item>（</item>
      </candidateList>
      <explain>文本全半角错误。</explain>
      <paraID>2C9BCD03</paraID>
      <start>14</start>
      <end>15</end>
      <status>unmodified</status>
      <modifiedWord/>
      <trackRevisions>false</trackRevisions>
    </reviewItem>
    <reviewItem>
      <errorID>0a3b6a72-f749-401f-97f3-48966744ffeb</errorID>
      <errorWord>(</errorWord>
      <group>L1_Format</group>
      <groupName>格式问题</groupName>
      <ability>L2_HalfPunc_CN</ability>
      <abilityName>全半角问题</abilityName>
      <candidateList>
        <item>（</item>
      </candidateList>
      <explain>文本全半角错误。</explain>
      <paraID>2C9BCD03</paraID>
      <start>19</start>
      <end>20</end>
      <status>unmodified</status>
      <modifiedWord/>
      <trackRevisions>false</trackRevisions>
    </reviewItem>
    <reviewItem>
      <errorID>659221f9-e523-43ca-a077-95096c93de9d</errorID>
      <errorWord>))</errorWord>
      <group>L1_Format</group>
      <groupName>格式问题</groupName>
      <ability>L2_HalfPunc_CN</ability>
      <abilityName>全半角问题</abilityName>
      <candidateList>
        <item>））</item>
      </candidateList>
      <explain>文本全半角错误。</explain>
      <paraID>2C9BCD03</paraID>
      <start>26</start>
      <end>28</end>
      <status>unmodified</status>
      <modifiedWord/>
      <trackRevisions>false</trackRevisions>
    </reviewItem>
    <reviewItem>
      <errorID>d538a61d-daeb-4d21-935e-863a18600eb7</errorID>
      <errorWord>(</errorWord>
      <group>L1_Format</group>
      <groupName>格式问题</groupName>
      <ability>L2_HalfPunc_CN</ability>
      <abilityName>全半角问题</abilityName>
      <candidateList>
        <item>（</item>
      </candidateList>
      <explain>文本全半角错误。</explain>
      <paraID>2C9BCD03</paraID>
      <start>32</start>
      <end>33</end>
      <status>unmodified</status>
      <modifiedWord/>
      <trackRevisions>false</trackRevisions>
    </reviewItem>
    <reviewItem>
      <errorID>66baf342-d651-4cb9-8e22-fdd22de6e543</errorID>
      <errorWord>)</errorWord>
      <group>L1_Format</group>
      <groupName>格式问题</groupName>
      <ability>L2_HalfPunc_CN</ability>
      <abilityName>全半角问题</abilityName>
      <candidateList>
        <item>）</item>
      </candidateList>
      <explain>文本全半角错误。</explain>
      <paraID>2C9BCD03</paraID>
      <start>36</start>
      <end>37</end>
      <status>unmodified</status>
      <modifiedWord/>
      <trackRevisions>false</trackRevisions>
    </reviewItem>
    <reviewItem>
      <errorID>42cab56d-3c1d-4c93-80c3-345fc7a19bb6</errorID>
      <errorWord>(</errorWord>
      <group>L1_Format</group>
      <groupName>格式问题</groupName>
      <ability>L2_HalfPunc_CN</ability>
      <abilityName>全半角问题</abilityName>
      <candidateList>
        <item>（</item>
      </candidateList>
      <explain>文本全半角错误。</explain>
      <paraID>2C9BCD03</paraID>
      <start>47</start>
      <end>48</end>
      <status>unmodified</status>
      <modifiedWord/>
      <trackRevisions>false</trackRevisions>
    </reviewItem>
    <reviewItem>
      <errorID>bf203e95-052c-41f1-a681-3bc31cb8257b</errorID>
      <errorWord>)</errorWord>
      <group>L1_Format</group>
      <groupName>格式问题</groupName>
      <ability>L2_HalfPunc_CN</ability>
      <abilityName>全半角问题</abilityName>
      <candidateList>
        <item>）</item>
      </candidateList>
      <explain>文本全半角错误。</explain>
      <paraID>2C9BCD03</paraID>
      <start>52</start>
      <end>53</end>
      <status>unmodified</status>
      <modifiedWord/>
      <trackRevisions>false</trackRevisions>
    </reviewItem>
    <reviewItem>
      <errorID>b594c647-0708-412d-a822-27f5664ad7a2</errorID>
      <errorWord>(</errorWord>
      <group>L1_Format</group>
      <groupName>格式问题</groupName>
      <ability>L2_HalfPunc_CN</ability>
      <abilityName>全半角问题</abilityName>
      <candidateList>
        <item>（</item>
      </candidateList>
      <explain>文本全半角错误。</explain>
      <paraID>2C9BCD03</paraID>
      <start>57</start>
      <end>58</end>
      <status>unmodified</status>
      <modifiedWord/>
      <trackRevisions>false</trackRevisions>
    </reviewItem>
    <reviewItem>
      <errorID>04c026c3-dbbe-42c5-87f3-8f35ecdaa807</errorID>
      <errorWord>)</errorWord>
      <group>L1_Format</group>
      <groupName>格式问题</groupName>
      <ability>L2_HalfPunc_CN</ability>
      <abilityName>全半角问题</abilityName>
      <candidateList>
        <item>）</item>
      </candidateList>
      <explain>文本全半角错误。</explain>
      <paraID>2C9BCD03</paraID>
      <start>61</start>
      <end>62</end>
      <status>unmodified</status>
      <modifiedWord/>
      <trackRevisions>false</trackRevisions>
    </reviewItem>
    <reviewItem>
      <errorID>ca4c9a68-b1dc-480a-9749-5c19bf6329c0</errorID>
      <errorWord>;</errorWord>
      <group>L1_Format</group>
      <groupName>格式问题</groupName>
      <ability>L2_HalfPunc_CN</ability>
      <abilityName>全半角问题</abilityName>
      <candidateList>
        <item>；</item>
      </candidateList>
      <explain>文本全半角错误。</explain>
      <paraID>2C9BCD03</paraID>
      <start>64</start>
      <end>65</end>
      <status>unmodified</status>
      <modifiedWord/>
      <trackRevisions>false</trackRevisions>
    </reviewItem>
    <reviewItem>
      <errorID>698f164d-7646-4cb5-b1d8-cf3581b20ae1</errorID>
      <errorWord>后面中</errorWord>
      <group>L1_Grammar</group>
      <groupName>语法问题</groupName>
      <ability>L2_Order</ability>
      <abilityName>语序不当</abilityName>
      <candidateList>
        <item>后面</item>
      </candidateList>
      <explain>句子可能没有遵循时空、逻辑顺序，或者介词、关联词等位置不当。</explain>
      <paraID>36A045A1</paraID>
      <start>86</start>
      <end>89</end>
      <status>unmodified</status>
      <modifiedWord/>
      <trackRevisions>false</trackRevisions>
    </reviewItem>
    <reviewItem>
      <errorID>a7a5a8c4-08aa-4427-a9c9-8b45a0134d2e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24779AFB</paraID>
      <start>0</start>
      <end>2</end>
      <status>unmodified</status>
      <modifiedWord/>
      <trackRevisions>false</trackRevisions>
    </reviewItem>
    <reviewItem>
      <errorID>a842c04d-1388-4070-9135-2e58669def0b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15C9389E</paraID>
      <start>0</start>
      <end>2</end>
      <status>unmodified</status>
      <modifiedWord/>
      <trackRevisions>false</trackRevisions>
    </reviewItem>
    <reviewItem>
      <errorID>83e34bcb-69f5-4f71-90bc-6a5b37ed78bc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13ED4D28</paraID>
      <start>2</start>
      <end>4</end>
      <status>unmodified</status>
      <modifiedWord/>
      <trackRevisions>false</trackRevisions>
    </reviewItem>
    <reviewItem>
      <errorID>9f17940e-4d92-473b-91d4-4e1699dc7d4d</errorID>
      <errorWord>证</errorWord>
      <group>L1_Word</group>
      <groupName>字词问题</groupName>
      <ability>L2_Typo</ability>
      <abilityName>字词错误</abilityName>
      <candidateList>
        <item>证金</item>
      </candidateList>
      <explain/>
      <paraID>13ED4D28</paraID>
      <start>25</start>
      <end>26</end>
      <status>unmodified</status>
      <modifiedWord/>
      <trackRevisions>false</trackRevisions>
    </reviewItem>
    <reviewItem>
      <errorID>3a57a9ab-3f27-448f-9df8-ebb5e6908f23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62094DE9</paraID>
      <start>0</start>
      <end>2</end>
      <status>unmodified</status>
      <modifiedWord/>
      <trackRevisions>false</trackRevisions>
    </reviewItem>
    <reviewItem>
      <errorID>2a278759-b13a-416a-af4e-e88c04c5570c</errorID>
      <errorWord>-</errorWord>
      <group>L1_Format</group>
      <groupName>格式问题</groupName>
      <ability>L2_HalfPunc_CN</ability>
      <abilityName>全半角问题</abilityName>
      <candidateList>
        <item>－</item>
      </candidateList>
      <explain>文本全半角错误。</explain>
      <paraID>4518DC67</paraID>
      <start>226</start>
      <end>227</end>
      <status>unmodified</status>
      <modifiedWord/>
      <trackRevisions>false</trackRevisions>
    </reviewItem>
    <reviewItem>
      <errorID>6b0b75bc-098b-476b-a072-61ed4cf1ff44</errorID>
      <errorWord>【2015】26号</errorWord>
      <group>L1_Knowledge</group>
      <groupName>知识性问题</groupName>
      <ability>L2_Knowledge</ability>
      <abilityName>其他知识</abilityName>
      <candidateList>
        <item>〔2015〕26号</item>
      </candidateList>
      <explain>发文字号格式错误。</explain>
      <paraID>5310C6DB</paraID>
      <start>88</start>
      <end>97</end>
      <status>unmodified</status>
      <modifiedWord/>
      <trackRevisions>false</trackRevisions>
    </reviewItem>
    <reviewItem>
      <errorID>b690f96e-8116-4023-9c48-747258612e81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3C15233A</paraID>
      <start>21</start>
      <end>22</end>
      <status>unmodified</status>
      <modifiedWord/>
      <trackRevisions>false</trackRevisions>
    </reviewItem>
    <reviewItem>
      <errorID>e050742e-2985-4ea7-9580-1e2bc975db66</errorID>
      <errorWord>(</errorWord>
      <group>L1_Format</group>
      <groupName>格式问题</groupName>
      <ability>L2_HalfPunc_CN</ability>
      <abilityName>全半角问题</abilityName>
      <candidateList>
        <item>（</item>
      </candidateList>
      <explain>文本全半角错误。</explain>
      <paraID>43324816</paraID>
      <start>17</start>
      <end>18</end>
      <status>unmodified</status>
      <modifiedWord/>
      <trackRevisions>false</trackRevisions>
    </reviewItem>
    <reviewItem>
      <errorID>244654c8-37cb-4034-85ae-06c50c7b69e5</errorID>
      <errorWord>)</errorWord>
      <group>L1_Format</group>
      <groupName>格式问题</groupName>
      <ability>L2_HalfPunc_CN</ability>
      <abilityName>全半角问题</abilityName>
      <candidateList>
        <item>）</item>
      </candidateList>
      <explain>文本全半角错误。</explain>
      <paraID>43324816</paraID>
      <start>34</start>
      <end>35</end>
      <status>unmodified</status>
      <modifiedWord/>
      <trackRevisions>false</trackRevisions>
    </reviewItem>
    <reviewItem>
      <errorID>8d21b01c-7101-468d-9164-cc02c7e6087e</errorID>
      <errorWord>.</errorWord>
      <group>L1_Format</group>
      <groupName>格式问题</groupName>
      <ability>L2_HalfPunc_CN</ability>
      <abilityName>全半角问题</abilityName>
      <candidateList>
        <item>。</item>
      </candidateList>
      <explain>文本全半角错误。</explain>
      <paraID>13A9FF01</paraID>
      <start>17</start>
      <end>18</end>
      <status>unmodified</status>
      <modifiedWord/>
      <trackRevisions>false</trackRevisions>
    </reviewItem>
    <reviewItem>
      <errorID>9dbe743b-d099-472b-b7c1-fdd4bbd9bc2c</errorID>
      <errorWord>保证缴</errorWord>
      <group>L1_Word</group>
      <groupName>字词问题</groupName>
      <ability>L2_Typo</ability>
      <abilityName>字词错误</abilityName>
      <candidateList>
        <item>保证金</item>
      </candidateList>
      <explain/>
      <paraID>27EDACB5</paraID>
      <start>2</start>
      <end>5</end>
      <status>unmodified</status>
      <modifiedWord/>
      <trackRevisions>false</trackRevisions>
    </reviewItem>
    <reviewItem>
      <errorID>b79342b4-ce3a-4f5e-9522-1f6107137f75</errorID>
      <errorWord>纳</errorWord>
      <group>L1_Word</group>
      <groupName>字词问题</groupName>
      <ability>L2_Typo</ability>
      <abilityName>字词错误</abilityName>
      <candidateList>
        <item>的</item>
      </candidateList>
      <explain/>
      <paraID> A790436</paraID>
      <start>0</start>
      <end>1</end>
      <status>unmodified</status>
      <modifiedWord/>
      <trackRevisions>false</trackRevisions>
    </reviewItem>
    <reviewItem>
      <errorID>1a0bf802-91bf-48e0-aac3-16660f73d615</errorID>
      <errorWord>(</errorWord>
      <group>L1_Format</group>
      <groupName>格式问题</groupName>
      <ability>L2_HalfPunc_CN</ability>
      <abilityName>全半角问题</abilityName>
      <candidateList>
        <item>（</item>
      </candidateList>
      <explain>文本全半角错误。</explain>
      <paraID>51E3FB37</paraID>
      <start>6</start>
      <end>7</end>
      <status>unmodified</status>
      <modifiedWord/>
      <trackRevisions>false</trackRevisions>
    </reviewItem>
    <reviewItem>
      <errorID>d72092de-e667-4ad7-8e82-82730ef5ba5d</errorID>
      <errorWord>)</errorWord>
      <group>L1_Format</group>
      <groupName>格式问题</groupName>
      <ability>L2_HalfPunc_CN</ability>
      <abilityName>全半角问题</abilityName>
      <candidateList>
        <item>）</item>
      </candidateList>
      <explain>文本全半角错误。</explain>
      <paraID>51E3FB37</paraID>
      <start>9</start>
      <end>10</end>
      <status>unmodified</status>
      <modifiedWord/>
      <trackRevisions>false</trackRevisions>
    </reviewItem>
    <reviewItem>
      <errorID>44922eba-6e46-49b1-8d96-6a272bd80504</errorID>
      <errorWord>(</errorWord>
      <group>L1_Format</group>
      <groupName>格式问题</groupName>
      <ability>L2_HalfPunc_CN</ability>
      <abilityName>全半角问题</abilityName>
      <candidateList>
        <item>（</item>
      </candidateList>
      <explain>文本全半角错误。</explain>
      <paraID>4F9F97C9</paraID>
      <start>6</start>
      <end>7</end>
      <status>unmodified</status>
      <modifiedWord/>
      <trackRevisions>false</trackRevisions>
    </reviewItem>
    <reviewItem>
      <errorID>36c04221-af1b-420b-912a-11e5f9ab17ef</errorID>
      <errorWord>)</errorWord>
      <group>L1_Format</group>
      <groupName>格式问题</groupName>
      <ability>L2_HalfPunc_CN</ability>
      <abilityName>全半角问题</abilityName>
      <candidateList>
        <item>）</item>
      </candidateList>
      <explain>文本全半角错误。</explain>
      <paraID>4F9F97C9</paraID>
      <start>9</start>
      <end>10</end>
      <status>unmodified</status>
      <modifiedWord/>
      <trackRevisions>false</trackRevisions>
    </reviewItem>
    <reviewItem>
      <errorID>034043e8-f879-442e-9f1a-f14fb5ac46f1</errorID>
      <errorWord>(</errorWord>
      <group>L1_Format</group>
      <groupName>格式问题</groupName>
      <ability>L2_HalfPunc_CN</ability>
      <abilityName>全半角问题</abilityName>
      <candidateList>
        <item>（</item>
      </candidateList>
      <explain>文本全半角错误。</explain>
      <paraID>398897AF</paraID>
      <start>15</start>
      <end>16</end>
      <status>unmodified</status>
      <modifiedWord/>
      <trackRevisions>false</trackRevisions>
    </reviewItem>
    <reviewItem>
      <errorID>9fa460ca-1354-4314-93f3-f6f17c682c28</errorID>
      <errorWord>)</errorWord>
      <group>L1_Format</group>
      <groupName>格式问题</groupName>
      <ability>L2_HalfPunc_CN</ability>
      <abilityName>全半角问题</abilityName>
      <candidateList>
        <item>）</item>
      </candidateList>
      <explain>文本全半角错误。</explain>
      <paraID>398897AF</paraID>
      <start>32</start>
      <end>33</end>
      <status>unmodified</status>
      <modifiedWord/>
      <trackRevisions>false</trackRevisions>
    </reviewItem>
    <reviewItem>
      <errorID>ca938983-5a2c-4835-8fb9-5400a6127e69</errorID>
      <errorWord>(</errorWord>
      <group>L1_Format</group>
      <groupName>格式问题</groupName>
      <ability>L2_HalfPunc_CN</ability>
      <abilityName>全半角问题</abilityName>
      <candidateList>
        <item>（</item>
      </candidateList>
      <explain>文本全半角错误。</explain>
      <paraID>150CA27D</paraID>
      <start>15</start>
      <end>16</end>
      <status>unmodified</status>
      <modifiedWord/>
      <trackRevisions>false</trackRevisions>
    </reviewItem>
    <reviewItem>
      <errorID>da71d7ff-580c-46f3-87ce-1ba928ea0433</errorID>
      <errorWord>)</errorWord>
      <group>L1_Format</group>
      <groupName>格式问题</groupName>
      <ability>L2_HalfPunc_CN</ability>
      <abilityName>全半角问题</abilityName>
      <candidateList>
        <item>）</item>
      </candidateList>
      <explain>文本全半角错误。</explain>
      <paraID>150CA27D</paraID>
      <start>32</start>
      <end>33</end>
      <status>unmodified</status>
      <modifiedWord/>
      <trackRevisions>false</trackRevisions>
    </reviewItem>
    <reviewItem>
      <errorID>00897172-f844-4fb2-b708-584cdccf7941</errorID>
      <errorWord>项目建设所需资金项目建设所需资金</errorWord>
      <group>L1_Word</group>
      <groupName>字词问题</groupName>
      <ability>L2_Typo</ability>
      <abilityName>字词错误</abilityName>
      <candidateList>
        <item>项目建设所需资金</item>
      </candidateList>
      <explain/>
      <paraID>3959C17F</paraID>
      <start>138</start>
      <end>154</end>
      <status>unmodified</status>
      <modifiedWord/>
      <trackRevisions>false</trackRevisions>
    </reviewItem>
    <reviewItem>
      <errorID>1ba3ebbd-f590-4649-9e12-c6465c3210aa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6197F2E1</paraID>
      <start>0</start>
      <end>2</end>
      <status>unmodified</status>
      <modifiedWord/>
      <trackRevisions>false</trackRevisions>
    </reviewItem>
    <reviewItem>
      <errorID>f965f3af-dd65-4e61-962a-528c3b993308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4C6ED494</paraID>
      <start>0</start>
      <end>2</end>
      <status>unmodified</status>
      <modifiedWord/>
      <trackRevisions>false</trackRevisions>
    </reviewItem>
    <reviewItem>
      <errorID>fc038b26-c26a-4688-97c2-ef0a885b223b</errorID>
      <errorWord>期</errorWord>
      <group>L1_Word</group>
      <groupName>字词问题</groupName>
      <ability>L2_Typo</ability>
      <abilityName>字词错误</abilityName>
      <candidateList>
        <item>期为</item>
      </candidateList>
      <explain/>
      <paraID>1D49252B</paraID>
      <start>24</start>
      <end>25</end>
      <status>unmodified</status>
      <modifiedWord/>
      <trackRevisions>false</trackRevisions>
    </reviewItem>
    <reviewItem>
      <errorID>adc8c0e5-6940-47c3-af98-3e3d54149ff6</errorID>
      <errorWord>以</errorWord>
      <group>L1_Word</group>
      <groupName>字词问题</groupName>
      <ability>L2_Typo</ability>
      <abilityName>字词错误</abilityName>
      <candidateList>
        <item>经</item>
      </candidateList>
      <explain/>
      <paraID>4BCB15A2</paraID>
      <start>60</start>
      <end>61</end>
      <status>unmodified</status>
      <modifiedWord/>
      <trackRevisions>false</trackRevisions>
    </reviewItem>
    <reviewItem>
      <errorID>b2cd4173-7206-46ea-a358-74e181206b3d</errorID>
      <errorWord>(</errorWord>
      <group>L1_Format</group>
      <groupName>格式问题</groupName>
      <ability>L2_HalfPunc_CN</ability>
      <abilityName>全半角问题</abilityName>
      <candidateList>
        <item>（</item>
      </candidateList>
      <explain>文本全半角错误。</explain>
      <paraID> 30286EF</paraID>
      <start>128</start>
      <end>129</end>
      <status>unmodified</status>
      <modifiedWord/>
      <trackRevisions>false</trackRevisions>
    </reviewItem>
    <reviewItem>
      <errorID>84f22728-ddf9-43ed-9ed8-c724bb54ad93</errorID>
      <errorWord>)</errorWord>
      <group>L1_Format</group>
      <groupName>格式问题</groupName>
      <ability>L2_HalfPunc_CN</ability>
      <abilityName>全半角问题</abilityName>
      <candidateList>
        <item>）</item>
      </candidateList>
      <explain>文本全半角错误。</explain>
      <paraID> 30286EF</paraID>
      <start>130</start>
      <end>131</end>
      <status>unmodified</status>
      <modifiedWord/>
      <trackRevisions>false</trackRevisions>
    </reviewItem>
    <reviewItem>
      <errorID>26fe544e-9783-4312-a227-43d9c59cf665</errorID>
      <errorWord>(</errorWord>
      <group>L1_Format</group>
      <groupName>格式问题</groupName>
      <ability>L2_HalfPunc_CN</ability>
      <abilityName>全半角问题</abilityName>
      <candidateList>
        <item>（</item>
      </candidateList>
      <explain>文本全半角错误。</explain>
      <paraID> 30286EF</paraID>
      <start>132</start>
      <end>133</end>
      <status>unmodified</status>
      <modifiedWord/>
      <trackRevisions>false</trackRevisions>
    </reviewItem>
    <reviewItem>
      <errorID>159188ff-d64b-450c-bc7e-bc5db7a1163c</errorID>
      <errorWord>)</errorWord>
      <group>L1_Format</group>
      <groupName>格式问题</groupName>
      <ability>L2_HalfPunc_CN</ability>
      <abilityName>全半角问题</abilityName>
      <candidateList>
        <item>）</item>
      </candidateList>
      <explain>文本全半角错误。</explain>
      <paraID> 30286EF</paraID>
      <start>134</start>
      <end>135</end>
      <status>unmodified</status>
      <modifiedWord/>
      <trackRevisions>false</trackRevisions>
    </reviewItem>
    <reviewItem>
      <errorID>e18cc3bf-61b2-4abc-9474-b569a6fcec33</errorID>
      <errorWord>联合后</errorWord>
      <group>L1_Word</group>
      <groupName>字词问题</groupName>
      <ability>L2_Typo</ability>
      <abilityName>字词错误</abilityName>
      <candidateList>
        <item>联合体</item>
      </candidateList>
      <explain/>
      <paraID> 30286EF</paraID>
      <start>147</start>
      <end>150</end>
      <status>unmodified</status>
      <modifiedWord/>
      <trackRevisions>false</trackRevisions>
    </reviewItem>
    <reviewItem>
      <errorID>3815b901-55de-420d-9857-af506b77e377</errorID>
      <errorWord>(</errorWord>
      <group>L1_Format</group>
      <groupName>格式问题</groupName>
      <ability>L2_HalfPunc_CN</ability>
      <abilityName>全半角问题</abilityName>
      <candidateList>
        <item>（</item>
      </candidateList>
      <explain>文本全半角错误。</explain>
      <paraID> 30286EF</paraID>
      <start>158</start>
      <end>159</end>
      <status>unmodified</status>
      <modifiedWord/>
      <trackRevisions>false</trackRevisions>
    </reviewItem>
    <reviewItem>
      <errorID>7f68f51e-ad11-48f7-8e6c-533a94b7f5b4</errorID>
      <errorWord>)</errorWord>
      <group>L1_Format</group>
      <groupName>格式问题</groupName>
      <ability>L2_HalfPunc_CN</ability>
      <abilityName>全半角问题</abilityName>
      <candidateList>
        <item>）</item>
      </candidateList>
      <explain>文本全半角错误。</explain>
      <paraID> 30286EF</paraID>
      <start>160</start>
      <end>161</end>
      <status>unmodified</status>
      <modifiedWord/>
      <trackRevisions>false</trackRevisions>
    </reviewItem>
    <reviewItem>
      <errorID>324a3db3-0424-4734-915b-1ca6e3c409ea</errorID>
      <errorWord>(</errorWord>
      <group>L1_Format</group>
      <groupName>格式问题</groupName>
      <ability>L2_HalfPunc_CN</ability>
      <abilityName>全半角问题</abilityName>
      <candidateList>
        <item>（</item>
      </candidateList>
      <explain>文本全半角错误。</explain>
      <paraID> 30286EF</paraID>
      <start>162</start>
      <end>163</end>
      <status>unmodified</status>
      <modifiedWord/>
      <trackRevisions>false</trackRevisions>
    </reviewItem>
    <reviewItem>
      <errorID>65b7c9f2-e7a2-4228-9c6a-122514374d37</errorID>
      <errorWord>)</errorWord>
      <group>L1_Format</group>
      <groupName>格式问题</groupName>
      <ability>L2_HalfPunc_CN</ability>
      <abilityName>全半角问题</abilityName>
      <candidateList>
        <item>）</item>
      </candidateList>
      <explain>文本全半角错误。</explain>
      <paraID> 30286EF</paraID>
      <start>164</start>
      <end>165</end>
      <status>unmodified</status>
      <modifiedWord/>
      <trackRevisions>false</trackRevisions>
    </reviewItem>
    <reviewItem>
      <errorID>34ba8356-74a2-4ed8-a43d-2e952ca25db8</errorID>
      <errorWord>)</errorWord>
      <group>L1_Format</group>
      <groupName>格式问题</groupName>
      <ability>L2_HalfPunc_CN</ability>
      <abilityName>全半角问题</abilityName>
      <candidateList>
        <item>）</item>
      </candidateList>
      <explain>文本全半角错误。</explain>
      <paraID>537C846D</paraID>
      <start>2</start>
      <end>3</end>
      <status>unmodified</status>
      <modifiedWord/>
      <trackRevisions>false</trackRevisions>
    </reviewItem>
    <reviewItem>
      <errorID>07f7b73b-136c-4e14-a7c1-b9a27665bc87</errorID>
      <errorWord>)</errorWord>
      <group>L1_Format</group>
      <groupName>格式问题</groupName>
      <ability>L2_HalfPunc_CN</ability>
      <abilityName>全半角问题</abilityName>
      <candidateList>
        <item>）</item>
      </candidateList>
      <explain>文本全半角错误。</explain>
      <paraID>537C846D</paraID>
      <start>30</start>
      <end>31</end>
      <status>unmodified</status>
      <modifiedWord/>
      <trackRevisions>false</trackRevisions>
    </reviewItem>
    <reviewItem>
      <errorID>b3510c05-14a6-44ff-a4f5-602d1c0354bb</errorID>
      <errorWord>(</errorWord>
      <group>L1_Format</group>
      <groupName>格式问题</groupName>
      <ability>L2_HalfPunc_CN</ability>
      <abilityName>全半角问题</abilityName>
      <candidateList>
        <item>（</item>
      </candidateList>
      <explain>文本全半角错误。</explain>
      <paraID>2092A636</paraID>
      <start>29</start>
      <end>30</end>
      <status>unmodified</status>
      <modifiedWord/>
      <trackRevisions>false</trackRevisions>
    </reviewItem>
    <reviewItem>
      <errorID>20e5c8ad-a8ed-4590-897a-1045b54f169d</errorID>
      <errorWord>)</errorWord>
      <group>L1_Format</group>
      <groupName>格式问题</groupName>
      <ability>L2_HalfPunc_CN</ability>
      <abilityName>全半角问题</abilityName>
      <candidateList>
        <item>）</item>
      </candidateList>
      <explain>文本全半角错误。</explain>
      <paraID>2092A636</paraID>
      <start>33</start>
      <end>34</end>
      <status>unmodified</status>
      <modifiedWord/>
      <trackRevisions>false</trackRevisions>
    </reviewItem>
    <reviewItem>
      <errorID>010a605d-5bb3-4452-a979-b9844b257dac</errorID>
      <errorWord>;</errorWord>
      <group>L1_Format</group>
      <groupName>格式问题</groupName>
      <ability>L2_HalfPunc_CN</ability>
      <abilityName>全半角问题</abilityName>
      <candidateList>
        <item>；</item>
      </candidateList>
      <explain>文本全半角错误。</explain>
      <paraID>2092A636</paraID>
      <start>49</start>
      <end>50</end>
      <status>unmodified</status>
      <modifiedWord/>
      <trackRevisions>false</trackRevisions>
    </reviewItem>
    <reviewItem>
      <errorID>e153fe36-d48a-4a21-b682-9c4a95cd7786</errorID>
      <errorWord>(</errorWord>
      <group>L1_Format</group>
      <groupName>格式问题</groupName>
      <ability>L2_HalfPunc_CN</ability>
      <abilityName>全半角问题</abilityName>
      <candidateList>
        <item>（</item>
      </candidateList>
      <explain>文本全半角错误。</explain>
      <paraID>5A3B6FE7</paraID>
      <start>14</start>
      <end>15</end>
      <status>unmodified</status>
      <modifiedWord/>
      <trackRevisions>false</trackRevisions>
    </reviewItem>
    <reviewItem>
      <errorID>51d015ef-f0c3-4d84-a4a2-867fe33da1fe</errorID>
      <errorWord>)</errorWord>
      <group>L1_Format</group>
      <groupName>格式问题</groupName>
      <ability>L2_HalfPunc_CN</ability>
      <abilityName>全半角问题</abilityName>
      <candidateList>
        <item>）</item>
      </candidateList>
      <explain>文本全半角错误。</explain>
      <paraID>5A3B6FE7</paraID>
      <start>18</start>
      <end>19</end>
      <status>unmodified</status>
      <modifiedWord/>
      <trackRevisions>false</trackRevisions>
    </reviewItem>
    <reviewItem>
      <errorID>3fc0fd81-3623-44f1-89b1-ff09cbffb1dc</errorID>
      <errorWord>;</errorWord>
      <group>L1_Format</group>
      <groupName>格式问题</groupName>
      <ability>L2_HalfPunc_CN</ability>
      <abilityName>全半角问题</abilityName>
      <candidateList>
        <item>；</item>
      </candidateList>
      <explain>文本全半角错误。</explain>
      <paraID>4FB14A05</paraID>
      <start>37</start>
      <end>38</end>
      <status>unmodified</status>
      <modifiedWord/>
      <trackRevisions>false</trackRevisions>
    </reviewItem>
    <reviewItem>
      <errorID>d10eff8b-f9a2-4f50-b492-80a10c8b02ae</errorID>
      <errorWord>;</errorWord>
      <group>L1_Format</group>
      <groupName>格式问题</groupName>
      <ability>L2_HalfPunc_CN</ability>
      <abilityName>全半角问题</abilityName>
      <candidateList>
        <item>；</item>
      </candidateList>
      <explain>文本全半角错误。</explain>
      <paraID>365F1C97</paraID>
      <start>11</start>
      <end>12</end>
      <status>unmodified</status>
      <modifiedWord/>
      <trackRevisions>false</trackRevisions>
    </reviewItem>
    <reviewItem>
      <errorID>1fa6a465-6e29-4c47-8217-d7613e5c5934</errorID>
      <errorWord>:</errorWord>
      <group>L1_Format</group>
      <groupName>格式问题</groupName>
      <ability>L2_HalfPunc_CN</ability>
      <abilityName>全半角问题</abilityName>
      <candidateList>
        <item>：</item>
      </candidateList>
      <explain>文本全半角错误。</explain>
      <paraID>26096592</paraID>
      <start>18</start>
      <end>19</end>
      <status>unmodified</status>
      <modifiedWord/>
      <trackRevisions>false</trackRevisions>
    </reviewItem>
    <reviewItem>
      <errorID>b36a4750-194e-44ed-a6f4-c2d73ec22163</errorID>
      <errorWord>;</errorWord>
      <group>L1_Format</group>
      <groupName>格式问题</groupName>
      <ability>L2_HalfPunc_CN</ability>
      <abilityName>全半角问题</abilityName>
      <candidateList>
        <item>；</item>
      </candidateList>
      <explain>文本全半角错误。</explain>
      <paraID>67F04788</paraID>
      <start>17</start>
      <end>18</end>
      <status>unmodified</status>
      <modifiedWord/>
      <trackRevisions>false</trackRevisions>
    </reviewItem>
    <reviewItem>
      <errorID>55a37de4-1907-4ea0-9b38-b7da62a7eff3</errorID>
      <errorWord>(</errorWord>
      <group>L1_Format</group>
      <groupName>格式问题</groupName>
      <ability>L2_HalfPunc_CN</ability>
      <abilityName>全半角问题</abilityName>
      <candidateList>
        <item>（</item>
      </candidateList>
      <explain>文本全半角错误。</explain>
      <paraID>6B910A9C</paraID>
      <start>10</start>
      <end>11</end>
      <status>unmodified</status>
      <modifiedWord/>
      <trackRevisions>false</trackRevisions>
    </reviewItem>
    <reviewItem>
      <errorID>e6bab29e-690d-4a91-923d-7a20c9babf64</errorID>
      <errorWord>)</errorWord>
      <group>L1_Format</group>
      <groupName>格式问题</groupName>
      <ability>L2_HalfPunc_CN</ability>
      <abilityName>全半角问题</abilityName>
      <candidateList>
        <item>）</item>
      </candidateList>
      <explain>文本全半角错误。</explain>
      <paraID>6B910A9C</paraID>
      <start>24</start>
      <end>25</end>
      <status>unmodified</status>
      <modifiedWord/>
      <trackRevisions>false</trackRevisions>
    </reviewItem>
    <reviewItem>
      <errorID>8f28d4c9-2035-490b-ba32-56a7c8cc2434</errorID>
      <errorWord>;</errorWord>
      <group>L1_Format</group>
      <groupName>格式问题</groupName>
      <ability>L2_HalfPunc_CN</ability>
      <abilityName>全半角问题</abilityName>
      <candidateList>
        <item>；</item>
      </candidateList>
      <explain>文本全半角错误。</explain>
      <paraID>6B910A9C</paraID>
      <start>32</start>
      <end>33</end>
      <status>unmodified</status>
      <modifiedWord/>
      <trackRevisions>false</trackRevisions>
    </reviewItem>
    <reviewItem>
      <errorID>ced448ab-922b-4381-90c3-4c105ceeec31</errorID>
      <errorWord>(</errorWord>
      <group>L1_Format</group>
      <groupName>格式问题</groupName>
      <ability>L2_HalfPunc_CN</ability>
      <abilityName>全半角问题</abilityName>
      <candidateList>
        <item>（</item>
      </candidateList>
      <explain>文本全半角错误。</explain>
      <paraID>75E0B3C1</paraID>
      <start>10</start>
      <end>11</end>
      <status>unmodified</status>
      <modifiedWord/>
      <trackRevisions>false</trackRevisions>
    </reviewItem>
    <reviewItem>
      <errorID>8edead10-ae23-4e51-8885-4e6b305310a9</errorID>
      <errorWord>)</errorWord>
      <group>L1_Format</group>
      <groupName>格式问题</groupName>
      <ability>L2_HalfPunc_CN</ability>
      <abilityName>全半角问题</abilityName>
      <candidateList>
        <item>）</item>
      </candidateList>
      <explain>文本全半角错误。</explain>
      <paraID>75E0B3C1</paraID>
      <start>15</start>
      <end>16</end>
      <status>unmodified</status>
      <modifiedWord/>
      <trackRevisions>false</trackRevisions>
    </reviewItem>
    <reviewItem>
      <errorID>5b35a328-b590-46a6-b5b1-723a8a9b1312</errorID>
      <errorWord>:</errorWord>
      <group>L1_Format</group>
      <groupName>格式问题</groupName>
      <ability>L2_HalfPunc_CN</ability>
      <abilityName>全半角问题</abilityName>
      <candidateList>
        <item>：</item>
      </candidateList>
      <explain>文本全半角错误。</explain>
      <paraID>6189C346</paraID>
      <start>18</start>
      <end>19</end>
      <status>unmodified</status>
      <modifiedWord/>
      <trackRevisions>false</trackRevisions>
    </reviewItem>
    <reviewItem>
      <errorID>4a091a5e-9e95-46ef-8879-86c66c867aa8</errorID>
      <errorWord>;</errorWord>
      <group>L1_Format</group>
      <groupName>格式问题</groupName>
      <ability>L2_HalfPunc_CN</ability>
      <abilityName>全半角问题</abilityName>
      <candidateList>
        <item>；</item>
      </candidateList>
      <explain>文本全半角错误。</explain>
      <paraID>2591F145</paraID>
      <start>17</start>
      <end>18</end>
      <status>unmodified</status>
      <modifiedWord/>
      <trackRevisions>false</trackRevisions>
    </reviewItem>
    <reviewItem>
      <errorID>7f631c66-82a8-4919-a540-76cd8ddaa362</errorID>
      <errorWord>(</errorWord>
      <group>L1_Format</group>
      <groupName>格式问题</groupName>
      <ability>L2_HalfPunc_CN</ability>
      <abilityName>全半角问题</abilityName>
      <candidateList>
        <item>（</item>
      </candidateList>
      <explain>文本全半角错误。</explain>
      <paraID>30D41A35</paraID>
      <start>10</start>
      <end>11</end>
      <status>unmodified</status>
      <modifiedWord/>
      <trackRevisions>false</trackRevisions>
    </reviewItem>
    <reviewItem>
      <errorID>9b75dc1a-6f26-4694-a2bc-ce3d7fd67784</errorID>
      <errorWord>)</errorWord>
      <group>L1_Format</group>
      <groupName>格式问题</groupName>
      <ability>L2_HalfPunc_CN</ability>
      <abilityName>全半角问题</abilityName>
      <candidateList>
        <item>）</item>
      </candidateList>
      <explain>文本全半角错误。</explain>
      <paraID>30D41A35</paraID>
      <start>15</start>
      <end>16</end>
      <status>unmodified</status>
      <modifiedWord/>
      <trackRevisions>false</trackRevisions>
    </reviewItem>
    <reviewItem>
      <errorID>94b9a455-2345-46ff-8745-fa9393a1b6d4</errorID>
      <errorWord>;</errorWord>
      <group>L1_Format</group>
      <groupName>格式问题</groupName>
      <ability>L2_HalfPunc_CN</ability>
      <abilityName>全半角问题</abilityName>
      <candidateList>
        <item>；</item>
      </candidateList>
      <explain>文本全半角错误。</explain>
      <paraID>7C9655B8</paraID>
      <start>28</start>
      <end>29</end>
      <status>unmodified</status>
      <modifiedWord/>
      <trackRevisions>false</trackRevisions>
    </reviewItem>
    <reviewItem>
      <errorID>33845efd-d8de-45fc-a0f2-3a2287ccca51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173C41C5</paraID>
      <start>0</start>
      <end>3</end>
      <status>unmodified</status>
      <modifiedWord/>
      <trackRevisions>false</trackRevisions>
    </reviewItem>
    <reviewItem>
      <errorID>6bff46cb-97d1-42cf-8c5b-150a66350281</errorID>
      <errorWord>;</errorWord>
      <group>L1_Format</group>
      <groupName>格式问题</groupName>
      <ability>L2_HalfPunc_CN</ability>
      <abilityName>全半角问题</abilityName>
      <candidateList>
        <item>；</item>
      </candidateList>
      <explain>文本全半角错误。</explain>
      <paraID>173C41C5</paraID>
      <start>14</start>
      <end>15</end>
      <status>unmodified</status>
      <modifiedWord/>
      <trackRevisions>false</trackRevisions>
    </reviewItem>
    <reviewItem>
      <errorID>a7b07c66-fcff-4ea8-bc25-e60ecaa340aa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56E7E623</paraID>
      <start>0</start>
      <end>3</end>
      <status>unmodified</status>
      <modifiedWord/>
      <trackRevisions>false</trackRevisions>
    </reviewItem>
    <reviewItem>
      <errorID>18984bc4-8091-4005-b9ad-53d2447b6d89</errorID>
      <errorWord>(</errorWord>
      <group>L1_Format</group>
      <groupName>格式问题</groupName>
      <ability>L2_HalfPunc_CN</ability>
      <abilityName>全半角问题</abilityName>
      <candidateList>
        <item>（</item>
      </candidateList>
      <explain>文本全半角错误。</explain>
      <paraID>56E7E623</paraID>
      <start>14</start>
      <end>15</end>
      <status>unmodified</status>
      <modifiedWord/>
      <trackRevisions>false</trackRevisions>
    </reviewItem>
    <reviewItem>
      <errorID>328d7b8b-72af-4cd7-ac8a-7272c4af4a6b</errorID>
      <errorWord>)</errorWord>
      <group>L1_Format</group>
      <groupName>格式问题</groupName>
      <ability>L2_HalfPunc_CN</ability>
      <abilityName>全半角问题</abilityName>
      <candidateList>
        <item>）</item>
      </candidateList>
      <explain>文本全半角错误。</explain>
      <paraID>56E7E623</paraID>
      <start>19</start>
      <end>20</end>
      <status>unmodified</status>
      <modifiedWord/>
      <trackRevisions>false</trackRevisions>
    </reviewItem>
    <reviewItem>
      <errorID>989215f7-8f85-413b-8e7a-227161e130cc</errorID>
      <errorWord>(</errorWord>
      <group>L1_Format</group>
      <groupName>格式问题</groupName>
      <ability>L2_HalfPunc_CN</ability>
      <abilityName>全半角问题</abilityName>
      <candidateList>
        <item>（</item>
      </candidateList>
      <explain>文本全半角错误。</explain>
      <paraID>56E7E623</paraID>
      <start>24</start>
      <end>25</end>
      <status>unmodified</status>
      <modifiedWord/>
      <trackRevisions>false</trackRevisions>
    </reviewItem>
    <reviewItem>
      <errorID>bdfc1edc-eb54-4576-b15e-1cdb80afeda1</errorID>
      <errorWord>)</errorWord>
      <group>L1_Format</group>
      <groupName>格式问题</groupName>
      <ability>L2_HalfPunc_CN</ability>
      <abilityName>全半角问题</abilityName>
      <candidateList>
        <item>）</item>
      </candidateList>
      <explain>文本全半角错误。</explain>
      <paraID>56E7E623</paraID>
      <start>28</start>
      <end>29</end>
      <status>unmodified</status>
      <modifiedWord/>
      <trackRevisions>false</trackRevisions>
    </reviewItem>
    <reviewItem>
      <errorID>50815162-92fa-4520-991f-88f9690b6221</errorID>
      <errorWord>(</errorWord>
      <group>L1_Format</group>
      <groupName>格式问题</groupName>
      <ability>L2_HalfPunc_CN</ability>
      <abilityName>全半角问题</abilityName>
      <candidateList>
        <item>（</item>
      </candidateList>
      <explain>文本全半角错误。</explain>
      <paraID>56E7E623</paraID>
      <start>39</start>
      <end>40</end>
      <status>unmodified</status>
      <modifiedWord/>
      <trackRevisions>false</trackRevisions>
    </reviewItem>
    <reviewItem>
      <errorID>23e6ffd3-2be1-456a-ba97-fe0ba64db913</errorID>
      <errorWord>)</errorWord>
      <group>L1_Format</group>
      <groupName>格式问题</groupName>
      <ability>L2_HalfPunc_CN</ability>
      <abilityName>全半角问题</abilityName>
      <candidateList>
        <item>）</item>
      </candidateList>
      <explain>文本全半角错误。</explain>
      <paraID>56E7E623</paraID>
      <start>44</start>
      <end>45</end>
      <status>unmodified</status>
      <modifiedWord/>
      <trackRevisions>false</trackRevisions>
    </reviewItem>
    <reviewItem>
      <errorID>dda82f6d-3a87-4ef3-a529-7c76105479d3</errorID>
      <errorWord>(</errorWord>
      <group>L1_Format</group>
      <groupName>格式问题</groupName>
      <ability>L2_HalfPunc_CN</ability>
      <abilityName>全半角问题</abilityName>
      <candidateList>
        <item>（</item>
      </candidateList>
      <explain>文本全半角错误。</explain>
      <paraID>56E7E623</paraID>
      <start>49</start>
      <end>50</end>
      <status>unmodified</status>
      <modifiedWord/>
      <trackRevisions>false</trackRevisions>
    </reviewItem>
    <reviewItem>
      <errorID>3964145f-23be-4ad7-a75c-c9352f524562</errorID>
      <errorWord>)</errorWord>
      <group>L1_Format</group>
      <groupName>格式问题</groupName>
      <ability>L2_HalfPunc_CN</ability>
      <abilityName>全半角问题</abilityName>
      <candidateList>
        <item>）</item>
      </candidateList>
      <explain>文本全半角错误。</explain>
      <paraID>56E7E623</paraID>
      <start>53</start>
      <end>54</end>
      <status>unmodified</status>
      <modifiedWord/>
      <trackRevisions>false</trackRevisions>
    </reviewItem>
    <reviewItem>
      <errorID>1dd383a9-8ac1-448a-bd55-d0ccea64c981</errorID>
      <errorWord>;</errorWord>
      <group>L1_Format</group>
      <groupName>格式问题</groupName>
      <ability>L2_HalfPunc_CN</ability>
      <abilityName>全半角问题</abilityName>
      <candidateList>
        <item>；</item>
      </candidateList>
      <explain>文本全半角错误。</explain>
      <paraID>56E7E623</paraID>
      <start>56</start>
      <end>57</end>
      <status>unmodified</status>
      <modifiedWord/>
      <trackRevisions>false</trackRevisions>
    </reviewItem>
    <reviewItem>
      <errorID>ed0eb854-6b3d-44e5-a48b-46713a1c413c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12C7AF0E</paraID>
      <start>0</start>
      <end>3</end>
      <status>unmodified</status>
      <modifiedWord/>
      <trackRevisions>false</trackRevisions>
    </reviewItem>
    <reviewItem>
      <errorID>cfb00b6f-97af-4d61-bf4f-589b9d99e0f6</errorID>
      <errorWord>(</errorWord>
      <group>L1_Format</group>
      <groupName>格式问题</groupName>
      <ability>L2_HalfPunc_CN</ability>
      <abilityName>全半角问题</abilityName>
      <candidateList>
        <item>（</item>
      </candidateList>
      <explain>文本全半角错误。</explain>
      <paraID>12C7AF0E</paraID>
      <start>14</start>
      <end>15</end>
      <status>unmodified</status>
      <modifiedWord/>
      <trackRevisions>false</trackRevisions>
    </reviewItem>
    <reviewItem>
      <errorID>60fc5e9e-14d1-4367-aa24-d19cea38e90e</errorID>
      <errorWord>(</errorWord>
      <group>L1_Punc</group>
      <groupName>标点问题</groupName>
      <ability>L2_Punc_CN</ability>
      <abilityName>标点符号问题</abilityName>
      <candidateList/>
      <explain>同一形式括号套用。</explain>
      <paraID>12C7AF0E</paraID>
      <start>19</start>
      <end>20</end>
      <status>unmodified</status>
      <modifiedWord/>
      <trackRevisions>false</trackRevisions>
    </reviewItem>
    <reviewItem>
      <errorID>53c97dc6-c0ad-48cb-970a-5de951c07100</errorID>
      <errorWord>)</errorWord>
      <group>L1_Punc</group>
      <groupName>标点问题</groupName>
      <ability>L2_Punc_CN</ability>
      <abilityName>标点符号问题</abilityName>
      <candidateList/>
      <explain>同一形式括号套用。</explain>
      <paraID>12C7AF0E</paraID>
      <start>26</start>
      <end>27</end>
      <status>unmodified</status>
      <modifiedWord/>
      <trackRevisions>false</trackRevisions>
    </reviewItem>
    <reviewItem>
      <errorID>04d11cce-189e-440b-9ff3-417a2d541a76</errorID>
      <errorWord>)</errorWord>
      <group>L1_Format</group>
      <groupName>格式问题</groupName>
      <ability>L2_HalfPunc_CN</ability>
      <abilityName>全半角问题</abilityName>
      <candidateList>
        <item>）</item>
      </candidateList>
      <explain>文本全半角错误。</explain>
      <paraID>12C7AF0E</paraID>
      <start>27</start>
      <end>28</end>
      <status>unmodified</status>
      <modifiedWord/>
      <trackRevisions>false</trackRevisions>
    </reviewItem>
    <reviewItem>
      <errorID>20bd1182-fe47-4ace-8750-0c6f0117c919</errorID>
      <errorWord>(</errorWord>
      <group>L1_Format</group>
      <groupName>格式问题</groupName>
      <ability>L2_HalfPunc_CN</ability>
      <abilityName>全半角问题</abilityName>
      <candidateList>
        <item>（</item>
      </candidateList>
      <explain>文本全半角错误。</explain>
      <paraID>12C7AF0E</paraID>
      <start>32</start>
      <end>33</end>
      <status>unmodified</status>
      <modifiedWord/>
      <trackRevisions>false</trackRevisions>
    </reviewItem>
    <reviewItem>
      <errorID>9b73ed45-00a8-419d-a27f-966fb6f976f5</errorID>
      <errorWord>)</errorWord>
      <group>L1_Format</group>
      <groupName>格式问题</groupName>
      <ability>L2_HalfPunc_CN</ability>
      <abilityName>全半角问题</abilityName>
      <candidateList>
        <item>）</item>
      </candidateList>
      <explain>文本全半角错误。</explain>
      <paraID>12C7AF0E</paraID>
      <start>36</start>
      <end>37</end>
      <status>unmodified</status>
      <modifiedWord/>
      <trackRevisions>false</trackRevisions>
    </reviewItem>
    <reviewItem>
      <errorID>d92bf604-6808-4078-b69f-497a234f1a17</errorID>
      <errorWord>(</errorWord>
      <group>L1_Format</group>
      <groupName>格式问题</groupName>
      <ability>L2_HalfPunc_CN</ability>
      <abilityName>全半角问题</abilityName>
      <candidateList>
        <item>（</item>
      </candidateList>
      <explain>文本全半角错误。</explain>
      <paraID>12C7AF0E</paraID>
      <start>47</start>
      <end>48</end>
      <status>unmodified</status>
      <modifiedWord/>
      <trackRevisions>false</trackRevisions>
    </reviewItem>
    <reviewItem>
      <errorID>87ff5009-b8f4-4e93-a7e4-6f4e52e38ebd</errorID>
      <errorWord>)</errorWord>
      <group>L1_Format</group>
      <groupName>格式问题</groupName>
      <ability>L2_HalfPunc_CN</ability>
      <abilityName>全半角问题</abilityName>
      <candidateList>
        <item>）</item>
      </candidateList>
      <explain>文本全半角错误。</explain>
      <paraID>12C7AF0E</paraID>
      <start>52</start>
      <end>53</end>
      <status>unmodified</status>
      <modifiedWord/>
      <trackRevisions>false</trackRevisions>
    </reviewItem>
    <reviewItem>
      <errorID>7f170ede-b19e-43d9-9efa-032258f452cc</errorID>
      <errorWord>(</errorWord>
      <group>L1_Format</group>
      <groupName>格式问题</groupName>
      <ability>L2_HalfPunc_CN</ability>
      <abilityName>全半角问题</abilityName>
      <candidateList>
        <item>（</item>
      </candidateList>
      <explain>文本全半角错误。</explain>
      <paraID>12C7AF0E</paraID>
      <start>57</start>
      <end>58</end>
      <status>unmodified</status>
      <modifiedWord/>
      <trackRevisions>false</trackRevisions>
    </reviewItem>
    <reviewItem>
      <errorID>068b170f-9740-47fc-b122-74031cd6d663</errorID>
      <errorWord>)</errorWord>
      <group>L1_Format</group>
      <groupName>格式问题</groupName>
      <ability>L2_HalfPunc_CN</ability>
      <abilityName>全半角问题</abilityName>
      <candidateList>
        <item>）</item>
      </candidateList>
      <explain>文本全半角错误。</explain>
      <paraID>12C7AF0E</paraID>
      <start>61</start>
      <end>62</end>
      <status>unmodified</status>
      <modifiedWord/>
      <trackRevisions>false</trackRevisions>
    </reviewItem>
    <reviewItem>
      <errorID>b20c6dfe-27e8-43ea-938f-6720deb6acac</errorID>
      <errorWord>;</errorWord>
      <group>L1_Format</group>
      <groupName>格式问题</groupName>
      <ability>L2_HalfPunc_CN</ability>
      <abilityName>全半角问题</abilityName>
      <candidateList>
        <item>；</item>
      </candidateList>
      <explain>文本全半角错误。</explain>
      <paraID>12C7AF0E</paraID>
      <start>64</start>
      <end>65</end>
      <status>unmodified</status>
      <modifiedWord/>
      <trackRevisions>false</trackRevisions>
    </reviewItem>
    <reviewItem>
      <errorID>0df05104-ef21-4545-847b-a9e795371970</errorID>
      <errorWord>后面中</errorWord>
      <group>L1_Word</group>
      <groupName>字词问题</groupName>
      <ability>L2_Typo</ability>
      <abilityName>字词错误</abilityName>
      <candidateList>
        <item>后面</item>
      </candidateList>
      <explain/>
      <paraID>7BEEBF98</paraID>
      <start>87</start>
      <end>90</end>
      <status>unmodified</status>
      <modifiedWord/>
      <trackRevisions>false</trackRevisions>
    </reviewItem>
    <reviewItem>
      <errorID>3eaf6741-cbc5-49b1-b375-87ac98cfbbec</errorID>
      <errorWord>做出评价</errorWord>
      <group>L1_Word</group>
      <groupName>字词问题</groupName>
      <ability>L2_Typo</ability>
      <abilityName>字词错误</abilityName>
      <candidateList>
        <item>作出评价</item>
      </candidateList>
      <explain>存在发音相同字词的误用。</explain>
      <paraID>23998230</paraID>
      <start>11</start>
      <end>15</end>
      <status>unmodified</status>
      <modifiedWord/>
      <trackRevisions>false</trackRevisions>
    </reviewItem>
    <reviewItem>
      <errorID>12ead155-ce15-4f4e-b098-6f5e96f055fd</errorID>
      <errorWord>及其防治措施</errorWord>
      <group>L1_Word</group>
      <groupName>字词问题</groupName>
      <ability>L2_Typo</ability>
      <abilityName>字词错误</abilityName>
      <candidateList>
        <item>及防治措施</item>
      </candidateList>
      <explain/>
      <paraID>582E4B82</paraID>
      <start>57</start>
      <end>63</end>
      <status>unmodified</status>
      <modifiedWord/>
      <trackRevisions>false</trackRevisions>
    </reviewItem>
    <reviewItem>
      <errorID>1c2739e7-b225-47ba-8b3f-338d4245832d</errorID>
      <errorWord>其它</errorWord>
      <group>L1_Word</group>
      <groupName>字词问题</groupName>
      <ability>L2_Alias</ability>
      <abilityName>也作/曾用词</abilityName>
      <candidateList>
        <item>其他</item>
      </candidateList>
      <explain>词汇[其它]为不规范表述或旧称，其规范书面表述为[其他]。</explain>
      <paraID>1BCFA945</paraID>
      <start>10</start>
      <end>12</end>
      <status>unmodified</status>
      <modifiedWord/>
      <trackRevisions>false</trackRevisions>
    </reviewItem>
    <reviewItem>
      <errorID>99d5bb08-7030-41c8-8dc2-2e5b19f040ef</errorID>
      <errorWord>楚</errorWord>
      <group>L1_Word</group>
      <groupName>字词问题</groupName>
      <ability>L2_Typo</ability>
      <abilityName>字词错误</abilityName>
      <candidateList>
        <item>楚地</item>
      </candidateList>
      <explain/>
      <paraID>720B27D2</paraID>
      <start>15</start>
      <end>16</end>
      <status>unmodified</status>
      <modifiedWord/>
      <trackRevisions>false</trackRevisions>
    </reviewItem>
    <reviewItem>
      <errorID>6e9b928f-9fce-4251-90b8-748d60cf7a50</errorID>
      <errorWord>楚</errorWord>
      <group>L1_Word</group>
      <groupName>字词问题</groupName>
      <ability>L2_Typo</ability>
      <abilityName>字词错误</abilityName>
      <candidateList>
        <item>楚地</item>
      </candidateList>
      <explain/>
      <paraID>57C7D193</paraID>
      <start>133</start>
      <end>134</end>
      <status>unmodified</status>
      <modifiedWord/>
      <trackRevisions>false</trackRevisions>
    </reviewItem>
    <reviewItem>
      <errorID>eeebf959-3c59-4f9d-a407-557967a8e5aa</errorID>
      <errorWord>项目的</errorWord>
      <group>L1_Word</group>
      <groupName>字词问题</groupName>
      <ability>L2_Typo</ability>
      <abilityName>字词错误</abilityName>
      <candidateList>
        <item>项目</item>
      </candidateList>
      <explain/>
      <paraID>5E9A2FB9</paraID>
      <start>4</start>
      <end>7</end>
      <status>unmodified</status>
      <modifiedWord/>
      <trackRevisions>false</trackRevisions>
    </reviewItem>
    <reviewItem>
      <errorID>f9135f18-4948-4638-9c31-26e1d9361d96</errorID>
      <errorWord>前</errorWord>
      <group>L1_Word</group>
      <groupName>字词问题</groupName>
      <ability>L2_Typo</ability>
      <abilityName>字词错误</abilityName>
      <candidateList>
        <item>前提</item>
      </candidateList>
      <explain/>
      <paraID>3E7E0F76</paraID>
      <start>46</start>
      <end>47</end>
      <status>unmodified</status>
      <modifiedWord/>
      <trackRevisions>false</trackRevisions>
    </reviewItem>
    <reviewItem>
      <errorID>3d36e2cb-6d94-4666-a371-03c96e7d11b2</errorID>
      <errorWord>一</errorWord>
      <group>L1_Word</group>
      <groupName>字词问题</groupName>
      <ability>L2_Typo</ability>
      <abilityName>字词错误</abilityName>
      <candidateList>
        <item>一道</item>
      </candidateList>
      <explain/>
      <paraID>52B5D221</paraID>
      <start>38</start>
      <end>39</end>
      <status>unmodified</status>
      <modifiedWord/>
      <trackRevisions>false</trackRevisions>
    </reviewItem>
    <reviewItem>
      <errorID>bbdc3da5-2e70-4c0c-b515-e404fc01dc85</errorID>
      <errorWord>作</errorWord>
      <group>L1_Word</group>
      <groupName>字词问题</groupName>
      <ability>L2_Typo</ability>
      <abilityName>字词错误</abilityName>
      <candidateList>
        <item>做</item>
      </candidateList>
      <explain>存在发音相同字词的误用。</explain>
      <paraID>62D0E49E</paraID>
      <start>24</start>
      <end>25</end>
      <status>unmodified</status>
      <modifiedWord/>
      <trackRevisions>false</trackRevisions>
    </reviewItem>
    <reviewItem>
      <errorID>84359496-e8f9-41fc-910c-2e787327ced8</errorID>
      <errorWord>前</errorWord>
      <group>L1_Word</group>
      <groupName>字词问题</groupName>
      <ability>L2_Typo</ability>
      <abilityName>字词错误</abilityName>
      <candidateList>
        <item>前提</item>
      </candidateList>
      <explain/>
      <paraID>187F9012</paraID>
      <start>46</start>
      <end>47</end>
      <status>unmodified</status>
      <modifiedWord/>
      <trackRevisions>false</trackRevisions>
    </reviewItem>
    <reviewItem>
      <errorID>8f62c468-4158-42e8-8853-71617f9d14b2</errorID>
      <errorWord>，</errorWord>
      <group>L1_Word</group>
      <groupName>字词问题</groupName>
      <ability>L2_Typo</ability>
      <abilityName>字词错误</abilityName>
      <candidateList>
        <item>，提</item>
      </candidateList>
      <explain/>
      <paraID>187F9012</paraID>
      <start>103</start>
      <end>104</end>
      <status>unmodified</status>
      <modifiedWord/>
      <trackRevisions>false</trackRevisions>
    </reviewItem>
    <reviewItem>
      <errorID>adc3e02f-dbfb-4ab2-8f15-9cb4f02fbea7</errorID>
      <errorWord>一</errorWord>
      <group>L1_Word</group>
      <groupName>字词问题</groupName>
      <ability>L2_Typo</ability>
      <abilityName>字词错误</abilityName>
      <candidateList>
        <item>一道</item>
      </candidateList>
      <explain/>
      <paraID>67A28990</paraID>
      <start>38</start>
      <end>39</end>
      <status>unmodified</status>
      <modifiedWord/>
      <trackRevisions>false</trackRevisions>
    </reviewItem>
    <reviewItem>
      <errorID>b382257f-66f1-49ca-ac9b-eb61df26338c</errorID>
      <errorWord>返纳</errorWord>
      <group>L1_Word</group>
      <groupName>字词问题</groupName>
      <ability>L2_Typo</ability>
      <abilityName>字词错误</abilityName>
      <candidateList>
        <item>返还</item>
      </candidateList>
      <explain/>
      <paraID>482507B4</paraID>
      <start>51</start>
      <end>53</end>
      <status>unmodified</status>
      <modifiedWord/>
      <trackRevisions>false</trackRevisions>
    </reviewItem>
    <reviewItem>
      <errorID>46b5a9b2-2228-49d6-8c61-05724ae83040</errorID>
      <errorWord>噪音</errorWord>
      <group>L1_Word</group>
      <groupName>字词问题</groupName>
      <ability>L2_Alias</ability>
      <abilityName>也作/曾用词</abilityName>
      <candidateList>
        <item>噪声</item>
      </candidateList>
      <explain>词汇[噪音]为不规范表述或旧称，其规范书面表述为[噪声]。</explain>
      <paraID>79E7A847</paraID>
      <start>41</start>
      <end>43</end>
      <status>unmodified</status>
      <modifiedWord/>
      <trackRevisions>false</trackRevisions>
    </reviewItem>
    <reviewItem>
      <errorID>32a2062b-bfd4-403b-8a89-01269735d4d8</errorID>
      <errorWord>承担由于自身</errorWord>
      <group>L1_Word</group>
      <groupName>字词问题</groupName>
      <ability>L2_Typo</ability>
      <abilityName>字词错误</abilityName>
      <candidateList>
        <item>承担由自身</item>
      </candidateList>
      <explain/>
      <paraID>7B32C9A0</paraID>
      <start>53</start>
      <end>59</end>
      <status>unmodified</status>
      <modifiedWord/>
      <trackRevisions>false</trackRevisions>
    </reviewItem>
    <reviewItem>
      <errorID>610e7fb0-9d0b-4b70-865c-669244a95129</errorID>
      <errorWord>其它</errorWord>
      <group>L1_Word</group>
      <groupName>字词问题</groupName>
      <ability>L2_Alias</ability>
      <abilityName>也作/曾用词</abilityName>
      <candidateList>
        <item>其他</item>
      </candidateList>
      <explain>词汇[其它]为不规范表述或旧称，其规范书面表述为[其他]。</explain>
      <paraID>4D02345E</paraID>
      <start>3</start>
      <end>5</end>
      <status>unmodified</status>
      <modifiedWord/>
      <trackRevisions>false</trackRevisions>
    </reviewItem>
    <reviewItem>
      <errorID>db935a82-28ab-44c3-8eae-ec3c444c3227</errorID>
      <errorWord>件</errorWord>
      <group>L1_Word</group>
      <groupName>字词问题</groupName>
      <ability>L2_Typo</ability>
      <abilityName>字词错误</abilityName>
      <candidateList>
        <item>件中</item>
      </candidateList>
      <explain/>
      <paraID>4D02345E</paraID>
      <start>65</start>
      <end>66</end>
      <status>unmodified</status>
      <modifiedWord/>
      <trackRevisions>false</trackRevisions>
    </reviewItem>
    <reviewItem>
      <errorID>3849b435-8105-4f6a-882d-8c313ceacc96</errorID>
      <errorWord>中的</errorWord>
      <group>L1_Word</group>
      <groupName>字词问题</groupName>
      <ability>L2_Typo</ability>
      <abilityName>字词错误</abilityName>
      <candidateList>
        <item>中</item>
      </candidateList>
      <explain/>
      <paraID>4D02345E</paraID>
      <start>86</start>
      <end>88</end>
      <status>unmodified</status>
      <modifiedWord/>
      <trackRevisions>false</trackRevisions>
    </reviewItem>
    <reviewItem>
      <errorID>d9c39fe5-de45-48db-8334-f48ecb34b3dc</errorID>
      <errorWord>(</errorWord>
      <group>L1_Format</group>
      <groupName>格式问题</groupName>
      <ability>L2_HalfPunc_CN</ability>
      <abilityName>全半角问题</abilityName>
      <candidateList>
        <item>（</item>
      </candidateList>
      <explain>文本全半角错误。</explain>
      <paraID>3D4685FA</paraID>
      <start>41</start>
      <end>42</end>
      <status>unmodified</status>
      <modifiedWord/>
      <trackRevisions>false</trackRevisions>
    </reviewItem>
    <reviewItem>
      <errorID>01da2e17-04c6-46ff-90d7-0d1ca00222f3</errorID>
      <errorWord>)</errorWord>
      <group>L1_Format</group>
      <groupName>格式问题</groupName>
      <ability>L2_HalfPunc_CN</ability>
      <abilityName>全半角问题</abilityName>
      <candidateList>
        <item>）</item>
      </candidateList>
      <explain>文本全半角错误。</explain>
      <paraID>3D4685FA</paraID>
      <start>63</start>
      <end>64</end>
      <status>unmodified</status>
      <modifiedWord/>
      <trackRevisions>false</trackRevisions>
    </reviewItem>
    <reviewItem>
      <errorID>a2bde856-f0ee-4e9f-b7e3-a4f32cd5b1b4</errorID>
      <errorWord>-</errorWord>
      <group>L1_Format</group>
      <groupName>格式问题</groupName>
      <ability>L2_HalfPunc_CN</ability>
      <abilityName>全半角问题</abilityName>
      <candidateList>
        <item>－</item>
      </candidateList>
      <explain>文本全半角错误。</explain>
      <paraID>3D4685FA</paraID>
      <start>478</start>
      <end>479</end>
      <status>unmodified</status>
      <modifiedWord/>
      <trackRevisions>false</trackRevisions>
    </reviewItem>
    <reviewItem>
      <errorID>5dbbce7b-1aab-424e-84a7-518badc1ee9a</errorID>
      <errorWord>国家工业和信息化部</errorWord>
      <group>L1_Political</group>
      <groupName>政治性问题</groupName>
      <ability>L2_Unpolitical</ability>
      <abilityName>政治敏感错误</abilityName>
      <candidateList>
        <item>工业和信息化部</item>
      </candidateList>
      <explain/>
      <paraID>6AF10B15</paraID>
      <start>9</start>
      <end>18</end>
      <status>unmodified</status>
      <modifiedWord/>
      <trackRevisions>false</trackRevisions>
    </reviewItem>
    <reviewItem>
      <errorID>ba77b95d-b5dd-4717-95c2-0442b21f2950</errorID>
      <errorWord>视</errorWord>
      <group>L1_Word</group>
      <groupName>字词问题</groupName>
      <ability>L2_Typo</ability>
      <abilityName>字词错误</abilityName>
      <candidateList>
        <item>视为</item>
      </candidateList>
      <explain/>
      <paraID>40300F21</paraID>
      <start>99</start>
      <end>100</end>
      <status>unmodified</status>
      <modifiedWord/>
      <trackRevisions>false</trackRevisions>
    </reviewItem>
    <reviewItem>
      <errorID>0b324144-fda2-4df2-84a9-b29632687dc0</errorID>
      <errorWord>[2002]10号</errorWord>
      <group>L1_Knowledge</group>
      <groupName>知识性问题</groupName>
      <ability>L2_Knowledge</ability>
      <abilityName>其他知识</abilityName>
      <candidateList>
        <item>〔2002〕10号</item>
      </candidateList>
      <explain>发文字号格式错误。</explain>
      <paraID>3DDDB697</paraID>
      <start>21</start>
      <end>30</end>
      <status>unmodified</status>
      <modifiedWord/>
      <trackRevisions>false</trackRevisions>
    </reviewItem>
    <reviewItem>
      <errorID>8cc5f572-bb05-496e-92e8-c1188cc25d4f</errorID>
      <errorWord>[2002]3号</errorWord>
      <group>L1_Knowledge</group>
      <groupName>知识性问题</groupName>
      <ability>L2_Knowledge</ability>
      <abilityName>其他知识</abilityName>
      <candidateList>
        <item>〔2002〕3号</item>
      </candidateList>
      <explain>发文字号格式错误。</explain>
      <paraID>3DDDB697</paraID>
      <start>79</start>
      <end>87</end>
      <status>unmodified</status>
      <modifiedWord/>
      <trackRevisions>false</trackRevisions>
    </reviewItem>
    <reviewItem>
      <errorID>be8c4357-2aef-405a-b8ba-21053f7c9f08</errorID>
      <errorWord>其它施工</errorWord>
      <group>L1_Word</group>
      <groupName>字词问题</groupName>
      <ability>L2_Alias</ability>
      <abilityName>也作/曾用词</abilityName>
      <candidateList>
        <item>其他施工</item>
      </candidateList>
      <explain>词汇[其它施工]为不规范表述或旧称，其规范书面表述为[其他施工]。</explain>
      <paraID>1D2A4D4D</paraID>
      <start>11</start>
      <end>15</end>
      <status>unmodified</status>
      <modifiedWord/>
      <trackRevisions>false</trackRevisions>
    </reviewItem>
    <reviewItem>
      <errorID>67d17175-77e0-4795-ae8d-956d540a04b3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5F1356C9</paraID>
      <start>0</start>
      <end>3</end>
      <status>unmodified</status>
      <modifiedWord/>
      <trackRevisions>false</trackRevisions>
    </reviewItem>
    <reviewItem>
      <errorID>52436383-f751-4e1a-a898-6d9383723223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6B5404F4</paraID>
      <start>0</start>
      <end>3</end>
      <status>unmodified</status>
      <modifiedWord/>
      <trackRevisions>false</trackRevisions>
    </reviewItem>
    <reviewItem>
      <errorID>542047da-04e3-431e-8783-eedeb701da4a</errorID>
      <errorWord>须</errorWord>
      <group>L1_Word</group>
      <groupName>字词问题</groupName>
      <ability>L2_Typo</ability>
      <abilityName>字词错误</abilityName>
      <candidateList>
        <item>需</item>
      </candidateList>
      <explain>存在发音相同字词的误用。</explain>
      <paraID>1C313306</paraID>
      <start>290</start>
      <end>291</end>
      <status>unmodified</status>
      <modifiedWord/>
      <trackRevisions>false</trackRevisions>
    </reviewItem>
    <reviewItem>
      <errorID>5b1f6a06-7733-43d0-919c-77d2d5fa2f13</errorID>
      <errorWord>其它成员</errorWord>
      <group>L1_Word</group>
      <groupName>字词问题</groupName>
      <ability>L2_Alias</ability>
      <abilityName>也作/曾用词</abilityName>
      <candidateList>
        <item>其他成员</item>
      </candidateList>
      <explain>词汇[其它成员]为不规范表述或旧称，其规范书面表述为[其他成员]。</explain>
      <paraID>1C313306</paraID>
      <start>306</start>
      <end>310</end>
      <status>unmodified</status>
      <modifiedWord/>
      <trackRevisions>false</trackRevisions>
    </reviewItem>
    <reviewItem>
      <errorID>7261880d-3f9d-49ee-bc92-bc8f53c1848a</errorID>
      <errorWord>证</errorWord>
      <group>L1_Word</group>
      <groupName>字词问题</groupName>
      <ability>L2_Typo</ability>
      <abilityName>字词错误</abilityName>
      <candidateList>
        <item>证金</item>
      </candidateList>
      <explain/>
      <paraID>11BECBF3</paraID>
      <start>6</start>
      <end>7</end>
      <status>unmodified</status>
      <modifiedWord/>
      <trackRevisions>false</trackRevisions>
    </reviewItem>
    <reviewItem>
      <errorID>d83f4330-ebbf-431c-8277-cdd77f09beae</errorID>
      <errorWord>（</errorWord>
      <group>L1_Punc</group>
      <groupName>标点问题</groupName>
      <ability>L2_Punc_CN</ability>
      <abilityName>标点符号问题</abilityName>
      <candidateList/>
      <explain>同一形式括号套用。</explain>
      <paraID> FE86B70</paraID>
      <start>116</start>
      <end>117</end>
      <status>unmodified</status>
      <modifiedWord/>
      <trackRevisions>false</trackRevisions>
    </reviewItem>
    <reviewItem>
      <errorID>2998afe2-ffc8-4e3a-943e-901262d8f91b</errorID>
      <errorWord>）</errorWord>
      <group>L1_Punc</group>
      <groupName>标点问题</groupName>
      <ability>L2_Punc_CN</ability>
      <abilityName>标点符号问题</abilityName>
      <candidateList/>
      <explain>同一形式括号套用。</explain>
      <paraID> FE86B70</paraID>
      <start>119</start>
      <end>120</end>
      <status>unmodified</status>
      <modifiedWord/>
      <trackRevisions>false</trackRevisions>
    </reviewItem>
    <reviewItem>
      <errorID>03128594-14e5-44ae-afa7-1afa55fc0dfb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61BE12F5</paraID>
      <start>0</start>
      <end>2</end>
      <status>unmodified</status>
      <modifiedWord/>
      <trackRevisions>false</trackRevisions>
    </reviewItem>
    <reviewItem>
      <errorID>a2dc8827-47c8-46aa-bebd-06a65acb3d5e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4DFD96F3</paraID>
      <start>0</start>
      <end>2</end>
      <status>unmodified</status>
      <modifiedWord/>
      <trackRevisions>false</trackRevisions>
    </reviewItem>
    <reviewItem>
      <errorID>250523cb-6425-474d-b908-634fc5f86ef5</errorID>
      <errorWord>-</errorWord>
      <group>L1_Format</group>
      <groupName>格式问题</groupName>
      <ability>L2_HalfPunc_CN</ability>
      <abilityName>全半角问题</abilityName>
      <candidateList>
        <item>－</item>
      </candidateList>
      <explain>文本全半角错误。</explain>
      <paraID>57F688F3</paraID>
      <start>95</start>
      <end>96</end>
      <status>unmodified</status>
      <modifiedWord/>
      <trackRevisions>false</trackRevisions>
    </reviewItem>
    <reviewItem>
      <errorID>5e1520fb-4e61-4a1d-8a82-779dfa809215</errorID>
      <errorWord>截至</errorWord>
      <group>L1_Word</group>
      <groupName>字词问题</groupName>
      <ability>L2_Typo</ability>
      <abilityName>字词错误</abilityName>
      <candidateList>
        <item>截止</item>
      </candidateList>
      <explain/>
      <paraID>77A4A8F3</paraID>
      <start>147</start>
      <end>149</end>
      <status>unmodified</status>
      <modifiedWord/>
      <trackRevisions>false</trackRevisions>
    </reviewItem>
    <reviewItem>
      <errorID>c4ea15fe-1b00-4406-b724-2e0b445d8ac1</errorID>
      <errorWord>(</errorWord>
      <group>L1_Format</group>
      <groupName>格式问题</groupName>
      <ability>L2_HalfPunc_CN</ability>
      <abilityName>全半角问题</abilityName>
      <candidateList>
        <item>（</item>
      </candidateList>
      <explain>文本全半角错误。</explain>
      <paraID>5CD5D936</paraID>
      <start>15</start>
      <end>16</end>
      <status>unmodified</status>
      <modifiedWord/>
      <trackRevisions>false</trackRevisions>
    </reviewItem>
    <reviewItem>
      <errorID>8c486efe-ad1b-4ae0-b5bf-1a05e4b6a6ff</errorID>
      <errorWord>)</errorWord>
      <group>L1_Format</group>
      <groupName>格式问题</groupName>
      <ability>L2_HalfPunc_CN</ability>
      <abilityName>全半角问题</abilityName>
      <candidateList>
        <item>）</item>
      </candidateList>
      <explain>文本全半角错误。</explain>
      <paraID>5CD5D936</paraID>
      <start>40</start>
      <end>41</end>
      <status>unmodified</status>
      <modifiedWord/>
      <trackRevisions>false</trackRevisions>
    </reviewItem>
    <reviewItem>
      <errorID>f3747ccb-d874-4160-b521-ce24bb7dc903</errorID>
      <errorWord>应并</errorWord>
      <group>L1_Word</group>
      <groupName>字词问题</groupName>
      <ability>L2_Typo</ability>
      <abilityName>字词错误</abilityName>
      <candidateList>
        <item>应</item>
      </candidateList>
      <explain/>
      <paraID>3B5C6ACD</paraID>
      <start>39</start>
      <end>41</end>
      <status>unmodified</status>
      <modifiedWord/>
      <trackRevisions>false</trackRevisions>
    </reviewItem>
    <reviewItem>
      <errorID>755029f0-0aef-4726-9dfa-194273248fdb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67B53C5C</paraID>
      <start>0</start>
      <end>3</end>
      <status>unmodified</status>
      <modifiedWord/>
      <trackRevisions>false</trackRevisions>
    </reviewItem>
    <reviewItem>
      <errorID>f97e0425-820b-4a0e-85c5-b401324cfb12</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74CE96D9</paraID>
      <start>0</start>
      <end>3</end>
      <status>unmodified</status>
      <modifiedWord/>
      <trackRevisions>false</trackRevisions>
    </reviewItem>
    <reviewItem>
      <errorID>3100aac6-0774-4d64-8581-241e0e054f74</errorID>
      <errorWord>证</errorWord>
      <group>L1_Word</group>
      <groupName>字词问题</groupName>
      <ability>L2_Typo</ability>
      <abilityName>字词错误</abilityName>
      <candidateList>
        <item>证金</item>
      </candidateList>
      <explain/>
      <paraID>2802C55F</paraID>
      <start>36</start>
      <end>37</end>
      <status>unmodified</status>
      <modifiedWord/>
      <trackRevisions>false</trackRevisions>
    </reviewItem>
    <reviewItem>
      <errorID>b4659309-56cb-4d37-b762-cde0f21f1ff0</errorID>
      <errorWord>证</errorWord>
      <group>L1_Word</group>
      <groupName>字词问题</groupName>
      <ability>L2_Typo</ability>
      <abilityName>字词错误</abilityName>
      <candidateList>
        <item>证金</item>
      </candidateList>
      <explain/>
      <paraID>207269D7</paraID>
      <start>90</start>
      <end>91</end>
      <status>unmodified</status>
      <modifiedWord/>
      <trackRevisions>false</trackRevisions>
    </reviewItem>
    <reviewItem>
      <errorID>28d440c1-f3a7-407c-9128-45a11f415c30</errorID>
      <errorWord>截至</errorWord>
      <group>L1_Word</group>
      <groupName>字词问题</groupName>
      <ability>L2_Typo</ability>
      <abilityName>字词错误</abilityName>
      <candidateList>
        <item>截止</item>
      </candidateList>
      <explain/>
      <paraID>61F07286</paraID>
      <start>90</start>
      <end>92</end>
      <status>unmodified</status>
      <modifiedWord/>
      <trackRevisions>false</trackRevisions>
    </reviewItem>
    <reviewItem>
      <errorID>8aef8ee9-8938-48f0-9a52-f7bb4bade9f4</errorID>
      <errorWord>证</errorWord>
      <group>L1_Word</group>
      <groupName>字词问题</groupName>
      <ability>L2_Typo</ability>
      <abilityName>字词错误</abilityName>
      <candidateList>
        <item>证金</item>
      </candidateList>
      <explain/>
      <paraID>2ECE91B0</paraID>
      <start>51</start>
      <end>52</end>
      <status>unmodified</status>
      <modifiedWord/>
      <trackRevisions>false</trackRevisions>
    </reviewItem>
    <reviewItem>
      <errorID>03dc1d35-d72a-49e1-ab15-48f402552542</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1B0DB037</paraID>
      <start>0</start>
      <end>3</end>
      <status>unmodified</status>
      <modifiedWord/>
      <trackRevisions>false</trackRevisions>
    </reviewItem>
    <reviewItem>
      <errorID>354b3c58-976d-46bb-a99d-3a9aca459c28</errorID>
      <errorWord>-</errorWord>
      <group>L1_Format</group>
      <groupName>格式问题</groupName>
      <ability>L2_HalfPunc_CN</ability>
      <abilityName>全半角问题</abilityName>
      <candidateList>
        <item>－</item>
      </candidateList>
      <explain>文本全半角错误。</explain>
      <paraID> F5EF10D</paraID>
      <start>35</start>
      <end>36</end>
      <status>unmodified</status>
      <modifiedWord/>
      <trackRevisions>false</trackRevisions>
    </reviewItem>
    <reviewItem>
      <errorID>c86a8436-6a84-4a68-8c5f-518885b89e00</errorID>
      <errorWord>法律、法规</errorWord>
      <group>L1_Word</group>
      <groupName>字词问题</groupName>
      <ability>L2_Typo</ability>
      <abilityName>字词错误</abilityName>
      <candidateList>
        <item>法律法规</item>
      </candidateList>
      <explain/>
      <paraID>46B94855</paraID>
      <start>4</start>
      <end>9</end>
      <status>unmodified</status>
      <modifiedWord/>
      <trackRevisions>false</trackRevisions>
    </reviewItem>
    <reviewItem>
      <errorID>701136eb-ae66-4a58-9f3e-544bb66252db</errorID>
      <errorWord>位</errorWord>
      <group>L1_Word</group>
      <groupName>字词问题</groupName>
      <ability>L2_Typo</ability>
      <abilityName>字词错误</abilityName>
      <candidateList>
        <item>位公</item>
      </candidateList>
      <explain/>
      <paraID>20090572</paraID>
      <start>41</start>
      <end>42</end>
      <status>unmodified</status>
      <modifiedWord/>
      <trackRevisions>false</trackRevisions>
    </reviewItem>
    <reviewItem>
      <errorID>818be568-9708-4f6b-898c-549383e1a1fa</errorID>
      <errorWord>)</errorWord>
      <group>L1_Format</group>
      <groupName>格式问题</groupName>
      <ability>L2_HalfPunc_CN</ability>
      <abilityName>全半角问题</abilityName>
      <candidateList>
        <item>）</item>
      </candidateList>
      <explain>文本全半角错误。</explain>
      <paraID>4366F210</paraID>
      <start>47</start>
      <end>48</end>
      <status>unmodified</status>
      <modifiedWord/>
      <trackRevisions>false</trackRevisions>
    </reviewItem>
    <reviewItem>
      <errorID>7c018945-dfd5-436a-8992-da8d210194da</errorID>
      <errorWord>(</errorWord>
      <group>L1_Format</group>
      <groupName>格式问题</groupName>
      <ability>L2_HalfPunc_CN</ability>
      <abilityName>全半角问题</abilityName>
      <candidateList>
        <item>（</item>
      </candidateList>
      <explain>文本全半角错误。</explain>
      <paraID>  512D3C</paraID>
      <start>41</start>
      <end>42</end>
      <status>unmodified</status>
      <modifiedWord/>
      <trackRevisions>false</trackRevisions>
    </reviewItem>
    <reviewItem>
      <errorID>7349df42-d7e2-49cc-be07-a7c9542f2af6</errorID>
      <errorWord>)</errorWord>
      <group>L1_Format</group>
      <groupName>格式问题</groupName>
      <ability>L2_HalfPunc_CN</ability>
      <abilityName>全半角问题</abilityName>
      <candidateList>
        <item>）</item>
      </candidateList>
      <explain>文本全半角错误。</explain>
      <paraID>  512D3C</paraID>
      <start>53</start>
      <end>54</end>
      <status>unmodified</status>
      <modifiedWord/>
      <trackRevisions>false</trackRevisions>
    </reviewItem>
    <reviewItem>
      <errorID>493be5b8-49a3-44ba-9a4e-a29512321041</errorID>
      <errorWord>。。</errorWord>
      <group>L1_Punc</group>
      <groupName>标点问题</groupName>
      <ability>L2_Punc_CN</ability>
      <abilityName>标点符号问题</abilityName>
      <candidateList>
        <item>。</item>
      </candidateList>
      <explain/>
      <paraID>4F86E862</paraID>
      <start>68</start>
      <end>70</end>
      <status>unmodified</status>
      <modifiedWord/>
      <trackRevisions>false</trackRevisions>
    </reviewItem>
    <reviewItem>
      <errorID>39512ec0-4cf9-4e91-97dd-be1fb206006f</errorID>
      <errorWord>(</errorWord>
      <group>L1_Format</group>
      <groupName>格式问题</groupName>
      <ability>L2_HalfPunc_CN</ability>
      <abilityName>全半角问题</abilityName>
      <candidateList>
        <item>（</item>
      </candidateList>
      <explain>文本全半角错误。</explain>
      <paraID>4EE73E18</paraID>
      <start>9</start>
      <end>10</end>
      <status>unmodified</status>
      <modifiedWord/>
      <trackRevisions>false</trackRevisions>
    </reviewItem>
    <reviewItem>
      <errorID>b04f1f95-31c4-49f0-b497-4f9162276dcb</errorID>
      <errorWord>)</errorWord>
      <group>L1_Format</group>
      <groupName>格式问题</groupName>
      <ability>L2_HalfPunc_CN</ability>
      <abilityName>全半角问题</abilityName>
      <candidateList>
        <item>）</item>
      </candidateList>
      <explain>文本全半角错误。</explain>
      <paraID>4EE73E18</paraID>
      <start>12</start>
      <end>13</end>
      <status>unmodified</status>
      <modifiedWord/>
      <trackRevisions>false</trackRevisions>
    </reviewItem>
    <reviewItem>
      <errorID>f9e73c04-4179-420a-bcaa-a80900e3300c</errorID>
      <errorWord>(</errorWord>
      <group>L1_Format</group>
      <groupName>格式问题</groupName>
      <ability>L2_HalfPunc_CN</ability>
      <abilityName>全半角问题</abilityName>
      <candidateList>
        <item>（</item>
      </candidateList>
      <explain>文本全半角错误。</explain>
      <paraID>40B36490</paraID>
      <start>9</start>
      <end>10</end>
      <status>unmodified</status>
      <modifiedWord/>
      <trackRevisions>false</trackRevisions>
    </reviewItem>
    <reviewItem>
      <errorID>ffb78b8d-0e21-4b45-a7c2-7a0f8f1cd33b</errorID>
      <errorWord>)</errorWord>
      <group>L1_Format</group>
      <groupName>格式问题</groupName>
      <ability>L2_HalfPunc_CN</ability>
      <abilityName>全半角问题</abilityName>
      <candidateList>
        <item>）</item>
      </candidateList>
      <explain>文本全半角错误。</explain>
      <paraID>40B36490</paraID>
      <start>13</start>
      <end>14</end>
      <status>unmodified</status>
      <modifiedWord/>
      <trackRevisions>false</trackRevisions>
    </reviewItem>
    <reviewItem>
      <errorID>0ec490e4-f4c6-4863-a320-299f5293aa2f</errorID>
      <errorWord>(</errorWord>
      <group>L1_Format</group>
      <groupName>格式问题</groupName>
      <ability>L2_HalfPunc_CN</ability>
      <abilityName>全半角问题</abilityName>
      <candidateList>
        <item>（</item>
      </candidateList>
      <explain>文本全半角错误。</explain>
      <paraID>70DE7D55</paraID>
      <start>9</start>
      <end>10</end>
      <status>unmodified</status>
      <modifiedWord/>
      <trackRevisions>false</trackRevisions>
    </reviewItem>
    <reviewItem>
      <errorID>9f48bdb0-1484-4ac8-a1a3-4a8447d539ad</errorID>
      <errorWord>)</errorWord>
      <group>L1_Format</group>
      <groupName>格式问题</groupName>
      <ability>L2_HalfPunc_CN</ability>
      <abilityName>全半角问题</abilityName>
      <candidateList>
        <item>）</item>
      </candidateList>
      <explain>文本全半角错误。</explain>
      <paraID>70DE7D55</paraID>
      <start>12</start>
      <end>13</end>
      <status>unmodified</status>
      <modifiedWord/>
      <trackRevisions>false</trackRevisions>
    </reviewItem>
    <reviewItem>
      <errorID>2847a367-363a-4234-82a3-c2c33b0b5759</errorID>
      <errorWord>(</errorWord>
      <group>L1_Format</group>
      <groupName>格式问题</groupName>
      <ability>L2_HalfPunc_CN</ability>
      <abilityName>全半角问题</abilityName>
      <candidateList>
        <item>（</item>
      </candidateList>
      <explain>文本全半角错误。</explain>
      <paraID>3151FC55</paraID>
      <start>9</start>
      <end>10</end>
      <status>unmodified</status>
      <modifiedWord/>
      <trackRevisions>false</trackRevisions>
    </reviewItem>
    <reviewItem>
      <errorID>62be5bd8-8ebf-490b-8d20-07c1694d36a1</errorID>
      <errorWord>)</errorWord>
      <group>L1_Format</group>
      <groupName>格式问题</groupName>
      <ability>L2_HalfPunc_CN</ability>
      <abilityName>全半角问题</abilityName>
      <candidateList>
        <item>）</item>
      </candidateList>
      <explain>文本全半角错误。</explain>
      <paraID>3151FC55</paraID>
      <start>14</start>
      <end>15</end>
      <status>unmodified</status>
      <modifiedWord/>
      <trackRevisions>false</trackRevisions>
    </reviewItem>
    <reviewItem>
      <errorID>9d9b49f0-65a5-483c-ace6-ac1308123166</errorID>
      <errorWord>(</errorWord>
      <group>L1_Format</group>
      <groupName>格式问题</groupName>
      <ability>L2_HalfPunc_CN</ability>
      <abilityName>全半角问题</abilityName>
      <candidateList>
        <item>（</item>
      </candidateList>
      <explain>文本全半角错误。</explain>
      <paraID>232195F9</paraID>
      <start>9</start>
      <end>10</end>
      <status>unmodified</status>
      <modifiedWord/>
      <trackRevisions>false</trackRevisions>
    </reviewItem>
    <reviewItem>
      <errorID>a7de8d87-842d-4791-8485-aa4d75a40e5f</errorID>
      <errorWord>)</errorWord>
      <group>L1_Format</group>
      <groupName>格式问题</groupName>
      <ability>L2_HalfPunc_CN</ability>
      <abilityName>全半角问题</abilityName>
      <candidateList>
        <item>）</item>
      </candidateList>
      <explain>文本全半角错误。</explain>
      <paraID>232195F9</paraID>
      <start>14</start>
      <end>15</end>
      <status>unmodified</status>
      <modifiedWord/>
      <trackRevisions>false</trackRevisions>
    </reviewItem>
    <reviewItem>
      <errorID>00d8f2d9-f92b-4a57-8c22-55da5aee2423</errorID>
      <errorWord>具有给</errorWord>
      <group>L1_Word</group>
      <groupName>字词问题</groupName>
      <ability>L2_Typo</ability>
      <abilityName>字词错误</abilityName>
      <candidateList>
        <item>具有</item>
      </candidateList>
      <explain/>
      <paraID>2DBDB0F4</paraID>
      <start>0</start>
      <end>3</end>
      <status>unmodified</status>
      <modifiedWord/>
      <trackRevisions>false</trackRevisions>
    </reviewItem>
    <reviewItem>
      <errorID>ba6f1a78-6c34-4e2c-8cac-3b1de5f9565a</errorID>
      <errorWord>(</errorWord>
      <group>L1_Format</group>
      <groupName>格式问题</groupName>
      <ability>L2_HalfPunc_CN</ability>
      <abilityName>全半角问题</abilityName>
      <candidateList>
        <item>（</item>
      </candidateList>
      <explain>文本全半角错误。</explain>
      <paraID>59674918</paraID>
      <start>9</start>
      <end>10</end>
      <status>unmodified</status>
      <modifiedWord/>
      <trackRevisions>false</trackRevisions>
    </reviewItem>
    <reviewItem>
      <errorID>2825469f-e5ef-4a86-a69c-1492e4bfec68</errorID>
      <errorWord>)</errorWord>
      <group>L1_Format</group>
      <groupName>格式问题</groupName>
      <ability>L2_HalfPunc_CN</ability>
      <abilityName>全半角问题</abilityName>
      <candidateList>
        <item>）</item>
      </candidateList>
      <explain>文本全半角错误。</explain>
      <paraID>59674918</paraID>
      <start>12</start>
      <end>13</end>
      <status>unmodified</status>
      <modifiedWord/>
      <trackRevisions>false</trackRevisions>
    </reviewItem>
    <reviewItem>
      <errorID>88b8ee7f-5d8e-4bc9-b220-68cc628ec5c2</errorID>
      <errorWord>切实较</errorWord>
      <group>L1_Word</group>
      <groupName>字词问题</groupName>
      <ability>L2_Typo</ability>
      <abilityName>字词错误</abilityName>
      <candidateList>
        <item>切实</item>
      </candidateList>
      <explain/>
      <paraID>7D7AF137</paraID>
      <start>50</start>
      <end>53</end>
      <status>unmodified</status>
      <modifiedWord/>
      <trackRevisions>false</trackRevisions>
    </reviewItem>
    <reviewItem>
      <errorID>6d896bcb-4253-4f18-bf7c-71da3b5b7e89</errorID>
      <errorWord>.</errorWord>
      <group>L1_Format</group>
      <groupName>格式问题</groupName>
      <ability>L2_HalfPunc_CN</ability>
      <abilityName>全半角问题</abilityName>
      <candidateList>
        <item>。</item>
      </candidateList>
      <explain>文本全半角错误。</explain>
      <paraID>21689DCD</paraID>
      <start>64</start>
      <end>65</end>
      <status>unmodified</status>
      <modifiedWord/>
      <trackRevisions>false</trackRevisions>
    </reviewItem>
    <reviewItem>
      <errorID>16d18381-54e9-4391-b758-9afa34c467e8</errorID>
      <errorWord>详实</errorWord>
      <group>L1_Word</group>
      <groupName>字词问题</groupName>
      <ability>L2_Typo</ability>
      <abilityName>字词错误</abilityName>
      <candidateList>
        <item>翔实</item>
      </candidateList>
      <explain/>
      <paraID>375384ED</paraID>
      <start>16</start>
      <end>18</end>
      <status>unmodified</status>
      <modifiedWord/>
      <trackRevisions>false</trackRevisions>
    </reviewItem>
    <reviewItem>
      <errorID>bba2c411-7b33-424c-b615-df85e91ff9f2</errorID>
      <errorWord>详实</errorWord>
      <group>L1_Word</group>
      <groupName>字词问题</groupName>
      <ability>L2_Typo</ability>
      <abilityName>字词错误</abilityName>
      <candidateList>
        <item>翔实</item>
      </candidateList>
      <explain>存在发音相同字词的误用。</explain>
      <paraID> 5B950B9</paraID>
      <start>17</start>
      <end>19</end>
      <status>unmodified</status>
      <modifiedWord/>
      <trackRevisions>false</trackRevisions>
    </reviewItem>
    <reviewItem>
      <errorID>64249aa7-90e1-441d-a6eb-29f61522a5d7</errorID>
      <errorWord>详实</errorWord>
      <group>L1_Word</group>
      <groupName>字词问题</groupName>
      <ability>L2_Typo</ability>
      <abilityName>字词错误</abilityName>
      <candidateList>
        <item>翔实</item>
      </candidateList>
      <explain>存在发音相同字词的误用。</explain>
      <paraID>4BC99975</paraID>
      <start>19</start>
      <end>21</end>
      <status>unmodified</status>
      <modifiedWord/>
      <trackRevisions>false</trackRevisions>
    </reviewItem>
    <reviewItem>
      <errorID>ecb827a3-162c-4959-8729-0074c7da8c15</errorID>
      <errorWord>,</errorWord>
      <group>L1_Format</group>
      <groupName>格式问题</groupName>
      <ability>L2_HalfPunc_CN</ability>
      <abilityName>全半角问题</abilityName>
      <candidateList>
        <item>，</item>
      </candidateList>
      <explain>文本全半角错误。</explain>
      <paraID>4C480460</paraID>
      <start>61</start>
      <end>62</end>
      <status>unmodified</status>
      <modifiedWord/>
      <trackRevisions>false</trackRevisions>
    </reviewItem>
    <reviewItem>
      <errorID>ce2e5d37-b7bd-4811-85e6-e7f30fb72dd6</errorID>
      <errorWord>－（</errorWord>
      <group>L1_Format</group>
      <groupName>格式问题</groupName>
      <ability>L2_HalfPunc_CN</ability>
      <abilityName>全半角问题</abilityName>
      <candidateList>
        <item>-(</item>
      </candidateList>
      <explain>文本全半角错误。</explain>
      <paraID>1F7FC099</paraID>
      <start>4</start>
      <end>6</end>
      <status>unmodified</status>
      <modifiedWord/>
      <trackRevisions>false</trackRevisions>
    </reviewItem>
    <reviewItem>
      <errorID>c2534ddf-baf4-4f8b-85d1-401dd0cc2875</errorID>
      <errorWord>－</errorWord>
      <group>L1_Format</group>
      <groupName>格式问题</groupName>
      <ability>L2_HalfPunc_CN</ability>
      <abilityName>全半角问题</abilityName>
      <candidateList>
        <item>-</item>
      </candidateList>
      <explain>文本全半角错误。</explain>
      <paraID>1F7FC099</paraID>
      <start>10</start>
      <end>11</end>
      <status>unmodified</status>
      <modifiedWord/>
      <trackRevisions>false</trackRevisions>
    </reviewItem>
    <reviewItem>
      <errorID>e1c7f00a-f3d3-4123-b90c-945f9552a515</errorID>
      <errorWord>）</errorWord>
      <group>L1_Format</group>
      <groupName>格式问题</groupName>
      <ability>L2_HalfPunc_CN</ability>
      <abilityName>全半角问题</abilityName>
      <candidateList>
        <item>)</item>
      </candidateList>
      <explain>文本全半角错误。</explain>
      <paraID>1F7FC099</paraID>
      <start>17</start>
      <end>18</end>
      <status>unmodified</status>
      <modifiedWord/>
      <trackRevisions>false</trackRevisions>
    </reviewItem>
    <reviewItem>
      <errorID>f00f32ed-9319-4707-9566-3a38f9544abf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4203939C</paraID>
      <start>0</start>
      <end>2</end>
      <status>unmodified</status>
      <modifiedWord/>
      <trackRevisions>false</trackRevisions>
    </reviewItem>
    <reviewItem>
      <errorID>e5570d00-7830-401d-8c33-5ff36b220fb9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4C82F864</paraID>
      <start>0</start>
      <end>2</end>
      <status>unmodified</status>
      <modifiedWord/>
      <trackRevisions>false</trackRevisions>
    </reviewItem>
    <reviewItem>
      <errorID>6bb09b91-dd73-4009-9421-3d8591c391cf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60FF2AA3</paraID>
      <start>0</start>
      <end>2</end>
      <status>unmodified</status>
      <modifiedWord/>
      <trackRevisions>false</trackRevisions>
    </reviewItem>
    <reviewItem>
      <errorID>d1a2f547-3779-4ba0-ae5c-586daba5c723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13A69B6E</paraID>
      <start>0</start>
      <end>3</end>
      <status>unmodified</status>
      <modifiedWord/>
      <trackRevisions>false</trackRevisions>
    </reviewItem>
    <reviewItem>
      <errorID>e2a07f89-dd5c-409b-aefc-b1ad49f323cc</errorID>
      <errorWord>,</errorWord>
      <group>L1_Format</group>
      <groupName>格式问题</groupName>
      <ability>L2_HalfPunc_CN</ability>
      <abilityName>全半角问题</abilityName>
      <candidateList>
        <item>，</item>
      </candidateList>
      <explain>文本全半角错误。</explain>
      <paraID>5FDE95B5</paraID>
      <start>24</start>
      <end>25</end>
      <status>unmodified</status>
      <modifiedWord/>
      <trackRevisions>false</trackRevisions>
    </reviewItem>
    <reviewItem>
      <errorID>8ae8090c-10b5-488a-8297-05cd54ac5d48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57A333B</paraID>
      <start>0</start>
      <end>2</end>
      <status>unmodified</status>
      <modifiedWord/>
      <trackRevisions>false</trackRevisions>
    </reviewItem>
    <reviewItem>
      <errorID>42a42b74-e269-4898-867b-43d201be0b52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41D23B3A</paraID>
      <start>0</start>
      <end>2</end>
      <status>unmodified</status>
      <modifiedWord/>
      <trackRevisions>false</trackRevisions>
    </reviewItem>
    <reviewItem>
      <errorID>3d2389e6-2c8a-412d-90ad-5cbca8b59859</errorID>
      <errorWord>位</errorWord>
      <group>L1_Word</group>
      <groupName>字词问题</groupName>
      <ability>L2_Typo</ability>
      <abilityName>字词错误</abilityName>
      <candidateList>
        <item>位公</item>
      </candidateList>
      <explain/>
      <paraID>3D21ACF1</paraID>
      <start>71</start>
      <end>72</end>
      <status>unmodified</status>
      <modifiedWord/>
      <trackRevisions>false</trackRevisions>
    </reviewItem>
    <reviewItem>
      <errorID>13c73a61-757c-4da8-902c-a9d0e152a843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290C357F</paraID>
      <start>0</start>
      <end>2</end>
      <status>unmodified</status>
      <modifiedWord/>
      <trackRevisions>false</trackRevisions>
    </reviewItem>
    <reviewItem>
      <errorID>9266bac4-25de-42bd-b2ee-58b5b87cf2e6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6118D55F</paraID>
      <start>0</start>
      <end>2</end>
      <status>unmodified</status>
      <modifiedWord/>
      <trackRevisions>false</trackRevisions>
    </reviewItem>
    <reviewItem>
      <errorID>ce219532-f9ef-4521-bd87-c3fd79658d34</errorID>
      <errorWord>,</errorWord>
      <group>L1_Format</group>
      <groupName>格式问题</groupName>
      <ability>L2_HalfPunc_CN</ability>
      <abilityName>全半角问题</abilityName>
      <candidateList>
        <item>，</item>
      </candidateList>
      <explain>文本全半角错误。</explain>
      <paraID>10C5F524</paraID>
      <start>174</start>
      <end>175</end>
      <status>unmodified</status>
      <modifiedWord/>
      <trackRevisions>false</trackRevisions>
    </reviewItem>
    <reviewItem>
      <errorID>e3772956-44b0-442e-8254-fa96a2d57417</errorID>
      <errorWord>法律、法规</errorWord>
      <group>L1_Word</group>
      <groupName>字词问题</groupName>
      <ability>L2_Typo</ability>
      <abilityName>字词错误</abilityName>
      <candidateList>
        <item>法律法规</item>
      </candidateList>
      <explain/>
      <paraID>1883FD61</paraID>
      <start>15</start>
      <end>20</end>
      <status>unmodified</status>
      <modifiedWord/>
      <trackRevisions>false</trackRevisions>
    </reviewItem>
    <reviewItem>
      <errorID>d91fbd88-8534-4ca0-ba0b-7b14695edea0</errorID>
      <errorWord>法律、法规</errorWord>
      <group>L1_Word</group>
      <groupName>字词问题</groupName>
      <ability>L2_Typo</ability>
      <abilityName>字词错误</abilityName>
      <candidateList>
        <item>法律法规</item>
      </candidateList>
      <explain/>
      <paraID>665781D7</paraID>
      <start>15</start>
      <end>20</end>
      <status>unmodified</status>
      <modifiedWord/>
      <trackRevisions>false</trackRevisions>
    </reviewItem>
    <reviewItem>
      <errorID>24e29953-1407-4051-92a0-d04d69e5ed3d</errorID>
      <errorWord>&lt;</errorWord>
      <group>L1_Format</group>
      <groupName>格式问题</groupName>
      <ability>L2_HalfPunc_CN</ability>
      <abilityName>全半角问题</abilityName>
      <candidateList>
        <item>〈</item>
      </candidateList>
      <explain>文本全半角错误。</explain>
      <paraID>443527C1</paraID>
      <start>55</start>
      <end>56</end>
      <status>unmodified</status>
      <modifiedWord/>
      <trackRevisions>false</trackRevisions>
    </reviewItem>
    <reviewItem>
      <errorID>52298a61-ff99-4dc0-9f62-3c2f0f3b03f2</errorID>
      <errorWord>&gt;）</errorWord>
      <group>L1_Punc</group>
      <groupName>标点问题</groupName>
      <ability>L2_Punc_CN</ability>
      <abilityName>标点符号问题</abilityName>
      <candidateList>
        <item>）</item>
      </candidateList>
      <explain/>
      <paraID>443527C1</paraID>
      <start>66</start>
      <end>68</end>
      <status>unmodified</status>
      <modifiedWord/>
      <trackRevisions>false</trackRevisions>
    </reviewItem>
    <reviewItem>
      <errorID>a7e6bfde-d61d-4c54-ae4e-4b14d8c732c6</errorID>
      <errorWord>&lt;</errorWord>
      <group>L1_Format</group>
      <groupName>格式问题</groupName>
      <ability>L2_HalfPunc_CN</ability>
      <abilityName>全半角问题</abilityName>
      <candidateList>
        <item>〈</item>
      </candidateList>
      <explain>文本全半角错误。</explain>
      <paraID>443527C1</paraID>
      <start>176</start>
      <end>177</end>
      <status>unmodified</status>
      <modifiedWord/>
      <trackRevisions>false</trackRevisions>
    </reviewItem>
    <reviewItem>
      <errorID>b3de10b1-0501-42de-afba-9eeafa4cbe87</errorID>
      <errorWord>&gt;）</errorWord>
      <group>L1_Punc</group>
      <groupName>标点问题</groupName>
      <ability>L2_Punc_CN</ability>
      <abilityName>标点符号问题</abilityName>
      <candidateList>
        <item>）</item>
      </candidateList>
      <explain/>
      <paraID>443527C1</paraID>
      <start>187</start>
      <end>189</end>
      <status>unmodified</status>
      <modifiedWord/>
      <trackRevisions>false</trackRevisions>
    </reviewItem>
    <reviewItem>
      <errorID>2081786f-9856-43d0-8783-3700d46a6f87</errorID>
      <errorWord>-</errorWord>
      <group>L1_Format</group>
      <groupName>格式问题</groupName>
      <ability>L2_HalfPunc_CN</ability>
      <abilityName>全半角问题</abilityName>
      <candidateList>
        <item>－</item>
      </candidateList>
      <explain>文本全半角错误。</explain>
      <paraID> 3A5169B</paraID>
      <start>60</start>
      <end>61</end>
      <status>unmodified</status>
      <modifiedWord/>
      <trackRevisions>false</trackRevisions>
    </reviewItem>
    <reviewItem>
      <errorID>ab6fc021-a48b-46c5-a322-eef418b33ccd</errorID>
      <errorWord>签定</errorWord>
      <group>L1_Word</group>
      <groupName>字词问题</groupName>
      <ability>L2_Typo</ability>
      <abilityName>字词错误</abilityName>
      <candidateList>
        <item>签订</item>
      </candidateList>
      <explain/>
      <paraID>55152C43</paraID>
      <start>8</start>
      <end>10</end>
      <status>unmodified</status>
      <modifiedWord/>
      <trackRevisions>false</trackRevisions>
    </reviewItem>
    <reviewItem>
      <errorID>96a1720a-fad2-4481-8086-501cff6b839f</errorID>
      <errorWord>人</errorWord>
      <group>L1_Word</group>
      <groupName>字词问题</groupName>
      <ability>L2_Typo</ability>
      <abilityName>字词错误</abilityName>
      <candidateList>
        <item>人支</item>
      </candidateList>
      <explain/>
      <paraID>55152C43</paraID>
      <start>13</start>
      <end>14</end>
      <status>unmodified</status>
      <modifiedWord/>
      <trackRevisions>false</trackRevisions>
    </reviewItem>
    <reviewItem>
      <errorID>c7a5809d-1a43-4524-9632-94b04861ecc1</errorID>
      <errorWord>其它</errorWord>
      <group>L1_Word</group>
      <groupName>字词问题</groupName>
      <ability>L2_Alias</ability>
      <abilityName>也作/曾用词</abilityName>
      <candidateList>
        <item>其他</item>
      </candidateList>
      <explain>词汇[其它]为不规范表述或旧称，其规范书面表述为[其他]。</explain>
      <paraID>20177E41</paraID>
      <start>222</start>
      <end>224</end>
      <status>unmodified</status>
      <modifiedWord/>
      <trackRevisions>false</trackRevisions>
    </reviewItem>
    <reviewItem>
      <errorID>ad5e662f-45ac-440b-b54c-4d9792e7896f</errorID>
      <errorWord>法律、法规及相关</errorWord>
      <group>L1_Word</group>
      <groupName>字词问题</groupName>
      <ability>L2_Typo</ability>
      <abilityName>字词错误</abilityName>
      <candidateList>
        <item>法律法规及相关</item>
      </candidateList>
      <explain/>
      <paraID>776AEB15</paraID>
      <start>43</start>
      <end>51</end>
      <status>unmodified</status>
      <modifiedWord/>
      <trackRevisions>false</trackRevisions>
    </reviewItem>
    <reviewItem>
      <errorID>e954ac0d-c368-4edd-b7ba-145bdb4cbea1</errorID>
      <errorWord>１</errorWord>
      <group>L1_Format</group>
      <groupName>格式问题</groupName>
      <ability>L2_HalfPunc_CN</ability>
      <abilityName>全半角问题</abilityName>
      <candidateList>
        <item>1</item>
      </candidateList>
      <explain>文本全半角错误。</explain>
      <paraID>603F17E2</paraID>
      <start>100</start>
      <end>101</end>
      <status>unmodified</status>
      <modifiedWord/>
      <trackRevisions>false</trackRevisions>
    </reviewItem>
    <reviewItem>
      <errorID>cbe978e1-257c-4ccf-aee5-1b69e56ae5d6</errorID>
      <errorWord>其它</errorWord>
      <group>L1_Word</group>
      <groupName>字词问题</groupName>
      <ability>L2_Alias</ability>
      <abilityName>也作/曾用词</abilityName>
      <candidateList>
        <item>其他</item>
      </candidateList>
      <explain>词汇[其它]为不规范表述或旧称，其规范书面表述为[其他]。</explain>
      <paraID>6AC7036C</paraID>
      <start>132</start>
      <end>134</end>
      <status>unmodified</status>
      <modifiedWord/>
      <trackRevisions>false</trackRevisions>
    </reviewItem>
    <reviewItem>
      <errorID>ac254576-b1d7-4b33-9b8a-4992dec94ed6</errorID>
      <errorWord>承包人则</errorWord>
      <group>L1_Word</group>
      <groupName>字词问题</groupName>
      <ability>L2_Typo</ability>
      <abilityName>字词错误</abilityName>
      <candidateList>
        <item>承包人</item>
      </candidateList>
      <explain/>
      <paraID>3F52A91C</paraID>
      <start>77</start>
      <end>81</end>
      <status>unmodified</status>
      <modifiedWord/>
      <trackRevisions>false</trackRevisions>
    </reviewItem>
    <reviewItem>
      <errorID>f73b295b-53f0-468e-b6ff-f638f9ed0903</errorID>
      <errorWord>（2）、</errorWord>
      <group>L1_Punc</group>
      <groupName>标点问题</groupName>
      <ability>L2_Punc_CN</ability>
      <abilityName>标点符号问题</abilityName>
      <candidateList>
        <item>（2）</item>
      </candidateList>
      <explain>根据国标GB/T 15834-2011《标点符号用法》中的4.5.3.3节，带括号的汉字数字或阿拉伯数字表次序时，后面通常不加顿号。如“（一）指导思想”“（二）行动指南”。</explain>
      <paraID>57C4C8FD</paraID>
      <start>53</start>
      <end>57</end>
      <status>unmodified</status>
      <modifiedWord/>
      <trackRevisions>false</trackRevisions>
    </reviewItem>
    <reviewItem>
      <errorID>60fb8b6d-83df-427e-b896-01729c0f8f74</errorID>
      <errorWord>其它</errorWord>
      <group>L1_Word</group>
      <groupName>字词问题</groupName>
      <ability>L2_Alias</ability>
      <abilityName>也作/曾用词</abilityName>
      <candidateList>
        <item>其他</item>
      </candidateList>
      <explain>词汇[其它]为不规范表述或旧称，其规范书面表述为[其他]。</explain>
      <paraID>37ACC9A9</paraID>
      <start>181</start>
      <end>183</end>
      <status>unmodified</status>
      <modifiedWord/>
      <trackRevisions>false</trackRevisions>
    </reviewItem>
    <reviewItem>
      <errorID>41f9d4e0-e97b-44f9-b93e-610ae0d2e4b1</errorID>
      <errorWord>作好</errorWord>
      <group>L1_Word</group>
      <groupName>字词问题</groupName>
      <ability>L2_Typo</ability>
      <abilityName>字词错误</abilityName>
      <candidateList>
        <item>做好</item>
      </candidateList>
      <explain/>
      <paraID>4C8D1068</paraID>
      <start>210</start>
      <end>212</end>
      <status>unmodified</status>
      <modifiedWord/>
      <trackRevisions>false</trackRevisions>
    </reviewItem>
    <reviewItem>
      <errorID>47d5b54b-04f3-465a-a93c-3a061a589ddc</errorID>
      <errorWord>噪音</errorWord>
      <group>L1_Word</group>
      <groupName>字词问题</groupName>
      <ability>L2_Alias</ability>
      <abilityName>也作/曾用词</abilityName>
      <candidateList>
        <item>噪声</item>
      </candidateList>
      <explain>词汇[噪音]为不规范表述或旧称，其规范书面表述为[噪声]。</explain>
      <paraID>3DF1D3AE</paraID>
      <start>74</start>
      <end>76</end>
      <status>unmodified</status>
      <modifiedWord/>
      <trackRevisions>false</trackRevisions>
    </reviewItem>
    <reviewItem>
      <errorID>e744884e-ac8d-4ebb-9a1a-b00c93ff44de</errorID>
      <errorWord>棚布</errorWord>
      <group>L1_Word</group>
      <groupName>字词问题</groupName>
      <ability>L2_Typo</ability>
      <abilityName>字词错误</abilityName>
      <candidateList>
        <item>篷布</item>
      </candidateList>
      <explain>存在发音相同字词的误用。</explain>
      <paraID>30DFED8C</paraID>
      <start>66</start>
      <end>68</end>
      <status>unmodified</status>
      <modifiedWord/>
      <trackRevisions>false</trackRevisions>
    </reviewItem>
    <reviewItem>
      <errorID>1d094500-cf8b-4b43-9641-a08af59f420b</errorID>
      <errorWord>地点和</errorWord>
      <group>L1_Word</group>
      <groupName>字词问题</groupName>
      <ability>L2_Typo</ability>
      <abilityName>字词错误</abilityName>
      <candidateList>
        <item>地点</item>
      </candidateList>
      <explain/>
      <paraID> 161DB59</paraID>
      <start>51</start>
      <end>54</end>
      <status>unmodified</status>
      <modifiedWord/>
      <trackRevisions>false</trackRevisions>
    </reviewItem>
    <reviewItem>
      <errorID>bf950e3a-eabf-4528-bbe7-9914962900ab</errorID>
      <errorWord>须</errorWord>
      <group>L1_Word</group>
      <groupName>字词问题</groupName>
      <ability>L2_Typo</ability>
      <abilityName>字词错误</abilityName>
      <candidateList>
        <item>需</item>
      </candidateList>
      <explain>存在发音相同字词的误用。</explain>
      <paraID>13761A00</paraID>
      <start>2</start>
      <end>3</end>
      <status>unmodified</status>
      <modifiedWord/>
      <trackRevisions>false</trackRevisions>
    </reviewItem>
    <reviewItem>
      <errorID>20db01f6-479e-4dff-a2b2-bc15be81b861</errorID>
      <errorWord>第三、</errorWord>
      <group>L1_Punc</group>
      <groupName>标点问题</groupName>
      <ability>L2_Punc_CN</ability>
      <abilityName>标点符号问题</abilityName>
      <candidateList>
        <item>第三，</item>
      </candidateList>
      <explain>连接词前后不宜使用顿号，建议使用逗号。</explain>
      <paraID>7BA3A142</paraID>
      <start>0</start>
      <end>3</end>
      <status>unmodified</status>
      <modifiedWord/>
      <trackRevisions>false</trackRevisions>
    </reviewItem>
    <reviewItem>
      <errorID>87e5364e-8ecd-4b34-b017-ffc4daa85c61</errorID>
      <errorWord>临近</errorWord>
      <group>L1_Word</group>
      <groupName>字词问题</groupName>
      <ability>L2_Typo</ability>
      <abilityName>字词错误</abilityName>
      <candidateList>
        <item>邻近</item>
      </candidateList>
      <explain>存在发音相同字词的误用。</explain>
      <paraID>781BF7EF</paraID>
      <start>82</start>
      <end>84</end>
      <status>unmodified</status>
      <modifiedWord/>
      <trackRevisions>false</trackRevisions>
    </reviewItem>
    <reviewItem>
      <errorID>3b185e9d-d755-4256-927e-4ada0d9c5a0a</errorID>
      <errorWord>砂袋</errorWord>
      <group>L1_Word</group>
      <groupName>字词问题</groupName>
      <ability>L2_Variant</ability>
      <abilityName>异形词</abilityName>
      <candidateList>
        <item>沙袋</item>
      </candidateList>
      <explain>词汇[砂袋]的规范词形写作[沙袋]。</explain>
      <paraID>64FD2D29</paraID>
      <start>42</start>
      <end>44</end>
      <status>unmodified</status>
      <modifiedWord/>
      <trackRevisions>false</trackRevisions>
    </reviewItem>
    <reviewItem>
      <errorID>12915562-c30b-4fc0-9e64-77beb06a8ba8</errorID>
      <errorWord>泥砂</errorWord>
      <group>L1_Word</group>
      <groupName>字词问题</groupName>
      <ability>L2_Typo</ability>
      <abilityName>字词错误</abilityName>
      <candidateList>
        <item>泥沙</item>
      </candidateList>
      <explain>存在发音相同字词的误用。</explain>
      <paraID>64FD2D29</paraID>
      <start>176</start>
      <end>178</end>
      <status>unmodified</status>
      <modifiedWord/>
      <trackRevisions>false</trackRevisions>
    </reviewItem>
    <reviewItem>
      <errorID>13f972b6-8fb5-4469-900c-3b28bf6d76aa</errorID>
      <errorWord>作</errorWord>
      <group>L1_Word</group>
      <groupName>字词问题</groupName>
      <ability>L2_Typo</ability>
      <abilityName>字词错误</abilityName>
      <candidateList>
        <item>做</item>
      </candidateList>
      <explain>存在发音相同字词的误用。</explain>
      <paraID>77846A2F</paraID>
      <start>85</start>
      <end>86</end>
      <status>unmodified</status>
      <modifiedWord/>
      <trackRevisions>false</trackRevisions>
    </reviewItem>
    <reviewItem>
      <errorID>608fe310-582a-48f4-ab04-d513f095dc29</errorID>
      <errorWord>必须品</errorWord>
      <group>L1_Word</group>
      <groupName>字词问题</groupName>
      <ability>L2_Typo</ability>
      <abilityName>字词错误</abilityName>
      <candidateList>
        <item>必需品</item>
      </candidateList>
      <explain/>
      <paraID>20248CD8</paraID>
      <start>28</start>
      <end>31</end>
      <status>unmodified</status>
      <modifiedWord/>
      <trackRevisions>false</trackRevisions>
    </reviewItem>
    <reviewItem>
      <errorID>c761511c-7acc-4590-a0b5-7052a2d2ba8f</errorID>
      <errorWord>做</errorWord>
      <group>L1_Word</group>
      <groupName>字词问题</groupName>
      <ability>L2_Typo</ability>
      <abilityName>字词错误</abilityName>
      <candidateList>
        <item>作</item>
      </candidateList>
      <explain>存在发音相同字词的误用。</explain>
      <paraID>2A3D1D70</paraID>
      <start>184</start>
      <end>185</end>
      <status>unmodified</status>
      <modifiedWord/>
      <trackRevisions>false</trackRevisions>
    </reviewItem>
    <reviewItem>
      <errorID>067a4bcb-c119-489e-a16c-a4a351128b6f</errorID>
      <errorWord>保护好已完</errorWord>
      <group>L1_Word</group>
      <groupName>字词问题</groupName>
      <ability>L2_Typo</ability>
      <abilityName>字词错误</abilityName>
      <candidateList>
        <item>保护好已完成</item>
      </candidateList>
      <explain/>
      <paraID>4927225C</paraID>
      <start>117</start>
      <end>122</end>
      <status>unmodified</status>
      <modifiedWord/>
      <trackRevisions>false</trackRevisions>
    </reviewItem>
    <reviewItem>
      <errorID>c8de2cce-11a3-4c4b-9240-1a8d942d70e4</errorID>
      <errorWord>承当</errorWord>
      <group>L1_Word</group>
      <groupName>字词问题</groupName>
      <ability>L2_Typo</ability>
      <abilityName>字词错误</abilityName>
      <candidateList>
        <item>承担</item>
      </candidateList>
      <explain/>
      <paraID>53AC4137</paraID>
      <start>41</start>
      <end>43</end>
      <status>unmodified</status>
      <modifiedWord/>
      <trackRevisions>false</trackRevisions>
    </reviewItem>
    <reviewItem>
      <errorID>58b50f8e-e04e-4ded-9917-0806c0f3430f</errorID>
      <errorWord>除则</errorWord>
      <group>L1_Word</group>
      <groupName>字词问题</groupName>
      <ability>L2_Typo</ability>
      <abilityName>字词错误</abilityName>
      <candidateList>
        <item>除</item>
      </candidateList>
      <explain/>
      <paraID>22E0DC86</paraID>
      <start>38</start>
      <end>40</end>
      <status>unmodified</status>
      <modifiedWord/>
      <trackRevisions>false</trackRevisions>
    </reviewItem>
    <reviewItem>
      <errorID>7e91c6bb-0035-46e7-ae64-f50c78aaf218</errorID>
      <errorWord>返纳</errorWord>
      <group>L1_Word</group>
      <groupName>字词问题</groupName>
      <ability>L2_Typo</ability>
      <abilityName>字词错误</abilityName>
      <candidateList>
        <item>返还</item>
      </candidateList>
      <explain/>
      <paraID>22E0DC86</paraID>
      <start>54</start>
      <end>56</end>
      <status>unmodified</status>
      <modifiedWord/>
      <trackRevisions>false</trackRevisions>
    </reviewItem>
    <reviewItem>
      <errorID>cce9f095-b72e-4f42-9571-74c509e6585a</errorID>
      <errorWord>其它</errorWord>
      <group>L1_Word</group>
      <groupName>字词问题</groupName>
      <ability>L2_Alias</ability>
      <abilityName>也作/曾用词</abilityName>
      <candidateList>
        <item>其他</item>
      </candidateList>
      <explain>词汇[其它]为不规范表述或旧称，其规范书面表述为[其他]。</explain>
      <paraID>754ABB2A</paraID>
      <start>10</start>
      <end>12</end>
      <status>unmodified</status>
      <modifiedWord/>
      <trackRevisions>false</trackRevisions>
    </reviewItem>
    <reviewItem>
      <errorID>96c19ef1-f4e1-460a-8ac6-6f72506c770a</errorID>
      <errorWord>其它</errorWord>
      <group>L1_Word</group>
      <groupName>字词问题</groupName>
      <ability>L2_Alias</ability>
      <abilityName>也作/曾用词</abilityName>
      <candidateList>
        <item>其他</item>
      </candidateList>
      <explain>词汇[其它]为不规范表述或旧称，其规范书面表述为[其他]。</explain>
      <paraID>52325D7C</paraID>
      <start>81</start>
      <end>83</end>
      <status>unmodified</status>
      <modifiedWord/>
      <trackRevisions>false</trackRevisions>
    </reviewItem>
    <reviewItem>
      <errorID>61ff2bda-b95f-48b9-8ea8-193d35ac547b</errorID>
      <errorWord>二次</errorWord>
      <group>L1_Word</group>
      <groupName>字词问题</groupName>
      <ability>L2_Typo</ability>
      <abilityName>字词错误</abilityName>
      <candidateList>
        <item>两次</item>
      </candidateList>
      <explain/>
      <paraID>6CA84E81</paraID>
      <start>194</start>
      <end>196</end>
      <status>unmodified</status>
      <modifiedWord/>
      <trackRevisions>false</trackRevisions>
    </reviewItem>
    <reviewItem>
      <errorID>2768be22-a870-4e06-89a2-cf04eb978ef5</errorID>
      <errorWord>、或</errorWord>
      <group>L1_Word</group>
      <groupName>字词问题</groupName>
      <ability>L2_Typo</ability>
      <abilityName>字词错误</abilityName>
      <candidateList>
        <item>或</item>
      </candidateList>
      <explain/>
      <paraID>377325AE</paraID>
      <start>45</start>
      <end>47</end>
      <status>unmodified</status>
      <modifiedWord/>
      <trackRevisions>false</trackRevisions>
    </reviewItem>
    <reviewItem>
      <errorID>b4506dbf-f60e-4289-b2bc-23bcb93efd97</errorID>
      <errorWord>其它</errorWord>
      <group>L1_Word</group>
      <groupName>字词问题</groupName>
      <ability>L2_Alias</ability>
      <abilityName>也作/曾用词</abilityName>
      <candidateList>
        <item>其他</item>
      </candidateList>
      <explain>词汇[其它]为不规范表述或旧称，其规范书面表述为[其他]。</explain>
      <paraID> 7B5B62D</paraID>
      <start>173</start>
      <end>175</end>
      <status>unmodified</status>
      <modifiedWord/>
      <trackRevisions>false</trackRevisions>
    </reviewItem>
    <reviewItem>
      <errorID>c455307b-8e6d-45c7-9b2e-c7835d88e2af</errorID>
      <errorWord>已</errorWord>
      <group>L1_Word</group>
      <groupName>字词问题</groupName>
      <ability>L2_Typo</ability>
      <abilityName>字词错误</abilityName>
      <candidateList>
        <item>已包</item>
      </candidateList>
      <explain/>
      <paraID>700D6D56</paraID>
      <start>277</start>
      <end>278</end>
      <status>unmodified</status>
      <modifiedWord/>
      <trackRevisions>false</trackRevisions>
    </reviewItem>
    <reviewItem>
      <errorID>eb84501e-d023-449e-8856-731f499d17a3</errorID>
      <errorWord>的时</errorWord>
      <group>L1_Word</group>
      <groupName>字词问题</groupName>
      <ability>L2_Typo</ability>
      <abilityName>字词错误</abilityName>
      <candidateList>
        <item>的</item>
      </candidateList>
      <explain/>
      <paraID>2827B919</paraID>
      <start>24</start>
      <end>26</end>
      <status>unmodified</status>
      <modifiedWord/>
      <trackRevisions>false</trackRevisions>
    </reviewItem>
    <reviewItem>
      <errorID>21675b8c-c80c-4725-b9c4-7ed4f9ac7b51</errorID>
      <errorWord>法律、法规</errorWord>
      <group>L1_Word</group>
      <groupName>字词问题</groupName>
      <ability>L2_Typo</ability>
      <abilityName>字词错误</abilityName>
      <candidateList>
        <item>法律法规</item>
      </candidateList>
      <explain/>
      <paraID>62CF27DC</paraID>
      <start>239</start>
      <end>244</end>
      <status>unmodified</status>
      <modifiedWord/>
      <trackRevisions>false</trackRevisions>
    </reviewItem>
    <reviewItem>
      <errorID>13173a6d-a57b-47bd-976e-e923fdcc4196</errorID>
      <errorWord>必须严格按</errorWord>
      <group>L1_Word</group>
      <groupName>字词问题</groupName>
      <ability>L2_Typo</ability>
      <abilityName>字词错误</abilityName>
      <candidateList>
        <item>必须严格按照</item>
      </candidateList>
      <explain/>
      <paraID>79ADA182</paraID>
      <start>7</start>
      <end>12</end>
      <status>unmodified</status>
      <modifiedWord/>
      <trackRevisions>false</trackRevisions>
    </reviewItem>
    <reviewItem>
      <errorID>fac20f89-e88c-4319-8f2c-7fa60673250d</errorID>
      <errorWord>，</errorWord>
      <group>L1_Word</group>
      <groupName>字词问题</groupName>
      <ability>L2_Typo</ability>
      <abilityName>字词错误</abilityName>
      <candidateList>
        <item>，经</item>
      </candidateList>
      <explain/>
      <paraID>28097565</paraID>
      <start>127</start>
      <end>128</end>
      <status>unmodified</status>
      <modifiedWord/>
      <trackRevisions>false</trackRevisions>
    </reviewItem>
    <reviewItem>
      <errorID>486d3c43-aead-4bb1-beea-dbf198d871a7</errorID>
      <errorWord>须</errorWord>
      <group>L1_Word</group>
      <groupName>字词问题</groupName>
      <ability>L2_Typo</ability>
      <abilityName>字词错误</abilityName>
      <candidateList>
        <item>需</item>
      </candidateList>
      <explain>存在发音相同字词的误用。</explain>
      <paraID>5C925820</paraID>
      <start>69</start>
      <end>70</end>
      <status>unmodified</status>
      <modifiedWord/>
      <trackRevisions>false</trackRevisions>
    </reviewItem>
    <reviewItem>
      <errorID>9da64311-e82e-4f2a-96c6-b41c8adf22e7</errorID>
      <errorWord>以至</errorWord>
      <group>L1_Word</group>
      <groupName>字词问题</groupName>
      <ability>L2_Typo</ability>
      <abilityName>字词错误</abilityName>
      <candidateList>
        <item>以致</item>
      </candidateList>
      <explain/>
      <paraID>700BDE64</paraID>
      <start>33</start>
      <end>35</end>
      <status>unmodified</status>
      <modifiedWord/>
      <trackRevisions>false</trackRevisions>
    </reviewItem>
    <reviewItem>
      <errorID>32df9f08-9b7d-45dc-977b-7740da8eb4d2</errorID>
      <errorWord>整</errorWord>
      <group>L1_Word</group>
      <groupName>字词问题</groupName>
      <ability>L2_Typo</ability>
      <abilityName>字词错误</abilityName>
      <candidateList>
        <item>整和</item>
      </candidateList>
      <explain/>
      <paraID>33A5488B</paraID>
      <start>105</start>
      <end>106</end>
      <status>unmodified</status>
      <modifiedWord/>
      <trackRevisions>false</trackRevisions>
    </reviewItem>
    <reviewItem>
      <errorID>52a2c78e-91ad-4b4b-a2ed-a9025b0e178d</errorID>
      <errorWord>，</errorWord>
      <group>L1_Word</group>
      <groupName>字词问题</groupName>
      <ability>L2_Typo</ability>
      <abilityName>字词错误</abilityName>
      <candidateList>
        <item>，具</item>
      </candidateList>
      <explain/>
      <paraID>67D8145B</paraID>
      <start>25</start>
      <end>26</end>
      <status>unmodified</status>
      <modifiedWord/>
      <trackRevisions>false</trackRevisions>
    </reviewItem>
    <reviewItem>
      <errorID>871639da-148a-4168-8635-a837053bfede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6C7BBE65</paraID>
      <start>0</start>
      <end>2</end>
      <status>unmodified</status>
      <modifiedWord/>
      <trackRevisions>false</trackRevisions>
    </reviewItem>
    <reviewItem>
      <errorID>16f27568-e483-4a21-a48d-c62ec4e2eebb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6B4D2C9A</paraID>
      <start>0</start>
      <end>2</end>
      <status>unmodified</status>
      <modifiedWord/>
      <trackRevisions>false</trackRevisions>
    </reviewItem>
    <reviewItem>
      <errorID>9c0023b3-2e41-43ec-8b6b-5d79e8a50eaf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1080DE08</paraID>
      <start>0</start>
      <end>2</end>
      <status>unmodified</status>
      <modifiedWord/>
      <trackRevisions>false</trackRevisions>
    </reviewItem>
    <reviewItem>
      <errorID>cdd3ffb0-c072-4953-b35c-2b9b7d16113f</errorID>
      <errorWord>(</errorWord>
      <group>L1_Format</group>
      <groupName>格式问题</groupName>
      <ability>L2_HalfPunc_CN</ability>
      <abilityName>全半角问题</abilityName>
      <candidateList>
        <item>（</item>
      </candidateList>
      <explain>文本全半角错误。</explain>
      <paraID> D034BED</paraID>
      <start>94</start>
      <end>95</end>
      <status>unmodified</status>
      <modifiedWord/>
      <trackRevisions>false</trackRevisions>
    </reviewItem>
    <reviewItem>
      <errorID>06570e62-0230-465a-96a3-b34394ac3159</errorID>
      <errorWord>)</errorWord>
      <group>L1_Format</group>
      <groupName>格式问题</groupName>
      <ability>L2_HalfPunc_CN</ability>
      <abilityName>全半角问题</abilityName>
      <candidateList>
        <item>）</item>
      </candidateList>
      <explain>文本全半角错误。</explain>
      <paraID> D034BED</paraID>
      <start>99</start>
      <end>100</end>
      <status>unmodified</status>
      <modifiedWord/>
      <trackRevisions>false</trackRevisions>
    </reviewItem>
    <reviewItem>
      <errorID>afe86687-2eb2-4362-a745-7f93721d9ba0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50C48648</paraID>
      <start>0</start>
      <end>2</end>
      <status>unmodified</status>
      <modifiedWord/>
      <trackRevisions>false</trackRevisions>
    </reviewItem>
    <reviewItem>
      <errorID>67b6b567-ed1e-4240-a0be-92ac63c0dafe</errorID>
      <errorWord>1-15%</errorWord>
      <group>L1_Knowledge</group>
      <groupName>知识性问题</groupName>
      <ability>L2_Knowledge</ability>
      <abilityName>其他知识</abilityName>
      <candidateList>
        <item>1%—15%</item>
      </candidateList>
      <explain>1. “1-15%”中的单位“%”仅出现在后一个数字上，容易引起歧义；根据《现代汉语标点符号数字用法规范手册》，数字表示范围两边需要使用统一的格式。2. 根据标点国标 4.13 中的规则，数字、时间或地域连接符应使用（视觉上更长的）“—”或“～”。</explain>
      <paraID>7B460557</paraID>
      <start>109</start>
      <end>114</end>
      <status>unmodified</status>
      <modifiedWord/>
      <trackRevisions>false</trackRevisions>
    </reviewItem>
    <reviewItem>
      <errorID>9edae0a1-24ab-4aa9-8aa5-3c8bbd0c0847</errorID>
      <errorWord>)</errorWord>
      <group>L1_Format</group>
      <groupName>格式问题</groupName>
      <ability>L2_HalfPunc_CN</ability>
      <abilityName>全半角问题</abilityName>
      <candidateList>
        <item>）</item>
      </candidateList>
      <explain>文本全半角错误。</explain>
      <paraID>7B460557</paraID>
      <start>114</start>
      <end>115</end>
      <status>unmodified</status>
      <modifiedWord/>
      <trackRevisions>false</trackRevisions>
    </reviewItem>
    <reviewItem>
      <errorID>4bc6f703-d394-4c7f-85d1-8c1e8d162ec6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ECDABB8</paraID>
      <start>0</start>
      <end>2</end>
      <status>unmodified</status>
      <modifiedWord/>
      <trackRevisions>false</trackRevisions>
    </reviewItem>
    <reviewItem>
      <errorID>74fcd4de-46f3-4c3f-b9e4-7f449df5db33</errorID>
      <errorWord>证</errorWord>
      <group>L1_Word</group>
      <groupName>字词问题</groupName>
      <ability>L2_Typo</ability>
      <abilityName>字词错误</abilityName>
      <candidateList>
        <item>证金</item>
      </candidateList>
      <explain/>
      <paraID>3F7CE113</paraID>
      <start>30</start>
      <end>31</end>
      <status>unmodified</status>
      <modifiedWord/>
      <trackRevisions>false</trackRevisions>
    </reviewItem>
    <reviewItem>
      <errorID>9773eb5c-52f5-4b7f-bc83-d80207b9c211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64BAA4AC</paraID>
      <start>0</start>
      <end>2</end>
      <status>unmodified</status>
      <modifiedWord/>
      <trackRevisions>false</trackRevisions>
    </reviewItem>
    <reviewItem>
      <errorID>2a75ee38-ebf2-4b08-83d3-33f4a737c116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21407E65</paraID>
      <start>0</start>
      <end>2</end>
      <status>unmodified</status>
      <modifiedWord/>
      <trackRevisions>false</trackRevisions>
    </reviewItem>
    <reviewItem>
      <errorID>9f8d120e-0bb6-4729-ad1e-57e8d7f9bb34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62129666</paraID>
      <start>0</start>
      <end>2</end>
      <status>unmodified</status>
      <modifiedWord/>
      <trackRevisions>false</trackRevisions>
    </reviewItem>
    <reviewItem>
      <errorID>3378c7d2-d754-40d7-95b0-8c54c677cc63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48AFA819</paraID>
      <start>0</start>
      <end>2</end>
      <status>unmodified</status>
      <modifiedWord/>
      <trackRevisions>false</trackRevisions>
    </reviewItem>
    <reviewItem>
      <errorID>393023eb-49ab-48ee-b553-6c743b480218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3B01D5DC</paraID>
      <start>0</start>
      <end>3</end>
      <status>unmodified</status>
      <modifiedWord/>
      <trackRevisions>false</trackRevisions>
    </reviewItem>
    <reviewItem>
      <errorID>6a3fe84e-4f43-442b-ad48-46d9be7b0d8d</errorID>
      <errorWord>噪音</errorWord>
      <group>L1_Word</group>
      <groupName>字词问题</groupName>
      <ability>L2_Alias</ability>
      <abilityName>也作/曾用词</abilityName>
      <candidateList>
        <item>噪声</item>
      </candidateList>
      <explain>词汇[噪音]为不规范表述或旧称，其规范书面表述为[噪声]。</explain>
      <paraID>3460B166</paraID>
      <start>40</start>
      <end>42</end>
      <status>unmodified</status>
      <modifiedWord/>
      <trackRevisions>false</trackRevisions>
    </reviewItem>
    <reviewItem>
      <errorID>c6c0b1e7-3c5c-4e95-9cf9-f604b2014773</errorID>
      <errorWord>承担由于自身</errorWord>
      <group>L1_Word</group>
      <groupName>字词问题</groupName>
      <ability>L2_Typo</ability>
      <abilityName>字词错误</abilityName>
      <candidateList>
        <item>承担由自身</item>
      </candidateList>
      <explain/>
      <paraID>79C6AA0D</paraID>
      <start>52</start>
      <end>58</end>
      <status>unmodified</status>
      <modifiedWord/>
      <trackRevisions>false</trackRevisions>
    </reviewItem>
    <reviewItem>
      <errorID>05fa4ec5-758a-406e-88ef-bd0892ca9fee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48A52661</paraID>
      <start>0</start>
      <end>3</end>
      <status>unmodified</status>
      <modifiedWord/>
      <trackRevisions>false</trackRevisions>
    </reviewItem>
    <reviewItem>
      <errorID>65ef824f-f843-4f57-a9fd-815e8be9d99c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7D1B9552</paraID>
      <start>0</start>
      <end>3</end>
      <status>unmodified</status>
      <modifiedWord/>
      <trackRevisions>false</trackRevisions>
    </reviewItem>
    <reviewItem>
      <errorID>cd27306b-9d15-4f0e-b62e-1dc34b631901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373F4602</paraID>
      <start>0</start>
      <end>3</end>
      <status>unmodified</status>
      <modifiedWord/>
      <trackRevisions>false</trackRevisions>
    </reviewItem>
    <reviewItem>
      <errorID>fdf2fdd7-db0c-42cf-982b-a935796cebe3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7C85AEF</paraID>
      <start>0</start>
      <end>3</end>
      <status>unmodified</status>
      <modifiedWord/>
      <trackRevisions>false</trackRevisions>
    </reviewItem>
    <reviewItem>
      <errorID>5569dbde-dcfe-4981-885c-11bbeae5f5ef</errorID>
      <errorWord>证</errorWord>
      <group>L1_Word</group>
      <groupName>字词问题</groupName>
      <ability>L2_Typo</ability>
      <abilityName>字词错误</abilityName>
      <candidateList>
        <item>证金</item>
      </candidateList>
      <explain/>
      <paraID>4C9C7974</paraID>
      <start>51</start>
      <end>52</end>
      <status>unmodified</status>
      <modifiedWord/>
      <trackRevisions>false</trackRevisions>
    </reviewItem>
    <reviewItem>
      <errorID>7e3c94d3-1a26-44d0-8c9e-768b7d0aad3c</errorID>
      <errorWord>证</errorWord>
      <group>L1_Word</group>
      <groupName>字词问题</groupName>
      <ability>L2_Typo</ability>
      <abilityName>字词错误</abilityName>
      <candidateList>
        <item>证金</item>
      </candidateList>
      <explain/>
      <paraID>4C9C7974</paraID>
      <start>82</start>
      <end>83</end>
      <status>unmodified</status>
      <modifiedWord/>
      <trackRevisions>false</trackRevisions>
    </reviewItem>
    <reviewItem>
      <errorID>c55c4d60-2a66-4607-a9a3-b826821ac2f6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2A3DB652</paraID>
      <start>0</start>
      <end>3</end>
      <status>unmodified</status>
      <modifiedWord/>
      <trackRevisions>false</trackRevisions>
    </reviewItem>
    <reviewItem>
      <errorID>26fb9fd6-f34b-4847-bc74-62d59f93a3af</errorID>
      <errorWord>法律、法规</errorWord>
      <group>L1_Word</group>
      <groupName>字词问题</groupName>
      <ability>L2_Typo</ability>
      <abilityName>字词错误</abilityName>
      <candidateList>
        <item>法律法规</item>
      </candidateList>
      <explain/>
      <paraID>521C9535</paraID>
      <start>7</start>
      <end>12</end>
      <status>unmodified</status>
      <modifiedWord/>
      <trackRevisions>false</trackRevisions>
    </reviewItem>
    <reviewItem>
      <errorID>e3431d48-eedc-48cd-9594-a0f76fdc80dc</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7CFA052F</paraID>
      <start>0</start>
      <end>3</end>
      <status>unmodified</status>
      <modifiedWord/>
      <trackRevisions>false</trackRevisions>
    </reviewItem>
    <reviewItem>
      <errorID>29b80eb7-b4b6-41f3-bace-67a65e7f0e79</errorID>
      <errorWord>法律、法规</errorWord>
      <group>L1_Word</group>
      <groupName>字词问题</groupName>
      <ability>L2_Typo</ability>
      <abilityName>字词错误</abilityName>
      <candidateList>
        <item>法律法规</item>
      </candidateList>
      <explain/>
      <paraID>5ED47C8F</paraID>
      <start>211</start>
      <end>216</end>
      <status>unmodified</status>
      <modifiedWord/>
      <trackRevisions>false</trackRevisions>
    </reviewItem>
    <reviewItem>
      <errorID>813f42b0-44c2-445c-a006-fabbf1e2b2c2</errorID>
      <errorWord>住房城乡建设部令第</errorWord>
      <group>L1_Word</group>
      <groupName>字词问题</groupName>
      <ability>L2_Typo</ability>
      <abilityName>字词错误</abilityName>
      <candidateList>
        <item>住房和城乡建设部令第</item>
      </candidateList>
      <explain/>
      <paraID>1B670583</paraID>
      <start>84</start>
      <end>93</end>
      <status>unmodified</status>
      <modifiedWord/>
      <trackRevisions>false</trackRevisions>
    </reviewItem>
    <reviewItem>
      <errorID>0205a1a7-0de4-4a94-b904-f84bc79b5ba9</errorID>
      <errorWord>房</errorWord>
      <group>L1_Word</group>
      <groupName>字词问题</groupName>
      <ability>L2_Typo</ability>
      <abilityName>字词错误</abilityName>
      <candidateList>
        <item>房和</item>
      </candidateList>
      <explain/>
      <paraID>1B670583</paraID>
      <start>102</start>
      <end>103</end>
      <status>unmodified</status>
      <modifiedWord/>
      <trackRevisions>false</trackRevisions>
    </reviewItem>
    <reviewItem>
      <errorID>ab59be31-003c-49f4-ae0b-be38bf0a7929</errorID>
      <errorWord>&lt;</errorWord>
      <group>L1_Format</group>
      <groupName>格式问题</groupName>
      <ability>L2_HalfPunc_CN</ability>
      <abilityName>全半角问题</abilityName>
      <candidateList>
        <item>〈</item>
      </candidateList>
      <explain>文本全半角错误。</explain>
      <paraID>1B670583</paraID>
      <start>115</start>
      <end>116</end>
      <status>unmodified</status>
      <modifiedWord/>
      <trackRevisions>false</trackRevisions>
    </reviewItem>
    <reviewItem>
      <errorID>c8f323fc-7336-40ed-8644-ec1cf0f28db8</errorID>
      <errorWord>&gt;</errorWord>
      <group>L1_Format</group>
      <groupName>格式问题</groupName>
      <ability>L2_HalfPunc_CN</ability>
      <abilityName>全半角问题</abilityName>
      <candidateList>
        <item>〉</item>
      </candidateList>
      <explain>文本全半角错误。</explain>
      <paraID>1B670583</paraID>
      <start>134</start>
      <end>135</end>
      <status>unmodified</status>
      <modifiedWord/>
      <trackRevisions>false</trackRevisions>
    </reviewItem>
    <reviewItem>
      <errorID>00351b0a-f9ab-44c8-9282-05ead0737354</errorID>
      <errorWord>(</errorWord>
      <group>L1_Format</group>
      <groupName>格式问题</groupName>
      <ability>L2_HalfPunc_CN</ability>
      <abilityName>全半角问题</abilityName>
      <candidateList>
        <item>（</item>
      </candidateList>
      <explain>文本全半角错误。</explain>
      <paraID>1B670583</paraID>
      <start>204</start>
      <end>205</end>
      <status>unmodified</status>
      <modifiedWord/>
      <trackRevisions>false</trackRevisions>
    </reviewItem>
    <reviewItem>
      <errorID>f2a8f4f5-bc70-4ea9-a325-ebf67d765055</errorID>
      <errorWord>)</errorWord>
      <group>L1_Format</group>
      <groupName>格式问题</groupName>
      <ability>L2_HalfPunc_CN</ability>
      <abilityName>全半角问题</abilityName>
      <candidateList>
        <item>）</item>
      </candidateList>
      <explain>文本全半角错误。</explain>
      <paraID>1B670583</paraID>
      <start>218</start>
      <end>219</end>
      <status>unmodified</status>
      <modifiedWord/>
      <trackRevisions>false</trackRevisions>
    </reviewItem>
    <reviewItem>
      <errorID>61d2255a-b929-4078-9ddb-7257e595b72e</errorID>
      <errorWord>&lt;</errorWord>
      <group>L1_Format</group>
      <groupName>格式问题</groupName>
      <ability>L2_HalfPunc_CN</ability>
      <abilityName>全半角问题</abilityName>
      <candidateList>
        <item>〈</item>
      </candidateList>
      <explain>文本全半角错误。</explain>
      <paraID>1B670583</paraID>
      <start>249</start>
      <end>250</end>
      <status>unmodified</status>
      <modifiedWord/>
      <trackRevisions>false</trackRevisions>
    </reviewItem>
    <reviewItem>
      <errorID>8a0e20c4-2222-4450-aabc-631bc20b2ffa</errorID>
      <errorWord>&gt;》</errorWord>
      <group>L1_Punc</group>
      <groupName>标点问题</groupName>
      <ability>L2_Punc_CN</ability>
      <abilityName>标点符号问题</abilityName>
      <candidateList>
        <item>》</item>
      </candidateList>
      <explain/>
      <paraID>1B670583</paraID>
      <start>277</start>
      <end>279</end>
      <status>unmodified</status>
      <modifiedWord/>
      <trackRevisions>false</trackRevisions>
    </reviewItem>
    <reviewItem>
      <errorID>0760b765-2c42-41a2-87f3-398749728ef4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2130BF1A</paraID>
      <start>294</start>
      <end>295</end>
      <status>unmodified</status>
      <modifiedWord/>
      <trackRevisions>false</trackRevisions>
    </reviewItem>
    <reviewItem>
      <errorID>7544cf8b-da99-4437-bc8e-712c767dfdbb</errorID>
      <errorWord>》</errorWord>
      <group>L1_Word</group>
      <groupName>字词问题</groupName>
      <ability>L2_Typo</ability>
      <abilityName>字词错误</abilityName>
      <candidateList>
        <item>》等</item>
      </candidateList>
      <explain/>
      <paraID>326D1698</paraID>
      <start>167</start>
      <end>168</end>
      <status>unmodified</status>
      <modifiedWord/>
      <trackRevisions>false</trackRevisions>
    </reviewItem>
    <reviewItem>
      <errorID>a7f1f580-cc05-42ce-81b5-ba8b666263cb</errorID>
      <errorWord>提</errorWord>
      <group>L1_Word</group>
      <groupName>字词问题</groupName>
      <ability>L2_Typo</ability>
      <abilityName>字词错误</abilityName>
      <candidateList>
        <item>提出</item>
      </candidateList>
      <explain/>
      <paraID>326D1698</paraID>
      <start>352</start>
      <end>353</end>
      <status>unmodified</status>
      <modifiedWord/>
      <trackRevisions>false</trackRevisions>
    </reviewItem>
    <reviewItem>
      <errorID>643c457b-0ad2-4a85-9648-055ed709ba8c</errorID>
      <errorWord>,</errorWord>
      <group>L1_Format</group>
      <groupName>格式问题</groupName>
      <ability>L2_HalfPunc_CN</ability>
      <abilityName>全半角问题</abilityName>
      <candidateList>
        <item>，</item>
      </candidateList>
      <explain>文本全半角错误。</explain>
      <paraID>326D1698</paraID>
      <start>378</start>
      <end>379</end>
      <status>unmodified</status>
      <modifiedWord/>
      <trackRevisions>false</trackRevisions>
    </reviewItem>
    <reviewItem>
      <errorID>26147bab-d66c-45f9-8b85-4b64ffed2364</errorID>
      <errorWord>,</errorWord>
      <group>L1_Format</group>
      <groupName>格式问题</groupName>
      <ability>L2_HalfPunc_CN</ability>
      <abilityName>全半角问题</abilityName>
      <candidateList>
        <item>，</item>
      </candidateList>
      <explain>文本全半角错误。</explain>
      <paraID> FD67465</paraID>
      <start>56</start>
      <end>57</end>
      <status>unmodified</status>
      <modifiedWord/>
      <trackRevisions>false</trackRevisions>
    </reviewItem>
    <reviewItem>
      <errorID>8f7b59a6-9ead-430f-ba15-b1995408a121</errorID>
      <errorWord>,</errorWord>
      <group>L1_Format</group>
      <groupName>格式问题</groupName>
      <ability>L2_HalfPunc_CN</ability>
      <abilityName>全半角问题</abilityName>
      <candidateList>
        <item>，</item>
      </candidateList>
      <explain>文本全半角错误。</explain>
      <paraID>199FA28B</paraID>
      <start>51</start>
      <end>52</end>
      <status>unmodified</status>
      <modifiedWord/>
      <trackRevisions>false</trackRevisions>
    </reviewItem>
    <reviewItem>
      <errorID>9c088bfd-8465-4e50-9a2e-d25fd3e4871b</errorID>
      <errorWord>承担由于自身</errorWord>
      <group>L1_Word</group>
      <groupName>字词问题</groupName>
      <ability>L2_Typo</ability>
      <abilityName>字词错误</abilityName>
      <candidateList>
        <item>承担由自身</item>
      </candidateList>
      <explain/>
      <paraID>333947D0</paraID>
      <start>130</start>
      <end>136</end>
      <status>unmodified</status>
      <modifiedWord/>
      <trackRevisions>false</trackRevisions>
    </reviewItem>
    <reviewItem>
      <errorID>859c3164-5636-401e-942e-736fbe701444</errorID>
      <errorWord>应已</errorWord>
      <group>L1_Word</group>
      <groupName>字词问题</groupName>
      <ability>L2_Typo</ability>
      <abilityName>字词错误</abilityName>
      <candidateList>
        <item>应</item>
      </candidateList>
      <explain/>
      <paraID>3E6C8218</paraID>
      <start>35</start>
      <end>37</end>
      <status>unmodified</status>
      <modifiedWord/>
      <trackRevisions>false</trackRevisions>
    </reviewItem>
    <reviewItem>
      <errorID>41124d84-234a-46e4-8c43-2ff3d651245d</errorID>
      <errorWord>与为</errorWord>
      <group>L1_Word</group>
      <groupName>字词问题</groupName>
      <ability>L2_Typo</ability>
      <abilityName>字词错误</abilityName>
      <candidateList>
        <item>与</item>
      </candidateList>
      <explain/>
      <paraID> 8AD32F6</paraID>
      <start>70</start>
      <end>72</end>
      <status>unmodified</status>
      <modifiedWord/>
      <trackRevisions>false</trackRevisions>
    </reviewItem>
    <reviewItem>
      <errorID>ec5ea54f-6fee-4828-81b6-5a73b6c90290</errorID>
      <errorWord>(</errorWord>
      <group>L1_Format</group>
      <groupName>格式问题</groupName>
      <ability>L2_HalfPunc_CN</ability>
      <abilityName>全半角问题</abilityName>
      <candidateList>
        <item>（</item>
      </candidateList>
      <explain>文本全半角错误。</explain>
      <paraID>1BDB8161</paraID>
      <start>50</start>
      <end>51</end>
      <status>unmodified</status>
      <modifiedWord/>
      <trackRevisions>false</trackRevisions>
    </reviewItem>
    <reviewItem>
      <errorID>17012e12-31b4-4504-9ff4-c63ac7728019</errorID>
      <errorWord>)</errorWord>
      <group>L1_Format</group>
      <groupName>格式问题</groupName>
      <ability>L2_HalfPunc_CN</ability>
      <abilityName>全半角问题</abilityName>
      <candidateList>
        <item>）</item>
      </candidateList>
      <explain>文本全半角错误。</explain>
      <paraID>1BDB8161</paraID>
      <start>66</start>
      <end>67</end>
      <status>unmodified</status>
      <modifiedWord/>
      <trackRevisions>false</trackRevisions>
    </reviewItem>
    <reviewItem>
      <errorID>a43108b6-052d-4b06-811f-a4fd6b7582de</errorID>
      <errorWord>法》《建设工程</errorWord>
      <group>L1_Word</group>
      <groupName>字词问题</groupName>
      <ability>L2_Typo</ability>
      <abilityName>字词错误</abilityName>
      <candidateList>
        <item>法》和《建设工程</item>
      </candidateList>
      <explain/>
      <paraID>7B480D55</paraID>
      <start>24</start>
      <end>31</end>
      <status>unmodified</status>
      <modifiedWord/>
      <trackRevisions>false</trackRevisions>
    </reviewItem>
    <reviewItem>
      <errorID>b7e20073-5acc-41d8-8019-6dcc97597a89</errorID>
      <errorWord>(</errorWord>
      <group>L1_Format</group>
      <groupName>格式问题</groupName>
      <ability>L2_HalfPunc_CN</ability>
      <abilityName>全半角问题</abilityName>
      <candidateList>
        <item>（</item>
      </candidateList>
      <explain>文本全半角错误。</explain>
      <paraID>7424E228</paraID>
      <start>42</start>
      <end>43</end>
      <status>unmodified</status>
      <modifiedWord/>
      <trackRevisions>false</trackRevisions>
    </reviewItem>
    <reviewItem>
      <errorID>4c7ea359-514f-405d-97b9-4997679117ce</errorID>
      <errorWord>)</errorWord>
      <group>L1_Format</group>
      <groupName>格式问题</groupName>
      <ability>L2_HalfPunc_CN</ability>
      <abilityName>全半角问题</abilityName>
      <candidateList>
        <item>）</item>
      </candidateList>
      <explain>文本全半角错误。</explain>
      <paraID>7424E228</paraID>
      <start>58</start>
      <end>59</end>
      <status>unmodified</status>
      <modifiedWord/>
      <trackRevisions>false</trackRevisions>
    </reviewItem>
    <reviewItem>
      <errorID>58de41c1-a7f5-49e6-ae73-4703e5a3ceeb</errorID>
      <errorWord>百千万工程</errorWord>
      <group>L1_Political</group>
      <groupName>政治性问题</groupName>
      <ability>L2_Keyword</ability>
      <abilityName>固定表述</abilityName>
      <candidateList>
        <item>“百千万工程”</item>
      </candidateList>
      <explain>注意检查当前固定表述标点是否使用规范。</explain>
      <paraID>28B60332</paraID>
      <start>20</start>
      <end>25</end>
      <status>unmodified</status>
      <modifiedWord/>
      <trackRevisions>false</trackRevisions>
    </reviewItem>
    <reviewItem>
      <errorID>acf4945a-a416-49d1-9bce-d5c71b0e7b8d</errorID>
      <errorWord>-</errorWord>
      <group>L1_Format</group>
      <groupName>格式问题</groupName>
      <ability>L2_HalfPunc_CN</ability>
      <abilityName>全半角问题</abilityName>
      <candidateList>
        <item>－</item>
      </candidateList>
      <explain>文本全半角错误。</explain>
      <paraID>7730A314</paraID>
      <start>229</start>
      <end>230</end>
      <status>unmodified</status>
      <modifiedWord/>
      <trackRevisions>false</trackRevisions>
    </reviewItem>
    <reviewItem>
      <errorID>143cb737-a975-4345-8bde-bc1b030e1e6d</errorID>
      <errorWord>证</errorWord>
      <group>L1_Word</group>
      <groupName>字词问题</groupName>
      <ability>L2_Typo</ability>
      <abilityName>字词错误</abilityName>
      <candidateList>
        <item>证金</item>
      </candidateList>
      <explain/>
      <paraID>1A2A67A8</paraID>
      <start>22</start>
      <end>23</end>
      <status>unmodified</status>
      <modifiedWord/>
      <trackRevisions>false</trackRevisions>
    </reviewItem>
    <reviewItem>
      <errorID>807e06aa-3551-4859-9d0c-0b31c115c04e</errorID>
      <errorWord>(</errorWord>
      <group>L1_Format</group>
      <groupName>格式问题</groupName>
      <ability>L2_HalfPunc_CN</ability>
      <abilityName>全半角问题</abilityName>
      <candidateList>
        <item>（</item>
      </candidateList>
      <explain>文本全半角错误。</explain>
      <paraID>5CCA0AD4</paraID>
      <start>120</start>
      <end>121</end>
      <status>unmodified</status>
      <modifiedWord/>
      <trackRevisions>false</trackRevisions>
    </reviewItem>
    <reviewItem>
      <errorID>fb99e438-1520-47b7-b545-45a02253261e</errorID>
      <errorWord>)</errorWord>
      <group>L1_Format</group>
      <groupName>格式问题</groupName>
      <ability>L2_HalfPunc_CN</ability>
      <abilityName>全半角问题</abilityName>
      <candidateList>
        <item>）</item>
      </candidateList>
      <explain>文本全半角错误。</explain>
      <paraID>5CCA0AD4</paraID>
      <start>157</start>
      <end>158</end>
      <status>unmodified</status>
      <modifiedWord/>
      <trackRevisions>false</trackRevisions>
    </reviewItem>
    <reviewItem>
      <errorID>16bad8c5-6918-44d5-80af-2ab37aa131b4</errorID>
      <errorWord>证</errorWord>
      <group>L1_Word</group>
      <groupName>字词问题</groupName>
      <ability>L2_Typo</ability>
      <abilityName>字词错误</abilityName>
      <candidateList>
        <item>证金</item>
      </candidateList>
      <explain/>
      <paraID>643EEAB2</paraID>
      <start>27</start>
      <end>28</end>
      <status>unmodified</status>
      <modifiedWord/>
      <trackRevisions>false</trackRevisions>
    </reviewItem>
    <reviewItem>
      <errorID>f59b2ac8-4fae-4f21-8f49-44c08c0c29cb</errorID>
      <errorWord>证</errorWord>
      <group>L1_Word</group>
      <groupName>字词问题</groupName>
      <ability>L2_Typo</ability>
      <abilityName>字词错误</abilityName>
      <candidateList>
        <item>证金</item>
      </candidateList>
      <explain/>
      <paraID>7148BBA8</paraID>
      <start>50</start>
      <end>51</end>
      <status>unmodified</status>
      <modifiedWord/>
      <trackRevisions>false</trackRevisions>
    </reviewItem>
    <reviewItem>
      <errorID>3daba5d1-78b4-4f28-9fb3-dc2a3cb9edd6</errorID>
      <errorWord>》</errorWord>
      <group>L1_Word</group>
      <groupName>字词问题</groupName>
      <ability>L2_Typo</ability>
      <abilityName>字词错误</abilityName>
      <candidateList>
        <item>》等</item>
      </candidateList>
      <explain/>
      <paraID>7148BBA8</paraID>
      <start>72</start>
      <end>73</end>
      <status>unmodified</status>
      <modifiedWord/>
      <trackRevisions>false</trackRevisions>
    </reviewItem>
    <reviewItem>
      <errorID>1e90cc2b-69e5-48f7-9d8c-38f92736e9df</errorID>
      <errorWord>证</errorWord>
      <group>L1_Word</group>
      <groupName>字词问题</groupName>
      <ability>L2_Typo</ability>
      <abilityName>字词错误</abilityName>
      <candidateList>
        <item>证金</item>
      </candidateList>
      <explain/>
      <paraID>7148BBA8</paraID>
      <start>81</start>
      <end>82</end>
      <status>unmodified</status>
      <modifiedWord/>
      <trackRevisions>false</trackRevisions>
    </reviewItem>
    <reviewItem>
      <errorID>8bc69040-faf1-4aae-82f9-13bba43f3ab8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214A3CC0</paraID>
      <start>0</start>
      <end>2</end>
      <status>unmodified</status>
      <modifiedWord/>
      <trackRevisions>false</trackRevisions>
    </reviewItem>
    <reviewItem>
      <errorID>4fef46ec-b0ee-418a-b338-20bad27c9d1a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6FA556B2</paraID>
      <start>0</start>
      <end>2</end>
      <status>unmodified</status>
      <modifiedWord/>
      <trackRevisions>false</trackRevisions>
    </reviewItem>
    <reviewItem>
      <errorID>b928f162-d203-40e0-8704-a04c81f4180c</errorID>
      <errorWord>规</errorWord>
      <group>L1_Word</group>
      <groupName>字词问题</groupName>
      <ability>L2_Typo</ability>
      <abilityName>字词错误</abilityName>
      <candidateList>
        <item>规范</item>
      </candidateList>
      <explain/>
      <paraID>30DDEDCA</paraID>
      <start>12</start>
      <end>13</end>
      <status>unmodified</status>
      <modifiedWord/>
      <trackRevisions>false</trackRevisions>
    </reviewItem>
    <reviewItem>
      <errorID>963c21f9-5e83-4791-b417-dd8ba54500b1</errorID>
      <errorWord>：</errorWord>
      <group>L1_Format</group>
      <groupName>格式问题</groupName>
      <ability>L2_HalfPunc_CN</ability>
      <abilityName>全半角问题</abilityName>
      <candidateList>
        <item>:</item>
      </candidateList>
      <explain>文本全半角错误。</explain>
      <paraID>13783A28</paraID>
      <start>25</start>
      <end>26</end>
      <status>unmodified</status>
      <modifiedWord/>
      <trackRevisions>false</trackRevisions>
    </reviewItem>
    <reviewItem>
      <errorID>63389b51-3a69-4fd6-9e2d-4632785b3a03</errorID>
      <errorWord>)</errorWord>
      <group>L1_Format</group>
      <groupName>格式问题</groupName>
      <ability>L2_HalfPunc_CN</ability>
      <abilityName>全半角问题</abilityName>
      <candidateList>
        <item>）</item>
      </candidateList>
      <explain>文本全半角错误。</explain>
      <paraID>1FC9F815</paraID>
      <start>34</start>
      <end>35</end>
      <status>unmodified</status>
      <modifiedWord/>
      <trackRevisions>false</trackRevisions>
    </reviewItem>
    <reviewItem>
      <errorID>6c4e8be8-f22e-406c-9bb1-61a16422f3db</errorID>
      <errorWord>其它</errorWord>
      <group>L1_Word</group>
      <groupName>字词问题</groupName>
      <ability>L2_Alias</ability>
      <abilityName>也作/曾用词</abilityName>
      <candidateList>
        <item>其他</item>
      </candidateList>
      <explain>词汇[其它]为不规范表述或旧称，其规范书面表述为[其他]。</explain>
      <paraID> 814D29C</paraID>
      <start>32</start>
      <end>34</end>
      <status>unmodified</status>
      <modifiedWord/>
      <trackRevisions>false</trackRevisions>
    </reviewItem>
    <reviewItem>
      <errorID>45ab2d84-fcba-40ed-972b-0d0e39c5a961</errorID>
      <errorWord>收</errorWord>
      <group>L1_Word</group>
      <groupName>字词问题</groupName>
      <ability>L2_Typo</ability>
      <abilityName>字词错误</abilityName>
      <candidateList>
        <item>收到</item>
      </candidateList>
      <explain/>
      <paraID> A19A04F</paraID>
      <start>11</start>
      <end>12</end>
      <status>unmodified</status>
      <modifiedWord/>
      <trackRevisions>false</trackRevisions>
    </reviewItem>
    <reviewItem>
      <errorID>aabb493e-6614-4ac6-a834-ff520caaee36</errorID>
      <errorWord>接受</errorWord>
      <group>L1_Word</group>
      <groupName>字词问题</groupName>
      <ability>L2_Typo</ability>
      <abilityName>字词错误</abilityName>
      <candidateList>
        <item>接收</item>
      </candidateList>
      <explain>存在发音相同字词的误用。</explain>
      <paraID> A19A04F</paraID>
      <start>56</start>
      <end>58</end>
      <status>unmodified</status>
      <modifiedWord/>
      <trackRevisions>false</trackRevisions>
    </reviewItem>
    <reviewItem>
      <errorID>17f81c37-4a19-4214-abe4-d439ee39fb53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72A4F4F3</paraID>
      <start>0</start>
      <end>2</end>
      <status>unmodified</status>
      <modifiedWord/>
      <trackRevisions>false</trackRevisions>
    </reviewItem>
    <reviewItem>
      <errorID>c1242764-e735-42f0-ac7e-00475861e210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135CB28E</paraID>
      <start>0</start>
      <end>2</end>
      <status>unmodified</status>
      <modifiedWord/>
      <trackRevisions>false</trackRevisions>
    </reviewItem>
    <reviewItem>
      <errorID>50edd803-dbec-4929-9773-938a9a13aefc</errorID>
      <errorWord>返纳</errorWord>
      <group>L1_Word</group>
      <groupName>字词问题</groupName>
      <ability>L2_Typo</ability>
      <abilityName>字词错误</abilityName>
      <candidateList>
        <item>返还</item>
      </candidateList>
      <explain/>
      <paraID>592D198A</paraID>
      <start>52</start>
      <end>54</end>
      <status>unmodified</status>
      <modifiedWord/>
      <trackRevisions>false</trackRevisions>
    </reviewItem>
    <reviewItem>
      <errorID>eb95db10-9339-4d68-9d16-b871e00a19a2</errorID>
      <errorWord>返纳</errorWord>
      <group>L1_Word</group>
      <groupName>字词问题</groupName>
      <ability>L2_Typo</ability>
      <abilityName>字词错误</abilityName>
      <candidateList>
        <item>返还</item>
      </candidateList>
      <explain/>
      <paraID>592D198A</paraID>
      <start>127</start>
      <end>129</end>
      <status>unmodified</status>
      <modifiedWord/>
      <trackRevisions>false</trackRevisions>
    </reviewItem>
    <reviewItem>
      <errorID>4fd8088d-8142-4e7d-a79b-021c09e2a4fb</errorID>
      <errorWord>单</errorWord>
      <group>L1_Word</group>
      <groupName>字词问题</groupName>
      <ability>L2_Typo</ability>
      <abilityName>字词错误</abilityName>
      <candidateList>
        <item>单位</item>
      </candidateList>
      <explain/>
      <paraID>359BF430</paraID>
      <start>6</start>
      <end>7</end>
      <status>unmodified</status>
      <modifiedWord/>
      <trackRevisions>false</trackRevisions>
    </reviewItem>
    <reviewItem>
      <errorID>88ec4042-e401-40d0-9aac-99b2595f7d57</errorID>
      <errorWord>交纳</errorWord>
      <group>L1_Word</group>
      <groupName>字词问题</groupName>
      <ability>L2_Typo</ability>
      <abilityName>字词错误</abilityName>
      <candidateList>
        <item>缴纳</item>
      </candidateList>
      <explain>存在发音相同字词的误用。</explain>
      <paraID> 4C34C59</paraID>
      <start>29</start>
      <end>31</end>
      <status>unmodified</status>
      <modifiedWord/>
      <trackRevisions>false</trackRevisions>
    </reviewItem>
    <reviewItem>
      <errorID>5f160796-6193-4c74-8903-2aed3f67bcad</errorID>
      <errorWord>家</errorWord>
      <group>L1_Word</group>
      <groupName>字词问题</groupName>
      <ability>L2_Typo</ability>
      <abilityName>字词错误</abilityName>
      <candidateList>
        <item>家和</item>
      </candidateList>
      <explain/>
      <paraID>280CF969</paraID>
      <start>13</start>
      <end>14</end>
      <status>unmodified</status>
      <modifiedWord/>
      <trackRevisions>false</trackRevisions>
    </reviewItem>
    <reviewItem>
      <errorID>4f626848-31af-4b5e-8461-3b755cf36821</errorID>
      <errorWord>家</errorWord>
      <group>L1_Word</group>
      <groupName>字词问题</groupName>
      <ability>L2_Typo</ability>
      <abilityName>字词错误</abilityName>
      <candidateList>
        <item>家和</item>
      </candidateList>
      <explain/>
      <paraID>771F6BE2</paraID>
      <start>22</start>
      <end>23</end>
      <status>unmodified</status>
      <modifiedWord/>
      <trackRevisions>false</trackRevisions>
    </reviewItem>
    <reviewItem>
      <errorID>e441ba43-6bba-4a93-a208-f220d9c73bf2</errorID>
      <errorWord>所以</errorWord>
      <group>L1_Word</group>
      <groupName>字词问题</groupName>
      <ability>L2_Typo</ability>
      <abilityName>字词错误</abilityName>
      <candidateList>
        <item>所有</item>
      </candidateList>
      <explain/>
      <paraID>1F937805</paraID>
      <start>45</start>
      <end>47</end>
      <status>unmodified</status>
      <modifiedWord/>
      <trackRevisions>false</trackRevisions>
    </reviewItem>
    <reviewItem>
      <errorID>edb1ba95-ac80-4f72-8bc3-c565acb7c39d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437C48FA</paraID>
      <start>4</start>
      <end>6</end>
      <status>unmodified</status>
      <modifiedWord/>
      <trackRevisions>false</trackRevisions>
    </reviewItem>
    <reviewItem>
      <errorID>4ac58dff-71e9-48c1-b32b-7c9c5cf927de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506AF19F</paraID>
      <start>4</start>
      <end>6</end>
      <status>unmodified</status>
      <modifiedWord/>
      <trackRevisions>false</trackRevisions>
    </reviewItem>
    <reviewItem>
      <errorID>c313839f-0718-4989-8289-d90fb3ed6cc3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682E636A</paraID>
      <start>4</start>
      <end>6</end>
      <status>unmodified</status>
      <modifiedWord/>
      <trackRevisions>false</trackRevisions>
    </reviewItem>
    <reviewItem>
      <errorID>26cdddb2-3d76-4f56-8fda-50bbdbd78873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1F0E38FD</paraID>
      <start>4</start>
      <end>6</end>
      <status>unmodified</status>
      <modifiedWord/>
      <trackRevisions>false</trackRevisions>
    </reviewItem>
    <reviewItem>
      <errorID>daab4f1b-ede3-44fc-ad59-7159fe7c6d94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4AF650F6</paraID>
      <start>4</start>
      <end>6</end>
      <status>unmodified</status>
      <modifiedWord/>
      <trackRevisions>false</trackRevisions>
    </reviewItem>
    <reviewItem>
      <errorID>cc68c9a3-3cca-4dbc-bcad-f87653c6613e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3904DBFB</paraID>
      <start>4</start>
      <end>6</end>
      <status>unmodified</status>
      <modifiedWord/>
      <trackRevisions>false</trackRevisions>
    </reviewItem>
    <reviewItem>
      <errorID>a89ece22-a85e-45d3-b320-aa8a4b4a5cee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4F0D01DD</paraID>
      <start>4</start>
      <end>6</end>
      <status>unmodified</status>
      <modifiedWord/>
      <trackRevisions>false</trackRevisions>
    </reviewItem>
    <reviewItem>
      <errorID>e4a162f3-e96e-4579-baab-bbf585037b21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1844A97D</paraID>
      <start>0</start>
      <end>2</end>
      <status>unmodified</status>
      <modifiedWord/>
      <trackRevisions>false</trackRevisions>
    </reviewItem>
    <reviewItem>
      <errorID>2aa068dc-deb5-49eb-a62e-ba342e5553ad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643D42A4</paraID>
      <start>0</start>
      <end>2</end>
      <status>unmodified</status>
      <modifiedWord/>
      <trackRevisions>false</trackRevisions>
    </reviewItem>
    <reviewItem>
      <errorID>5b1f4de6-4e94-4716-8265-4856c34fcf46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1EAED253</paraID>
      <start>0</start>
      <end>2</end>
      <status>unmodified</status>
      <modifiedWord/>
      <trackRevisions>false</trackRevisions>
    </reviewItem>
    <reviewItem>
      <errorID>dd638522-f2b9-4e17-afc1-ca07dd08ac15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3825431F</paraID>
      <start>0</start>
      <end>2</end>
      <status>unmodified</status>
      <modifiedWord/>
      <trackRevisions>false</trackRevisions>
    </reviewItem>
    <reviewItem>
      <errorID>c297d57e-d83f-49a8-bada-bff63ffe9758</errorID>
      <errorWord>单位的</errorWord>
      <group>L1_Word</group>
      <groupName>字词问题</groupName>
      <ability>L2_Typo</ability>
      <abilityName>字词错误</abilityName>
      <candidateList>
        <item>单位</item>
      </candidateList>
      <explain/>
      <paraID>663DA07C</paraID>
      <start>74</start>
      <end>77</end>
      <status>unmodified</status>
      <modifiedWord/>
      <trackRevisions>false</trackRevisions>
    </reviewItem>
    <reviewItem>
      <errorID>2702a2a7-24f4-41a9-94de-ab94894ad426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4D00A3DC</paraID>
      <start>0</start>
      <end>2</end>
      <status>unmodified</status>
      <modifiedWord/>
      <trackRevisions>false</trackRevisions>
    </reviewItem>
    <reviewItem>
      <errorID>45c50c43-5192-4265-9d43-ee362f42642a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234E50E1</paraID>
      <start>4</start>
      <end>6</end>
      <status>unmodified</status>
      <modifiedWord/>
      <trackRevisions>false</trackRevisions>
    </reviewItem>
    <reviewItem>
      <errorID>458ce39b-1d4e-4ce5-8505-6e603cdd8d01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62F97137</paraID>
      <start>4</start>
      <end>6</end>
      <status>unmodified</status>
      <modifiedWord/>
      <trackRevisions>false</trackRevisions>
    </reviewItem>
    <reviewItem>
      <errorID>e08af44f-7b7f-417d-8404-911431c1305d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24918F13</paraID>
      <start>4</start>
      <end>6</end>
      <status>unmodified</status>
      <modifiedWord/>
      <trackRevisions>false</trackRevisions>
    </reviewItem>
    <reviewItem>
      <errorID>a735766a-8b44-4a13-81d0-f4f31864b52e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2E1D7FAF</paraID>
      <start>0</start>
      <end>2</end>
      <status>unmodified</status>
      <modifiedWord/>
      <trackRevisions>false</trackRevisions>
    </reviewItem>
    <reviewItem>
      <errorID>41e8cddd-944b-4e84-ae5b-333ee7da83e6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46370442</paraID>
      <start>0</start>
      <end>2</end>
      <status>unmodified</status>
      <modifiedWord/>
      <trackRevisions>false</trackRevisions>
    </reviewItem>
    <reviewItem>
      <errorID>99aa6a5f-141f-433e-a6f0-52cb54a97340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333723B7</paraID>
      <start>0</start>
      <end>2</end>
      <status>unmodified</status>
      <modifiedWord/>
      <trackRevisions>false</trackRevisions>
    </reviewItem>
    <reviewItem>
      <errorID>58fb0bff-f0fb-4ade-80ee-648c03b4e4e1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4FDA75C7</paraID>
      <start>0</start>
      <end>2</end>
      <status>unmodified</status>
      <modifiedWord/>
      <trackRevisions>false</trackRevisions>
    </reviewItem>
    <reviewItem>
      <errorID>9f3bb1f0-7241-4382-9006-de7eb214cebe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4B633D08</paraID>
      <start>4</start>
      <end>6</end>
      <status>unmodified</status>
      <modifiedWord/>
      <trackRevisions>false</trackRevisions>
    </reviewItem>
    <reviewItem>
      <errorID>111d76f7-8850-4a5e-9200-6d7d564d80c6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586E437A</paraID>
      <start>4</start>
      <end>6</end>
      <status>unmodified</status>
      <modifiedWord/>
      <trackRevisions>false</trackRevisions>
    </reviewItem>
    <reviewItem>
      <errorID>10115491-8b38-4fce-86c7-b423f1552e99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B22D139</paraID>
      <start>0</start>
      <end>2</end>
      <status>unmodified</status>
      <modifiedWord/>
      <trackRevisions>false</trackRevisions>
    </reviewItem>
    <reviewItem>
      <errorID>6b339f13-fe81-484e-be98-caae42f35157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6E013105</paraID>
      <start>0</start>
      <end>2</end>
      <status>unmodified</status>
      <modifiedWord/>
      <trackRevisions>false</trackRevisions>
    </reviewItem>
    <reviewItem>
      <errorID>63d385e2-782b-44d1-b81b-4cb5489cf227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61B3CBA8</paraID>
      <start>4</start>
      <end>6</end>
      <status>unmodified</status>
      <modifiedWord/>
      <trackRevisions>false</trackRevisions>
    </reviewItem>
    <reviewItem>
      <errorID>611609a5-b086-4cef-b236-21857a062292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2CC69B52</paraID>
      <start>4</start>
      <end>6</end>
      <status>unmodified</status>
      <modifiedWord/>
      <trackRevisions>false</trackRevisions>
    </reviewItem>
    <reviewItem>
      <errorID>dab26a0f-ccc1-4067-9a23-01eefdd1ccee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58E798EE</paraID>
      <start>0</start>
      <end>2</end>
      <status>unmodified</status>
      <modifiedWord/>
      <trackRevisions>false</trackRevisions>
    </reviewItem>
    <reviewItem>
      <errorID>3807df3c-226a-47ad-993e-2bd47a68b347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79E15C5B</paraID>
      <start>0</start>
      <end>2</end>
      <status>unmodified</status>
      <modifiedWord/>
      <trackRevisions>false</trackRevisions>
    </reviewItem>
    <reviewItem>
      <errorID>2a1d35ff-c3e0-4f3a-812c-483541b490d4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66447872</paraID>
      <start>0</start>
      <end>2</end>
      <status>unmodified</status>
      <modifiedWord/>
      <trackRevisions>false</trackRevisions>
    </reviewItem>
    <reviewItem>
      <errorID>29ee7f24-1584-4d84-aa07-478df80c46ff</errorID>
      <errorWord>证证</errorWord>
      <group>L1_Word</group>
      <groupName>字词问题</groupName>
      <ability>L2_Typo</ability>
      <abilityName>字词错误</abilityName>
      <candidateList>
        <item>证</item>
      </candidateList>
      <explain/>
      <paraID>772B27CA</paraID>
      <start>5</start>
      <end>7</end>
      <status>unmodified</status>
      <modifiedWord/>
      <trackRevisions>false</trackRevisions>
    </reviewItem>
    <reviewItem>
      <errorID>bb7b0cb5-f020-4d61-be91-fa56b9e9df87</errorID>
      <errorWord>合格证书证</errorWord>
      <group>L1_Word</group>
      <groupName>字词问题</groupName>
      <ability>L2_Typo</ability>
      <abilityName>字词错误</abilityName>
      <candidateList>
        <item>合格证书</item>
      </candidateList>
      <explain/>
      <paraID> 76B6F6A</paraID>
      <start>19</start>
      <end>24</end>
      <status>unmodified</status>
      <modifiedWord/>
      <trackRevisions>false</trackRevisions>
    </reviewItem>
    <reviewItem>
      <errorID>1c270163-7624-4990-be48-ccd139335f26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7D66C205</paraID>
      <start>4</start>
      <end>6</end>
      <status>unmodified</status>
      <modifiedWord/>
      <trackRevisions>false</trackRevisions>
    </reviewItem>
    <reviewItem>
      <errorID>901199ec-3a2e-4e2a-b644-2099c78c24ee</errorID>
      <errorWord>应</errorWord>
      <group>L1_Word</group>
      <groupName>字词问题</groupName>
      <ability>L2_Typo</ability>
      <abilityName>字词错误</abilityName>
      <candidateList>
        <item>应当</item>
      </candidateList>
      <explain/>
      <paraID>7B8FD472</paraID>
      <start>30</start>
      <end>31</end>
      <status>unmodified</status>
      <modifiedWord/>
      <trackRevisions>false</trackRevisions>
    </reviewItem>
    <reviewItem>
      <errorID>6c2d5865-005a-4af8-86ef-448340889167</errorID>
      <errorWord>应</errorWord>
      <group>L1_Word</group>
      <groupName>字词问题</groupName>
      <ability>L2_Typo</ability>
      <abilityName>字词错误</abilityName>
      <candidateList>
        <item>应当</item>
      </candidateList>
      <explain/>
      <paraID>34408EEB</paraID>
      <start>30</start>
      <end>31</end>
      <status>unmodified</status>
      <modifiedWord/>
      <trackRevisions>false</trackRevisions>
    </reviewItem>
    <reviewItem>
      <errorID>07b565b0-c01f-4ed8-8211-05f851089b3f</errorID>
      <errorWord>承担的</errorWord>
      <group>L1_Word</group>
      <groupName>字词问题</groupName>
      <ability>L2_Typo</ability>
      <abilityName>字词错误</abilityName>
      <candidateList>
        <item>承担</item>
      </candidateList>
      <explain/>
      <paraID> 539FD03</paraID>
      <start>33</start>
      <end>36</end>
      <status>unmodified</status>
      <modifiedWord/>
      <trackRevisions>false</trackRevisions>
    </reviewItem>
    <reviewItem>
      <errorID>dda40c4d-8dda-477a-baa2-44e3ee35f51b</errorID>
      <errorWord>承担的</errorWord>
      <group>L1_Word</group>
      <groupName>字词问题</groupName>
      <ability>L2_Typo</ability>
      <abilityName>字词错误</abilityName>
      <candidateList>
        <item>承担</item>
      </candidateList>
      <explain/>
      <paraID>22B4A507</paraID>
      <start>42</start>
      <end>45</end>
      <status>unmodified</status>
      <modifiedWord/>
      <trackRevisions>false</trackRevisions>
    </reviewItem>
    <reviewItem>
      <errorID>afc867f8-0565-4aba-a48f-95eff4e7ee97</errorID>
      <errorWord>承担的</errorWord>
      <group>L1_Word</group>
      <groupName>字词问题</groupName>
      <ability>L2_Typo</ability>
      <abilityName>字词错误</abilityName>
      <candidateList>
        <item>承担</item>
      </candidateList>
      <explain/>
      <paraID>5074AB72</paraID>
      <start>36</start>
      <end>39</end>
      <status>unmodified</status>
      <modifiedWord/>
      <trackRevisions>false</trackRevisions>
    </reviewItem>
    <reviewItem>
      <errorID>eb3d5591-1424-4155-84a9-8b956b1b639a</errorID>
      <errorWord>房</errorWord>
      <group>L1_Word</group>
      <groupName>字词问题</groupName>
      <ability>L2_Typo</ability>
      <abilityName>字词错误</abilityName>
      <candidateList>
        <item>房和</item>
      </candidateList>
      <explain/>
      <paraID>429AE631</paraID>
      <start>11</start>
      <end>12</end>
      <status>unmodified</status>
      <modifiedWord/>
      <trackRevisions>false</trackRevisions>
    </reviewItem>
    <reviewItem>
      <errorID>d7d236f9-78a5-4497-87f8-f15378d56676</errorID>
      <errorWord>住房城乡建设部</errorWord>
      <group>L1_Word</group>
      <groupName>字词问题</groupName>
      <ability>L2_Typo</ability>
      <abilityName>字词错误</abilityName>
      <candidateList>
        <item>住房和城乡建设部</item>
      </candidateList>
      <explain/>
      <paraID>36D352AB</paraID>
      <start>5</start>
      <end>12</end>
      <status>unmodified</status>
      <modifiedWord/>
      <trackRevisions>false</trackRevisions>
    </reviewItem>
    <reviewItem>
      <errorID>225c4bee-e25a-4466-8190-1a454a491966</errorID>
      <errorWord>住房城乡建设部</errorWord>
      <group>L1_Word</group>
      <groupName>字词问题</groupName>
      <ability>L2_Typo</ability>
      <abilityName>字词错误</abilityName>
      <candidateList>
        <item>住房和城乡建设部</item>
      </candidateList>
      <explain/>
      <paraID>4779F3EE</paraID>
      <start>5</start>
      <end>12</end>
      <status>unmodified</status>
      <modifiedWord/>
      <trackRevisions>false</trackRevisions>
    </reviewItem>
    <reviewItem>
      <errorID>1d05bac3-dd2e-481f-aa98-35feb53df28d</errorID>
      <errorWord>(</errorWord>
      <group>L1_Format</group>
      <groupName>格式问题</groupName>
      <ability>L2_HalfPunc_CN</ability>
      <abilityName>全半角问题</abilityName>
      <candidateList>
        <item>（</item>
      </candidateList>
      <explain>文本全半角错误。</explain>
      <paraID>4779F3EE</paraID>
      <start>33</start>
      <end>34</end>
      <status>unmodified</status>
      <modifiedWord/>
      <trackRevisions>false</trackRevisions>
    </reviewItem>
    <reviewItem>
      <errorID>db1aff96-d569-4b0d-a7b9-d6ee495652e4</errorID>
      <errorWord>)</errorWord>
      <group>L1_Format</group>
      <groupName>格式问题</groupName>
      <ability>L2_HalfPunc_CN</ability>
      <abilityName>全半角问题</abilityName>
      <candidateList>
        <item>）</item>
      </candidateList>
      <explain>文本全半角错误。</explain>
      <paraID>4779F3EE</paraID>
      <start>38</start>
      <end>39</end>
      <status>unmodified</status>
      <modifiedWord/>
      <trackRevisions>false</trackRevisions>
    </reviewItem>
    <reviewItem>
      <errorID>a5994c79-60dc-4ba2-82f3-8a4429e9111f</errorID>
      <errorWord>)</errorWord>
      <group>L1_Format</group>
      <groupName>格式问题</groupName>
      <ability>L2_HalfPunc_CN</ability>
      <abilityName>全半角问题</abilityName>
      <candidateList>
        <item>）</item>
      </candidateList>
      <explain>文本全半角错误。</explain>
      <paraID>4779F3EE</paraID>
      <start>52</start>
      <end>53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357203-7ada-4495-968f-d25fb217e91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120</Pages>
  <Words>76385</Words>
  <Characters>80234</Characters>
  <Lines>731</Lines>
  <Paragraphs>205</Paragraphs>
  <TotalTime>0</TotalTime>
  <ScaleCrop>false</ScaleCrop>
  <LinksUpToDate>false</LinksUpToDate>
  <CharactersWithSpaces>83494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2023-11-10T02:36:00Z</dcterms:created>
  <dc:creator>Chen~小璇</dc:creator>
  <cp:lastModifiedBy>WPS_1481086387</cp:lastModifiedBy>
  <cp:lastPrinted>2025-05-20T10:17:00Z</cp:lastPrinted>
  <dcterms:modified xsi:type="dcterms:W3CDTF">2026-09-20T07:14:42Z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BE5C43974AD9480195DBCD574A64B1FF_13</vt:lpwstr>
  </property>
  <property fmtid="{D5CDD505-2E9C-101B-9397-08002B2CF9AE}" pid="4" name="KSOTemplateDocerSaveRecord">
    <vt:lpwstr>eyJoZGlkIjoiMDVmN2Q5ZjM3YTYwOTZlZmM0MzUwNTBjMWQ1Mzc0ZGUiLCJ1c2VySWQiOiIyNTUzNTE1MTMifQ==</vt:lpwstr>
  </property>
</Properties>
</file>